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5B906">
      <w:pPr>
        <w:jc w:val="right"/>
        <w:rPr>
          <w:rFonts w:eastAsia="仿宋_GB2312"/>
          <w:color w:val="auto"/>
          <w:sz w:val="36"/>
          <w:szCs w:val="36"/>
        </w:rPr>
      </w:pPr>
      <w:bookmarkStart w:id="0" w:name="_Hlk57883707"/>
    </w:p>
    <w:p w14:paraId="0968C098">
      <w:pPr>
        <w:rPr>
          <w:rFonts w:eastAsia="仿宋_GB2312"/>
          <w:color w:val="auto"/>
          <w:sz w:val="36"/>
          <w:szCs w:val="36"/>
        </w:rPr>
      </w:pPr>
    </w:p>
    <w:p w14:paraId="2F441FDF">
      <w:pPr>
        <w:rPr>
          <w:rFonts w:eastAsia="仿宋_GB2312"/>
          <w:color w:val="auto"/>
          <w:sz w:val="36"/>
          <w:szCs w:val="36"/>
        </w:rPr>
      </w:pPr>
    </w:p>
    <w:p w14:paraId="73CD9161">
      <w:pPr>
        <w:rPr>
          <w:rFonts w:eastAsia="仿宋_GB2312"/>
          <w:color w:val="auto"/>
          <w:sz w:val="36"/>
          <w:szCs w:val="36"/>
        </w:rPr>
      </w:pPr>
    </w:p>
    <w:bookmarkEnd w:id="0"/>
    <w:p w14:paraId="54DA312B">
      <w:pPr>
        <w:adjustRightInd w:val="0"/>
        <w:snapToGrid w:val="0"/>
        <w:jc w:val="both"/>
        <w:outlineLvl w:val="9"/>
        <w:rPr>
          <w:rFonts w:eastAsia="方正小标宋_GBK"/>
          <w:bCs/>
          <w:color w:val="auto"/>
          <w:sz w:val="72"/>
          <w:szCs w:val="72"/>
        </w:rPr>
      </w:pPr>
      <w:bookmarkStart w:id="1" w:name="_Toc16468"/>
      <w:bookmarkStart w:id="2" w:name="_Toc15278"/>
      <w:bookmarkStart w:id="3" w:name="_Toc23795"/>
      <w:bookmarkStart w:id="4" w:name="_Toc4962"/>
      <w:bookmarkStart w:id="5" w:name="_Toc21655"/>
      <w:bookmarkStart w:id="6" w:name="_Toc31979"/>
      <w:r>
        <w:rPr>
          <w:rFonts w:eastAsia="方正小标宋_GBK"/>
          <w:bCs/>
          <w:color w:val="auto"/>
          <w:sz w:val="72"/>
          <w:szCs w:val="72"/>
        </w:rPr>
        <w:t>建设项目</w:t>
      </w:r>
      <w:r>
        <w:rPr>
          <w:rFonts w:hint="eastAsia" w:eastAsia="方正小标宋_GBK"/>
          <w:bCs/>
          <w:color w:val="auto"/>
          <w:sz w:val="72"/>
          <w:szCs w:val="72"/>
          <w:lang w:val="en-US" w:eastAsia="zh-CN"/>
        </w:rPr>
        <w:t>生态</w:t>
      </w:r>
      <w:r>
        <w:rPr>
          <w:rFonts w:eastAsia="方正小标宋_GBK"/>
          <w:bCs/>
          <w:color w:val="auto"/>
          <w:sz w:val="72"/>
          <w:szCs w:val="72"/>
        </w:rPr>
        <w:t>环境影响报告表</w:t>
      </w:r>
      <w:bookmarkEnd w:id="1"/>
      <w:bookmarkEnd w:id="2"/>
      <w:bookmarkEnd w:id="3"/>
      <w:bookmarkEnd w:id="4"/>
      <w:bookmarkEnd w:id="5"/>
      <w:bookmarkEnd w:id="6"/>
    </w:p>
    <w:p w14:paraId="5828CAF9">
      <w:pPr>
        <w:adjustRightInd w:val="0"/>
        <w:snapToGrid w:val="0"/>
        <w:spacing w:before="260" w:beforeLines="80" w:line="240" w:lineRule="auto"/>
        <w:ind w:firstLine="0" w:firstLineChars="0"/>
        <w:jc w:val="center"/>
        <w:outlineLvl w:val="9"/>
        <w:rPr>
          <w:rFonts w:hint="eastAsia" w:ascii="楷体" w:hAnsi="楷体" w:eastAsia="楷体" w:cs="Times New Roman"/>
          <w:bCs/>
          <w:color w:val="auto"/>
          <w:sz w:val="48"/>
          <w:szCs w:val="48"/>
          <w:lang w:eastAsia="zh-CN"/>
        </w:rPr>
      </w:pPr>
      <w:r>
        <w:rPr>
          <w:rFonts w:hint="eastAsia" w:ascii="楷体" w:hAnsi="楷体" w:eastAsia="楷体" w:cs="Times New Roman"/>
          <w:bCs/>
          <w:color w:val="auto"/>
          <w:sz w:val="48"/>
          <w:szCs w:val="48"/>
          <w:lang w:eastAsia="zh-CN"/>
        </w:rPr>
        <w:t>（生态影响类）</w:t>
      </w:r>
    </w:p>
    <w:p w14:paraId="763DAA2F">
      <w:pPr>
        <w:adjustRightInd w:val="0"/>
        <w:snapToGrid w:val="0"/>
        <w:spacing w:before="260" w:beforeLines="80" w:line="240" w:lineRule="auto"/>
        <w:ind w:firstLine="0" w:firstLineChars="0"/>
        <w:jc w:val="center"/>
        <w:outlineLvl w:val="9"/>
        <w:rPr>
          <w:rFonts w:hint="eastAsia" w:ascii="楷体" w:hAnsi="楷体" w:eastAsia="楷体" w:cs="Times New Roman"/>
          <w:bCs/>
          <w:color w:val="auto"/>
          <w:sz w:val="48"/>
          <w:szCs w:val="48"/>
          <w:lang w:eastAsia="zh-CN"/>
        </w:rPr>
      </w:pPr>
      <w:r>
        <w:rPr>
          <w:rFonts w:hint="eastAsia" w:ascii="楷体" w:hAnsi="楷体" w:eastAsia="楷体" w:cs="Times New Roman"/>
          <w:bCs/>
          <w:color w:val="auto"/>
          <w:sz w:val="48"/>
          <w:szCs w:val="48"/>
          <w:lang w:eastAsia="zh-CN"/>
        </w:rPr>
        <w:t>（</w:t>
      </w:r>
      <w:r>
        <w:rPr>
          <w:rFonts w:hint="eastAsia" w:ascii="楷体" w:hAnsi="楷体" w:eastAsia="楷体" w:cs="Times New Roman"/>
          <w:bCs/>
          <w:color w:val="auto"/>
          <w:sz w:val="48"/>
          <w:szCs w:val="48"/>
          <w:lang w:val="en-US" w:eastAsia="zh-CN"/>
        </w:rPr>
        <w:t>公示</w:t>
      </w:r>
      <w:r>
        <w:rPr>
          <w:rFonts w:hint="eastAsia" w:ascii="楷体" w:hAnsi="楷体" w:eastAsia="楷体" w:cs="Times New Roman"/>
          <w:bCs/>
          <w:color w:val="auto"/>
          <w:sz w:val="48"/>
          <w:szCs w:val="48"/>
          <w:lang w:eastAsia="zh-CN"/>
        </w:rPr>
        <w:t>本）</w:t>
      </w:r>
    </w:p>
    <w:p w14:paraId="0FF05231">
      <w:pPr>
        <w:adjustRightInd w:val="0"/>
        <w:snapToGrid w:val="0"/>
        <w:spacing w:line="288" w:lineRule="auto"/>
        <w:jc w:val="center"/>
        <w:rPr>
          <w:rFonts w:eastAsia="华文仿宋"/>
          <w:color w:val="auto"/>
          <w:kern w:val="44"/>
          <w:sz w:val="44"/>
          <w:szCs w:val="44"/>
        </w:rPr>
      </w:pPr>
      <w:bookmarkStart w:id="7" w:name="_Hlk57883728"/>
    </w:p>
    <w:p w14:paraId="1BE9867B">
      <w:pPr>
        <w:adjustRightInd w:val="0"/>
        <w:snapToGrid w:val="0"/>
        <w:spacing w:line="288" w:lineRule="auto"/>
        <w:jc w:val="center"/>
        <w:rPr>
          <w:rFonts w:eastAsia="华文仿宋"/>
          <w:color w:val="auto"/>
          <w:kern w:val="44"/>
          <w:sz w:val="44"/>
          <w:szCs w:val="44"/>
        </w:rPr>
      </w:pPr>
    </w:p>
    <w:p w14:paraId="1A381B0B">
      <w:pPr>
        <w:rPr>
          <w:rFonts w:hint="eastAsia" w:eastAsia="仿宋"/>
          <w:color w:val="auto"/>
          <w:sz w:val="44"/>
          <w:szCs w:val="44"/>
          <w:lang w:val="en-US" w:eastAsia="zh-CN"/>
        </w:rPr>
      </w:pPr>
    </w:p>
    <w:p w14:paraId="113416B2">
      <w:pPr>
        <w:ind w:firstLine="1040"/>
        <w:rPr>
          <w:rFonts w:eastAsia="仿宋"/>
          <w:color w:val="auto"/>
          <w:sz w:val="44"/>
          <w:szCs w:val="44"/>
        </w:rPr>
      </w:pPr>
    </w:p>
    <w:p w14:paraId="0594F44E">
      <w:pPr>
        <w:ind w:firstLine="1040"/>
        <w:rPr>
          <w:rFonts w:eastAsia="仿宋"/>
          <w:color w:val="auto"/>
          <w:sz w:val="44"/>
          <w:szCs w:val="44"/>
        </w:rPr>
      </w:pPr>
    </w:p>
    <w:bookmarkEnd w:id="7"/>
    <w:p w14:paraId="223D4384">
      <w:pPr>
        <w:adjustRightInd w:val="0"/>
        <w:snapToGrid w:val="0"/>
        <w:spacing w:line="360" w:lineRule="auto"/>
        <w:rPr>
          <w:rFonts w:eastAsia="仿宋_GB2312"/>
          <w:color w:val="auto"/>
          <w:sz w:val="36"/>
          <w:szCs w:val="36"/>
          <w:u w:val="single"/>
        </w:rPr>
      </w:pPr>
      <w:r>
        <w:rPr>
          <w:rFonts w:eastAsia="仿宋_GB2312"/>
          <w:color w:val="auto"/>
          <w:sz w:val="36"/>
          <w:szCs w:val="36"/>
        </w:rPr>
        <w:t>项目名称：</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hint="eastAsia" w:eastAsia="仿宋_GB2312"/>
          <w:color w:val="auto"/>
          <w:sz w:val="36"/>
          <w:szCs w:val="36"/>
          <w:u w:val="single"/>
          <w:lang w:eastAsia="zh-CN"/>
        </w:rPr>
        <w:t>元陆39井钻探工程</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  </w:t>
      </w:r>
    </w:p>
    <w:p w14:paraId="24BA2AE4">
      <w:pPr>
        <w:adjustRightInd w:val="0"/>
        <w:snapToGrid w:val="0"/>
        <w:spacing w:line="360" w:lineRule="auto"/>
        <w:rPr>
          <w:rFonts w:hint="default" w:eastAsia="仿宋_GB2312"/>
          <w:color w:val="auto"/>
          <w:sz w:val="36"/>
          <w:szCs w:val="36"/>
          <w:u w:val="single"/>
          <w:lang w:val="en-US" w:eastAsia="zh-CN"/>
        </w:rPr>
      </w:pPr>
      <w:r>
        <w:rPr>
          <w:rFonts w:eastAsia="仿宋_GB2312"/>
          <w:color w:val="auto"/>
          <w:sz w:val="36"/>
          <w:szCs w:val="36"/>
        </w:rPr>
        <w:t>建设单位（盖章）：</w:t>
      </w:r>
      <w:r>
        <w:rPr>
          <w:rFonts w:eastAsia="仿宋_GB2312"/>
          <w:color w:val="auto"/>
          <w:sz w:val="36"/>
          <w:szCs w:val="36"/>
          <w:u w:val="single"/>
        </w:rPr>
        <w:t>中国石油化工股份有限公司</w:t>
      </w:r>
      <w:r>
        <w:rPr>
          <w:rFonts w:hint="eastAsia" w:eastAsia="仿宋_GB2312"/>
          <w:color w:val="auto"/>
          <w:sz w:val="36"/>
          <w:szCs w:val="36"/>
          <w:u w:val="single"/>
          <w:lang w:val="en-US" w:eastAsia="zh-CN"/>
        </w:rPr>
        <w:t xml:space="preserve">       </w:t>
      </w:r>
    </w:p>
    <w:p w14:paraId="0D46157B">
      <w:pPr>
        <w:adjustRightInd w:val="0"/>
        <w:snapToGrid w:val="0"/>
        <w:spacing w:line="360" w:lineRule="auto"/>
        <w:ind w:firstLine="3240" w:firstLineChars="900"/>
        <w:rPr>
          <w:rFonts w:eastAsia="仿宋_GB2312"/>
          <w:color w:val="auto"/>
          <w:sz w:val="36"/>
          <w:szCs w:val="36"/>
          <w:u w:val="single"/>
        </w:rPr>
      </w:pP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勘探分公司             </w:t>
      </w:r>
    </w:p>
    <w:p w14:paraId="0A76EC22">
      <w:pPr>
        <w:adjustRightInd w:val="0"/>
        <w:snapToGrid w:val="0"/>
        <w:spacing w:line="360" w:lineRule="auto"/>
        <w:rPr>
          <w:rFonts w:eastAsia="仿宋_GB2312"/>
          <w:color w:val="auto"/>
          <w:sz w:val="36"/>
          <w:szCs w:val="36"/>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202</w:t>
      </w:r>
      <w:r>
        <w:rPr>
          <w:rFonts w:hint="eastAsia" w:eastAsia="仿宋_GB2312"/>
          <w:color w:val="auto"/>
          <w:sz w:val="36"/>
          <w:szCs w:val="36"/>
          <w:u w:val="single"/>
          <w:lang w:val="en-US" w:eastAsia="zh-CN"/>
        </w:rPr>
        <w:t>6</w:t>
      </w:r>
      <w:r>
        <w:rPr>
          <w:rFonts w:eastAsia="仿宋_GB2312"/>
          <w:color w:val="auto"/>
          <w:sz w:val="36"/>
          <w:szCs w:val="36"/>
          <w:u w:val="single"/>
        </w:rPr>
        <w:t>年</w:t>
      </w:r>
      <w:r>
        <w:rPr>
          <w:rFonts w:hint="eastAsia" w:eastAsia="仿宋_GB2312"/>
          <w:color w:val="auto"/>
          <w:sz w:val="36"/>
          <w:szCs w:val="36"/>
          <w:u w:val="single"/>
          <w:lang w:val="en-US" w:eastAsia="zh-CN"/>
        </w:rPr>
        <w:t>10</w:t>
      </w:r>
      <w:r>
        <w:rPr>
          <w:rFonts w:eastAsia="仿宋_GB2312"/>
          <w:color w:val="auto"/>
          <w:sz w:val="36"/>
          <w:szCs w:val="36"/>
          <w:u w:val="single"/>
        </w:rPr>
        <w:t xml:space="preserve">月               </w:t>
      </w:r>
    </w:p>
    <w:p w14:paraId="35A8FF4F">
      <w:pPr>
        <w:adjustRightInd w:val="0"/>
        <w:snapToGrid w:val="0"/>
        <w:spacing w:line="288" w:lineRule="auto"/>
        <w:ind w:firstLine="1040"/>
        <w:rPr>
          <w:rFonts w:eastAsia="仿宋_GB2312"/>
          <w:color w:val="auto"/>
          <w:sz w:val="36"/>
          <w:szCs w:val="36"/>
          <w:u w:val="single"/>
        </w:rPr>
      </w:pPr>
    </w:p>
    <w:p w14:paraId="0AE5AC62">
      <w:pPr>
        <w:adjustRightInd w:val="0"/>
        <w:snapToGrid w:val="0"/>
        <w:spacing w:line="288" w:lineRule="auto"/>
        <w:ind w:firstLine="1040"/>
        <w:rPr>
          <w:rFonts w:eastAsia="仿宋_GB2312"/>
          <w:color w:val="auto"/>
          <w:sz w:val="36"/>
          <w:szCs w:val="36"/>
        </w:rPr>
      </w:pPr>
    </w:p>
    <w:p w14:paraId="556C8001">
      <w:pPr>
        <w:adjustRightInd w:val="0"/>
        <w:snapToGrid w:val="0"/>
        <w:spacing w:line="288" w:lineRule="auto"/>
        <w:ind w:firstLine="1040"/>
        <w:rPr>
          <w:rFonts w:hint="eastAsia" w:eastAsia="仿宋_GB2312"/>
          <w:color w:val="auto"/>
          <w:sz w:val="36"/>
          <w:szCs w:val="36"/>
          <w:lang w:val="en-US" w:eastAsia="zh-CN"/>
        </w:rPr>
      </w:pPr>
    </w:p>
    <w:p w14:paraId="675CE289">
      <w:pPr>
        <w:adjustRightInd w:val="0"/>
        <w:snapToGrid w:val="0"/>
        <w:spacing w:line="288" w:lineRule="auto"/>
        <w:ind w:firstLine="1040"/>
        <w:rPr>
          <w:rFonts w:eastAsia="仿宋_GB2312"/>
          <w:color w:val="auto"/>
          <w:sz w:val="36"/>
          <w:szCs w:val="36"/>
        </w:rPr>
      </w:pPr>
    </w:p>
    <w:p w14:paraId="52409FEF">
      <w:pPr>
        <w:adjustRightInd w:val="0"/>
        <w:snapToGrid w:val="0"/>
        <w:spacing w:line="288" w:lineRule="auto"/>
        <w:ind w:firstLine="0" w:firstLineChars="0"/>
        <w:jc w:val="center"/>
        <w:outlineLvl w:val="9"/>
        <w:rPr>
          <w:rFonts w:hint="eastAsia" w:ascii="楷体" w:hAnsi="楷体" w:eastAsia="楷体" w:cs="Times New Roman"/>
          <w:color w:val="auto"/>
          <w:sz w:val="36"/>
          <w:szCs w:val="36"/>
        </w:rPr>
      </w:pPr>
      <w:bookmarkStart w:id="8" w:name="_Toc14002"/>
      <w:bookmarkStart w:id="9" w:name="_Toc113"/>
      <w:bookmarkStart w:id="10" w:name="_Toc7752"/>
      <w:bookmarkStart w:id="11" w:name="_Toc15377"/>
      <w:r>
        <w:rPr>
          <w:rFonts w:hint="eastAsia" w:ascii="楷体" w:hAnsi="楷体" w:eastAsia="楷体" w:cs="Times New Roman"/>
          <w:color w:val="auto"/>
          <w:sz w:val="36"/>
          <w:szCs w:val="36"/>
        </w:rPr>
        <w:t>中华人民共和国生态环境部制</w:t>
      </w:r>
      <w:bookmarkEnd w:id="8"/>
      <w:bookmarkEnd w:id="9"/>
      <w:bookmarkEnd w:id="10"/>
      <w:bookmarkEnd w:id="11"/>
    </w:p>
    <w:p w14:paraId="73AA6884">
      <w:pPr>
        <w:jc w:val="center"/>
        <w:rPr>
          <w:color w:val="auto"/>
        </w:rPr>
      </w:pPr>
    </w:p>
    <w:p w14:paraId="023B16CA">
      <w:pPr>
        <w:jc w:val="center"/>
        <w:rPr>
          <w:color w:val="auto"/>
        </w:rPr>
      </w:pPr>
    </w:p>
    <w:p w14:paraId="1CB4BC09">
      <w:pPr>
        <w:rPr>
          <w:color w:val="auto"/>
        </w:rPr>
      </w:pPr>
      <w:r>
        <w:rPr>
          <w:rFonts w:eastAsia="仿宋_GB2312"/>
          <w:color w:val="auto"/>
          <w:sz w:val="36"/>
          <w:szCs w:val="36"/>
        </w:rPr>
        <w:fldChar w:fldCharType="begin"/>
      </w:r>
      <w:r>
        <w:rPr>
          <w:rFonts w:eastAsia="仿宋_GB2312"/>
          <w:color w:val="auto"/>
          <w:sz w:val="36"/>
          <w:szCs w:val="36"/>
        </w:rPr>
        <w:instrText xml:space="preserve">TOC \o "1-1" \h \u </w:instrText>
      </w:r>
      <w:r>
        <w:rPr>
          <w:rFonts w:eastAsia="仿宋_GB2312"/>
          <w:color w:val="auto"/>
          <w:sz w:val="36"/>
          <w:szCs w:val="36"/>
        </w:rPr>
        <w:fldChar w:fldCharType="separate"/>
      </w:r>
    </w:p>
    <w:p w14:paraId="4A11BA6C">
      <w:pPr>
        <w:spacing w:line="360" w:lineRule="auto"/>
        <w:jc w:val="center"/>
        <w:rPr>
          <w:rFonts w:ascii="宋体" w:hAnsi="宋体"/>
          <w:b/>
          <w:bCs/>
          <w:color w:val="auto"/>
          <w:sz w:val="40"/>
          <w:szCs w:val="48"/>
        </w:rPr>
        <w:sectPr>
          <w:footerReference r:id="rId3" w:type="default"/>
          <w:pgSz w:w="11906" w:h="16838"/>
          <w:pgMar w:top="1701" w:right="1247" w:bottom="1701" w:left="1247" w:header="851" w:footer="1077" w:gutter="0"/>
          <w:pgBorders>
            <w:top w:val="none" w:sz="0" w:space="0"/>
            <w:left w:val="none" w:sz="0" w:space="0"/>
            <w:bottom w:val="none" w:sz="0" w:space="0"/>
            <w:right w:val="none" w:sz="0" w:space="0"/>
          </w:pgBorders>
          <w:pgNumType w:start="1"/>
          <w:cols w:space="0" w:num="1"/>
          <w:rtlGutter w:val="0"/>
          <w:docGrid w:linePitch="312" w:charSpace="0"/>
        </w:sectPr>
      </w:pPr>
    </w:p>
    <w:p w14:paraId="3A9D04A8">
      <w:pPr>
        <w:spacing w:line="480" w:lineRule="auto"/>
        <w:jc w:val="center"/>
        <w:rPr>
          <w:rFonts w:hint="default" w:ascii="Times New Roman" w:hAnsi="Times New Roman" w:eastAsia="宋体" w:cs="Times New Roman"/>
          <w:b/>
          <w:bCs/>
          <w:color w:val="auto"/>
          <w:sz w:val="28"/>
          <w:szCs w:val="28"/>
        </w:rPr>
      </w:pPr>
    </w:p>
    <w:p w14:paraId="4473DFD2">
      <w:pPr>
        <w:spacing w:line="480" w:lineRule="auto"/>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目</w:t>
      </w:r>
      <w:r>
        <w:rPr>
          <w:rFonts w:hint="eastAsia" w:ascii="Times New Roman" w:hAnsi="Times New Roman" w:eastAsia="宋体" w:cs="Times New Roman"/>
          <w:b/>
          <w:bCs/>
          <w:color w:val="auto"/>
          <w:sz w:val="28"/>
          <w:szCs w:val="28"/>
          <w:lang w:val="en-US" w:eastAsia="zh-CN"/>
        </w:rPr>
        <w:t xml:space="preserve"> </w:t>
      </w:r>
      <w:r>
        <w:rPr>
          <w:rFonts w:hint="default" w:ascii="Times New Roman" w:hAnsi="Times New Roman" w:eastAsia="宋体" w:cs="Times New Roman"/>
          <w:b/>
          <w:bCs/>
          <w:color w:val="auto"/>
          <w:sz w:val="28"/>
          <w:szCs w:val="28"/>
        </w:rPr>
        <w:t>录</w:t>
      </w:r>
    </w:p>
    <w:p w14:paraId="572C84CB">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TOC \o "1-1" \h \u </w:instrText>
      </w:r>
      <w:r>
        <w:rPr>
          <w:rFonts w:hint="default" w:ascii="Times New Roman" w:hAnsi="Times New Roman" w:eastAsia="宋体" w:cs="Times New Roman"/>
          <w:color w:val="auto"/>
          <w:sz w:val="24"/>
          <w:szCs w:val="24"/>
        </w:rPr>
        <w:fldChar w:fldCharType="separate"/>
      </w:r>
    </w:p>
    <w:p w14:paraId="660E9CC9">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_Toc8260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一、建设项目基本情况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_Toc8260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180E5828">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_Toc4685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二、建设内容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_Toc4685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0F9FA058">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_Toc5543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三、生态环境现状、保护目标及评价标准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_Toc5543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78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7613F437">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_Toc3620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四、生态环境影响分析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_Toc3620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65BF9E50">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_Toc12349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五、主要生态环境保护措施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_Toc12349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153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15F24478">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_Toc11701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六、生态环境保护措施监督检查清单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_Toc11701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181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05FE83F">
      <w:pPr>
        <w:pStyle w:val="73"/>
        <w:tabs>
          <w:tab w:val="right" w:leader="dot" w:pos="8844"/>
        </w:tabs>
        <w:spacing w:line="48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_Toc14004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snapToGrid w:val="0"/>
          <w:color w:val="auto"/>
          <w:sz w:val="24"/>
          <w:szCs w:val="24"/>
        </w:rPr>
        <w:t>七、结论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_Toc14004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184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D7BD725">
      <w:pPr>
        <w:pStyle w:val="73"/>
        <w:tabs>
          <w:tab w:val="right" w:leader="dot" w:pos="8844"/>
        </w:tabs>
        <w:spacing w:line="480" w:lineRule="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八、环境风险专项评价</w:t>
      </w:r>
    </w:p>
    <w:p w14:paraId="28962EF5">
      <w:pPr>
        <w:pStyle w:val="73"/>
        <w:tabs>
          <w:tab w:val="right" w:leader="dot" w:pos="8844"/>
        </w:tabs>
        <w:spacing w:line="480" w:lineRule="auto"/>
        <w:rPr>
          <w:rFonts w:hint="default" w:ascii="Times New Roman" w:hAnsi="Times New Roman" w:eastAsia="宋体" w:cs="Times New Roman"/>
          <w:color w:val="auto"/>
          <w:sz w:val="24"/>
          <w:szCs w:val="24"/>
          <w:lang w:val="en-US" w:eastAsia="zh-CN"/>
        </w:rPr>
      </w:pPr>
      <w:bookmarkStart w:id="12" w:name="_Toc25016"/>
      <w:bookmarkStart w:id="13" w:name="_Toc21924"/>
      <w:bookmarkStart w:id="14" w:name="_Toc16925"/>
      <w:bookmarkStart w:id="15" w:name="_Toc25775"/>
      <w:bookmarkStart w:id="16" w:name="_Toc26116"/>
      <w:bookmarkStart w:id="17" w:name="_Toc9208"/>
      <w:bookmarkStart w:id="18" w:name="_Toc16404"/>
      <w:bookmarkStart w:id="19" w:name="_Toc9368"/>
      <w:r>
        <w:rPr>
          <w:rFonts w:hint="eastAsia" w:ascii="Times New Roman" w:hAnsi="Times New Roman" w:eastAsia="宋体" w:cs="Times New Roman"/>
          <w:color w:val="auto"/>
          <w:sz w:val="24"/>
          <w:szCs w:val="24"/>
          <w:lang w:val="en-US" w:eastAsia="zh-CN"/>
        </w:rPr>
        <w:t>九、</w:t>
      </w:r>
      <w:r>
        <w:rPr>
          <w:rFonts w:hint="default" w:ascii="Times New Roman" w:hAnsi="Times New Roman" w:eastAsia="宋体" w:cs="Times New Roman"/>
          <w:color w:val="auto"/>
          <w:sz w:val="24"/>
          <w:szCs w:val="24"/>
        </w:rPr>
        <w:t>地下水环境影响专项评价</w:t>
      </w:r>
      <w:bookmarkEnd w:id="12"/>
      <w:bookmarkEnd w:id="13"/>
      <w:bookmarkEnd w:id="14"/>
      <w:bookmarkEnd w:id="15"/>
      <w:bookmarkEnd w:id="16"/>
      <w:bookmarkEnd w:id="17"/>
      <w:bookmarkEnd w:id="18"/>
      <w:bookmarkEnd w:id="19"/>
    </w:p>
    <w:p w14:paraId="2AD81F2B">
      <w:pPr>
        <w:spacing w:line="480" w:lineRule="auto"/>
        <w:rPr>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eastAsia="宋体" w:cs="Times New Roman"/>
          <w:color w:val="auto"/>
          <w:sz w:val="24"/>
          <w:szCs w:val="24"/>
        </w:rPr>
        <w:fldChar w:fldCharType="end"/>
      </w:r>
    </w:p>
    <w:tbl>
      <w:tblPr>
        <w:tblStyle w:val="23"/>
        <w:tblW w:w="9060" w:type="dxa"/>
        <w:tblInd w:w="0" w:type="dxa"/>
        <w:tblLayout w:type="autofit"/>
        <w:tblCellMar>
          <w:top w:w="0" w:type="dxa"/>
          <w:left w:w="108" w:type="dxa"/>
          <w:bottom w:w="0" w:type="dxa"/>
          <w:right w:w="108" w:type="dxa"/>
        </w:tblCellMar>
      </w:tblPr>
      <w:tblGrid>
        <w:gridCol w:w="1142"/>
        <w:gridCol w:w="7918"/>
      </w:tblGrid>
      <w:tr w14:paraId="3C9C45C4">
        <w:tblPrEx>
          <w:tblCellMar>
            <w:top w:w="0" w:type="dxa"/>
            <w:left w:w="108" w:type="dxa"/>
            <w:bottom w:w="0" w:type="dxa"/>
            <w:right w:w="108" w:type="dxa"/>
          </w:tblCellMar>
        </w:tblPrEx>
        <w:trPr>
          <w:trHeight w:val="397" w:hRule="atLeast"/>
        </w:trPr>
        <w:tc>
          <w:tcPr>
            <w:tcW w:w="1142" w:type="dxa"/>
            <w:noWrap w:val="0"/>
            <w:vAlign w:val="center"/>
          </w:tcPr>
          <w:p w14:paraId="53656BE6">
            <w:pPr>
              <w:pStyle w:val="73"/>
              <w:keepNext w:val="0"/>
              <w:keepLines w:val="0"/>
              <w:widowControl/>
              <w:suppressLineNumbers w:val="0"/>
              <w:tabs>
                <w:tab w:val="right" w:leader="dot" w:pos="8844"/>
              </w:tabs>
              <w:spacing w:before="0" w:beforeAutospacing="0" w:after="0" w:afterAutospacing="0"/>
              <w:ind w:left="0" w:right="0"/>
              <w:rPr>
                <w:rFonts w:hint="default" w:ascii="Times New Roman" w:hAnsi="Times New Roman" w:cs="Times New Roman"/>
                <w:color w:val="auto"/>
                <w:sz w:val="24"/>
                <w:szCs w:val="20"/>
              </w:rPr>
            </w:pPr>
            <w:r>
              <w:rPr>
                <w:rFonts w:hint="default" w:ascii="Times New Roman" w:hAnsi="Times New Roman" w:eastAsia="仿宋_GB2312" w:cs="Times New Roman"/>
                <w:color w:val="auto"/>
                <w:sz w:val="20"/>
                <w:szCs w:val="36"/>
              </w:rPr>
              <w:fldChar w:fldCharType="end"/>
            </w:r>
            <w:r>
              <w:rPr>
                <w:rFonts w:hint="default" w:ascii="Times New Roman" w:hAnsi="Times New Roman" w:cs="Times New Roman"/>
                <w:b/>
                <w:bCs/>
                <w:color w:val="auto"/>
                <w:sz w:val="24"/>
                <w:szCs w:val="20"/>
              </w:rPr>
              <w:t>附图：</w:t>
            </w:r>
          </w:p>
        </w:tc>
        <w:tc>
          <w:tcPr>
            <w:tcW w:w="7918" w:type="dxa"/>
            <w:noWrap w:val="0"/>
            <w:vAlign w:val="center"/>
          </w:tcPr>
          <w:p w14:paraId="05664911">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p>
        </w:tc>
      </w:tr>
      <w:tr w14:paraId="4D8D9198">
        <w:tblPrEx>
          <w:tblCellMar>
            <w:top w:w="0" w:type="dxa"/>
            <w:left w:w="108" w:type="dxa"/>
            <w:bottom w:w="0" w:type="dxa"/>
            <w:right w:w="108" w:type="dxa"/>
          </w:tblCellMar>
        </w:tblPrEx>
        <w:trPr>
          <w:trHeight w:val="397" w:hRule="atLeast"/>
        </w:trPr>
        <w:tc>
          <w:tcPr>
            <w:tcW w:w="1142" w:type="dxa"/>
            <w:noWrap w:val="0"/>
            <w:vAlign w:val="center"/>
          </w:tcPr>
          <w:p w14:paraId="25D015AD">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r>
              <w:rPr>
                <w:rFonts w:hint="default" w:ascii="Times New Roman" w:hAnsi="Times New Roman" w:cs="Times New Roman"/>
                <w:color w:val="auto"/>
                <w:sz w:val="24"/>
              </w:rPr>
              <w:t>附图0</w:t>
            </w:r>
          </w:p>
        </w:tc>
        <w:tc>
          <w:tcPr>
            <w:tcW w:w="7918" w:type="dxa"/>
            <w:noWrap w:val="0"/>
            <w:vAlign w:val="center"/>
          </w:tcPr>
          <w:p w14:paraId="249D563A">
            <w:pPr>
              <w:keepNext w:val="0"/>
              <w:keepLines w:val="0"/>
              <w:suppressLineNumbers w:val="0"/>
              <w:adjustRightInd w:val="0"/>
              <w:snapToGrid w:val="0"/>
              <w:spacing w:before="0" w:beforeAutospacing="0" w:after="0" w:afterAutospacing="0"/>
              <w:ind w:left="0" w:right="0"/>
              <w:jc w:val="left"/>
              <w:rPr>
                <w:rFonts w:hint="eastAsia" w:ascii="Times New Roman" w:hAnsi="Times New Roman" w:cs="Times New Roman"/>
                <w:color w:val="auto"/>
                <w:sz w:val="24"/>
              </w:rPr>
            </w:pPr>
            <w:r>
              <w:rPr>
                <w:rFonts w:hint="default" w:ascii="Times New Roman" w:hAnsi="Times New Roman" w:cs="Times New Roman"/>
                <w:color w:val="auto"/>
                <w:sz w:val="24"/>
              </w:rPr>
              <w:t>项目</w:t>
            </w:r>
            <w:r>
              <w:rPr>
                <w:rFonts w:hint="eastAsia" w:ascii="Times New Roman" w:hAnsi="Times New Roman" w:cs="Times New Roman"/>
                <w:color w:val="auto"/>
                <w:sz w:val="24"/>
                <w:lang w:val="en-US" w:eastAsia="zh-CN"/>
              </w:rPr>
              <w:t>周围环境</w:t>
            </w:r>
            <w:r>
              <w:rPr>
                <w:rFonts w:hint="eastAsia" w:ascii="Times New Roman" w:hAnsi="Times New Roman" w:cs="Times New Roman"/>
                <w:color w:val="auto"/>
                <w:sz w:val="24"/>
              </w:rPr>
              <w:t>照片</w:t>
            </w:r>
          </w:p>
        </w:tc>
      </w:tr>
      <w:tr w14:paraId="53F3A2A1">
        <w:tblPrEx>
          <w:tblCellMar>
            <w:top w:w="0" w:type="dxa"/>
            <w:left w:w="108" w:type="dxa"/>
            <w:bottom w:w="0" w:type="dxa"/>
            <w:right w:w="108" w:type="dxa"/>
          </w:tblCellMar>
        </w:tblPrEx>
        <w:trPr>
          <w:trHeight w:val="397" w:hRule="atLeast"/>
        </w:trPr>
        <w:tc>
          <w:tcPr>
            <w:tcW w:w="1142" w:type="dxa"/>
            <w:noWrap w:val="0"/>
            <w:vAlign w:val="center"/>
          </w:tcPr>
          <w:p w14:paraId="6090E2EC">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r>
              <w:rPr>
                <w:rFonts w:hint="default" w:ascii="Times New Roman" w:hAnsi="Times New Roman" w:cs="Times New Roman"/>
                <w:color w:val="auto"/>
                <w:sz w:val="24"/>
              </w:rPr>
              <w:t>附图1</w:t>
            </w:r>
          </w:p>
        </w:tc>
        <w:tc>
          <w:tcPr>
            <w:tcW w:w="7918" w:type="dxa"/>
            <w:noWrap w:val="0"/>
            <w:vAlign w:val="center"/>
          </w:tcPr>
          <w:p w14:paraId="48F603D6">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r>
              <w:rPr>
                <w:rFonts w:hint="default" w:ascii="Times New Roman" w:hAnsi="Times New Roman" w:cs="Times New Roman"/>
                <w:color w:val="auto"/>
                <w:sz w:val="24"/>
              </w:rPr>
              <w:t>项目地理位置图</w:t>
            </w:r>
          </w:p>
        </w:tc>
      </w:tr>
      <w:tr w14:paraId="13BD82BF">
        <w:tblPrEx>
          <w:tblCellMar>
            <w:top w:w="0" w:type="dxa"/>
            <w:left w:w="108" w:type="dxa"/>
            <w:bottom w:w="0" w:type="dxa"/>
            <w:right w:w="108" w:type="dxa"/>
          </w:tblCellMar>
        </w:tblPrEx>
        <w:trPr>
          <w:trHeight w:val="397" w:hRule="atLeast"/>
        </w:trPr>
        <w:tc>
          <w:tcPr>
            <w:tcW w:w="1142" w:type="dxa"/>
            <w:noWrap w:val="0"/>
            <w:vAlign w:val="center"/>
          </w:tcPr>
          <w:p w14:paraId="3A570F94">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附图2-1</w:t>
            </w:r>
          </w:p>
        </w:tc>
        <w:tc>
          <w:tcPr>
            <w:tcW w:w="7918" w:type="dxa"/>
            <w:noWrap w:val="0"/>
            <w:vAlign w:val="center"/>
          </w:tcPr>
          <w:p w14:paraId="16F4B40C">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项目外环境关系图（小范围）</w:t>
            </w:r>
          </w:p>
        </w:tc>
      </w:tr>
      <w:tr w14:paraId="44ADFAC6">
        <w:tblPrEx>
          <w:tblCellMar>
            <w:top w:w="0" w:type="dxa"/>
            <w:left w:w="108" w:type="dxa"/>
            <w:bottom w:w="0" w:type="dxa"/>
            <w:right w:w="108" w:type="dxa"/>
          </w:tblCellMar>
        </w:tblPrEx>
        <w:trPr>
          <w:trHeight w:val="397" w:hRule="atLeast"/>
        </w:trPr>
        <w:tc>
          <w:tcPr>
            <w:tcW w:w="1142" w:type="dxa"/>
            <w:noWrap w:val="0"/>
            <w:vAlign w:val="center"/>
          </w:tcPr>
          <w:p w14:paraId="33E248DE">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附图2-2</w:t>
            </w:r>
          </w:p>
        </w:tc>
        <w:tc>
          <w:tcPr>
            <w:tcW w:w="7918" w:type="dxa"/>
            <w:noWrap w:val="0"/>
            <w:vAlign w:val="center"/>
          </w:tcPr>
          <w:p w14:paraId="626E2369">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项目外环境关系图（大范围）</w:t>
            </w:r>
          </w:p>
        </w:tc>
      </w:tr>
      <w:tr w14:paraId="50325A66">
        <w:tblPrEx>
          <w:tblCellMar>
            <w:top w:w="0" w:type="dxa"/>
            <w:left w:w="108" w:type="dxa"/>
            <w:bottom w:w="0" w:type="dxa"/>
            <w:right w:w="108" w:type="dxa"/>
          </w:tblCellMar>
        </w:tblPrEx>
        <w:trPr>
          <w:trHeight w:val="397" w:hRule="atLeast"/>
        </w:trPr>
        <w:tc>
          <w:tcPr>
            <w:tcW w:w="1142" w:type="dxa"/>
            <w:noWrap w:val="0"/>
            <w:vAlign w:val="center"/>
          </w:tcPr>
          <w:p w14:paraId="466FD0B2">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附图3</w:t>
            </w:r>
          </w:p>
        </w:tc>
        <w:tc>
          <w:tcPr>
            <w:tcW w:w="7918" w:type="dxa"/>
            <w:noWrap w:val="0"/>
            <w:vAlign w:val="center"/>
          </w:tcPr>
          <w:p w14:paraId="5BB655AC">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项目监测布点图</w:t>
            </w:r>
          </w:p>
        </w:tc>
      </w:tr>
      <w:tr w14:paraId="7B56B825">
        <w:tblPrEx>
          <w:tblCellMar>
            <w:top w:w="0" w:type="dxa"/>
            <w:left w:w="108" w:type="dxa"/>
            <w:bottom w:w="0" w:type="dxa"/>
            <w:right w:w="108" w:type="dxa"/>
          </w:tblCellMar>
        </w:tblPrEx>
        <w:trPr>
          <w:trHeight w:val="397" w:hRule="atLeast"/>
        </w:trPr>
        <w:tc>
          <w:tcPr>
            <w:tcW w:w="1142" w:type="dxa"/>
            <w:noWrap w:val="0"/>
            <w:vAlign w:val="center"/>
          </w:tcPr>
          <w:p w14:paraId="3A1E0620">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附图4-1</w:t>
            </w:r>
          </w:p>
        </w:tc>
        <w:tc>
          <w:tcPr>
            <w:tcW w:w="7918" w:type="dxa"/>
            <w:noWrap w:val="0"/>
            <w:vAlign w:val="center"/>
          </w:tcPr>
          <w:p w14:paraId="586A8796">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项目总平面布置图</w:t>
            </w:r>
          </w:p>
        </w:tc>
      </w:tr>
      <w:tr w14:paraId="2E6A1684">
        <w:tblPrEx>
          <w:tblCellMar>
            <w:top w:w="0" w:type="dxa"/>
            <w:left w:w="108" w:type="dxa"/>
            <w:bottom w:w="0" w:type="dxa"/>
            <w:right w:w="108" w:type="dxa"/>
          </w:tblCellMar>
        </w:tblPrEx>
        <w:trPr>
          <w:trHeight w:val="397" w:hRule="atLeast"/>
        </w:trPr>
        <w:tc>
          <w:tcPr>
            <w:tcW w:w="1142" w:type="dxa"/>
            <w:noWrap w:val="0"/>
            <w:vAlign w:val="center"/>
          </w:tcPr>
          <w:p w14:paraId="30560ADA">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附图4-</w:t>
            </w:r>
            <w:r>
              <w:rPr>
                <w:rFonts w:hint="eastAsia" w:cs="Times New Roman"/>
                <w:color w:val="auto"/>
                <w:sz w:val="24"/>
                <w:lang w:val="en-US" w:eastAsia="zh-CN"/>
              </w:rPr>
              <w:t>2</w:t>
            </w:r>
          </w:p>
        </w:tc>
        <w:tc>
          <w:tcPr>
            <w:tcW w:w="7918" w:type="dxa"/>
            <w:noWrap w:val="0"/>
            <w:vAlign w:val="center"/>
          </w:tcPr>
          <w:p w14:paraId="6D442824">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项目施工平面布置图</w:t>
            </w:r>
          </w:p>
        </w:tc>
      </w:tr>
      <w:tr w14:paraId="073AC578">
        <w:tblPrEx>
          <w:tblCellMar>
            <w:top w:w="0" w:type="dxa"/>
            <w:left w:w="108" w:type="dxa"/>
            <w:bottom w:w="0" w:type="dxa"/>
            <w:right w:w="108" w:type="dxa"/>
          </w:tblCellMar>
        </w:tblPrEx>
        <w:trPr>
          <w:trHeight w:val="397" w:hRule="atLeast"/>
        </w:trPr>
        <w:tc>
          <w:tcPr>
            <w:tcW w:w="1142" w:type="dxa"/>
            <w:noWrap w:val="0"/>
            <w:vAlign w:val="center"/>
          </w:tcPr>
          <w:p w14:paraId="64BABF96">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附图5</w:t>
            </w:r>
          </w:p>
        </w:tc>
        <w:tc>
          <w:tcPr>
            <w:tcW w:w="7918" w:type="dxa"/>
            <w:noWrap w:val="0"/>
            <w:vAlign w:val="center"/>
          </w:tcPr>
          <w:p w14:paraId="604ECC67">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项目分区防渗图</w:t>
            </w:r>
          </w:p>
        </w:tc>
      </w:tr>
      <w:tr w14:paraId="6F4ED080">
        <w:tblPrEx>
          <w:tblCellMar>
            <w:top w:w="0" w:type="dxa"/>
            <w:left w:w="108" w:type="dxa"/>
            <w:bottom w:w="0" w:type="dxa"/>
            <w:right w:w="108" w:type="dxa"/>
          </w:tblCellMar>
        </w:tblPrEx>
        <w:trPr>
          <w:trHeight w:val="397" w:hRule="atLeast"/>
        </w:trPr>
        <w:tc>
          <w:tcPr>
            <w:tcW w:w="1142" w:type="dxa"/>
            <w:noWrap w:val="0"/>
            <w:vAlign w:val="center"/>
          </w:tcPr>
          <w:p w14:paraId="2EA66E5C">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附图6</w:t>
            </w:r>
          </w:p>
        </w:tc>
        <w:tc>
          <w:tcPr>
            <w:tcW w:w="7918" w:type="dxa"/>
            <w:noWrap w:val="0"/>
            <w:vAlign w:val="center"/>
          </w:tcPr>
          <w:p w14:paraId="42F5D350">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项目所在区域水系图</w:t>
            </w:r>
          </w:p>
        </w:tc>
      </w:tr>
      <w:tr w14:paraId="147B15F6">
        <w:tblPrEx>
          <w:tblCellMar>
            <w:top w:w="0" w:type="dxa"/>
            <w:left w:w="108" w:type="dxa"/>
            <w:bottom w:w="0" w:type="dxa"/>
            <w:right w:w="108" w:type="dxa"/>
          </w:tblCellMar>
        </w:tblPrEx>
        <w:trPr>
          <w:trHeight w:val="397" w:hRule="atLeast"/>
        </w:trPr>
        <w:tc>
          <w:tcPr>
            <w:tcW w:w="1142" w:type="dxa"/>
            <w:noWrap w:val="0"/>
            <w:vAlign w:val="center"/>
          </w:tcPr>
          <w:p w14:paraId="3132B12B">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附图7</w:t>
            </w:r>
          </w:p>
        </w:tc>
        <w:tc>
          <w:tcPr>
            <w:tcW w:w="7918" w:type="dxa"/>
            <w:noWrap w:val="0"/>
            <w:vAlign w:val="center"/>
          </w:tcPr>
          <w:p w14:paraId="0071FB7D">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巴中市生态</w:t>
            </w:r>
            <w:r>
              <w:rPr>
                <w:rFonts w:hint="eastAsia" w:cs="Times New Roman"/>
                <w:color w:val="auto"/>
                <w:sz w:val="24"/>
                <w:lang w:val="en-US" w:eastAsia="zh-CN"/>
              </w:rPr>
              <w:t>保护</w:t>
            </w:r>
            <w:r>
              <w:rPr>
                <w:rFonts w:hint="eastAsia" w:ascii="Times New Roman" w:hAnsi="Times New Roman" w:cs="Times New Roman"/>
                <w:color w:val="auto"/>
                <w:sz w:val="24"/>
                <w:lang w:val="en-US" w:eastAsia="zh-CN"/>
              </w:rPr>
              <w:t>红线图</w:t>
            </w:r>
          </w:p>
        </w:tc>
      </w:tr>
      <w:tr w14:paraId="43B92DC8">
        <w:tblPrEx>
          <w:tblCellMar>
            <w:top w:w="0" w:type="dxa"/>
            <w:left w:w="108" w:type="dxa"/>
            <w:bottom w:w="0" w:type="dxa"/>
            <w:right w:w="108" w:type="dxa"/>
          </w:tblCellMar>
        </w:tblPrEx>
        <w:trPr>
          <w:trHeight w:val="397" w:hRule="atLeast"/>
        </w:trPr>
        <w:tc>
          <w:tcPr>
            <w:tcW w:w="1142" w:type="dxa"/>
            <w:noWrap w:val="0"/>
            <w:vAlign w:val="center"/>
          </w:tcPr>
          <w:p w14:paraId="05B1719C">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附图8</w:t>
            </w:r>
          </w:p>
        </w:tc>
        <w:tc>
          <w:tcPr>
            <w:tcW w:w="7918" w:type="dxa"/>
            <w:noWrap w:val="0"/>
            <w:vAlign w:val="center"/>
          </w:tcPr>
          <w:p w14:paraId="3136D6BA">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巴中市土地利用类型图</w:t>
            </w:r>
          </w:p>
        </w:tc>
      </w:tr>
      <w:tr w14:paraId="1EDF2BA8">
        <w:tblPrEx>
          <w:tblCellMar>
            <w:top w:w="0" w:type="dxa"/>
            <w:left w:w="108" w:type="dxa"/>
            <w:bottom w:w="0" w:type="dxa"/>
            <w:right w:w="108" w:type="dxa"/>
          </w:tblCellMar>
        </w:tblPrEx>
        <w:trPr>
          <w:trHeight w:val="397" w:hRule="atLeast"/>
        </w:trPr>
        <w:tc>
          <w:tcPr>
            <w:tcW w:w="1142" w:type="dxa"/>
            <w:noWrap w:val="0"/>
            <w:vAlign w:val="center"/>
          </w:tcPr>
          <w:p w14:paraId="110FCA11">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附图9</w:t>
            </w:r>
          </w:p>
        </w:tc>
        <w:tc>
          <w:tcPr>
            <w:tcW w:w="7918" w:type="dxa"/>
            <w:noWrap w:val="0"/>
            <w:vAlign w:val="center"/>
          </w:tcPr>
          <w:p w14:paraId="70E3F736">
            <w:pPr>
              <w:keepNext w:val="0"/>
              <w:keepLines w:val="0"/>
              <w:suppressLineNumbers w:val="0"/>
              <w:adjustRightInd w:val="0"/>
              <w:snapToGrid w:val="0"/>
              <w:spacing w:before="0" w:beforeAutospacing="0" w:after="0" w:afterAutospacing="0"/>
              <w:ind w:left="0" w:right="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本项目与巴中自然保护地位置关系图</w:t>
            </w:r>
          </w:p>
        </w:tc>
      </w:tr>
      <w:tr w14:paraId="75C6D039">
        <w:tblPrEx>
          <w:tblCellMar>
            <w:top w:w="0" w:type="dxa"/>
            <w:left w:w="108" w:type="dxa"/>
            <w:bottom w:w="0" w:type="dxa"/>
            <w:right w:w="108" w:type="dxa"/>
          </w:tblCellMar>
        </w:tblPrEx>
        <w:trPr>
          <w:trHeight w:val="397" w:hRule="atLeast"/>
        </w:trPr>
        <w:tc>
          <w:tcPr>
            <w:tcW w:w="1142" w:type="dxa"/>
            <w:noWrap w:val="0"/>
            <w:vAlign w:val="center"/>
          </w:tcPr>
          <w:p w14:paraId="658CC46B">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kern w:val="2"/>
                <w:sz w:val="24"/>
                <w:szCs w:val="24"/>
                <w:lang w:val="en-US" w:eastAsia="zh-CN" w:bidi="ar-SA"/>
              </w:rPr>
            </w:pPr>
            <w:r>
              <w:rPr>
                <w:rFonts w:hint="eastAsia" w:ascii="Times New Roman" w:hAnsi="Times New Roman" w:cs="Times New Roman"/>
                <w:color w:val="auto"/>
                <w:sz w:val="24"/>
              </w:rPr>
              <w:t>附图1</w:t>
            </w:r>
            <w:r>
              <w:rPr>
                <w:rFonts w:hint="eastAsia" w:ascii="Times New Roman" w:hAnsi="Times New Roman" w:cs="Times New Roman"/>
                <w:color w:val="auto"/>
                <w:sz w:val="24"/>
                <w:lang w:val="en-US" w:eastAsia="zh-CN"/>
              </w:rPr>
              <w:t>0</w:t>
            </w:r>
          </w:p>
        </w:tc>
        <w:tc>
          <w:tcPr>
            <w:tcW w:w="7918" w:type="dxa"/>
            <w:noWrap w:val="0"/>
            <w:vAlign w:val="center"/>
          </w:tcPr>
          <w:p w14:paraId="30CF9F20">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kern w:val="2"/>
                <w:sz w:val="24"/>
                <w:szCs w:val="24"/>
                <w:lang w:val="en-US" w:eastAsia="zh-CN" w:bidi="ar-SA"/>
              </w:rPr>
            </w:pPr>
            <w:r>
              <w:rPr>
                <w:rFonts w:hint="eastAsia" w:ascii="Times New Roman" w:hAnsi="Times New Roman" w:cs="Times New Roman"/>
                <w:color w:val="auto"/>
                <w:sz w:val="24"/>
              </w:rPr>
              <w:t>项目</w:t>
            </w:r>
            <w:r>
              <w:rPr>
                <w:rFonts w:hint="eastAsia" w:ascii="Times New Roman" w:hAnsi="Times New Roman" w:cs="Times New Roman"/>
                <w:color w:val="auto"/>
                <w:sz w:val="24"/>
                <w:lang w:val="en-US" w:eastAsia="zh-CN"/>
              </w:rPr>
              <w:t>区域</w:t>
            </w:r>
            <w:r>
              <w:rPr>
                <w:rFonts w:hint="eastAsia" w:ascii="Times New Roman" w:hAnsi="Times New Roman" w:cs="Times New Roman"/>
                <w:color w:val="auto"/>
                <w:sz w:val="24"/>
              </w:rPr>
              <w:t>水文地质图</w:t>
            </w:r>
          </w:p>
        </w:tc>
      </w:tr>
      <w:tr w14:paraId="020BEC61">
        <w:tblPrEx>
          <w:tblCellMar>
            <w:top w:w="0" w:type="dxa"/>
            <w:left w:w="108" w:type="dxa"/>
            <w:bottom w:w="0" w:type="dxa"/>
            <w:right w:w="108" w:type="dxa"/>
          </w:tblCellMar>
        </w:tblPrEx>
        <w:trPr>
          <w:trHeight w:val="397" w:hRule="atLeast"/>
        </w:trPr>
        <w:tc>
          <w:tcPr>
            <w:tcW w:w="1142" w:type="dxa"/>
            <w:noWrap w:val="0"/>
            <w:vAlign w:val="center"/>
          </w:tcPr>
          <w:p w14:paraId="5805EF15">
            <w:pPr>
              <w:keepNext w:val="0"/>
              <w:keepLines w:val="0"/>
              <w:suppressLineNumbers w:val="0"/>
              <w:adjustRightInd w:val="0"/>
              <w:snapToGrid w:val="0"/>
              <w:spacing w:before="0" w:beforeAutospacing="0" w:after="0" w:afterAutospacing="0"/>
              <w:ind w:left="0" w:right="0"/>
              <w:jc w:val="left"/>
              <w:rPr>
                <w:rFonts w:hint="eastAsia" w:ascii="Times New Roman" w:hAnsi="Times New Roman" w:cs="Times New Roman"/>
                <w:color w:val="auto"/>
                <w:sz w:val="24"/>
              </w:rPr>
            </w:pPr>
            <w:r>
              <w:rPr>
                <w:rFonts w:hint="default" w:ascii="Times New Roman" w:hAnsi="Times New Roman" w:cs="Times New Roman"/>
                <w:b/>
                <w:bCs/>
                <w:color w:val="auto"/>
                <w:sz w:val="24"/>
              </w:rPr>
              <w:t>附件：</w:t>
            </w:r>
          </w:p>
        </w:tc>
        <w:tc>
          <w:tcPr>
            <w:tcW w:w="7918" w:type="dxa"/>
            <w:noWrap w:val="0"/>
            <w:vAlign w:val="center"/>
          </w:tcPr>
          <w:p w14:paraId="208887F9">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p>
        </w:tc>
      </w:tr>
      <w:tr w14:paraId="3C987D8E">
        <w:tblPrEx>
          <w:tblCellMar>
            <w:top w:w="0" w:type="dxa"/>
            <w:left w:w="108" w:type="dxa"/>
            <w:bottom w:w="0" w:type="dxa"/>
            <w:right w:w="108" w:type="dxa"/>
          </w:tblCellMar>
        </w:tblPrEx>
        <w:trPr>
          <w:trHeight w:val="397" w:hRule="atLeast"/>
        </w:trPr>
        <w:tc>
          <w:tcPr>
            <w:tcW w:w="1142" w:type="dxa"/>
            <w:noWrap w:val="0"/>
            <w:vAlign w:val="center"/>
          </w:tcPr>
          <w:p w14:paraId="423C13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附件1</w:t>
            </w:r>
          </w:p>
        </w:tc>
        <w:tc>
          <w:tcPr>
            <w:tcW w:w="7918" w:type="dxa"/>
            <w:noWrap w:val="0"/>
            <w:vAlign w:val="center"/>
          </w:tcPr>
          <w:p w14:paraId="5A1E6F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eastAsia" w:ascii="Times New Roman" w:hAnsi="Times New Roman" w:eastAsia="宋体" w:cs="Times New Roman"/>
                <w:color w:val="auto"/>
                <w:sz w:val="24"/>
                <w:lang w:eastAsia="zh-CN"/>
              </w:rPr>
            </w:pPr>
            <w:r>
              <w:rPr>
                <w:rFonts w:hint="eastAsia" w:cs="Times New Roman"/>
                <w:color w:val="auto"/>
                <w:sz w:val="24"/>
                <w:lang w:val="en-US" w:eastAsia="zh-CN"/>
              </w:rPr>
              <w:t>中国石化勘探分公司油气勘探管理部《</w:t>
            </w:r>
            <w:r>
              <w:rPr>
                <w:rFonts w:hint="eastAsia" w:ascii="Times New Roman" w:hAnsi="Times New Roman" w:cs="Times New Roman"/>
                <w:color w:val="auto"/>
                <w:sz w:val="24"/>
              </w:rPr>
              <w:t>关于启动元陆39井钻探工程的通知</w:t>
            </w:r>
            <w:r>
              <w:rPr>
                <w:rFonts w:hint="eastAsia" w:cs="Times New Roman"/>
                <w:color w:val="auto"/>
                <w:sz w:val="24"/>
                <w:lang w:eastAsia="zh-CN"/>
              </w:rPr>
              <w:t>》</w:t>
            </w:r>
          </w:p>
        </w:tc>
      </w:tr>
      <w:tr w14:paraId="4FCC0A95">
        <w:tblPrEx>
          <w:tblCellMar>
            <w:top w:w="0" w:type="dxa"/>
            <w:left w:w="108" w:type="dxa"/>
            <w:bottom w:w="0" w:type="dxa"/>
            <w:right w:w="108" w:type="dxa"/>
          </w:tblCellMar>
        </w:tblPrEx>
        <w:trPr>
          <w:trHeight w:val="397" w:hRule="atLeast"/>
        </w:trPr>
        <w:tc>
          <w:tcPr>
            <w:tcW w:w="1142" w:type="dxa"/>
            <w:noWrap w:val="0"/>
            <w:vAlign w:val="center"/>
          </w:tcPr>
          <w:p w14:paraId="61F2A7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附件2</w:t>
            </w:r>
          </w:p>
        </w:tc>
        <w:tc>
          <w:tcPr>
            <w:tcW w:w="7918" w:type="dxa"/>
            <w:noWrap w:val="0"/>
            <w:vAlign w:val="center"/>
          </w:tcPr>
          <w:p w14:paraId="0E77F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eastAsia" w:cs="Times New Roman"/>
                <w:color w:val="auto"/>
                <w:sz w:val="24"/>
                <w:lang w:val="en-US" w:eastAsia="zh-CN"/>
              </w:rPr>
              <w:t>巴中市自然资源和规划局恩阳分局</w:t>
            </w:r>
            <w:r>
              <w:rPr>
                <w:rFonts w:hint="eastAsia" w:cs="Times New Roman"/>
                <w:color w:val="auto"/>
                <w:sz w:val="24"/>
                <w:lang w:eastAsia="zh-CN"/>
              </w:rPr>
              <w:t>《</w:t>
            </w:r>
            <w:r>
              <w:rPr>
                <w:rFonts w:hint="eastAsia" w:ascii="Times New Roman" w:hAnsi="Times New Roman" w:cs="Times New Roman"/>
                <w:color w:val="auto"/>
                <w:sz w:val="24"/>
              </w:rPr>
              <w:t>关于</w:t>
            </w:r>
            <w:r>
              <w:rPr>
                <w:rFonts w:hint="eastAsia" w:cs="Times New Roman"/>
                <w:color w:val="auto"/>
                <w:sz w:val="24"/>
                <w:lang w:val="en-US" w:eastAsia="zh-CN"/>
              </w:rPr>
              <w:t>&lt;核实元陆39井钻探工程项目选址情况的函&gt;的复函》</w:t>
            </w:r>
          </w:p>
        </w:tc>
      </w:tr>
      <w:tr w14:paraId="3950C983">
        <w:tblPrEx>
          <w:tblCellMar>
            <w:top w:w="0" w:type="dxa"/>
            <w:left w:w="108" w:type="dxa"/>
            <w:bottom w:w="0" w:type="dxa"/>
            <w:right w:w="108" w:type="dxa"/>
          </w:tblCellMar>
        </w:tblPrEx>
        <w:trPr>
          <w:trHeight w:val="397" w:hRule="atLeast"/>
        </w:trPr>
        <w:tc>
          <w:tcPr>
            <w:tcW w:w="1142" w:type="dxa"/>
            <w:noWrap w:val="0"/>
            <w:vAlign w:val="center"/>
          </w:tcPr>
          <w:p w14:paraId="26E9C2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附件</w:t>
            </w:r>
            <w:r>
              <w:rPr>
                <w:rFonts w:hint="eastAsia" w:cs="Times New Roman"/>
                <w:color w:val="auto"/>
                <w:sz w:val="24"/>
                <w:lang w:val="en-US" w:eastAsia="zh-CN"/>
              </w:rPr>
              <w:t>3</w:t>
            </w:r>
          </w:p>
        </w:tc>
        <w:tc>
          <w:tcPr>
            <w:tcW w:w="7918" w:type="dxa"/>
            <w:noWrap w:val="0"/>
            <w:vAlign w:val="center"/>
          </w:tcPr>
          <w:p w14:paraId="600B90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巴中市恩阳区农业农村局《</w:t>
            </w:r>
            <w:r>
              <w:rPr>
                <w:rFonts w:hint="eastAsia" w:ascii="Times New Roman" w:hAnsi="Times New Roman" w:cs="Times New Roman"/>
                <w:color w:val="auto"/>
                <w:sz w:val="24"/>
                <w:lang w:val="en-US" w:eastAsia="zh-CN"/>
              </w:rPr>
              <w:t>关于</w:t>
            </w:r>
            <w:r>
              <w:rPr>
                <w:rFonts w:hint="eastAsia" w:cs="Times New Roman"/>
                <w:color w:val="auto"/>
                <w:sz w:val="24"/>
                <w:lang w:val="en-US" w:eastAsia="zh-CN"/>
              </w:rPr>
              <w:t>元陆39井钻探工程建设项目拟占用林地核实情况的复函》</w:t>
            </w:r>
          </w:p>
        </w:tc>
      </w:tr>
      <w:tr w14:paraId="77615E7F">
        <w:tblPrEx>
          <w:tblCellMar>
            <w:top w:w="0" w:type="dxa"/>
            <w:left w:w="108" w:type="dxa"/>
            <w:bottom w:w="0" w:type="dxa"/>
            <w:right w:w="108" w:type="dxa"/>
          </w:tblCellMar>
        </w:tblPrEx>
        <w:trPr>
          <w:trHeight w:val="397" w:hRule="atLeast"/>
        </w:trPr>
        <w:tc>
          <w:tcPr>
            <w:tcW w:w="1142" w:type="dxa"/>
            <w:noWrap w:val="0"/>
            <w:vAlign w:val="center"/>
          </w:tcPr>
          <w:p w14:paraId="216F3C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cs="Times New Roman"/>
                <w:color w:val="auto"/>
                <w:sz w:val="24"/>
                <w:lang w:val="en-US" w:eastAsia="zh-CN"/>
              </w:rPr>
              <w:t>附件4</w:t>
            </w:r>
          </w:p>
        </w:tc>
        <w:tc>
          <w:tcPr>
            <w:tcW w:w="7918" w:type="dxa"/>
            <w:noWrap w:val="0"/>
            <w:vAlign w:val="center"/>
          </w:tcPr>
          <w:p w14:paraId="1F998F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cs="Times New Roman"/>
                <w:color w:val="auto"/>
                <w:sz w:val="24"/>
                <w:lang w:val="en-US" w:eastAsia="zh-CN"/>
              </w:rPr>
              <w:t>巴中市恩阳生态环境局《关于&lt;关于核实元陆39井钻探工程区域饮用水水源保护区分布情况的函&gt;的复函》</w:t>
            </w:r>
          </w:p>
        </w:tc>
      </w:tr>
      <w:tr w14:paraId="5F032D38">
        <w:tblPrEx>
          <w:tblCellMar>
            <w:top w:w="0" w:type="dxa"/>
            <w:left w:w="108" w:type="dxa"/>
            <w:bottom w:w="0" w:type="dxa"/>
            <w:right w:w="108" w:type="dxa"/>
          </w:tblCellMar>
        </w:tblPrEx>
        <w:trPr>
          <w:trHeight w:val="397" w:hRule="atLeast"/>
        </w:trPr>
        <w:tc>
          <w:tcPr>
            <w:tcW w:w="1142" w:type="dxa"/>
            <w:noWrap w:val="0"/>
            <w:vAlign w:val="center"/>
          </w:tcPr>
          <w:p w14:paraId="03229C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5</w:t>
            </w:r>
          </w:p>
        </w:tc>
        <w:tc>
          <w:tcPr>
            <w:tcW w:w="7918" w:type="dxa"/>
            <w:noWrap w:val="0"/>
            <w:vAlign w:val="center"/>
          </w:tcPr>
          <w:p w14:paraId="082720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探矿许可证</w:t>
            </w:r>
          </w:p>
        </w:tc>
      </w:tr>
      <w:tr w14:paraId="25AA2E54">
        <w:tblPrEx>
          <w:tblCellMar>
            <w:top w:w="0" w:type="dxa"/>
            <w:left w:w="108" w:type="dxa"/>
            <w:bottom w:w="0" w:type="dxa"/>
            <w:right w:w="108" w:type="dxa"/>
          </w:tblCellMar>
        </w:tblPrEx>
        <w:trPr>
          <w:trHeight w:val="397" w:hRule="atLeast"/>
        </w:trPr>
        <w:tc>
          <w:tcPr>
            <w:tcW w:w="1142" w:type="dxa"/>
            <w:noWrap w:val="0"/>
            <w:vAlign w:val="center"/>
          </w:tcPr>
          <w:p w14:paraId="3EE897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eastAsia"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6</w:t>
            </w:r>
          </w:p>
        </w:tc>
        <w:tc>
          <w:tcPr>
            <w:tcW w:w="7918" w:type="dxa"/>
            <w:noWrap w:val="0"/>
            <w:vAlign w:val="center"/>
          </w:tcPr>
          <w:p w14:paraId="5E208C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eastAsia" w:cs="Times New Roman"/>
                <w:color w:val="auto"/>
                <w:sz w:val="24"/>
                <w:lang w:val="en-US" w:eastAsia="zh-CN"/>
              </w:rPr>
              <w:t>中华人民共和国生态环境部《</w:t>
            </w:r>
            <w:r>
              <w:rPr>
                <w:rFonts w:hint="default" w:ascii="Times New Roman" w:hAnsi="Times New Roman" w:cs="Times New Roman"/>
                <w:color w:val="auto"/>
                <w:sz w:val="24"/>
              </w:rPr>
              <w:t>关于</w:t>
            </w:r>
            <w:r>
              <w:rPr>
                <w:rFonts w:hint="eastAsia" w:cs="Times New Roman"/>
                <w:color w:val="auto"/>
                <w:sz w:val="24"/>
                <w:lang w:val="en-US" w:eastAsia="zh-CN"/>
              </w:rPr>
              <w:t>&lt;</w:t>
            </w:r>
            <w:r>
              <w:rPr>
                <w:rFonts w:hint="default" w:ascii="Times New Roman" w:hAnsi="Times New Roman" w:cs="Times New Roman"/>
                <w:color w:val="auto"/>
                <w:sz w:val="24"/>
              </w:rPr>
              <w:t>四川省矿产资源总体规划</w:t>
            </w:r>
            <w:r>
              <w:rPr>
                <w:rFonts w:hint="eastAsia" w:ascii="Times New Roman" w:hAnsi="Times New Roman" w:cs="Times New Roman"/>
                <w:color w:val="auto"/>
                <w:sz w:val="24"/>
              </w:rPr>
              <w:t>（</w:t>
            </w:r>
            <w:r>
              <w:rPr>
                <w:rFonts w:hint="default" w:ascii="Times New Roman" w:hAnsi="Times New Roman" w:cs="Times New Roman"/>
                <w:color w:val="auto"/>
                <w:sz w:val="24"/>
              </w:rPr>
              <w:t>2021-2025年</w:t>
            </w:r>
            <w:r>
              <w:rPr>
                <w:rFonts w:hint="eastAsia" w:ascii="Times New Roman" w:hAnsi="Times New Roman" w:cs="Times New Roman"/>
                <w:color w:val="auto"/>
                <w:sz w:val="24"/>
              </w:rPr>
              <w:t>）</w:t>
            </w:r>
            <w:r>
              <w:rPr>
                <w:rFonts w:hint="default" w:ascii="Times New Roman" w:hAnsi="Times New Roman" w:cs="Times New Roman"/>
                <w:color w:val="auto"/>
                <w:sz w:val="24"/>
              </w:rPr>
              <w:t>环境影响报告书</w:t>
            </w:r>
            <w:r>
              <w:rPr>
                <w:rFonts w:hint="eastAsia" w:cs="Times New Roman"/>
                <w:color w:val="auto"/>
                <w:sz w:val="24"/>
                <w:lang w:val="en-US" w:eastAsia="zh-CN"/>
              </w:rPr>
              <w:t>&gt;</w:t>
            </w:r>
            <w:r>
              <w:rPr>
                <w:rFonts w:hint="default" w:ascii="Times New Roman" w:hAnsi="Times New Roman" w:cs="Times New Roman"/>
                <w:color w:val="auto"/>
                <w:sz w:val="24"/>
              </w:rPr>
              <w:t>的审查意见</w:t>
            </w:r>
            <w:r>
              <w:rPr>
                <w:rFonts w:hint="eastAsia" w:cs="Times New Roman"/>
                <w:color w:val="auto"/>
                <w:sz w:val="24"/>
                <w:lang w:eastAsia="zh-CN"/>
              </w:rPr>
              <w:t>》</w:t>
            </w:r>
            <w:r>
              <w:rPr>
                <w:rFonts w:hint="eastAsia" w:ascii="Times New Roman" w:hAnsi="Times New Roman" w:cs="Times New Roman"/>
                <w:color w:val="auto"/>
                <w:sz w:val="24"/>
              </w:rPr>
              <w:t>（</w:t>
            </w:r>
            <w:r>
              <w:rPr>
                <w:rFonts w:hint="default" w:ascii="Times New Roman" w:hAnsi="Times New Roman" w:cs="Times New Roman"/>
                <w:color w:val="auto"/>
                <w:sz w:val="24"/>
              </w:rPr>
              <w:t>环</w:t>
            </w:r>
            <w:r>
              <w:rPr>
                <w:rFonts w:hint="eastAsia" w:cs="Times New Roman"/>
                <w:color w:val="auto"/>
                <w:sz w:val="24"/>
                <w:lang w:val="en-US" w:eastAsia="zh-CN"/>
              </w:rPr>
              <w:t>审</w:t>
            </w:r>
            <w:r>
              <w:rPr>
                <w:rFonts w:hint="default" w:ascii="Times New Roman" w:hAnsi="Times New Roman" w:cs="Times New Roman"/>
                <w:color w:val="auto"/>
                <w:sz w:val="24"/>
              </w:rPr>
              <w:t>〔20</w:t>
            </w:r>
            <w:r>
              <w:rPr>
                <w:rFonts w:hint="eastAsia" w:ascii="Times New Roman" w:hAnsi="Times New Roman" w:cs="Times New Roman"/>
                <w:color w:val="auto"/>
                <w:sz w:val="24"/>
              </w:rPr>
              <w:t>22</w:t>
            </w:r>
            <w:r>
              <w:rPr>
                <w:rFonts w:hint="default" w:ascii="Times New Roman" w:hAnsi="Times New Roman" w:cs="Times New Roman"/>
                <w:color w:val="auto"/>
                <w:sz w:val="24"/>
              </w:rPr>
              <w:t>〕105号</w:t>
            </w:r>
            <w:r>
              <w:rPr>
                <w:rFonts w:hint="eastAsia" w:ascii="Times New Roman" w:hAnsi="Times New Roman" w:cs="Times New Roman"/>
                <w:color w:val="auto"/>
                <w:sz w:val="24"/>
              </w:rPr>
              <w:t>）</w:t>
            </w:r>
          </w:p>
        </w:tc>
      </w:tr>
      <w:tr w14:paraId="2F5BB562">
        <w:tblPrEx>
          <w:tblCellMar>
            <w:top w:w="0" w:type="dxa"/>
            <w:left w:w="108" w:type="dxa"/>
            <w:bottom w:w="0" w:type="dxa"/>
            <w:right w:w="108" w:type="dxa"/>
          </w:tblCellMar>
        </w:tblPrEx>
        <w:trPr>
          <w:trHeight w:val="397" w:hRule="atLeast"/>
        </w:trPr>
        <w:tc>
          <w:tcPr>
            <w:tcW w:w="1142" w:type="dxa"/>
            <w:noWrap w:val="0"/>
            <w:vAlign w:val="center"/>
          </w:tcPr>
          <w:p w14:paraId="1EB5F5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eastAsia"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7</w:t>
            </w:r>
          </w:p>
        </w:tc>
        <w:tc>
          <w:tcPr>
            <w:tcW w:w="7918" w:type="dxa"/>
            <w:noWrap w:val="0"/>
            <w:vAlign w:val="center"/>
          </w:tcPr>
          <w:p w14:paraId="71557E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建设单位营业执照及法人身份证</w:t>
            </w:r>
          </w:p>
        </w:tc>
      </w:tr>
      <w:tr w14:paraId="5259E0B2">
        <w:tblPrEx>
          <w:tblCellMar>
            <w:top w:w="0" w:type="dxa"/>
            <w:left w:w="108" w:type="dxa"/>
            <w:bottom w:w="0" w:type="dxa"/>
            <w:right w:w="108" w:type="dxa"/>
          </w:tblCellMar>
        </w:tblPrEx>
        <w:trPr>
          <w:trHeight w:val="397" w:hRule="atLeast"/>
        </w:trPr>
        <w:tc>
          <w:tcPr>
            <w:tcW w:w="1142" w:type="dxa"/>
            <w:noWrap w:val="0"/>
            <w:vAlign w:val="center"/>
          </w:tcPr>
          <w:p w14:paraId="361755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附件</w:t>
            </w:r>
            <w:r>
              <w:rPr>
                <w:rFonts w:hint="eastAsia" w:cs="Times New Roman"/>
                <w:color w:val="auto"/>
                <w:sz w:val="24"/>
                <w:lang w:val="en-US" w:eastAsia="zh-CN"/>
              </w:rPr>
              <w:t>8</w:t>
            </w:r>
            <w:r>
              <w:rPr>
                <w:rFonts w:hint="eastAsia" w:ascii="Times New Roman" w:hAnsi="Times New Roman" w:cs="Times New Roman"/>
                <w:color w:val="auto"/>
                <w:sz w:val="24"/>
                <w:lang w:val="en-US" w:eastAsia="zh-CN"/>
              </w:rPr>
              <w:t>-1</w:t>
            </w:r>
          </w:p>
        </w:tc>
        <w:tc>
          <w:tcPr>
            <w:tcW w:w="7918" w:type="dxa"/>
            <w:noWrap w:val="0"/>
            <w:vAlign w:val="center"/>
          </w:tcPr>
          <w:p w14:paraId="6C0F64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项目环境质量监测报告</w:t>
            </w:r>
          </w:p>
        </w:tc>
      </w:tr>
      <w:tr w14:paraId="2F6100B4">
        <w:tblPrEx>
          <w:tblCellMar>
            <w:top w:w="0" w:type="dxa"/>
            <w:left w:w="108" w:type="dxa"/>
            <w:bottom w:w="0" w:type="dxa"/>
            <w:right w:w="108" w:type="dxa"/>
          </w:tblCellMar>
        </w:tblPrEx>
        <w:trPr>
          <w:trHeight w:val="397" w:hRule="atLeast"/>
        </w:trPr>
        <w:tc>
          <w:tcPr>
            <w:tcW w:w="1142" w:type="dxa"/>
            <w:noWrap w:val="0"/>
            <w:vAlign w:val="center"/>
          </w:tcPr>
          <w:p w14:paraId="6B2B1A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附件</w:t>
            </w:r>
            <w:r>
              <w:rPr>
                <w:rFonts w:hint="eastAsia" w:cs="Times New Roman"/>
                <w:color w:val="auto"/>
                <w:sz w:val="24"/>
                <w:lang w:val="en-US" w:eastAsia="zh-CN"/>
              </w:rPr>
              <w:t>8</w:t>
            </w:r>
            <w:r>
              <w:rPr>
                <w:rFonts w:hint="eastAsia" w:ascii="Times New Roman" w:hAnsi="Times New Roman" w:cs="Times New Roman"/>
                <w:color w:val="auto"/>
                <w:sz w:val="24"/>
                <w:lang w:val="en-US" w:eastAsia="zh-CN"/>
              </w:rPr>
              <w:t>-2</w:t>
            </w:r>
          </w:p>
        </w:tc>
        <w:tc>
          <w:tcPr>
            <w:tcW w:w="7918" w:type="dxa"/>
            <w:noWrap w:val="0"/>
            <w:vAlign w:val="center"/>
          </w:tcPr>
          <w:p w14:paraId="09CD70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项目区域土壤理化特性调查报告</w:t>
            </w:r>
          </w:p>
        </w:tc>
      </w:tr>
      <w:tr w14:paraId="750E5324">
        <w:tblPrEx>
          <w:tblCellMar>
            <w:top w:w="0" w:type="dxa"/>
            <w:left w:w="108" w:type="dxa"/>
            <w:bottom w:w="0" w:type="dxa"/>
            <w:right w:w="108" w:type="dxa"/>
          </w:tblCellMar>
        </w:tblPrEx>
        <w:trPr>
          <w:trHeight w:val="397" w:hRule="atLeast"/>
        </w:trPr>
        <w:tc>
          <w:tcPr>
            <w:tcW w:w="1142" w:type="dxa"/>
            <w:noWrap w:val="0"/>
            <w:vAlign w:val="center"/>
          </w:tcPr>
          <w:p w14:paraId="745B25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cs="Times New Roman"/>
                <w:color w:val="auto"/>
                <w:sz w:val="24"/>
                <w:lang w:val="en-US" w:eastAsia="zh-CN"/>
              </w:rPr>
              <w:t>附件8-3</w:t>
            </w:r>
          </w:p>
        </w:tc>
        <w:tc>
          <w:tcPr>
            <w:tcW w:w="7918" w:type="dxa"/>
            <w:noWrap w:val="0"/>
            <w:vAlign w:val="center"/>
          </w:tcPr>
          <w:p w14:paraId="699FC8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lang w:val="en-US" w:eastAsia="zh-CN"/>
              </w:rPr>
            </w:pPr>
            <w:r>
              <w:rPr>
                <w:rFonts w:hint="eastAsia" w:cs="Times New Roman"/>
                <w:color w:val="auto"/>
                <w:sz w:val="24"/>
                <w:lang w:val="en-US" w:eastAsia="zh-CN"/>
              </w:rPr>
              <w:t>项目区域地下水水位调查表</w:t>
            </w:r>
          </w:p>
        </w:tc>
      </w:tr>
      <w:tr w14:paraId="269918CB">
        <w:tblPrEx>
          <w:tblCellMar>
            <w:top w:w="0" w:type="dxa"/>
            <w:left w:w="108" w:type="dxa"/>
            <w:bottom w:w="0" w:type="dxa"/>
            <w:right w:w="108" w:type="dxa"/>
          </w:tblCellMar>
        </w:tblPrEx>
        <w:trPr>
          <w:trHeight w:val="397" w:hRule="atLeast"/>
        </w:trPr>
        <w:tc>
          <w:tcPr>
            <w:tcW w:w="1142" w:type="dxa"/>
            <w:noWrap w:val="0"/>
            <w:vAlign w:val="center"/>
          </w:tcPr>
          <w:p w14:paraId="244986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rPr>
              <w:t>附件</w:t>
            </w:r>
            <w:r>
              <w:rPr>
                <w:rFonts w:hint="eastAsia" w:cs="Times New Roman"/>
                <w:color w:val="auto"/>
                <w:sz w:val="24"/>
                <w:lang w:val="en-US" w:eastAsia="zh-CN"/>
              </w:rPr>
              <w:t>9</w:t>
            </w:r>
          </w:p>
        </w:tc>
        <w:tc>
          <w:tcPr>
            <w:tcW w:w="7918" w:type="dxa"/>
            <w:noWrap w:val="0"/>
            <w:vAlign w:val="center"/>
          </w:tcPr>
          <w:p w14:paraId="650A55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76" w:lineRule="auto"/>
              <w:ind w:left="0" w:right="0"/>
              <w:jc w:val="left"/>
              <w:textAlignment w:val="auto"/>
              <w:rPr>
                <w:rFonts w:hint="default" w:ascii="Times New Roman" w:hAnsi="Times New Roman" w:cs="Times New Roman"/>
                <w:color w:val="auto"/>
                <w:sz w:val="24"/>
              </w:rPr>
            </w:pPr>
            <w:r>
              <w:rPr>
                <w:rFonts w:hint="eastAsia" w:ascii="Times New Roman" w:hAnsi="Times New Roman" w:eastAsia="宋体" w:cs="Times New Roman"/>
                <w:color w:val="auto"/>
                <w:sz w:val="24"/>
                <w:lang w:val="en-US" w:eastAsia="zh-CN"/>
              </w:rPr>
              <w:t>环评委托书</w:t>
            </w:r>
          </w:p>
        </w:tc>
      </w:tr>
      <w:tr w14:paraId="6016241F">
        <w:tblPrEx>
          <w:tblCellMar>
            <w:top w:w="0" w:type="dxa"/>
            <w:left w:w="108" w:type="dxa"/>
            <w:bottom w:w="0" w:type="dxa"/>
            <w:right w:w="108" w:type="dxa"/>
          </w:tblCellMar>
        </w:tblPrEx>
        <w:trPr>
          <w:trHeight w:val="397" w:hRule="atLeast"/>
        </w:trPr>
        <w:tc>
          <w:tcPr>
            <w:tcW w:w="1142" w:type="dxa"/>
            <w:noWrap w:val="0"/>
            <w:vAlign w:val="center"/>
          </w:tcPr>
          <w:p w14:paraId="7AE2DCE3">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bookmarkStart w:id="20" w:name="_Toc7642"/>
          </w:p>
        </w:tc>
        <w:tc>
          <w:tcPr>
            <w:tcW w:w="7918" w:type="dxa"/>
            <w:noWrap w:val="0"/>
            <w:vAlign w:val="center"/>
          </w:tcPr>
          <w:p w14:paraId="0FED2563">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p>
        </w:tc>
      </w:tr>
      <w:tr w14:paraId="3937D0A2">
        <w:tblPrEx>
          <w:tblCellMar>
            <w:top w:w="0" w:type="dxa"/>
            <w:left w:w="108" w:type="dxa"/>
            <w:bottom w:w="0" w:type="dxa"/>
            <w:right w:w="108" w:type="dxa"/>
          </w:tblCellMar>
        </w:tblPrEx>
        <w:trPr>
          <w:trHeight w:val="397" w:hRule="atLeast"/>
        </w:trPr>
        <w:tc>
          <w:tcPr>
            <w:tcW w:w="1142" w:type="dxa"/>
            <w:noWrap w:val="0"/>
            <w:vAlign w:val="center"/>
          </w:tcPr>
          <w:p w14:paraId="273BA45B">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4"/>
                <w:lang w:val="en-US" w:eastAsia="zh-CN"/>
              </w:rPr>
            </w:pPr>
          </w:p>
        </w:tc>
        <w:tc>
          <w:tcPr>
            <w:tcW w:w="7918" w:type="dxa"/>
            <w:noWrap w:val="0"/>
            <w:vAlign w:val="center"/>
          </w:tcPr>
          <w:p w14:paraId="1ED8B5AA">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p>
        </w:tc>
      </w:tr>
      <w:tr w14:paraId="3F43AED1">
        <w:tblPrEx>
          <w:tblCellMar>
            <w:top w:w="0" w:type="dxa"/>
            <w:left w:w="108" w:type="dxa"/>
            <w:bottom w:w="0" w:type="dxa"/>
            <w:right w:w="108" w:type="dxa"/>
          </w:tblCellMar>
        </w:tblPrEx>
        <w:trPr>
          <w:trHeight w:val="397" w:hRule="atLeast"/>
        </w:trPr>
        <w:tc>
          <w:tcPr>
            <w:tcW w:w="1142" w:type="dxa"/>
            <w:noWrap w:val="0"/>
            <w:vAlign w:val="center"/>
          </w:tcPr>
          <w:p w14:paraId="1091D191">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p>
        </w:tc>
        <w:tc>
          <w:tcPr>
            <w:tcW w:w="7918" w:type="dxa"/>
            <w:noWrap w:val="0"/>
            <w:vAlign w:val="center"/>
          </w:tcPr>
          <w:p w14:paraId="69691FFB">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lang w:val="en-US" w:eastAsia="zh-CN"/>
              </w:rPr>
            </w:pPr>
          </w:p>
        </w:tc>
      </w:tr>
    </w:tbl>
    <w:p w14:paraId="0BC87EE3">
      <w:pPr>
        <w:pStyle w:val="19"/>
        <w:jc w:val="center"/>
        <w:rPr>
          <w:rFonts w:ascii="Times New Roman" w:hAnsi="Times New Roman" w:eastAsia="黑体"/>
          <w:snapToGrid w:val="0"/>
          <w:color w:val="auto"/>
          <w:sz w:val="30"/>
          <w:szCs w:val="30"/>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27BD63AB">
      <w:pPr>
        <w:pStyle w:val="19"/>
        <w:jc w:val="center"/>
        <w:outlineLvl w:val="0"/>
        <w:rPr>
          <w:rFonts w:ascii="Times New Roman" w:hAnsi="Times New Roman" w:eastAsia="黑体" w:cs="Times New Roman"/>
          <w:snapToGrid w:val="0"/>
          <w:color w:val="auto"/>
          <w:sz w:val="30"/>
          <w:szCs w:val="30"/>
        </w:rPr>
      </w:pPr>
      <w:bookmarkStart w:id="21" w:name="_Toc22381"/>
      <w:bookmarkStart w:id="22" w:name="_Toc8260"/>
      <w:bookmarkStart w:id="23" w:name="_Toc6107"/>
      <w:bookmarkStart w:id="24" w:name="_Toc16569"/>
      <w:bookmarkStart w:id="25" w:name="_Toc20402"/>
      <w:r>
        <w:rPr>
          <w:rFonts w:ascii="Times New Roman" w:hAnsi="Times New Roman" w:eastAsia="黑体" w:cs="Times New Roman"/>
          <w:snapToGrid w:val="0"/>
          <w:color w:val="auto"/>
          <w:sz w:val="30"/>
          <w:szCs w:val="30"/>
        </w:rPr>
        <w:t>一、建设项目基本情况</w:t>
      </w:r>
      <w:bookmarkEnd w:id="20"/>
      <w:bookmarkEnd w:id="21"/>
      <w:bookmarkEnd w:id="22"/>
      <w:bookmarkEnd w:id="23"/>
      <w:bookmarkEnd w:id="24"/>
      <w:bookmarkEnd w:id="25"/>
    </w:p>
    <w:tbl>
      <w:tblPr>
        <w:tblStyle w:val="23"/>
        <w:tblW w:w="497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60"/>
        <w:gridCol w:w="3212"/>
        <w:gridCol w:w="1958"/>
        <w:gridCol w:w="3010"/>
      </w:tblGrid>
      <w:tr w14:paraId="02ADC5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621" w:type="pct"/>
            <w:noWrap w:val="0"/>
            <w:tcMar>
              <w:top w:w="16" w:type="dxa"/>
              <w:left w:w="16" w:type="dxa"/>
              <w:right w:w="16" w:type="dxa"/>
            </w:tcMar>
            <w:vAlign w:val="center"/>
          </w:tcPr>
          <w:p w14:paraId="4732709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w:t>
            </w:r>
          </w:p>
          <w:p w14:paraId="1137B8D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项目名称</w:t>
            </w:r>
          </w:p>
        </w:tc>
        <w:tc>
          <w:tcPr>
            <w:tcW w:w="4378" w:type="pct"/>
            <w:gridSpan w:val="3"/>
            <w:noWrap w:val="0"/>
            <w:vAlign w:val="center"/>
          </w:tcPr>
          <w:p w14:paraId="0DF831D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lang w:eastAsia="zh-CN"/>
              </w:rPr>
            </w:pPr>
            <w:r>
              <w:rPr>
                <w:rFonts w:hint="eastAsia" w:cs="Times New Roman"/>
                <w:color w:val="auto"/>
                <w:sz w:val="24"/>
                <w:lang w:eastAsia="zh-CN"/>
              </w:rPr>
              <w:t>元陆39井钻探工程</w:t>
            </w:r>
          </w:p>
        </w:tc>
      </w:tr>
      <w:tr w14:paraId="579A5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3EF5EB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项目代码</w:t>
            </w:r>
          </w:p>
        </w:tc>
        <w:tc>
          <w:tcPr>
            <w:tcW w:w="4378" w:type="pct"/>
            <w:gridSpan w:val="3"/>
            <w:noWrap w:val="0"/>
            <w:vAlign w:val="center"/>
          </w:tcPr>
          <w:p w14:paraId="0AC6C2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5B872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621" w:type="pct"/>
            <w:noWrap w:val="0"/>
            <w:tcMar>
              <w:top w:w="16" w:type="dxa"/>
              <w:left w:w="16" w:type="dxa"/>
              <w:right w:w="16" w:type="dxa"/>
            </w:tcMar>
            <w:vAlign w:val="center"/>
          </w:tcPr>
          <w:p w14:paraId="725BE05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建设单位联系人</w:t>
            </w:r>
          </w:p>
        </w:tc>
        <w:tc>
          <w:tcPr>
            <w:tcW w:w="1719" w:type="pct"/>
            <w:noWrap w:val="0"/>
            <w:vAlign w:val="center"/>
          </w:tcPr>
          <w:p w14:paraId="02DF3F4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eastAsia" w:cs="Times New Roman"/>
                <w:color w:val="auto"/>
                <w:sz w:val="24"/>
                <w:lang w:val="en-US" w:eastAsia="zh-CN"/>
              </w:rPr>
              <w:t>***</w:t>
            </w:r>
          </w:p>
        </w:tc>
        <w:tc>
          <w:tcPr>
            <w:tcW w:w="1048" w:type="pct"/>
            <w:noWrap w:val="0"/>
            <w:vAlign w:val="center"/>
          </w:tcPr>
          <w:p w14:paraId="34DC89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联系方式</w:t>
            </w:r>
          </w:p>
        </w:tc>
        <w:tc>
          <w:tcPr>
            <w:tcW w:w="1610" w:type="pct"/>
            <w:noWrap w:val="0"/>
            <w:vAlign w:val="center"/>
          </w:tcPr>
          <w:p w14:paraId="5136A6F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189</w:t>
            </w:r>
            <w:r>
              <w:rPr>
                <w:rFonts w:hint="eastAsia" w:cs="Times New Roman"/>
                <w:color w:val="auto"/>
                <w:sz w:val="24"/>
                <w:lang w:val="en-US" w:eastAsia="zh-CN"/>
              </w:rPr>
              <w:t>****</w:t>
            </w:r>
            <w:r>
              <w:rPr>
                <w:rFonts w:hint="default" w:ascii="Times New Roman" w:hAnsi="Times New Roman" w:cs="Times New Roman"/>
                <w:color w:val="auto"/>
                <w:sz w:val="24"/>
              </w:rPr>
              <w:t>7780</w:t>
            </w:r>
          </w:p>
        </w:tc>
      </w:tr>
      <w:tr w14:paraId="33F25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621" w:type="pct"/>
            <w:noWrap w:val="0"/>
            <w:tcMar>
              <w:top w:w="16" w:type="dxa"/>
              <w:left w:w="16" w:type="dxa"/>
              <w:right w:w="16" w:type="dxa"/>
            </w:tcMar>
            <w:vAlign w:val="center"/>
          </w:tcPr>
          <w:p w14:paraId="4A8A25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4378" w:type="pct"/>
            <w:gridSpan w:val="3"/>
            <w:noWrap w:val="0"/>
            <w:vAlign w:val="center"/>
          </w:tcPr>
          <w:p w14:paraId="4F72E558">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auto"/>
                <w:sz w:val="24"/>
              </w:rPr>
            </w:pPr>
            <w:r>
              <w:rPr>
                <w:rFonts w:hint="eastAsia" w:ascii="Times New Roman" w:hAnsi="Times New Roman" w:cs="Times New Roman"/>
                <w:color w:val="auto"/>
                <w:sz w:val="24"/>
              </w:rPr>
              <w:t>四川省巴中市</w:t>
            </w:r>
            <w:r>
              <w:rPr>
                <w:rFonts w:hint="eastAsia" w:ascii="Times New Roman" w:hAnsi="Times New Roman" w:eastAsia="宋体" w:cs="Times New Roman"/>
                <w:color w:val="auto"/>
                <w:sz w:val="24"/>
                <w:lang w:val="en-US" w:eastAsia="zh-CN"/>
              </w:rPr>
              <w:t>恩阳区</w:t>
            </w:r>
          </w:p>
        </w:tc>
      </w:tr>
      <w:tr w14:paraId="54C540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3593B14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4378" w:type="pct"/>
            <w:gridSpan w:val="3"/>
            <w:noWrap w:val="0"/>
            <w:vAlign w:val="center"/>
          </w:tcPr>
          <w:p w14:paraId="3E729406">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bCs/>
                <w:color w:val="auto"/>
                <w:sz w:val="24"/>
              </w:rPr>
            </w:pPr>
            <w:r>
              <w:rPr>
                <w:rFonts w:hint="default" w:ascii="Times New Roman" w:hAnsi="Times New Roman" w:cs="Times New Roman"/>
                <w:color w:val="auto"/>
                <w:sz w:val="24"/>
              </w:rPr>
              <w:t>井口位置</w:t>
            </w:r>
            <w:r>
              <w:rPr>
                <w:rFonts w:hint="eastAsia" w:ascii="Times New Roman" w:hAnsi="Times New Roman" w:cs="Times New Roman"/>
                <w:color w:val="auto"/>
                <w:sz w:val="24"/>
                <w:lang w:eastAsia="zh-CN"/>
              </w:rPr>
              <w:t>：</w:t>
            </w:r>
            <w:r>
              <w:rPr>
                <w:rFonts w:hint="eastAsia" w:cs="Times New Roman"/>
                <w:color w:val="auto"/>
                <w:sz w:val="24"/>
                <w:lang w:val="en-US" w:eastAsia="zh-CN"/>
              </w:rPr>
              <w:t>***</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w:t>
            </w:r>
          </w:p>
        </w:tc>
      </w:tr>
      <w:tr w14:paraId="6CEB6C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621" w:type="pct"/>
            <w:noWrap w:val="0"/>
            <w:tcMar>
              <w:top w:w="16" w:type="dxa"/>
              <w:left w:w="16" w:type="dxa"/>
              <w:right w:w="16" w:type="dxa"/>
            </w:tcMar>
            <w:vAlign w:val="center"/>
          </w:tcPr>
          <w:p w14:paraId="028B9A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49A9595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719" w:type="pct"/>
            <w:noWrap w:val="0"/>
            <w:vAlign w:val="center"/>
          </w:tcPr>
          <w:p w14:paraId="2C6949C8">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r>
              <w:rPr>
                <w:rFonts w:hint="default" w:ascii="Times New Roman" w:hAnsi="Times New Roman" w:cs="Times New Roman"/>
                <w:color w:val="auto"/>
                <w:sz w:val="24"/>
              </w:rPr>
              <w:t>四十六、专业技术服务业 99 陆地矿产资源</w:t>
            </w:r>
            <w:r>
              <w:rPr>
                <w:rFonts w:hint="eastAsia" w:ascii="Times New Roman" w:hAnsi="Times New Roman" w:cs="Times New Roman"/>
                <w:color w:val="auto"/>
                <w:sz w:val="24"/>
                <w:lang w:eastAsia="zh-CN"/>
              </w:rPr>
              <w:t>地质</w:t>
            </w:r>
            <w:r>
              <w:rPr>
                <w:rFonts w:hint="default" w:ascii="Times New Roman" w:hAnsi="Times New Roman" w:cs="Times New Roman"/>
                <w:color w:val="auto"/>
                <w:sz w:val="24"/>
              </w:rPr>
              <w:t>勘查（含油气资源勘探）；二氧化碳地质封存</w:t>
            </w:r>
          </w:p>
        </w:tc>
        <w:tc>
          <w:tcPr>
            <w:tcW w:w="1048" w:type="pct"/>
            <w:noWrap w:val="0"/>
            <w:vAlign w:val="center"/>
          </w:tcPr>
          <w:p w14:paraId="5AAFD68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用地（用海）面积（m²）/长度（km）</w:t>
            </w:r>
          </w:p>
        </w:tc>
        <w:tc>
          <w:tcPr>
            <w:tcW w:w="1610" w:type="pct"/>
            <w:noWrap w:val="0"/>
            <w:vAlign w:val="center"/>
          </w:tcPr>
          <w:p w14:paraId="637940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lang w:val="en-US"/>
              </w:rPr>
            </w:pPr>
            <w:r>
              <w:rPr>
                <w:rFonts w:hint="eastAsia" w:cs="Times New Roman"/>
                <w:color w:val="auto"/>
                <w:sz w:val="24"/>
                <w:lang w:val="en-US" w:eastAsia="zh-CN"/>
              </w:rPr>
              <w:t>16780</w:t>
            </w:r>
          </w:p>
        </w:tc>
      </w:tr>
      <w:tr w14:paraId="5E2A2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621" w:type="pct"/>
            <w:noWrap w:val="0"/>
            <w:tcMar>
              <w:top w:w="16" w:type="dxa"/>
              <w:left w:w="16" w:type="dxa"/>
              <w:right w:w="16" w:type="dxa"/>
            </w:tcMar>
            <w:vAlign w:val="center"/>
          </w:tcPr>
          <w:p w14:paraId="4BF613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719" w:type="pct"/>
            <w:noWrap w:val="0"/>
            <w:vAlign w:val="center"/>
          </w:tcPr>
          <w:p w14:paraId="6960722D">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新建（迁建）</w:t>
            </w:r>
          </w:p>
          <w:p w14:paraId="6B57A945">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□改建</w:t>
            </w:r>
          </w:p>
          <w:p w14:paraId="3C1CB022">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□扩建</w:t>
            </w:r>
          </w:p>
          <w:p w14:paraId="1D153C26">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□技术改造</w:t>
            </w:r>
          </w:p>
        </w:tc>
        <w:tc>
          <w:tcPr>
            <w:tcW w:w="1048" w:type="pct"/>
            <w:noWrap w:val="0"/>
            <w:vAlign w:val="center"/>
          </w:tcPr>
          <w:p w14:paraId="680666F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2FA70E5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1610" w:type="pct"/>
            <w:noWrap w:val="0"/>
            <w:vAlign w:val="center"/>
          </w:tcPr>
          <w:p w14:paraId="47590A14">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首次申报项目</w:t>
            </w:r>
          </w:p>
          <w:p w14:paraId="50A4AE99">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□不予批准后再次申报项目</w:t>
            </w:r>
          </w:p>
          <w:p w14:paraId="1910D6A8">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□超五年重新审核项目</w:t>
            </w:r>
          </w:p>
          <w:p w14:paraId="79E2C8BA">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□重大变动重新报批项目</w:t>
            </w:r>
          </w:p>
        </w:tc>
      </w:tr>
      <w:tr w14:paraId="173C5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621" w:type="pct"/>
            <w:noWrap w:val="0"/>
            <w:tcMar>
              <w:top w:w="16" w:type="dxa"/>
              <w:left w:w="16" w:type="dxa"/>
              <w:right w:w="16" w:type="dxa"/>
            </w:tcMar>
            <w:vAlign w:val="center"/>
          </w:tcPr>
          <w:p w14:paraId="05E903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35A64B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备案）部门（选填）</w:t>
            </w:r>
          </w:p>
        </w:tc>
        <w:tc>
          <w:tcPr>
            <w:tcW w:w="1719" w:type="pct"/>
            <w:noWrap w:val="0"/>
            <w:vAlign w:val="center"/>
          </w:tcPr>
          <w:p w14:paraId="15F6F6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中国石油化工股份有限公司</w:t>
            </w:r>
          </w:p>
          <w:p w14:paraId="5D8B69B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lang w:val="en-US" w:eastAsia="zh-CN"/>
              </w:rPr>
            </w:pPr>
            <w:r>
              <w:rPr>
                <w:rFonts w:hint="default" w:ascii="Times New Roman" w:hAnsi="Times New Roman" w:cs="Times New Roman"/>
                <w:color w:val="auto"/>
                <w:sz w:val="24"/>
              </w:rPr>
              <w:t>勘探分公司</w:t>
            </w:r>
            <w:r>
              <w:rPr>
                <w:rFonts w:hint="default" w:ascii="Times New Roman" w:hAnsi="Times New Roman" w:cs="Times New Roman"/>
                <w:color w:val="auto"/>
                <w:kern w:val="0"/>
                <w:sz w:val="24"/>
                <w:lang w:bidi="ar"/>
              </w:rPr>
              <w:t>油气勘探管理</w:t>
            </w:r>
            <w:r>
              <w:rPr>
                <w:rFonts w:hint="eastAsia" w:ascii="Times New Roman" w:hAnsi="Times New Roman" w:cs="Times New Roman"/>
                <w:color w:val="auto"/>
                <w:kern w:val="0"/>
                <w:sz w:val="24"/>
                <w:lang w:val="en-US" w:eastAsia="zh-CN" w:bidi="ar"/>
              </w:rPr>
              <w:t>部</w:t>
            </w:r>
          </w:p>
        </w:tc>
        <w:tc>
          <w:tcPr>
            <w:tcW w:w="1048" w:type="pct"/>
            <w:noWrap w:val="0"/>
            <w:vAlign w:val="center"/>
          </w:tcPr>
          <w:p w14:paraId="22A3B5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48CE48E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1610" w:type="pct"/>
            <w:noWrap w:val="0"/>
            <w:vAlign w:val="center"/>
          </w:tcPr>
          <w:p w14:paraId="3CE92D5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auto"/>
                <w:sz w:val="24"/>
              </w:rPr>
            </w:pPr>
            <w:r>
              <w:rPr>
                <w:rFonts w:hint="eastAsia" w:cs="Times New Roman"/>
                <w:color w:val="auto"/>
                <w:kern w:val="0"/>
                <w:sz w:val="24"/>
                <w:lang w:val="en-US" w:eastAsia="zh-CN" w:bidi="ar"/>
              </w:rPr>
              <w:t>勘探</w:t>
            </w:r>
            <w:r>
              <w:rPr>
                <w:rFonts w:hint="eastAsia" w:ascii="Times New Roman" w:hAnsi="Times New Roman" w:cs="Times New Roman"/>
                <w:color w:val="auto"/>
                <w:kern w:val="0"/>
                <w:sz w:val="24"/>
                <w:lang w:bidi="ar"/>
              </w:rPr>
              <w:t>勘</w:t>
            </w:r>
            <w:r>
              <w:rPr>
                <w:rFonts w:hint="default" w:ascii="Times New Roman" w:hAnsi="Times New Roman" w:cs="Times New Roman"/>
                <w:color w:val="auto"/>
                <w:kern w:val="0"/>
                <w:sz w:val="24"/>
                <w:lang w:bidi="ar"/>
              </w:rPr>
              <w:t>〔202</w:t>
            </w:r>
            <w:r>
              <w:rPr>
                <w:rFonts w:hint="eastAsia" w:ascii="Times New Roman" w:hAnsi="Times New Roman"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8号</w:t>
            </w:r>
          </w:p>
        </w:tc>
      </w:tr>
      <w:tr w14:paraId="4C502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1C31AAE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总投资</w:t>
            </w:r>
          </w:p>
          <w:p w14:paraId="213F0D6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719" w:type="pct"/>
            <w:noWrap w:val="0"/>
            <w:vAlign w:val="center"/>
          </w:tcPr>
          <w:p w14:paraId="435F6C78">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auto"/>
                <w:sz w:val="24"/>
                <w:highlight w:val="yellow"/>
              </w:rPr>
            </w:pPr>
            <w:r>
              <w:rPr>
                <w:rFonts w:hint="eastAsia" w:cs="Times New Roman"/>
                <w:color w:val="auto"/>
                <w:sz w:val="24"/>
                <w:lang w:val="en-US" w:eastAsia="zh-CN"/>
              </w:rPr>
              <w:t>5500</w:t>
            </w:r>
          </w:p>
        </w:tc>
        <w:tc>
          <w:tcPr>
            <w:tcW w:w="1048" w:type="pct"/>
            <w:noWrap w:val="0"/>
            <w:tcMar>
              <w:top w:w="16" w:type="dxa"/>
              <w:left w:w="16" w:type="dxa"/>
              <w:right w:w="16" w:type="dxa"/>
            </w:tcMar>
            <w:vAlign w:val="center"/>
          </w:tcPr>
          <w:p w14:paraId="6539A97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环保投资（万元）</w:t>
            </w:r>
          </w:p>
        </w:tc>
        <w:tc>
          <w:tcPr>
            <w:tcW w:w="1610" w:type="pct"/>
            <w:noWrap w:val="0"/>
            <w:vAlign w:val="center"/>
          </w:tcPr>
          <w:p w14:paraId="7F86FF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23</w:t>
            </w:r>
            <w:r>
              <w:rPr>
                <w:rFonts w:hint="eastAsia" w:cs="Times New Roman"/>
                <w:color w:val="auto"/>
                <w:sz w:val="24"/>
                <w:lang w:val="en-US" w:eastAsia="zh-CN"/>
              </w:rPr>
              <w:t>4</w:t>
            </w:r>
          </w:p>
        </w:tc>
      </w:tr>
      <w:tr w14:paraId="3763F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621" w:type="pct"/>
            <w:noWrap w:val="0"/>
            <w:tcMar>
              <w:top w:w="16" w:type="dxa"/>
              <w:left w:w="16" w:type="dxa"/>
              <w:right w:w="16" w:type="dxa"/>
            </w:tcMar>
            <w:vAlign w:val="center"/>
          </w:tcPr>
          <w:p w14:paraId="31E1341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环保投资占比（%）</w:t>
            </w:r>
          </w:p>
        </w:tc>
        <w:tc>
          <w:tcPr>
            <w:tcW w:w="1719" w:type="pct"/>
            <w:noWrap w:val="0"/>
            <w:vAlign w:val="center"/>
          </w:tcPr>
          <w:p w14:paraId="066D56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yellow"/>
              </w:rPr>
            </w:pPr>
            <w:r>
              <w:rPr>
                <w:rFonts w:hint="eastAsia" w:cs="Times New Roman"/>
                <w:color w:val="auto"/>
                <w:sz w:val="24"/>
                <w:lang w:val="en-US" w:eastAsia="zh-CN"/>
              </w:rPr>
              <w:t>4.25</w:t>
            </w:r>
          </w:p>
        </w:tc>
        <w:tc>
          <w:tcPr>
            <w:tcW w:w="1048" w:type="pct"/>
            <w:noWrap w:val="0"/>
            <w:tcMar>
              <w:top w:w="16" w:type="dxa"/>
              <w:left w:w="16" w:type="dxa"/>
              <w:right w:w="16" w:type="dxa"/>
            </w:tcMar>
            <w:vAlign w:val="center"/>
          </w:tcPr>
          <w:p w14:paraId="256B89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施工工期</w:t>
            </w:r>
          </w:p>
        </w:tc>
        <w:tc>
          <w:tcPr>
            <w:tcW w:w="1610" w:type="pct"/>
            <w:noWrap w:val="0"/>
            <w:vAlign w:val="center"/>
          </w:tcPr>
          <w:p w14:paraId="6A326D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eastAsia" w:ascii="Times New Roman" w:hAnsi="Times New Roman" w:cs="Times New Roman"/>
                <w:color w:val="auto"/>
                <w:sz w:val="24"/>
              </w:rPr>
              <w:t>485</w:t>
            </w:r>
            <w:r>
              <w:rPr>
                <w:rFonts w:hint="default" w:ascii="Times New Roman" w:hAnsi="Times New Roman" w:cs="Times New Roman"/>
                <w:color w:val="auto"/>
                <w:sz w:val="24"/>
              </w:rPr>
              <w:t>天</w:t>
            </w:r>
          </w:p>
        </w:tc>
      </w:tr>
      <w:tr w14:paraId="11F441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4CF6FB7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是否</w:t>
            </w:r>
          </w:p>
          <w:p w14:paraId="714029B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开工建设</w:t>
            </w:r>
          </w:p>
        </w:tc>
        <w:tc>
          <w:tcPr>
            <w:tcW w:w="4378" w:type="pct"/>
            <w:gridSpan w:val="3"/>
            <w:noWrap w:val="0"/>
            <w:vAlign w:val="center"/>
          </w:tcPr>
          <w:p w14:paraId="1F7EE01E">
            <w:pPr>
              <w:keepNext w:val="0"/>
              <w:keepLines w:val="0"/>
              <w:suppressLineNumbers w:val="0"/>
              <w:adjustRightInd w:val="0"/>
              <w:snapToGrid w:val="0"/>
              <w:spacing w:before="0" w:beforeAutospacing="0" w:after="0" w:afterAutospacing="0"/>
              <w:ind w:left="0" w:right="0" w:firstLine="105"/>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否</w:t>
            </w:r>
          </w:p>
          <w:p w14:paraId="327BAE73">
            <w:pPr>
              <w:keepNext w:val="0"/>
              <w:keepLines w:val="0"/>
              <w:suppressLineNumbers w:val="0"/>
              <w:adjustRightInd w:val="0"/>
              <w:snapToGrid w:val="0"/>
              <w:spacing w:before="0" w:beforeAutospacing="0" w:after="0" w:afterAutospacing="0"/>
              <w:ind w:left="0" w:right="0" w:firstLine="105"/>
              <w:jc w:val="left"/>
              <w:rPr>
                <w:rFonts w:hint="default" w:ascii="Times New Roman" w:hAnsi="Times New Roman" w:cs="Times New Roman"/>
                <w:color w:val="auto"/>
                <w:sz w:val="24"/>
              </w:rPr>
            </w:pP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r>
      <w:tr w14:paraId="2961F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266E361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专项评价设置情况</w:t>
            </w:r>
          </w:p>
        </w:tc>
        <w:tc>
          <w:tcPr>
            <w:tcW w:w="4378" w:type="pct"/>
            <w:gridSpan w:val="3"/>
            <w:noWrap w:val="0"/>
            <w:tcMar>
              <w:top w:w="16" w:type="dxa"/>
              <w:left w:w="16" w:type="dxa"/>
              <w:right w:w="16" w:type="dxa"/>
            </w:tcMar>
            <w:vAlign w:val="center"/>
          </w:tcPr>
          <w:p w14:paraId="6747C001">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本项目专项评价设置情况如下表所示。</w:t>
            </w:r>
          </w:p>
          <w:p w14:paraId="1DA1E0BF">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专项评价设置原则表</w:t>
            </w:r>
          </w:p>
          <w:tbl>
            <w:tblPr>
              <w:tblStyle w:val="23"/>
              <w:tblW w:w="48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070"/>
              <w:gridCol w:w="3642"/>
              <w:gridCol w:w="1486"/>
              <w:gridCol w:w="983"/>
            </w:tblGrid>
            <w:tr w14:paraId="6D17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54" w:type="pct"/>
                  <w:noWrap w:val="0"/>
                  <w:vAlign w:val="center"/>
                </w:tcPr>
                <w:p w14:paraId="06F8C07E">
                  <w:pPr>
                    <w:pStyle w:val="6"/>
                    <w:keepNext w:val="0"/>
                    <w:keepLines w:val="0"/>
                    <w:suppressLineNumbers w:val="0"/>
                    <w:tabs>
                      <w:tab w:val="left" w:pos="420"/>
                    </w:tabs>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677" w:type="pct"/>
                  <w:noWrap w:val="0"/>
                  <w:vAlign w:val="center"/>
                </w:tcPr>
                <w:p w14:paraId="6368D432">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专项评价的类别</w:t>
                  </w:r>
                </w:p>
              </w:tc>
              <w:tc>
                <w:tcPr>
                  <w:tcW w:w="2304" w:type="pct"/>
                  <w:noWrap w:val="0"/>
                  <w:vAlign w:val="center"/>
                </w:tcPr>
                <w:p w14:paraId="6B8A8622">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涉及项目类别</w:t>
                  </w:r>
                </w:p>
              </w:tc>
              <w:tc>
                <w:tcPr>
                  <w:tcW w:w="940" w:type="pct"/>
                  <w:noWrap w:val="0"/>
                  <w:vAlign w:val="center"/>
                </w:tcPr>
                <w:p w14:paraId="3FC9557D">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本项目情况</w:t>
                  </w:r>
                </w:p>
              </w:tc>
              <w:tc>
                <w:tcPr>
                  <w:tcW w:w="622" w:type="pct"/>
                  <w:noWrap w:val="0"/>
                  <w:vAlign w:val="center"/>
                </w:tcPr>
                <w:p w14:paraId="53918A7B">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是否设置专项</w:t>
                  </w:r>
                </w:p>
              </w:tc>
            </w:tr>
            <w:tr w14:paraId="77FA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6B9B29EF">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77" w:type="pct"/>
                  <w:noWrap w:val="0"/>
                  <w:vAlign w:val="center"/>
                </w:tcPr>
                <w:p w14:paraId="336EF477">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地表水</w:t>
                  </w:r>
                </w:p>
              </w:tc>
              <w:tc>
                <w:tcPr>
                  <w:tcW w:w="2304" w:type="pct"/>
                  <w:noWrap w:val="0"/>
                  <w:vAlign w:val="center"/>
                </w:tcPr>
                <w:p w14:paraId="14F40520">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水力发电：引水式发电、涉及调峰发电的项目；</w:t>
                  </w:r>
                </w:p>
                <w:p w14:paraId="6CCB922C">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人工湖、人工湿地：全部；</w:t>
                  </w:r>
                </w:p>
                <w:p w14:paraId="670A997A">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水库：全部；</w:t>
                  </w:r>
                </w:p>
                <w:p w14:paraId="57AF074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引水工程：全部（配套的管线工程等除外）；</w:t>
                  </w:r>
                </w:p>
                <w:p w14:paraId="65ADEDED">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防洪除涝工程：包含水库的项目；</w:t>
                  </w:r>
                </w:p>
                <w:p w14:paraId="45EFE5A0">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河湖整治：涉及清淤且底泥存在重金属污染的项目</w:t>
                  </w:r>
                </w:p>
              </w:tc>
              <w:tc>
                <w:tcPr>
                  <w:tcW w:w="940" w:type="pct"/>
                  <w:noWrap w:val="0"/>
                  <w:vAlign w:val="center"/>
                </w:tcPr>
                <w:p w14:paraId="24AF523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08B524F5">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3E06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53B16CFB">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677" w:type="pct"/>
                  <w:noWrap w:val="0"/>
                  <w:vAlign w:val="center"/>
                </w:tcPr>
                <w:p w14:paraId="617CAEBF">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地下水</w:t>
                  </w:r>
                </w:p>
              </w:tc>
              <w:tc>
                <w:tcPr>
                  <w:tcW w:w="2304" w:type="pct"/>
                  <w:noWrap w:val="0"/>
                  <w:vAlign w:val="center"/>
                </w:tcPr>
                <w:p w14:paraId="78540F8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陆地石油和天然气开采：全部；</w:t>
                  </w:r>
                </w:p>
                <w:p w14:paraId="7D33B596">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地下水（含矿泉水）开采：全部；</w:t>
                  </w:r>
                </w:p>
                <w:p w14:paraId="79E62972">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水洗、水电、交通等：含穿越可</w:t>
                  </w:r>
                  <w:r>
                    <w:rPr>
                      <w:rFonts w:hint="eastAsia" w:ascii="Times New Roman" w:hAnsi="Times New Roman" w:eastAsia="宋体" w:cs="Times New Roman"/>
                      <w:color w:val="auto"/>
                      <w:sz w:val="21"/>
                      <w:szCs w:val="21"/>
                    </w:rPr>
                    <w:t>溶</w:t>
                  </w:r>
                  <w:r>
                    <w:rPr>
                      <w:rFonts w:hint="default" w:ascii="Times New Roman" w:hAnsi="Times New Roman" w:eastAsia="宋体" w:cs="Times New Roman"/>
                      <w:color w:val="auto"/>
                      <w:sz w:val="21"/>
                      <w:szCs w:val="21"/>
                    </w:rPr>
                    <w:t>岩地层隧道的项目</w:t>
                  </w:r>
                </w:p>
              </w:tc>
              <w:tc>
                <w:tcPr>
                  <w:tcW w:w="940" w:type="pct"/>
                  <w:noWrap w:val="0"/>
                  <w:vAlign w:val="center"/>
                </w:tcPr>
                <w:p w14:paraId="2AAA3F39">
                  <w:pPr>
                    <w:pStyle w:val="6"/>
                    <w:keepNext w:val="0"/>
                    <w:keepLines w:val="0"/>
                    <w:suppressLineNumbers w:val="0"/>
                    <w:spacing w:before="0" w:beforeAutospacing="0" w:after="0" w:afterAutospacing="0"/>
                    <w:ind w:left="0" w:right="0"/>
                    <w:jc w:val="center"/>
                    <w:rPr>
                      <w:rFonts w:hint="default" w:ascii="Times New Roman" w:hAnsi="Times New Roman" w:cs="Times New Roman"/>
                      <w:b/>
                      <w:i/>
                      <w:color w:val="auto"/>
                      <w:sz w:val="21"/>
                      <w:szCs w:val="21"/>
                    </w:rPr>
                  </w:pPr>
                  <w:r>
                    <w:rPr>
                      <w:rFonts w:hint="default" w:ascii="Times New Roman" w:hAnsi="Times New Roman" w:eastAsia="宋体" w:cs="Times New Roman"/>
                      <w:b w:val="0"/>
                      <w:bCs/>
                      <w:i w:val="0"/>
                      <w:iCs/>
                      <w:color w:val="auto"/>
                      <w:sz w:val="21"/>
                      <w:szCs w:val="21"/>
                    </w:rPr>
                    <w:t>项目属于陆地矿产资源</w:t>
                  </w:r>
                  <w:r>
                    <w:rPr>
                      <w:rFonts w:hint="eastAsia" w:ascii="Times New Roman" w:hAnsi="Times New Roman" w:eastAsia="宋体" w:cs="Times New Roman"/>
                      <w:b w:val="0"/>
                      <w:bCs/>
                      <w:i w:val="0"/>
                      <w:iCs/>
                      <w:color w:val="auto"/>
                      <w:sz w:val="21"/>
                      <w:szCs w:val="21"/>
                      <w:lang w:eastAsia="zh-CN"/>
                    </w:rPr>
                    <w:t>地质</w:t>
                  </w:r>
                  <w:r>
                    <w:rPr>
                      <w:rFonts w:hint="default" w:ascii="Times New Roman" w:hAnsi="Times New Roman" w:eastAsia="宋体" w:cs="Times New Roman"/>
                      <w:b w:val="0"/>
                      <w:bCs/>
                      <w:i w:val="0"/>
                      <w:iCs/>
                      <w:color w:val="auto"/>
                      <w:sz w:val="21"/>
                      <w:szCs w:val="21"/>
                    </w:rPr>
                    <w:t>勘查（含油气资源勘探），参照陆地石油和天然气开采</w:t>
                  </w:r>
                </w:p>
              </w:tc>
              <w:tc>
                <w:tcPr>
                  <w:tcW w:w="622" w:type="pct"/>
                  <w:noWrap w:val="0"/>
                  <w:vAlign w:val="center"/>
                </w:tcPr>
                <w:p w14:paraId="0A806E55">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是</w:t>
                  </w:r>
                </w:p>
              </w:tc>
            </w:tr>
            <w:tr w14:paraId="76D7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4C77EF2D">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677" w:type="pct"/>
                  <w:noWrap w:val="0"/>
                  <w:vAlign w:val="center"/>
                </w:tcPr>
                <w:p w14:paraId="0AEE680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生态</w:t>
                  </w:r>
                </w:p>
              </w:tc>
              <w:tc>
                <w:tcPr>
                  <w:tcW w:w="2304" w:type="pct"/>
                  <w:noWrap w:val="0"/>
                  <w:vAlign w:val="center"/>
                </w:tcPr>
                <w:p w14:paraId="5791252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涉及环境敏感区（不包括饮用水水源保护区，以居住、医疗卫生、文化教育、科研、行政办公为主要功能的区域，以及文物保护单位）的项目</w:t>
                  </w:r>
                </w:p>
              </w:tc>
              <w:tc>
                <w:tcPr>
                  <w:tcW w:w="940" w:type="pct"/>
                  <w:noWrap w:val="0"/>
                  <w:vAlign w:val="center"/>
                </w:tcPr>
                <w:p w14:paraId="52764C4B">
                  <w:pPr>
                    <w:pStyle w:val="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无</w:t>
                  </w:r>
                </w:p>
              </w:tc>
              <w:tc>
                <w:tcPr>
                  <w:tcW w:w="622" w:type="pct"/>
                  <w:noWrap w:val="0"/>
                  <w:vAlign w:val="center"/>
                </w:tcPr>
                <w:p w14:paraId="1FA900EE">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0B13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32D1610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677" w:type="pct"/>
                  <w:noWrap w:val="0"/>
                  <w:vAlign w:val="center"/>
                </w:tcPr>
                <w:p w14:paraId="56F6BC7A">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大气</w:t>
                  </w:r>
                </w:p>
              </w:tc>
              <w:tc>
                <w:tcPr>
                  <w:tcW w:w="2304" w:type="pct"/>
                  <w:noWrap w:val="0"/>
                  <w:vAlign w:val="center"/>
                </w:tcPr>
                <w:p w14:paraId="6ED783E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油气、液体化工码头：全部；</w:t>
                  </w:r>
                </w:p>
                <w:p w14:paraId="27DBDA8A">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干散货（含煤炭、矿石）、件杂、多用途、通用码头：涉及粉尘、挥发性有机物排放的项目</w:t>
                  </w:r>
                </w:p>
              </w:tc>
              <w:tc>
                <w:tcPr>
                  <w:tcW w:w="940" w:type="pct"/>
                  <w:noWrap w:val="0"/>
                  <w:vAlign w:val="center"/>
                </w:tcPr>
                <w:p w14:paraId="4525A1C9">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220A761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7FC1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1936850A">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677" w:type="pct"/>
                  <w:noWrap w:val="0"/>
                  <w:vAlign w:val="center"/>
                </w:tcPr>
                <w:p w14:paraId="1D209470">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噪声</w:t>
                  </w:r>
                </w:p>
              </w:tc>
              <w:tc>
                <w:tcPr>
                  <w:tcW w:w="2304" w:type="pct"/>
                  <w:noWrap w:val="0"/>
                  <w:vAlign w:val="center"/>
                </w:tcPr>
                <w:p w14:paraId="0FD84994">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公路、铁路、机场等交通运输业涉及环境敏感区（以居住、医疗卫生、文化教育、科研、行政办公为主要功能的区域）的项目；</w:t>
                  </w:r>
                </w:p>
                <w:p w14:paraId="451812E9">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城市道路（不含维护，不含支路、人行天桥、人行地道）：全部</w:t>
                  </w:r>
                </w:p>
              </w:tc>
              <w:tc>
                <w:tcPr>
                  <w:tcW w:w="940" w:type="pct"/>
                  <w:noWrap w:val="0"/>
                  <w:vAlign w:val="center"/>
                </w:tcPr>
                <w:p w14:paraId="0EF4D6C1">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6CC2503B">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1C05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3D625191">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677" w:type="pct"/>
                  <w:noWrap w:val="0"/>
                  <w:vAlign w:val="center"/>
                </w:tcPr>
                <w:p w14:paraId="40F8ED9C">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环境风险</w:t>
                  </w:r>
                </w:p>
              </w:tc>
              <w:tc>
                <w:tcPr>
                  <w:tcW w:w="2304" w:type="pct"/>
                  <w:noWrap w:val="0"/>
                  <w:vAlign w:val="center"/>
                </w:tcPr>
                <w:p w14:paraId="554DA626">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石油和天然气开采：全部；</w:t>
                  </w:r>
                </w:p>
                <w:p w14:paraId="4CE68274">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油气、液体化工码头：全部；</w:t>
                  </w:r>
                </w:p>
                <w:p w14:paraId="77607559">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原油、成品油、天然气管线（不含城镇天然气管线、企业厂区内管线），危险化学品输送管线（不含企业厂区内管线）：全部</w:t>
                  </w:r>
                </w:p>
              </w:tc>
              <w:tc>
                <w:tcPr>
                  <w:tcW w:w="940" w:type="pct"/>
                  <w:noWrap w:val="0"/>
                  <w:vAlign w:val="center"/>
                </w:tcPr>
                <w:p w14:paraId="08CDE6E0">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项目属于陆地矿产资源</w:t>
                  </w:r>
                  <w:r>
                    <w:rPr>
                      <w:rFonts w:hint="eastAsia" w:ascii="Times New Roman" w:hAnsi="Times New Roman" w:eastAsia="宋体" w:cs="Times New Roman"/>
                      <w:b w:val="0"/>
                      <w:bCs/>
                      <w:i w:val="0"/>
                      <w:iCs/>
                      <w:color w:val="auto"/>
                      <w:sz w:val="21"/>
                      <w:szCs w:val="21"/>
                      <w:lang w:eastAsia="zh-CN"/>
                    </w:rPr>
                    <w:t>地质</w:t>
                  </w:r>
                  <w:r>
                    <w:rPr>
                      <w:rFonts w:hint="default" w:ascii="Times New Roman" w:hAnsi="Times New Roman" w:eastAsia="宋体" w:cs="Times New Roman"/>
                      <w:b w:val="0"/>
                      <w:bCs/>
                      <w:i w:val="0"/>
                      <w:iCs/>
                      <w:color w:val="auto"/>
                      <w:sz w:val="21"/>
                      <w:szCs w:val="21"/>
                    </w:rPr>
                    <w:t>勘查（含油气资源勘探），参照陆地石油和天然气开采</w:t>
                  </w:r>
                </w:p>
              </w:tc>
              <w:tc>
                <w:tcPr>
                  <w:tcW w:w="622" w:type="pct"/>
                  <w:noWrap w:val="0"/>
                  <w:vAlign w:val="center"/>
                </w:tcPr>
                <w:p w14:paraId="4DEA16FA">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是</w:t>
                  </w:r>
                </w:p>
              </w:tc>
            </w:tr>
          </w:tbl>
          <w:p w14:paraId="1AEF0335">
            <w:pPr>
              <w:pStyle w:val="6"/>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注：“涉及环境敏感区”是指建设项目位于、穿（跨）越（无害化通过的除外）环境敏感区，或环境影响范围涵盖环境敏感区。环境敏感区是指《建设项目环境影响评价分类管理名录》中针对该类项目所列的敏感区。</w:t>
            </w:r>
          </w:p>
          <w:p w14:paraId="3DA8A5E1">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eastAsia="宋体" w:cs="Times New Roman"/>
                <w:color w:val="auto"/>
                <w:sz w:val="24"/>
                <w:szCs w:val="24"/>
                <w:lang w:val="en-US" w:eastAsia="zh-CN"/>
              </w:rPr>
              <w:t>综上，本项目</w:t>
            </w:r>
            <w:r>
              <w:rPr>
                <w:rFonts w:hint="eastAsia" w:ascii="Times New Roman" w:hAnsi="Times New Roman" w:eastAsia="宋体" w:cs="Times New Roman"/>
                <w:color w:val="auto"/>
                <w:sz w:val="24"/>
                <w:szCs w:val="24"/>
              </w:rPr>
              <w:t>设置</w:t>
            </w:r>
            <w:r>
              <w:rPr>
                <w:rFonts w:hint="eastAsia" w:ascii="Times New Roman" w:hAnsi="Times New Roman" w:eastAsia="宋体" w:cs="Times New Roman"/>
                <w:b/>
                <w:bCs/>
                <w:color w:val="auto"/>
                <w:sz w:val="24"/>
                <w:szCs w:val="24"/>
              </w:rPr>
              <w:t>地下水</w:t>
            </w:r>
            <w:r>
              <w:rPr>
                <w:rFonts w:hint="eastAsia" w:ascii="Times New Roman" w:hAnsi="Times New Roman" w:eastAsia="宋体" w:cs="Times New Roman"/>
                <w:color w:val="auto"/>
                <w:sz w:val="24"/>
                <w:szCs w:val="24"/>
              </w:rPr>
              <w:t>和</w:t>
            </w:r>
            <w:r>
              <w:rPr>
                <w:rFonts w:hint="eastAsia" w:ascii="Times New Roman" w:hAnsi="Times New Roman" w:eastAsia="宋体" w:cs="Times New Roman"/>
                <w:b/>
                <w:bCs/>
                <w:color w:val="auto"/>
                <w:sz w:val="24"/>
                <w:szCs w:val="24"/>
              </w:rPr>
              <w:t>环境风险</w:t>
            </w:r>
            <w:r>
              <w:rPr>
                <w:rFonts w:hint="eastAsia" w:ascii="Times New Roman" w:hAnsi="Times New Roman" w:eastAsia="宋体" w:cs="Times New Roman"/>
                <w:color w:val="auto"/>
                <w:sz w:val="24"/>
                <w:szCs w:val="24"/>
              </w:rPr>
              <w:t>专项评价。</w:t>
            </w:r>
          </w:p>
        </w:tc>
      </w:tr>
      <w:tr w14:paraId="54174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5D8E7DE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4378" w:type="pct"/>
            <w:gridSpan w:val="3"/>
            <w:noWrap w:val="0"/>
            <w:tcMar>
              <w:top w:w="16" w:type="dxa"/>
              <w:left w:w="16" w:type="dxa"/>
              <w:right w:w="16" w:type="dxa"/>
            </w:tcMar>
            <w:vAlign w:val="center"/>
          </w:tcPr>
          <w:p w14:paraId="682F49D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规划名称：《四川省矿产资源总体规划（2021-2025年）》</w:t>
            </w:r>
          </w:p>
          <w:p w14:paraId="3193844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审批机关：</w:t>
            </w:r>
            <w:r>
              <w:rPr>
                <w:rFonts w:hint="default" w:ascii="Times New Roman" w:hAnsi="Times New Roman" w:eastAsia="宋体" w:cs="Times New Roman"/>
                <w:color w:val="auto"/>
                <w:kern w:val="0"/>
                <w:sz w:val="24"/>
                <w:lang w:val="en-US" w:eastAsia="zh-CN"/>
              </w:rPr>
              <w:t>中华人民共和国自然资源部</w:t>
            </w:r>
          </w:p>
          <w:p w14:paraId="00DDE13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lang w:eastAsia="zh-CN"/>
              </w:rPr>
            </w:pPr>
            <w:r>
              <w:rPr>
                <w:rFonts w:hint="default" w:ascii="Times New Roman" w:hAnsi="Times New Roman" w:cs="Times New Roman"/>
                <w:color w:val="auto"/>
                <w:kern w:val="0"/>
                <w:sz w:val="24"/>
              </w:rPr>
              <w:t>审批文件</w:t>
            </w:r>
            <w:r>
              <w:rPr>
                <w:rFonts w:hint="eastAsia" w:ascii="Times New Roman" w:hAnsi="Times New Roman" w:cs="Times New Roman"/>
                <w:color w:val="auto"/>
                <w:kern w:val="0"/>
                <w:sz w:val="24"/>
                <w:lang w:val="en-US" w:eastAsia="zh-CN"/>
              </w:rPr>
              <w:t>名称及文号</w:t>
            </w:r>
            <w:r>
              <w:rPr>
                <w:rFonts w:hint="default" w:ascii="Times New Roman" w:hAnsi="Times New Roman" w:cs="Times New Roman"/>
                <w:color w:val="auto"/>
                <w:kern w:val="0"/>
                <w:sz w:val="24"/>
              </w:rPr>
              <w:t>：自然资源部办公厅</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关于四川省矿产资源总体规划（2021-2025年）的复函</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自然资办函〔2022〕1506号</w:t>
            </w:r>
            <w:r>
              <w:rPr>
                <w:rFonts w:hint="eastAsia" w:ascii="Times New Roman" w:hAnsi="Times New Roman" w:cs="Times New Roman"/>
                <w:color w:val="auto"/>
                <w:kern w:val="0"/>
                <w:sz w:val="24"/>
                <w:lang w:eastAsia="zh-CN"/>
              </w:rPr>
              <w:t>）</w:t>
            </w:r>
          </w:p>
        </w:tc>
      </w:tr>
      <w:tr w14:paraId="6457D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69608A4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规划</w:t>
            </w:r>
          </w:p>
          <w:p w14:paraId="46CDE0F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环境影响评价情况</w:t>
            </w:r>
          </w:p>
        </w:tc>
        <w:tc>
          <w:tcPr>
            <w:tcW w:w="4378" w:type="pct"/>
            <w:gridSpan w:val="3"/>
            <w:noWrap w:val="0"/>
            <w:tcMar>
              <w:top w:w="16" w:type="dxa"/>
              <w:left w:w="16" w:type="dxa"/>
              <w:right w:w="16" w:type="dxa"/>
            </w:tcMar>
            <w:vAlign w:val="center"/>
          </w:tcPr>
          <w:p w14:paraId="2D92EE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文件名称：四川省矿产资源总体规划（2021-2025年）环境影响报告书</w:t>
            </w:r>
          </w:p>
          <w:p w14:paraId="12A698B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审查</w:t>
            </w:r>
            <w:r>
              <w:rPr>
                <w:rFonts w:hint="default" w:ascii="Times New Roman" w:hAnsi="Times New Roman" w:cs="Times New Roman"/>
                <w:color w:val="auto"/>
                <w:sz w:val="24"/>
              </w:rPr>
              <w:t>机关：中华人民共和国生态环境部</w:t>
            </w:r>
          </w:p>
          <w:p w14:paraId="07F3FC2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lang w:eastAsia="zh-CN"/>
              </w:rPr>
            </w:pPr>
            <w:r>
              <w:rPr>
                <w:rFonts w:hint="eastAsia" w:ascii="Times New Roman" w:hAnsi="Times New Roman" w:cs="Times New Roman"/>
                <w:color w:val="auto"/>
                <w:sz w:val="24"/>
                <w:lang w:val="en-US" w:eastAsia="zh-CN"/>
              </w:rPr>
              <w:t>审查</w:t>
            </w:r>
            <w:r>
              <w:rPr>
                <w:rFonts w:hint="default" w:ascii="Times New Roman" w:hAnsi="Times New Roman" w:cs="Times New Roman"/>
                <w:color w:val="auto"/>
                <w:sz w:val="24"/>
              </w:rPr>
              <w:t>文件</w:t>
            </w:r>
            <w:r>
              <w:rPr>
                <w:rFonts w:hint="eastAsia" w:ascii="Times New Roman" w:hAnsi="Times New Roman" w:cs="Times New Roman"/>
                <w:color w:val="auto"/>
                <w:sz w:val="24"/>
                <w:lang w:val="en-US" w:eastAsia="zh-CN"/>
              </w:rPr>
              <w:t>名称及文号</w:t>
            </w:r>
            <w:r>
              <w:rPr>
                <w:rFonts w:hint="default" w:ascii="Times New Roman" w:hAnsi="Times New Roman" w:cs="Times New Roman"/>
                <w:color w:val="auto"/>
                <w:sz w:val="24"/>
              </w:rPr>
              <w:t>：关于《四川省矿产资源总体规划（2021-2025年）环境影响报告书》的审查意见</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环审〔2022〕105号</w:t>
            </w:r>
            <w:r>
              <w:rPr>
                <w:rFonts w:hint="eastAsia" w:ascii="Times New Roman" w:hAnsi="Times New Roman" w:cs="Times New Roman"/>
                <w:color w:val="auto"/>
                <w:sz w:val="24"/>
                <w:lang w:eastAsia="zh-CN"/>
              </w:rPr>
              <w:t>）</w:t>
            </w:r>
          </w:p>
        </w:tc>
      </w:tr>
      <w:tr w14:paraId="3597E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621" w:type="pct"/>
            <w:noWrap w:val="0"/>
            <w:tcMar>
              <w:top w:w="16" w:type="dxa"/>
              <w:left w:w="16" w:type="dxa"/>
              <w:right w:w="16" w:type="dxa"/>
            </w:tcMar>
            <w:vAlign w:val="center"/>
          </w:tcPr>
          <w:p w14:paraId="0A35774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w:t>
            </w:r>
            <w:r>
              <w:rPr>
                <w:rFonts w:hint="default" w:ascii="Times New Roman" w:hAnsi="Times New Roman" w:cs="Times New Roman"/>
                <w:color w:val="auto"/>
                <w:sz w:val="24"/>
              </w:rPr>
              <w:t>规划环境影响评价</w:t>
            </w:r>
            <w:r>
              <w:rPr>
                <w:rFonts w:hint="default" w:ascii="Times New Roman" w:hAnsi="Times New Roman" w:cs="Times New Roman"/>
                <w:color w:val="auto"/>
                <w:kern w:val="0"/>
                <w:sz w:val="24"/>
              </w:rPr>
              <w:t>符合性分析</w:t>
            </w:r>
          </w:p>
        </w:tc>
        <w:tc>
          <w:tcPr>
            <w:tcW w:w="4378" w:type="pct"/>
            <w:gridSpan w:val="3"/>
            <w:noWrap w:val="0"/>
            <w:tcMar>
              <w:top w:w="16" w:type="dxa"/>
              <w:left w:w="16" w:type="dxa"/>
              <w:right w:w="16" w:type="dxa"/>
            </w:tcMar>
            <w:vAlign w:val="center"/>
          </w:tcPr>
          <w:p w14:paraId="7E3416CF">
            <w:pPr>
              <w:keepNext/>
              <w:keepLines/>
              <w:suppressLineNumbers w:val="0"/>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1"/>
              </w:rPr>
            </w:pPr>
            <w:r>
              <w:rPr>
                <w:rFonts w:hint="default" w:ascii="Times New Roman" w:hAnsi="Times New Roman" w:cs="Times New Roman"/>
                <w:b/>
                <w:bCs/>
                <w:color w:val="auto"/>
                <w:sz w:val="24"/>
                <w:szCs w:val="21"/>
              </w:rPr>
              <w:t>1、与《四川省矿产资源总体规划（2021-2025年）》规划符合性</w:t>
            </w:r>
          </w:p>
          <w:p w14:paraId="0D86D05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《四川省矿产资源总体规划（2021-2025年）》于2022年7月26日经自然资源部审批，并发布实施。本项目与其符合性分析见下表：</w:t>
            </w:r>
          </w:p>
          <w:p w14:paraId="665AABB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本项目与《四川省矿产资源总体规划（2021-2025年）》符合性分析</w:t>
            </w:r>
          </w:p>
          <w:tbl>
            <w:tblPr>
              <w:tblStyle w:val="23"/>
              <w:tblW w:w="7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904"/>
              <w:gridCol w:w="2332"/>
              <w:gridCol w:w="917"/>
            </w:tblGrid>
            <w:tr w14:paraId="5979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0A05D5D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3904" w:type="dxa"/>
                  <w:noWrap w:val="0"/>
                  <w:vAlign w:val="center"/>
                </w:tcPr>
                <w:p w14:paraId="35CE298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规划内容</w:t>
                  </w:r>
                </w:p>
              </w:tc>
              <w:tc>
                <w:tcPr>
                  <w:tcW w:w="2332" w:type="dxa"/>
                  <w:noWrap w:val="0"/>
                  <w:vAlign w:val="center"/>
                </w:tcPr>
                <w:p w14:paraId="0EF2EBB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917" w:type="dxa"/>
                  <w:noWrap w:val="0"/>
                  <w:vAlign w:val="center"/>
                </w:tcPr>
                <w:p w14:paraId="1A63939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63CB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49B05C9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3904" w:type="dxa"/>
                  <w:noWrap w:val="0"/>
                  <w:vAlign w:val="top"/>
                </w:tcPr>
                <w:p w14:paraId="0C958C6E">
                  <w:pPr>
                    <w:pStyle w:val="55"/>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第三章 第一节 统筹勘查开发区域总体格局。川东北能源建材勘查开发区：……重点加强达州、广元、广安、巴中地区天然气、页岩油、致密气勘探开发……</w:t>
                  </w:r>
                </w:p>
              </w:tc>
              <w:tc>
                <w:tcPr>
                  <w:tcW w:w="2332" w:type="dxa"/>
                  <w:vMerge w:val="restart"/>
                  <w:noWrap w:val="0"/>
                  <w:vAlign w:val="center"/>
                </w:tcPr>
                <w:p w14:paraId="7C36394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本项目为</w:t>
                  </w:r>
                  <w:r>
                    <w:rPr>
                      <w:rFonts w:hint="default" w:ascii="Times New Roman" w:hAnsi="Times New Roman" w:eastAsia="宋体" w:cs="Times New Roman"/>
                      <w:b w:val="0"/>
                      <w:color w:val="auto"/>
                    </w:rPr>
                    <w:t>天然气勘探</w:t>
                  </w:r>
                  <w:r>
                    <w:rPr>
                      <w:rFonts w:hint="eastAsia" w:ascii="Times New Roman" w:hAnsi="Times New Roman" w:eastAsia="宋体" w:cs="Times New Roman"/>
                      <w:b w:val="0"/>
                      <w:color w:val="auto"/>
                      <w:lang w:val="en-US" w:eastAsia="zh-CN"/>
                    </w:rPr>
                    <w:t>工程</w:t>
                  </w:r>
                  <w:r>
                    <w:rPr>
                      <w:rFonts w:hint="default" w:ascii="Times New Roman" w:hAnsi="Times New Roman" w:eastAsia="宋体" w:cs="Times New Roman"/>
                      <w:b w:val="0"/>
                      <w:color w:val="auto"/>
                    </w:rPr>
                    <w:t>，项目位于巴中市</w:t>
                  </w:r>
                  <w:r>
                    <w:rPr>
                      <w:rFonts w:hint="eastAsia" w:ascii="Times New Roman" w:hAnsi="Times New Roman" w:eastAsia="宋体" w:cs="Times New Roman"/>
                      <w:b w:val="0"/>
                      <w:color w:val="auto"/>
                      <w:lang w:eastAsia="zh-CN"/>
                    </w:rPr>
                    <w:t>恩阳区上八庙镇季台村6组</w:t>
                  </w:r>
                  <w:r>
                    <w:rPr>
                      <w:rFonts w:hint="default" w:ascii="Times New Roman" w:hAnsi="Times New Roman" w:eastAsia="宋体" w:cs="Times New Roman"/>
                      <w:b w:val="0"/>
                      <w:color w:val="auto"/>
                      <w:lang w:val="en-US" w:eastAsia="zh-CN"/>
                    </w:rPr>
                    <w:t>，属于川东北能源建材勘查开发区的巴中地区天然气勘探项目。项目建设有利于区域天然气</w:t>
                  </w:r>
                  <w:r>
                    <w:rPr>
                      <w:rFonts w:hint="eastAsia" w:ascii="Times New Roman" w:hAnsi="Times New Roman" w:eastAsia="宋体" w:cs="Times New Roman"/>
                      <w:b w:val="0"/>
                      <w:color w:val="auto"/>
                      <w:lang w:val="en-US" w:eastAsia="zh-CN"/>
                    </w:rPr>
                    <w:t>勘查</w:t>
                  </w:r>
                  <w:r>
                    <w:rPr>
                      <w:rFonts w:hint="default" w:ascii="Times New Roman" w:hAnsi="Times New Roman" w:eastAsia="宋体" w:cs="Times New Roman"/>
                      <w:b w:val="0"/>
                      <w:color w:val="auto"/>
                      <w:lang w:val="en-US" w:eastAsia="zh-CN"/>
                    </w:rPr>
                    <w:t>和开发，有助于优化矿产资源开发利用总量和结构</w:t>
                  </w:r>
                </w:p>
              </w:tc>
              <w:tc>
                <w:tcPr>
                  <w:tcW w:w="917" w:type="dxa"/>
                  <w:noWrap w:val="0"/>
                  <w:vAlign w:val="center"/>
                </w:tcPr>
                <w:p w14:paraId="3DE9FA0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14:paraId="21BB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63D9B01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3904" w:type="dxa"/>
                  <w:noWrap w:val="0"/>
                  <w:vAlign w:val="top"/>
                </w:tcPr>
                <w:p w14:paraId="090AA9F4">
                  <w:pPr>
                    <w:pStyle w:val="55"/>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第三节 明确勘查开发重点方向：川东北重点勘查天然气、页岩油、天然沥青、煤层气、钒、铼、地热、钾盐、石墨</w:t>
                  </w:r>
                </w:p>
              </w:tc>
              <w:tc>
                <w:tcPr>
                  <w:tcW w:w="2332" w:type="dxa"/>
                  <w:vMerge w:val="continue"/>
                  <w:noWrap w:val="0"/>
                  <w:vAlign w:val="center"/>
                </w:tcPr>
                <w:p w14:paraId="72B180A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c>
                <w:tcPr>
                  <w:tcW w:w="917" w:type="dxa"/>
                  <w:noWrap w:val="0"/>
                  <w:vAlign w:val="center"/>
                </w:tcPr>
                <w:p w14:paraId="2632E8C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14:paraId="64B0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4782439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3</w:t>
                  </w:r>
                </w:p>
              </w:tc>
              <w:tc>
                <w:tcPr>
                  <w:tcW w:w="3904" w:type="dxa"/>
                  <w:noWrap w:val="0"/>
                  <w:vAlign w:val="top"/>
                </w:tcPr>
                <w:p w14:paraId="0BC210FC">
                  <w:pPr>
                    <w:pStyle w:val="55"/>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第五章 第一节优化矿产资源开发利用总量和结构：大力支持天然气、页岩气开采，2025年底全省天然气（页岩气）产量达到630亿立方米/年，2035年建成国家天然气（页岩气）千亿立方米级产能基地</w:t>
                  </w:r>
                </w:p>
              </w:tc>
              <w:tc>
                <w:tcPr>
                  <w:tcW w:w="2332" w:type="dxa"/>
                  <w:vMerge w:val="continue"/>
                  <w:noWrap w:val="0"/>
                  <w:vAlign w:val="center"/>
                </w:tcPr>
                <w:p w14:paraId="471DD62D">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rPr>
                  </w:pPr>
                </w:p>
              </w:tc>
              <w:tc>
                <w:tcPr>
                  <w:tcW w:w="917" w:type="dxa"/>
                  <w:noWrap w:val="0"/>
                  <w:vAlign w:val="center"/>
                </w:tcPr>
                <w:p w14:paraId="145571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bl>
          <w:p w14:paraId="6B4B0FA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由上表可知，本项目</w:t>
            </w:r>
            <w:r>
              <w:rPr>
                <w:rFonts w:hint="eastAsia" w:ascii="Times New Roman" w:hAnsi="Times New Roman" w:cs="Times New Roman"/>
                <w:color w:val="auto"/>
                <w:sz w:val="24"/>
                <w:lang w:val="en-US" w:eastAsia="zh-CN"/>
              </w:rPr>
              <w:t>为</w:t>
            </w:r>
            <w:r>
              <w:rPr>
                <w:rFonts w:hint="default" w:ascii="Times New Roman" w:hAnsi="Times New Roman" w:cs="Times New Roman"/>
                <w:color w:val="auto"/>
                <w:sz w:val="24"/>
              </w:rPr>
              <w:t>天然气勘探项目，符合《四川省矿产资源总体规划（2021-2025年）》相关要求。</w:t>
            </w:r>
          </w:p>
          <w:p w14:paraId="370EF16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szCs w:val="21"/>
              </w:rPr>
            </w:pPr>
            <w:r>
              <w:rPr>
                <w:rFonts w:hint="eastAsia" w:ascii="Times New Roman" w:hAnsi="Times New Roman" w:cs="Times New Roman"/>
                <w:b/>
                <w:bCs/>
                <w:color w:val="auto"/>
                <w:sz w:val="24"/>
                <w:szCs w:val="21"/>
                <w:lang w:val="en-US" w:eastAsia="zh-CN"/>
              </w:rPr>
              <w:t>2、</w:t>
            </w:r>
            <w:r>
              <w:rPr>
                <w:rFonts w:hint="default" w:ascii="Times New Roman" w:hAnsi="Times New Roman" w:cs="Times New Roman"/>
                <w:b/>
                <w:bCs/>
                <w:color w:val="auto"/>
                <w:sz w:val="24"/>
                <w:szCs w:val="21"/>
              </w:rPr>
              <w:t>与《四川省矿产资源总体规划（2021-2025年）环境影响报告书》及审查意见符合性分析</w:t>
            </w:r>
          </w:p>
          <w:p w14:paraId="5B1D16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中华人民共和国生态环境部于2022年7月20日以“环审〔2022〕105号”出具了《关于&lt;四川省矿产资源总体规划（2021-2025年）环境影响报告书&gt;的审查意见》，本项目与规划环评及审查意见符合性分析见下表：</w:t>
            </w:r>
          </w:p>
          <w:p w14:paraId="71CF961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本项目与《四川省矿产资源总体规划（2021-2025年）环境影响报告书》及审查意见符合性分析</w:t>
            </w:r>
          </w:p>
          <w:tbl>
            <w:tblPr>
              <w:tblStyle w:val="23"/>
              <w:tblW w:w="7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4884"/>
              <w:gridCol w:w="1307"/>
              <w:gridCol w:w="1094"/>
            </w:tblGrid>
            <w:tr w14:paraId="1C4C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442B998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4884" w:type="dxa"/>
                  <w:noWrap w:val="0"/>
                  <w:vAlign w:val="center"/>
                </w:tcPr>
                <w:p w14:paraId="5F5F547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规划环评及审查意见要求</w:t>
                  </w:r>
                </w:p>
              </w:tc>
              <w:tc>
                <w:tcPr>
                  <w:tcW w:w="1307" w:type="dxa"/>
                  <w:noWrap w:val="0"/>
                  <w:vAlign w:val="center"/>
                </w:tcPr>
                <w:p w14:paraId="77F67E6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1094" w:type="dxa"/>
                  <w:noWrap w:val="0"/>
                  <w:vAlign w:val="center"/>
                </w:tcPr>
                <w:p w14:paraId="16F72C3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1304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5F34FB3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4884" w:type="dxa"/>
                  <w:noWrap w:val="0"/>
                  <w:vAlign w:val="top"/>
                </w:tcPr>
                <w:p w14:paraId="38367C0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cs="Times New Roman"/>
                      <w:color w:val="auto"/>
                    </w:rPr>
                    <w:t>坚持生态优先</w:t>
                  </w:r>
                  <w:r>
                    <w:rPr>
                      <w:rFonts w:hint="eastAsia" w:ascii="Times New Roman" w:hAnsi="Times New Roman" w:eastAsia="宋体" w:cs="Times New Roman"/>
                      <w:color w:val="auto"/>
                      <w:lang w:eastAsia="zh-CN"/>
                    </w:rPr>
                    <w:t>、</w:t>
                  </w:r>
                  <w:r>
                    <w:rPr>
                      <w:rFonts w:ascii="Times New Roman" w:hAnsi="Times New Roman" w:cs="Times New Roman"/>
                      <w:color w:val="auto"/>
                    </w:rPr>
                    <w:t>绿色发展。坚持以习近平生态文明思想为指导，严格落实《中华人民共和国长江保护法》，按照</w:t>
                  </w:r>
                  <w:r>
                    <w:rPr>
                      <w:rFonts w:ascii="Times New Roman" w:hAnsi="Times New Roman" w:eastAsia="宋体" w:cs="Times New Roman"/>
                      <w:color w:val="auto"/>
                    </w:rPr>
                    <w:t>“共抓大保护、不搞大开发”要求，立足于生态系统稳定和生态环境质量改善，处理好生态环境保护</w:t>
                  </w:r>
                  <w:r>
                    <w:rPr>
                      <w:rFonts w:hint="eastAsia" w:ascii="Times New Roman" w:hAnsi="Times New Roman" w:eastAsia="宋体" w:cs="Times New Roman"/>
                      <w:color w:val="auto"/>
                    </w:rPr>
                    <w:t>与</w:t>
                  </w:r>
                  <w:r>
                    <w:rPr>
                      <w:rFonts w:ascii="Times New Roman" w:hAnsi="Times New Roman" w:eastAsia="宋体" w:cs="Times New Roman"/>
                      <w:color w:val="auto"/>
                    </w:rPr>
                    <w:t>矿产资源开发的关系，合理控制矿产资源开发规模与强度，不得占用依法应当禁止开发的区域，优先避让生态环境敏感区域。</w:t>
                  </w:r>
                </w:p>
              </w:tc>
              <w:tc>
                <w:tcPr>
                  <w:tcW w:w="1307" w:type="dxa"/>
                  <w:vMerge w:val="restart"/>
                  <w:noWrap w:val="0"/>
                  <w:vAlign w:val="center"/>
                </w:tcPr>
                <w:p w14:paraId="233C46AB">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ascii="Times New Roman" w:hAnsi="Times New Roman" w:cs="Times New Roman"/>
                      <w:color w:val="auto"/>
                    </w:rPr>
                    <w:t>本项目为天然气勘探项目，项目选址不涉及生态保护红线，不涉及自然保护区、风景名胜区、</w:t>
                  </w:r>
                  <w:r>
                    <w:rPr>
                      <w:rFonts w:hint="eastAsia" w:ascii="Times New Roman" w:hAnsi="Times New Roman" w:eastAsia="宋体" w:cs="Times New Roman"/>
                      <w:color w:val="auto"/>
                      <w:lang w:val="en-US" w:eastAsia="zh-CN"/>
                    </w:rPr>
                    <w:t>饮用水水源保护区、</w:t>
                  </w:r>
                  <w:r>
                    <w:rPr>
                      <w:rFonts w:ascii="Times New Roman" w:hAnsi="Times New Roman" w:cs="Times New Roman"/>
                      <w:color w:val="auto"/>
                    </w:rPr>
                    <w:t>湿地公园等</w:t>
                  </w:r>
                </w:p>
              </w:tc>
              <w:tc>
                <w:tcPr>
                  <w:tcW w:w="1094" w:type="dxa"/>
                  <w:noWrap w:val="0"/>
                  <w:vAlign w:val="center"/>
                </w:tcPr>
                <w:p w14:paraId="06DDD37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24ED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2C7E266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4884" w:type="dxa"/>
                  <w:noWrap w:val="0"/>
                  <w:vAlign w:val="top"/>
                </w:tcPr>
                <w:p w14:paraId="0C35BA3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cs="Times New Roman"/>
                      <w:color w:val="auto"/>
                    </w:rPr>
                    <w:t>严格保护生态空间、优化《规划》布局。将生态保护红线作为保障和维护区域生态安全的底线，进一步优化矿业权设置和空间布局，依法依规对生态空间实施严格保护。……落实《报告书》提出的位于一般生态空间的22个已设采矿权保留区块、34个勘查规划区块的管控要求，进一步优化布局，依法依规妥善处置，严格控制采矿、探矿活动范围和强度。</w:t>
                  </w:r>
                </w:p>
              </w:tc>
              <w:tc>
                <w:tcPr>
                  <w:tcW w:w="1307" w:type="dxa"/>
                  <w:vMerge w:val="continue"/>
                  <w:noWrap w:val="0"/>
                  <w:vAlign w:val="center"/>
                </w:tcPr>
                <w:p w14:paraId="5230A4B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94" w:type="dxa"/>
                  <w:noWrap w:val="0"/>
                  <w:vAlign w:val="center"/>
                </w:tcPr>
                <w:p w14:paraId="2B49B2E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547B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7D2C69B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4884" w:type="dxa"/>
                  <w:noWrap w:val="0"/>
                  <w:vAlign w:val="top"/>
                </w:tcPr>
                <w:p w14:paraId="58594412">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cs="Times New Roman"/>
                      <w:color w:val="auto"/>
                    </w:rPr>
                    <w:t>严格环境准入，保护区域生态环境功能。按照四川省生态环境分区管控方案，生态环境保护规划等新要求，与一般生态空间存在重叠的勘查规划区块、开采规划区块、应按照一般生态空间管控要求，严格控制勘查、开采活动范围和强度，严格落实绿色勘查、绿色开发及矿山生态保护修复相关要求，确保生态系统结构稳定和生态功能不退化。严格控制涉及生物多样性保护优先区域、国家重点生态功能区、水土流失重点防治区等具有重要生态功能的区域矿产开采活动，并采取严格有针对性的保护措施，防止对区域生态功能产生不良环境影响。</w:t>
                  </w:r>
                </w:p>
              </w:tc>
              <w:tc>
                <w:tcPr>
                  <w:tcW w:w="1307" w:type="dxa"/>
                  <w:vMerge w:val="continue"/>
                  <w:noWrap w:val="0"/>
                  <w:vAlign w:val="center"/>
                </w:tcPr>
                <w:p w14:paraId="5DDA825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94" w:type="dxa"/>
                  <w:noWrap w:val="0"/>
                  <w:vAlign w:val="center"/>
                </w:tcPr>
                <w:p w14:paraId="06D3638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0D8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4277F20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4884" w:type="dxa"/>
                  <w:noWrap w:val="0"/>
                  <w:vAlign w:val="center"/>
                </w:tcPr>
                <w:p w14:paraId="40561D54">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cs="Times New Roman"/>
                      <w:color w:val="auto"/>
                    </w:rPr>
                    <w:t>加强生态环境保护监测和预警。结合生态保护、饮用水水源保护区及水环境功能区水质保护及改善要求，</w:t>
                  </w:r>
                  <w:r>
                    <w:rPr>
                      <w:rFonts w:hint="eastAsia" w:ascii="Times New Roman" w:hAnsi="Times New Roman" w:eastAsia="宋体" w:cs="Times New Roman"/>
                      <w:color w:val="auto"/>
                    </w:rPr>
                    <w:t>土壤污染防治</w:t>
                  </w:r>
                  <w:r>
                    <w:rPr>
                      <w:rFonts w:ascii="Times New Roman" w:hAnsi="Times New Roman" w:cs="Times New Roman"/>
                      <w:color w:val="auto"/>
                    </w:rPr>
                    <w:t>目标等，推进重点矿区建立生态、地表水、地下水、土壤等环境要素的长期监测监控体系，……针对地表水环境及土壤环境累积影响、地下水环境质量下降、生态退化等情形，建立预警机制。</w:t>
                  </w:r>
                </w:p>
              </w:tc>
              <w:tc>
                <w:tcPr>
                  <w:tcW w:w="1307" w:type="dxa"/>
                  <w:noWrap w:val="0"/>
                  <w:vAlign w:val="center"/>
                </w:tcPr>
                <w:p w14:paraId="5D21AD80">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ascii="Times New Roman" w:hAnsi="Times New Roman" w:cs="Times New Roman"/>
                      <w:color w:val="auto"/>
                    </w:rPr>
                    <w:t>本项目按照导则相关要求，制定了监测计划，并要求建设单位按照规定编制环境风险应急预案</w:t>
                  </w:r>
                </w:p>
              </w:tc>
              <w:tc>
                <w:tcPr>
                  <w:tcW w:w="1094" w:type="dxa"/>
                  <w:noWrap w:val="0"/>
                  <w:vAlign w:val="center"/>
                </w:tcPr>
                <w:p w14:paraId="13CCB14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bl>
          <w:p w14:paraId="675B5AC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bCs/>
                <w:color w:val="auto"/>
                <w:sz w:val="24"/>
              </w:rPr>
              <w:t>综上所述，本项目建设与《四川省矿产资源总体规划（2021-2025年）环境影响报告书》及审查意见相符。</w:t>
            </w:r>
          </w:p>
        </w:tc>
      </w:tr>
      <w:tr w14:paraId="50E6A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621" w:type="pct"/>
            <w:noWrap w:val="0"/>
            <w:tcMar>
              <w:top w:w="16" w:type="dxa"/>
              <w:left w:w="16" w:type="dxa"/>
              <w:right w:w="16" w:type="dxa"/>
            </w:tcMar>
            <w:vAlign w:val="center"/>
          </w:tcPr>
          <w:p w14:paraId="2DC44FD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bookmarkStart w:id="26" w:name="_Hlk56690880"/>
            <w:r>
              <w:rPr>
                <w:rFonts w:hint="default" w:ascii="Times New Roman" w:hAnsi="Times New Roman" w:cs="Times New Roman"/>
                <w:color w:val="auto"/>
                <w:kern w:val="0"/>
                <w:sz w:val="24"/>
              </w:rPr>
              <w:t>其他符合性分析</w:t>
            </w:r>
            <w:bookmarkEnd w:id="26"/>
          </w:p>
        </w:tc>
        <w:tc>
          <w:tcPr>
            <w:tcW w:w="4378" w:type="pct"/>
            <w:gridSpan w:val="3"/>
            <w:noWrap w:val="0"/>
            <w:tcMar>
              <w:top w:w="16" w:type="dxa"/>
              <w:left w:w="16" w:type="dxa"/>
              <w:right w:w="16" w:type="dxa"/>
            </w:tcMar>
            <w:vAlign w:val="center"/>
          </w:tcPr>
          <w:p w14:paraId="125514E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产业政策符合性分析</w:t>
            </w:r>
          </w:p>
          <w:p w14:paraId="55A6B5F0">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2"/>
                <w:sz w:val="24"/>
              </w:rPr>
            </w:pPr>
            <w:r>
              <w:rPr>
                <w:rFonts w:hint="default" w:ascii="Times New Roman" w:hAnsi="Times New Roman" w:cs="Times New Roman"/>
                <w:color w:val="auto"/>
                <w:kern w:val="2"/>
                <w:sz w:val="24"/>
              </w:rPr>
              <w:t>根据《产业结构调整指导目录（2024年本）》，本项目属于第一类“鼓励类”“石油天然气”</w:t>
            </w:r>
            <w:r>
              <w:rPr>
                <w:rFonts w:hint="default" w:ascii="Times New Roman" w:hAnsi="Times New Roman" w:cs="Times New Roman"/>
                <w:color w:val="auto"/>
                <w:kern w:val="2"/>
                <w:sz w:val="24"/>
                <w:lang w:val="en-US" w:eastAsia="zh-CN"/>
              </w:rPr>
              <w:t>第一款</w:t>
            </w:r>
            <w:r>
              <w:rPr>
                <w:rFonts w:hint="default" w:ascii="Times New Roman" w:hAnsi="Times New Roman" w:cs="Times New Roman"/>
                <w:color w:val="auto"/>
                <w:sz w:val="24"/>
              </w:rPr>
              <w:t>“石油天然气开采：常规石油、天然气勘探与开采，页岩气、页岩油、油砂、天然气水合物等非常规资源勘探开发”中的非常规天然气勘探</w:t>
            </w:r>
            <w:r>
              <w:rPr>
                <w:rFonts w:hint="default" w:ascii="Times New Roman" w:hAnsi="Times New Roman" w:cs="Times New Roman"/>
                <w:color w:val="auto"/>
                <w:sz w:val="24"/>
                <w:lang w:val="en-US" w:eastAsia="zh-CN"/>
              </w:rPr>
              <w:t>项目</w:t>
            </w:r>
            <w:r>
              <w:rPr>
                <w:rFonts w:hint="default" w:ascii="Times New Roman" w:hAnsi="Times New Roman" w:cs="Times New Roman"/>
                <w:color w:val="auto"/>
                <w:kern w:val="2"/>
                <w:sz w:val="24"/>
              </w:rPr>
              <w:t>，符合国家产业政策。</w:t>
            </w:r>
          </w:p>
          <w:p w14:paraId="63FC66C8">
            <w:pPr>
              <w:keepNext w:val="0"/>
              <w:keepLines w:val="0"/>
              <w:widowControl/>
              <w:suppressLineNumbers w:val="0"/>
              <w:spacing w:before="0" w:beforeAutospacing="0" w:after="0" w:afterAutospacing="0" w:line="360" w:lineRule="auto"/>
              <w:ind w:left="0" w:right="0" w:firstLine="480" w:firstLineChars="200"/>
              <w:jc w:val="left"/>
              <w:rPr>
                <w:rFonts w:hint="eastAsia" w:cs="Times New Roman"/>
                <w:color w:val="auto"/>
                <w:kern w:val="0"/>
                <w:sz w:val="24"/>
                <w:lang w:val="en-US" w:eastAsia="zh-CN" w:bidi="ar"/>
              </w:rPr>
            </w:pPr>
            <w:r>
              <w:rPr>
                <w:rFonts w:hint="default" w:ascii="Times New Roman" w:hAnsi="Times New Roman" w:cs="Times New Roman"/>
                <w:color w:val="auto"/>
                <w:kern w:val="0"/>
                <w:sz w:val="24"/>
                <w:lang w:bidi="ar"/>
              </w:rPr>
              <w:t>中国</w:t>
            </w:r>
            <w:r>
              <w:rPr>
                <w:rFonts w:hint="eastAsia" w:ascii="Times New Roman" w:hAnsi="Times New Roman" w:cs="Times New Roman"/>
                <w:color w:val="auto"/>
                <w:kern w:val="0"/>
                <w:sz w:val="24"/>
                <w:lang w:val="en-US" w:eastAsia="zh-CN" w:bidi="ar"/>
              </w:rPr>
              <w:t>石油化工股份有限公司勘探分公司</w:t>
            </w:r>
            <w:r>
              <w:rPr>
                <w:rFonts w:hint="default" w:ascii="Times New Roman" w:hAnsi="Times New Roman" w:cs="Times New Roman"/>
                <w:color w:val="auto"/>
                <w:kern w:val="0"/>
                <w:sz w:val="24"/>
                <w:lang w:bidi="ar"/>
              </w:rPr>
              <w:t>油气勘探管理部</w:t>
            </w:r>
            <w:r>
              <w:rPr>
                <w:rFonts w:hint="eastAsia" w:ascii="Times New Roman" w:hAnsi="Times New Roman" w:cs="Times New Roman"/>
                <w:color w:val="auto"/>
                <w:kern w:val="0"/>
                <w:sz w:val="24"/>
                <w:lang w:val="en-US" w:eastAsia="zh-CN" w:bidi="ar"/>
              </w:rPr>
              <w:t>于202</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年</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月</w:t>
            </w:r>
            <w:r>
              <w:rPr>
                <w:rFonts w:hint="eastAsia" w:cs="Times New Roman"/>
                <w:color w:val="auto"/>
                <w:kern w:val="0"/>
                <w:sz w:val="24"/>
                <w:lang w:val="en-US" w:eastAsia="zh-CN" w:bidi="ar"/>
              </w:rPr>
              <w:t>8</w:t>
            </w:r>
            <w:r>
              <w:rPr>
                <w:rFonts w:hint="eastAsia" w:ascii="Times New Roman" w:hAnsi="Times New Roman" w:cs="Times New Roman"/>
                <w:color w:val="auto"/>
                <w:kern w:val="0"/>
                <w:sz w:val="24"/>
                <w:lang w:val="en-US" w:eastAsia="zh-CN" w:bidi="ar"/>
              </w:rPr>
              <w:t>日出具的</w:t>
            </w:r>
            <w:r>
              <w:rPr>
                <w:rFonts w:hint="default" w:ascii="Times New Roman" w:hAnsi="Times New Roman" w:cs="Times New Roman"/>
                <w:color w:val="auto"/>
                <w:kern w:val="0"/>
                <w:sz w:val="24"/>
                <w:lang w:bidi="ar"/>
              </w:rPr>
              <w:t>《关于启动</w:t>
            </w:r>
            <w:r>
              <w:rPr>
                <w:rFonts w:hint="eastAsia" w:cs="Times New Roman"/>
                <w:color w:val="auto"/>
                <w:kern w:val="0"/>
                <w:sz w:val="24"/>
                <w:lang w:val="en-US" w:eastAsia="zh-CN" w:bidi="ar"/>
              </w:rPr>
              <w:t>元陆39</w:t>
            </w:r>
            <w:r>
              <w:rPr>
                <w:rFonts w:hint="eastAsia" w:ascii="Times New Roman" w:hAnsi="Times New Roman" w:cs="Times New Roman"/>
                <w:color w:val="auto"/>
                <w:kern w:val="0"/>
                <w:sz w:val="24"/>
                <w:lang w:val="en-US" w:eastAsia="zh-CN" w:bidi="ar"/>
              </w:rPr>
              <w:t>井</w:t>
            </w:r>
            <w:r>
              <w:rPr>
                <w:rFonts w:hint="eastAsia" w:cs="Times New Roman"/>
                <w:color w:val="auto"/>
                <w:kern w:val="0"/>
                <w:sz w:val="24"/>
                <w:lang w:val="en-US" w:eastAsia="zh-CN" w:bidi="ar"/>
              </w:rPr>
              <w:t>钻探工程</w:t>
            </w:r>
            <w:r>
              <w:rPr>
                <w:rFonts w:hint="eastAsia" w:ascii="Times New Roman" w:hAnsi="Times New Roman" w:cs="Times New Roman"/>
                <w:color w:val="auto"/>
                <w:kern w:val="0"/>
                <w:sz w:val="24"/>
                <w:lang w:val="en-US" w:eastAsia="zh-CN" w:bidi="ar"/>
              </w:rPr>
              <w:t>的通知</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勘探</w:t>
            </w:r>
            <w:r>
              <w:rPr>
                <w:rFonts w:hint="eastAsia" w:ascii="Times New Roman" w:hAnsi="Times New Roman" w:cs="Times New Roman"/>
                <w:color w:val="auto"/>
                <w:kern w:val="0"/>
                <w:sz w:val="24"/>
                <w:lang w:val="en-US" w:eastAsia="zh-CN" w:bidi="ar"/>
              </w:rPr>
              <w:t>勘</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8</w:t>
            </w:r>
            <w:r>
              <w:rPr>
                <w:rFonts w:hint="eastAsia" w:ascii="Times New Roman" w:hAnsi="Times New Roman" w:cs="Times New Roman"/>
                <w:color w:val="auto"/>
                <w:kern w:val="0"/>
                <w:sz w:val="24"/>
                <w:lang w:bidi="ar"/>
              </w:rPr>
              <w:t>号</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指出：</w:t>
            </w:r>
            <w:r>
              <w:rPr>
                <w:rFonts w:hint="default" w:ascii="Times New Roman" w:hAnsi="Times New Roman" w:cs="Times New Roman"/>
                <w:color w:val="auto"/>
                <w:kern w:val="0"/>
                <w:sz w:val="24"/>
                <w:lang w:bidi="ar"/>
              </w:rPr>
              <w:t>根据</w:t>
            </w:r>
            <w:r>
              <w:rPr>
                <w:rFonts w:hint="eastAsia" w:cs="Times New Roman"/>
                <w:color w:val="auto"/>
                <w:kern w:val="0"/>
                <w:sz w:val="24"/>
                <w:lang w:val="en-US" w:eastAsia="zh-CN" w:bidi="ar"/>
              </w:rPr>
              <w:t>2026年川北巴中须家河组井位论证会议纪要（勘探</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第43期），经分公司研究，并报油田事业部同意，决定启动元陆39井钻探工程，并按照相关法律法规做好元陆39井环境影响评价工作。</w:t>
            </w:r>
          </w:p>
          <w:p w14:paraId="48940A79">
            <w:pPr>
              <w:keepNext w:val="0"/>
              <w:keepLines w:val="0"/>
              <w:widowControl/>
              <w:suppressLineNumbers w:val="0"/>
              <w:spacing w:before="0" w:beforeAutospacing="0" w:after="0" w:afterAutospacing="0" w:line="360" w:lineRule="auto"/>
              <w:ind w:left="0" w:right="0" w:firstLine="480" w:firstLineChars="200"/>
              <w:jc w:val="left"/>
              <w:rPr>
                <w:rFonts w:hint="default" w:cs="Times New Roman"/>
                <w:color w:val="auto"/>
                <w:kern w:val="0"/>
                <w:sz w:val="24"/>
                <w:lang w:val="en-US" w:eastAsia="zh-CN" w:bidi="ar"/>
              </w:rPr>
            </w:pPr>
            <w:r>
              <w:rPr>
                <w:rFonts w:hint="eastAsia" w:cs="Times New Roman"/>
                <w:color w:val="auto"/>
                <w:kern w:val="0"/>
                <w:sz w:val="24"/>
                <w:lang w:val="en-US" w:eastAsia="zh-CN" w:bidi="ar"/>
              </w:rPr>
              <w:t>综上，本项目的建设与现行产业政策相符。</w:t>
            </w:r>
          </w:p>
          <w:p w14:paraId="26331117">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与城乡规划符合性分析</w:t>
            </w:r>
          </w:p>
          <w:p w14:paraId="7A4519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lang w:val="en-US" w:eastAsia="zh-CN"/>
              </w:rPr>
            </w:pPr>
            <w:r>
              <w:rPr>
                <w:rFonts w:hint="eastAsia" w:ascii="Times New Roman" w:hAnsi="Times New Roman" w:cs="Times New Roman"/>
                <w:color w:val="auto"/>
                <w:sz w:val="24"/>
                <w:lang w:val="en-US" w:eastAsia="zh-CN"/>
              </w:rPr>
              <w:t>本项目</w:t>
            </w:r>
            <w:r>
              <w:rPr>
                <w:rFonts w:hint="default" w:ascii="Times New Roman" w:hAnsi="Times New Roman" w:cs="Times New Roman"/>
                <w:color w:val="auto"/>
                <w:sz w:val="24"/>
              </w:rPr>
              <w:t>位于</w:t>
            </w:r>
            <w:r>
              <w:rPr>
                <w:rFonts w:hint="eastAsia" w:ascii="Times New Roman" w:hAnsi="Times New Roman" w:cs="Times New Roman"/>
                <w:color w:val="auto"/>
                <w:sz w:val="24"/>
              </w:rPr>
              <w:t>四川省巴中市</w:t>
            </w:r>
            <w:r>
              <w:rPr>
                <w:rFonts w:hint="eastAsia" w:cs="Times New Roman"/>
                <w:color w:val="auto"/>
                <w:sz w:val="24"/>
                <w:lang w:eastAsia="zh-CN"/>
              </w:rPr>
              <w:t>恩阳区上八庙镇季台村6组</w:t>
            </w:r>
            <w:r>
              <w:rPr>
                <w:rFonts w:hint="default" w:ascii="Times New Roman" w:hAnsi="Times New Roman" w:cs="Times New Roman"/>
                <w:color w:val="auto"/>
                <w:sz w:val="24"/>
              </w:rPr>
              <w:t>，</w:t>
            </w:r>
            <w:r>
              <w:rPr>
                <w:rFonts w:hint="eastAsia" w:ascii="Times New Roman" w:hAnsi="Times New Roman" w:cs="Times New Roman"/>
                <w:color w:val="auto"/>
                <w:kern w:val="0"/>
                <w:sz w:val="24"/>
              </w:rPr>
              <w:t>井</w:t>
            </w:r>
            <w:r>
              <w:rPr>
                <w:rFonts w:hint="eastAsia" w:ascii="Times New Roman" w:hAnsi="Times New Roman" w:cs="Times New Roman"/>
                <w:color w:val="auto"/>
                <w:kern w:val="0"/>
                <w:sz w:val="24"/>
                <w:lang w:val="en-US" w:eastAsia="zh-CN"/>
              </w:rPr>
              <w:t>场周边最近乡镇为</w:t>
            </w:r>
            <w:r>
              <w:rPr>
                <w:rFonts w:hint="eastAsia" w:cs="Times New Roman"/>
                <w:color w:val="auto"/>
                <w:kern w:val="0"/>
                <w:sz w:val="24"/>
                <w:lang w:val="en-US" w:eastAsia="zh-CN"/>
              </w:rPr>
              <w:t>上八庙镇</w:t>
            </w:r>
            <w:r>
              <w:rPr>
                <w:rFonts w:hint="eastAsia" w:ascii="Times New Roman" w:hAnsi="Times New Roman" w:cs="Times New Roman"/>
                <w:color w:val="auto"/>
                <w:kern w:val="0"/>
                <w:sz w:val="24"/>
                <w:lang w:val="en-US" w:eastAsia="zh-CN"/>
              </w:rPr>
              <w:t>，直线距离约</w:t>
            </w:r>
            <w:r>
              <w:rPr>
                <w:rFonts w:hint="eastAsia" w:cs="Times New Roman"/>
                <w:color w:val="auto"/>
                <w:kern w:val="0"/>
                <w:sz w:val="24"/>
                <w:lang w:val="en-US" w:eastAsia="zh-CN"/>
              </w:rPr>
              <w:t>3.45k</w:t>
            </w:r>
            <w:r>
              <w:rPr>
                <w:rFonts w:hint="eastAsia" w:ascii="Times New Roman" w:hAnsi="Times New Roman" w:cs="Times New Roman"/>
                <w:color w:val="auto"/>
                <w:kern w:val="0"/>
                <w:sz w:val="24"/>
                <w:lang w:val="en-US" w:eastAsia="zh-CN"/>
              </w:rPr>
              <w:t>m。</w:t>
            </w:r>
          </w:p>
          <w:p w14:paraId="7ACC83FE">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eastAsia" w:ascii="Times New Roman" w:hAnsi="Times New Roman" w:cs="Times New Roman"/>
                <w:color w:val="auto"/>
                <w:sz w:val="24"/>
              </w:rPr>
              <w:t>巴中市自然资源和规划局</w:t>
            </w:r>
            <w:r>
              <w:rPr>
                <w:rFonts w:hint="eastAsia" w:cs="Times New Roman"/>
                <w:color w:val="auto"/>
                <w:sz w:val="24"/>
                <w:lang w:val="en-US" w:eastAsia="zh-CN"/>
              </w:rPr>
              <w:t>恩阳</w:t>
            </w:r>
            <w:r>
              <w:rPr>
                <w:rFonts w:hint="eastAsia" w:ascii="Times New Roman" w:hAnsi="Times New Roman" w:cs="Times New Roman"/>
                <w:color w:val="auto"/>
                <w:sz w:val="24"/>
              </w:rPr>
              <w:t>分局</w:t>
            </w:r>
            <w:r>
              <w:rPr>
                <w:rFonts w:hint="default" w:ascii="Times New Roman" w:hAnsi="Times New Roman" w:cs="Times New Roman"/>
                <w:color w:val="auto"/>
                <w:sz w:val="24"/>
              </w:rPr>
              <w:t>出具的</w:t>
            </w:r>
            <w:r>
              <w:rPr>
                <w:rFonts w:hint="eastAsia" w:cs="Times New Roman"/>
                <w:color w:val="auto"/>
                <w:sz w:val="24"/>
                <w:lang w:eastAsia="zh-CN"/>
              </w:rPr>
              <w:t>《</w:t>
            </w:r>
            <w:r>
              <w:rPr>
                <w:rFonts w:hint="eastAsia" w:ascii="Times New Roman" w:hAnsi="Times New Roman" w:cs="Times New Roman"/>
                <w:color w:val="auto"/>
                <w:sz w:val="24"/>
              </w:rPr>
              <w:t>关于</w:t>
            </w:r>
            <w:r>
              <w:rPr>
                <w:rFonts w:hint="eastAsia" w:cs="Times New Roman"/>
                <w:color w:val="auto"/>
                <w:sz w:val="24"/>
                <w:lang w:val="en-US" w:eastAsia="zh-CN"/>
              </w:rPr>
              <w:t>&lt;核实元陆39井钻探工程项目选址情况的函&gt;的复函》</w:t>
            </w:r>
            <w:r>
              <w:rPr>
                <w:rFonts w:hint="default" w:ascii="Times New Roman" w:hAnsi="Times New Roman" w:cs="Times New Roman"/>
                <w:color w:val="auto"/>
                <w:sz w:val="24"/>
              </w:rPr>
              <w:t>，</w:t>
            </w:r>
            <w:r>
              <w:rPr>
                <w:rFonts w:hint="eastAsia" w:ascii="Times New Roman" w:hAnsi="Times New Roman" w:cs="Times New Roman"/>
                <w:color w:val="auto"/>
                <w:sz w:val="24"/>
              </w:rPr>
              <w:t>本项目选址</w:t>
            </w:r>
            <w:r>
              <w:rPr>
                <w:rFonts w:hint="eastAsia" w:cs="Times New Roman"/>
                <w:color w:val="auto"/>
                <w:sz w:val="24"/>
                <w:lang w:val="en-US" w:eastAsia="zh-CN"/>
              </w:rPr>
              <w:t>位于</w:t>
            </w:r>
            <w:r>
              <w:rPr>
                <w:rFonts w:hint="eastAsia" w:ascii="Times New Roman" w:hAnsi="Times New Roman" w:cs="Times New Roman"/>
                <w:color w:val="auto"/>
                <w:sz w:val="24"/>
              </w:rPr>
              <w:t>城镇开发边界</w:t>
            </w:r>
            <w:r>
              <w:rPr>
                <w:rFonts w:hint="eastAsia" w:cs="Times New Roman"/>
                <w:color w:val="auto"/>
                <w:sz w:val="24"/>
                <w:lang w:val="en-US" w:eastAsia="zh-CN"/>
              </w:rPr>
              <w:t>外，不占用生态保护红线</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根据建设单位资料可知，项目占地全部为临时占地，项目占地类型为林地、耕地（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永久基本农田）、坑塘水面、农村宅基地</w:t>
            </w:r>
            <w:r>
              <w:rPr>
                <w:rFonts w:hint="eastAsia" w:ascii="Times New Roman" w:hAnsi="Times New Roman" w:cs="Times New Roman"/>
                <w:color w:val="auto"/>
                <w:sz w:val="24"/>
                <w:lang w:val="en-US" w:eastAsia="zh-CN"/>
              </w:rPr>
              <w:t>等</w:t>
            </w:r>
            <w:r>
              <w:rPr>
                <w:rFonts w:hint="eastAsia" w:ascii="Times New Roman" w:hAnsi="Times New Roman" w:cs="Times New Roman"/>
                <w:color w:val="auto"/>
              </w:rPr>
              <w:t>，</w:t>
            </w:r>
            <w:r>
              <w:rPr>
                <w:rFonts w:hint="eastAsia" w:ascii="Times New Roman" w:hAnsi="Times New Roman" w:cs="Times New Roman"/>
                <w:color w:val="auto"/>
                <w:sz w:val="24"/>
                <w:highlight w:val="none"/>
                <w:lang w:val="en-US" w:eastAsia="zh-CN"/>
              </w:rPr>
              <w:t>不涉及天然林、公益林，</w:t>
            </w:r>
            <w:r>
              <w:rPr>
                <w:rFonts w:hint="eastAsia" w:ascii="Times New Roman" w:hAnsi="Times New Roman" w:cs="Times New Roman"/>
                <w:color w:val="auto"/>
                <w:sz w:val="24"/>
              </w:rPr>
              <w:t>总用地规模</w:t>
            </w:r>
            <w:r>
              <w:rPr>
                <w:rFonts w:hint="eastAsia" w:cs="Times New Roman"/>
                <w:color w:val="auto"/>
                <w:sz w:val="24"/>
                <w:lang w:val="en-US" w:eastAsia="zh-CN"/>
              </w:rPr>
              <w:t>16780</w:t>
            </w:r>
            <w:r>
              <w:rPr>
                <w:rFonts w:hint="eastAsia" w:ascii="Times New Roman" w:hAnsi="Times New Roman" w:cs="Times New Roman"/>
                <w:color w:val="auto"/>
                <w:sz w:val="24"/>
              </w:rPr>
              <w:t>m</w:t>
            </w:r>
            <w:r>
              <w:rPr>
                <w:rFonts w:hint="eastAsia" w:ascii="Times New Roman" w:hAnsi="Times New Roman" w:cs="Times New Roman"/>
                <w:color w:val="auto"/>
                <w:sz w:val="24"/>
                <w:vertAlign w:val="superscript"/>
              </w:rPr>
              <w:t>2</w:t>
            </w:r>
            <w:r>
              <w:rPr>
                <w:rFonts w:hint="eastAsia" w:ascii="Times New Roman" w:hAnsi="Times New Roman" w:cs="Times New Roman"/>
                <w:color w:val="auto"/>
                <w:sz w:val="24"/>
              </w:rPr>
              <w:t>。</w:t>
            </w:r>
            <w:r>
              <w:rPr>
                <w:rFonts w:hint="default" w:ascii="Times New Roman" w:hAnsi="Times New Roman" w:cs="Times New Roman"/>
                <w:color w:val="auto"/>
                <w:sz w:val="24"/>
              </w:rPr>
              <w:t>项目不涉及风景名胜区、自然保护区</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饮用水水源保护区、</w:t>
            </w:r>
            <w:r>
              <w:rPr>
                <w:rFonts w:hint="default" w:ascii="Times New Roman" w:hAnsi="Times New Roman" w:cs="Times New Roman"/>
                <w:color w:val="auto"/>
                <w:sz w:val="24"/>
              </w:rPr>
              <w:t>生态保护红线等环境敏感目标。</w:t>
            </w:r>
          </w:p>
          <w:p w14:paraId="225D0A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本项目选址在</w:t>
            </w:r>
            <w:r>
              <w:rPr>
                <w:rFonts w:hint="eastAsia" w:ascii="Times New Roman" w:hAnsi="Times New Roman" w:cs="Times New Roman"/>
                <w:color w:val="auto"/>
                <w:sz w:val="24"/>
                <w:lang w:val="en-US" w:eastAsia="zh-CN"/>
              </w:rPr>
              <w:t>城</w:t>
            </w:r>
            <w:r>
              <w:rPr>
                <w:rFonts w:hint="default" w:ascii="Times New Roman" w:hAnsi="Times New Roman" w:cs="Times New Roman"/>
                <w:color w:val="auto"/>
                <w:sz w:val="24"/>
              </w:rPr>
              <w:t>乡规划建设用地之外，项目建设与当地</w:t>
            </w:r>
            <w:r>
              <w:rPr>
                <w:rFonts w:hint="eastAsia" w:ascii="Times New Roman" w:hAnsi="Times New Roman" w:cs="Times New Roman"/>
                <w:color w:val="auto"/>
                <w:sz w:val="24"/>
                <w:lang w:val="en-US" w:eastAsia="zh-CN"/>
              </w:rPr>
              <w:t>城乡</w:t>
            </w:r>
            <w:r>
              <w:rPr>
                <w:rFonts w:hint="default" w:ascii="Times New Roman" w:hAnsi="Times New Roman" w:cs="Times New Roman"/>
                <w:color w:val="auto"/>
                <w:sz w:val="24"/>
              </w:rPr>
              <w:t>规划不冲突。</w:t>
            </w:r>
          </w:p>
          <w:p w14:paraId="7D4D7C3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与《四川省国民经济和社会发展第十四个五年规划纲要》符合性分析</w:t>
            </w:r>
          </w:p>
          <w:p w14:paraId="1D159F4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四川省国民经济和社会发展第十四个五年规划纲要》中指出，“大力推进天然气（页岩气）勘探开发，完善资源开发利益共享机制，加快增储上产，重点实施川中安岳、川东北高含硫、川西致密气等气田滚动开发，加快川南长宁、威远、泸州等区块页岩气产能建设。优化城乡天然气输配网络，加快重点区域天然气长输管道建设，延伸和完善天然气支线管道，天然气管道达到2.25万</w:t>
            </w:r>
            <w:r>
              <w:rPr>
                <w:rFonts w:hint="eastAsia" w:ascii="Times New Roman" w:hAnsi="Times New Roman" w:cs="Times New Roman"/>
                <w:color w:val="auto"/>
                <w:sz w:val="24"/>
                <w:lang w:val="en-US" w:eastAsia="zh-CN"/>
              </w:rPr>
              <w:t>公里</w:t>
            </w:r>
            <w:r>
              <w:rPr>
                <w:rFonts w:hint="default" w:ascii="Times New Roman" w:hAnsi="Times New Roman" w:cs="Times New Roman"/>
                <w:color w:val="auto"/>
                <w:sz w:val="24"/>
              </w:rPr>
              <w:t>以上，年输配能力达700亿立方米。”</w:t>
            </w:r>
          </w:p>
          <w:p w14:paraId="0CE09C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为</w:t>
            </w:r>
            <w:r>
              <w:rPr>
                <w:rFonts w:hint="default" w:ascii="Times New Roman" w:hAnsi="Times New Roman" w:eastAsia="宋体" w:cs="Times New Roman"/>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eastAsia="宋体" w:cs="Times New Roman"/>
                <w:color w:val="auto"/>
                <w:sz w:val="24"/>
              </w:rPr>
              <w:t>项目建设符合《四川省国民经济和社会发展第十四个五年规划纲要》。</w:t>
            </w:r>
          </w:p>
          <w:p w14:paraId="29806FB0">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四川省“十四五”能源发展规划</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符合性分析</w:t>
            </w:r>
          </w:p>
          <w:p w14:paraId="6915CD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E-BX" w:cs="Times New Roman"/>
                <w:bCs/>
                <w:color w:val="auto"/>
                <w:sz w:val="24"/>
              </w:rPr>
            </w:pPr>
            <w:r>
              <w:rPr>
                <w:rFonts w:hint="default" w:ascii="Times New Roman" w:hAnsi="Times New Roman" w:cs="Times New Roman"/>
                <w:bCs/>
                <w:color w:val="auto"/>
                <w:sz w:val="24"/>
              </w:rPr>
              <w:t>《四川省“十四五”能源发展规划》中指出：能源保障能力稳步增强。2025年，能源综合生产能力约2.57</w:t>
            </w:r>
            <w:r>
              <w:rPr>
                <w:rFonts w:hint="default" w:ascii="Times New Roman" w:hAnsi="Times New Roman" w:cs="Times New Roman"/>
                <w:color w:val="auto"/>
                <w:sz w:val="24"/>
              </w:rPr>
              <w:t>亿吨标准煤。……天然气产能产量稳步提升。第五章 加快天然气勘探开发利用。其中天然气开发重点项目包括：</w:t>
            </w:r>
            <w:r>
              <w:rPr>
                <w:rFonts w:hint="default" w:ascii="Times New Roman" w:hAnsi="Times New Roman" w:eastAsia="FZFSK--GBK1-0" w:cs="Times New Roman"/>
                <w:bCs/>
                <w:color w:val="auto"/>
                <w:sz w:val="24"/>
              </w:rPr>
              <w:t>常规天然气开发项目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川中安岳气田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川中太和气区项目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川东北普光和元坝气田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川西下二叠统项目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川西高含硫气田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川西和川中致密气气田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页岩气开发项目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长宁区块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威远区块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泸州区块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黄金坝</w:t>
            </w:r>
            <w:r>
              <w:rPr>
                <w:rFonts w:hint="eastAsia" w:ascii="Times New Roman" w:hAnsi="Times New Roman" w:eastAsia="FZFSK--GBK1-0" w:cs="Times New Roman"/>
                <w:bCs/>
                <w:color w:val="auto"/>
                <w:sz w:val="24"/>
                <w:lang w:eastAsia="zh-CN"/>
              </w:rPr>
              <w:t>—</w:t>
            </w:r>
            <w:r>
              <w:rPr>
                <w:rFonts w:hint="default" w:ascii="Times New Roman" w:hAnsi="Times New Roman" w:eastAsia="FZFSK--GBK1-0" w:cs="Times New Roman"/>
                <w:bCs/>
                <w:color w:val="auto"/>
                <w:sz w:val="24"/>
              </w:rPr>
              <w:t>紫金坝</w:t>
            </w:r>
            <w:r>
              <w:rPr>
                <w:rFonts w:hint="eastAsia" w:ascii="Times New Roman" w:hAnsi="Times New Roman" w:eastAsia="FZFSK--GBK1-0" w:cs="Times New Roman"/>
                <w:bCs/>
                <w:color w:val="auto"/>
                <w:sz w:val="24"/>
                <w:lang w:eastAsia="zh-CN"/>
              </w:rPr>
              <w:t>—</w:t>
            </w:r>
            <w:r>
              <w:rPr>
                <w:rFonts w:hint="default" w:ascii="Times New Roman" w:hAnsi="Times New Roman" w:eastAsia="FZFSK--GBK1-0" w:cs="Times New Roman"/>
                <w:bCs/>
                <w:color w:val="auto"/>
                <w:sz w:val="24"/>
              </w:rPr>
              <w:t>大寨区块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威荣区块</w:t>
            </w:r>
            <w:r>
              <w:rPr>
                <w:rFonts w:hint="default" w:ascii="Times New Roman" w:hAnsi="Times New Roman" w:eastAsia="E-BX" w:cs="Times New Roman"/>
                <w:bCs/>
                <w:color w:val="auto"/>
                <w:sz w:val="24"/>
              </w:rPr>
              <w:t>。</w:t>
            </w:r>
          </w:p>
          <w:p w14:paraId="659880E5">
            <w:pPr>
              <w:pStyle w:val="58"/>
              <w:keepNext w:val="0"/>
              <w:keepLines w:val="0"/>
              <w:suppressLineNumbers w:val="0"/>
              <w:spacing w:before="0" w:beforeAutospacing="0" w:after="0" w:afterAutospacing="0" w:line="360" w:lineRule="auto"/>
              <w:ind w:left="0" w:right="0" w:firstLineChars="200"/>
              <w:rPr>
                <w:rFonts w:hint="default" w:ascii="Times New Roman" w:hAnsi="Times New Roman" w:cs="Times New Roman"/>
                <w:color w:val="auto"/>
                <w:sz w:val="24"/>
              </w:rPr>
            </w:pPr>
            <w:r>
              <w:rPr>
                <w:rFonts w:hint="default" w:ascii="Times New Roman" w:hAnsi="Times New Roman" w:eastAsia="E-BX" w:cs="Times New Roman"/>
                <w:color w:val="auto"/>
                <w:sz w:val="24"/>
              </w:rPr>
              <w:t>本项目</w:t>
            </w:r>
            <w:r>
              <w:rPr>
                <w:rFonts w:hint="eastAsia" w:ascii="Times New Roman" w:hAnsi="Times New Roman" w:eastAsia="E-BX" w:cs="Times New Roman"/>
                <w:color w:val="auto"/>
                <w:sz w:val="24"/>
                <w:lang w:val="en-US" w:eastAsia="zh-CN"/>
              </w:rPr>
              <w:t>为</w:t>
            </w:r>
            <w:r>
              <w:rPr>
                <w:rFonts w:hint="default" w:ascii="Times New Roman" w:hAnsi="Times New Roman" w:cs="Times New Roman"/>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cs="Times New Roman"/>
                <w:color w:val="auto"/>
                <w:sz w:val="24"/>
              </w:rPr>
              <w:t>项目建设符合四川省“十四五”能源发展规划要求。</w:t>
            </w:r>
          </w:p>
          <w:p w14:paraId="7B140D7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巴中市国民经济和社会发展“十四五”规划</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符合性分析</w:t>
            </w:r>
          </w:p>
          <w:p w14:paraId="3DC050C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巴中市国民经济和社会发展第十四个五年规划和二〇三五年远景目标的建议》中指出“抢抓建设中国“气大庆”机遇，发展以天然气资源勘探开发和综合利用为主的清洁能源产业；推进巴中经济开发区创建国家级经济技术开发区。加快发展旅游、康养、商贸物流、文化创意四大现代服务业，积极培育会展、金融、法律服务等专业化生产性服务业和家政、物业、健康、养老、育幼等多样化生活性服务业，推进服务业标准化建设，争创省级现代服务业集聚区。”</w:t>
            </w:r>
          </w:p>
          <w:p w14:paraId="67F9BA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为</w:t>
            </w:r>
            <w:r>
              <w:rPr>
                <w:rFonts w:hint="default" w:ascii="Times New Roman" w:hAnsi="Times New Roman" w:cs="Times New Roman"/>
                <w:bCs/>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cs="Times New Roman"/>
                <w:bCs/>
                <w:color w:val="auto"/>
                <w:sz w:val="24"/>
              </w:rPr>
              <w:t>符合《巴中市国民经济和社会发展第十四个五年规划和二〇三五年远景目标的建议》相应要求。</w:t>
            </w:r>
          </w:p>
          <w:p w14:paraId="2CF2A6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与《巴中市矿产资源总体规划</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2021-2025年</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》符合性分析</w:t>
            </w:r>
          </w:p>
          <w:p w14:paraId="33C144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《巴中市矿产资源总体规划（2021-2025年）》中指出</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重点开采天然气晶质石墨、霞石正长岩、饰面用石材、水泥用灰岩、地热、矿泉水等矿产。在符合准入条件前提下，优先设置采矿权，适当扩大开发规模，提高资源供应能力。</w:t>
            </w:r>
          </w:p>
          <w:p w14:paraId="60046C8E">
            <w:pPr>
              <w:keepNext w:val="0"/>
              <w:keepLines w:val="0"/>
              <w:suppressLineNumbers w:val="0"/>
              <w:tabs>
                <w:tab w:val="left" w:pos="851"/>
              </w:tabs>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本项目</w:t>
            </w:r>
            <w:r>
              <w:rPr>
                <w:rFonts w:hint="eastAsia" w:ascii="Times New Roman" w:hAnsi="Times New Roman" w:cs="Times New Roman"/>
                <w:bCs/>
                <w:color w:val="auto"/>
                <w:sz w:val="24"/>
                <w:lang w:val="en-US" w:eastAsia="zh-CN"/>
              </w:rPr>
              <w:t>为</w:t>
            </w:r>
            <w:r>
              <w:rPr>
                <w:rFonts w:hint="eastAsia" w:ascii="Times New Roman" w:hAnsi="Times New Roman" w:cs="Times New Roman"/>
                <w:bCs/>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eastAsia" w:ascii="Times New Roman" w:hAnsi="Times New Roman" w:cs="Times New Roman"/>
                <w:bCs/>
                <w:color w:val="auto"/>
                <w:sz w:val="24"/>
              </w:rPr>
              <w:t>符合《巴中市矿产资源总体规划（2021-2025年）》相应要求。</w:t>
            </w:r>
          </w:p>
          <w:p w14:paraId="67E6AC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val="en-US" w:eastAsia="zh-CN"/>
              </w:rPr>
              <w:t>四川省、重庆市</w:t>
            </w:r>
            <w:r>
              <w:rPr>
                <w:rFonts w:hint="default" w:ascii="Times New Roman" w:hAnsi="Times New Roman" w:cs="Times New Roman"/>
                <w:b/>
                <w:color w:val="auto"/>
                <w:sz w:val="24"/>
              </w:rPr>
              <w:t>长江经济带发展负面清单</w:t>
            </w:r>
            <w:r>
              <w:rPr>
                <w:rFonts w:hint="eastAsia" w:ascii="Times New Roman" w:hAnsi="Times New Roman" w:cs="Times New Roman"/>
                <w:b/>
                <w:color w:val="auto"/>
                <w:sz w:val="24"/>
                <w:lang w:val="en-US" w:eastAsia="zh-CN"/>
              </w:rPr>
              <w:t>实施细则</w:t>
            </w:r>
            <w:r>
              <w:rPr>
                <w:rFonts w:hint="default" w:ascii="Times New Roman" w:hAnsi="Times New Roman" w:cs="Times New Roman"/>
                <w:b/>
                <w:color w:val="auto"/>
                <w:sz w:val="24"/>
              </w:rPr>
              <w:t>（试行，2022年版）》符合性分析</w:t>
            </w:r>
          </w:p>
          <w:p w14:paraId="0A33B6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本项目属于巴河流域，巴河流域属于长江支流渠江的支流，</w:t>
            </w:r>
            <w:r>
              <w:rPr>
                <w:rFonts w:hint="default" w:ascii="Times New Roman" w:hAnsi="Times New Roman" w:cs="Times New Roman"/>
                <w:color w:val="auto"/>
                <w:sz w:val="24"/>
              </w:rPr>
              <w:t>本项目与《</w:t>
            </w:r>
            <w:r>
              <w:rPr>
                <w:rFonts w:hint="eastAsia" w:ascii="Times New Roman" w:hAnsi="Times New Roman" w:cs="Times New Roman"/>
                <w:color w:val="auto"/>
                <w:sz w:val="24"/>
                <w:lang w:val="en-US" w:eastAsia="zh-CN"/>
              </w:rPr>
              <w:t>四川省、重庆市</w:t>
            </w:r>
            <w:r>
              <w:rPr>
                <w:rFonts w:hint="default" w:ascii="Times New Roman" w:hAnsi="Times New Roman" w:cs="Times New Roman"/>
                <w:color w:val="auto"/>
                <w:sz w:val="24"/>
              </w:rPr>
              <w:t>长江经济带发展负面清单</w:t>
            </w:r>
            <w:r>
              <w:rPr>
                <w:rFonts w:hint="eastAsia" w:ascii="Times New Roman" w:hAnsi="Times New Roman" w:cs="Times New Roman"/>
                <w:color w:val="auto"/>
                <w:sz w:val="24"/>
                <w:lang w:val="en-US" w:eastAsia="zh-CN"/>
              </w:rPr>
              <w:t>实施细则</w:t>
            </w:r>
            <w:r>
              <w:rPr>
                <w:rFonts w:hint="default" w:ascii="Times New Roman" w:hAnsi="Times New Roman" w:cs="Times New Roman"/>
                <w:color w:val="auto"/>
                <w:sz w:val="24"/>
              </w:rPr>
              <w:t>（试行，2022年版）》符合性分析见下表。</w:t>
            </w:r>
          </w:p>
          <w:p w14:paraId="3ECAE284">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w:t>
            </w:r>
            <w:r>
              <w:rPr>
                <w:rFonts w:hint="eastAsia" w:ascii="Times New Roman" w:hAnsi="Times New Roman" w:eastAsia="宋体" w:cs="Times New Roman"/>
                <w:b/>
                <w:color w:val="auto"/>
                <w:lang w:val="en-US" w:eastAsia="zh-CN"/>
              </w:rPr>
              <w:t>四川省、重庆市</w:t>
            </w:r>
            <w:r>
              <w:rPr>
                <w:rFonts w:hint="default" w:ascii="Times New Roman" w:hAnsi="Times New Roman" w:eastAsia="宋体" w:cs="Times New Roman"/>
                <w:b/>
                <w:color w:val="auto"/>
                <w:lang w:val="en-US" w:eastAsia="zh-CN"/>
              </w:rPr>
              <w:t>长江经济带发展负面清单</w:t>
            </w:r>
            <w:r>
              <w:rPr>
                <w:rFonts w:hint="eastAsia" w:ascii="Times New Roman" w:hAnsi="Times New Roman" w:eastAsia="宋体" w:cs="Times New Roman"/>
                <w:b/>
                <w:color w:val="auto"/>
                <w:lang w:val="en-US" w:eastAsia="zh-CN"/>
              </w:rPr>
              <w:t>实施细则</w:t>
            </w:r>
            <w:r>
              <w:rPr>
                <w:rFonts w:hint="default" w:ascii="Times New Roman" w:hAnsi="Times New Roman" w:eastAsia="宋体" w:cs="Times New Roman"/>
                <w:b/>
                <w:color w:val="auto"/>
                <w:lang w:val="en-US" w:eastAsia="zh-CN"/>
              </w:rPr>
              <w:t>（试行，2022年版）》符合性</w:t>
            </w:r>
          </w:p>
          <w:tbl>
            <w:tblPr>
              <w:tblStyle w:val="23"/>
              <w:tblW w:w="48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3662"/>
              <w:gridCol w:w="2610"/>
              <w:gridCol w:w="850"/>
            </w:tblGrid>
            <w:tr w14:paraId="1FDC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70BFF8A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2ADFD74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56" w:type="pct"/>
                  <w:tcBorders>
                    <w:top w:val="single" w:color="auto" w:sz="4" w:space="0"/>
                    <w:left w:val="single" w:color="auto" w:sz="4" w:space="0"/>
                    <w:bottom w:val="single" w:color="auto" w:sz="4" w:space="0"/>
                    <w:right w:val="single" w:color="auto" w:sz="4" w:space="0"/>
                  </w:tcBorders>
                  <w:noWrap w:val="0"/>
                  <w:vAlign w:val="center"/>
                </w:tcPr>
                <w:p w14:paraId="747767A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1B66E60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13B4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D87B68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cr/>
                  </w:r>
                  <w:r>
                    <w:rPr>
                      <w:rFonts w:ascii="Times New Roman" w:hAnsi="Times New Roman" w:eastAsia="宋体" w:cs="Times New Roman"/>
                      <w:color w:val="auto"/>
                    </w:rPr>
                    <w:t>1</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C642D9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禁止建设不符合全国和省级港口布局规划以及港口总体规划的码头项目，禁止建设不符合《长江干线过江通道布局规划》的过长江通道项目。</w:t>
                  </w:r>
                </w:p>
              </w:tc>
              <w:tc>
                <w:tcPr>
                  <w:tcW w:w="1656" w:type="pct"/>
                  <w:tcBorders>
                    <w:top w:val="single" w:color="auto" w:sz="4" w:space="0"/>
                    <w:left w:val="single" w:color="auto" w:sz="4" w:space="0"/>
                    <w:bottom w:val="single" w:color="auto" w:sz="4" w:space="0"/>
                    <w:right w:val="single" w:color="auto" w:sz="4" w:space="0"/>
                  </w:tcBorders>
                  <w:noWrap w:val="0"/>
                  <w:vAlign w:val="center"/>
                </w:tcPr>
                <w:p w14:paraId="79030751">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天然气勘探项目，不属于码头和过江通道项目</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5BAC40D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w:t>
                  </w:r>
                </w:p>
              </w:tc>
            </w:tr>
            <w:tr w14:paraId="20CD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100C48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3F78AA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禁止在自然保护区核心区、缓冲区的岸线和河段范围内投资建设旅游和生产经营项目。禁止在风景名胜区核心景区的岸线和河段范围内投资建设与风景名</w:t>
                  </w:r>
                  <w:r>
                    <w:rPr>
                      <w:rFonts w:hint="eastAsia" w:ascii="Times New Roman" w:hAnsi="Times New Roman" w:eastAsia="宋体" w:cs="Times New Roman"/>
                      <w:color w:val="auto"/>
                      <w:lang w:eastAsia="zh-CN"/>
                    </w:rPr>
                    <w:t>胜区</w:t>
                  </w:r>
                  <w:r>
                    <w:rPr>
                      <w:rFonts w:ascii="Times New Roman" w:hAnsi="Times New Roman" w:eastAsia="宋体" w:cs="Times New Roman"/>
                      <w:color w:val="auto"/>
                    </w:rPr>
                    <w:t>资源保护无关的项目。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8A63A8D">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本项目不涉及自然保护区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风景名胜区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25553B">
                  <w:pPr>
                    <w:pStyle w:val="55"/>
                    <w:keepNext w:val="0"/>
                    <w:keepLines w:val="0"/>
                    <w:suppressLineNumbers w:val="0"/>
                    <w:spacing w:before="0" w:beforeAutospacing="0" w:after="0" w:afterAutospacing="0"/>
                    <w:ind w:left="0" w:right="0" w:firstLine="0" w:firstLineChars="0"/>
                    <w:rPr>
                      <w:rFonts w:ascii="Times New Roman" w:hAnsi="Times New Roman" w:cs="Times New Roman"/>
                      <w:b/>
                      <w:color w:val="auto"/>
                    </w:rPr>
                  </w:pPr>
                  <w:r>
                    <w:rPr>
                      <w:rFonts w:hint="default" w:ascii="Times New Roman" w:hAnsi="Times New Roman" w:eastAsia="宋体" w:cs="Times New Roman"/>
                      <w:color w:val="auto"/>
                      <w:sz w:val="21"/>
                      <w:szCs w:val="21"/>
                    </w:rPr>
                    <w:t>符合</w:t>
                  </w:r>
                </w:p>
              </w:tc>
            </w:tr>
            <w:tr w14:paraId="639B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680633A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7F0536D5">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禁止在饮用水水源一级保护区的岸线和河段范围内新建、改建、扩建与供水设施和保护水源无关的项目。禁止在饮用水水源二级保护区的岸线和河段范围内新建、改建、扩建排放污染物的投资建设项目。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190331C">
                  <w:pPr>
                    <w:pStyle w:val="55"/>
                    <w:keepNext w:val="0"/>
                    <w:keepLines w:val="0"/>
                    <w:suppressLineNumbers w:val="0"/>
                    <w:spacing w:before="0" w:beforeAutospacing="0" w:after="0" w:afterAutospacing="0"/>
                    <w:ind w:left="0" w:right="0" w:firstLine="0" w:firstLineChars="0"/>
                    <w:jc w:val="both"/>
                    <w:rPr>
                      <w:rFonts w:ascii="Times New Roman" w:hAnsi="Times New Roman" w:cs="Times New Roman"/>
                      <w:color w:val="auto"/>
                    </w:rPr>
                  </w:pPr>
                  <w:r>
                    <w:rPr>
                      <w:rFonts w:hint="default" w:ascii="Times New Roman" w:hAnsi="Times New Roman" w:eastAsia="宋体" w:cs="Times New Roman"/>
                      <w:color w:val="auto"/>
                      <w:sz w:val="21"/>
                      <w:szCs w:val="21"/>
                    </w:rPr>
                    <w:t>本项目不涉及饮用水水源保护区。</w:t>
                  </w:r>
                  <w:r>
                    <w:rPr>
                      <w:rFonts w:hint="eastAsia" w:ascii="Times New Roman" w:hAnsi="Times New Roman" w:eastAsia="宋体" w:cs="Times New Roman"/>
                      <w:color w:val="auto"/>
                      <w:sz w:val="21"/>
                      <w:szCs w:val="21"/>
                      <w:lang w:val="en-US" w:eastAsia="zh-CN"/>
                    </w:rPr>
                    <w:t>距离项目最近饮用水水源保护区为西南侧的复兴水库集中式饮用水水源保护区，最近距离约3.38km，</w:t>
                  </w:r>
                  <w:r>
                    <w:rPr>
                      <w:rFonts w:hint="default" w:ascii="Times New Roman" w:hAnsi="Times New Roman" w:eastAsia="宋体" w:cs="Times New Roman"/>
                      <w:b w:val="0"/>
                      <w:color w:val="auto"/>
                      <w:sz w:val="21"/>
                      <w:szCs w:val="21"/>
                      <w:highlight w:val="none"/>
                      <w:lang w:val="en-US" w:eastAsia="zh-CN"/>
                    </w:rPr>
                    <w:t>井场与</w:t>
                  </w:r>
                  <w:r>
                    <w:rPr>
                      <w:rFonts w:hint="eastAsia" w:ascii="Times New Roman" w:hAnsi="Times New Roman" w:eastAsia="宋体" w:cs="Times New Roman"/>
                      <w:b w:val="0"/>
                      <w:color w:val="auto"/>
                      <w:sz w:val="21"/>
                      <w:szCs w:val="21"/>
                      <w:highlight w:val="none"/>
                      <w:lang w:val="en-US" w:eastAsia="zh-CN"/>
                    </w:rPr>
                    <w:t>该饮用水水源保护区距离较远，</w:t>
                  </w:r>
                  <w:r>
                    <w:rPr>
                      <w:rFonts w:hint="default" w:ascii="Times New Roman" w:hAnsi="Times New Roman" w:eastAsia="宋体" w:cs="Times New Roman"/>
                      <w:b w:val="0"/>
                      <w:color w:val="auto"/>
                      <w:sz w:val="21"/>
                      <w:szCs w:val="21"/>
                      <w:highlight w:val="none"/>
                      <w:lang w:val="en-US" w:eastAsia="zh-CN"/>
                    </w:rPr>
                    <w:t>之间</w:t>
                  </w:r>
                  <w:r>
                    <w:rPr>
                      <w:rFonts w:hint="eastAsia" w:ascii="Times New Roman" w:hAnsi="Times New Roman" w:eastAsia="宋体" w:cs="Times New Roman"/>
                      <w:b w:val="0"/>
                      <w:color w:val="auto"/>
                      <w:sz w:val="21"/>
                      <w:szCs w:val="21"/>
                      <w:highlight w:val="none"/>
                      <w:lang w:val="en-US" w:eastAsia="zh-CN"/>
                    </w:rPr>
                    <w:t>有山脊、河流相隔，无水利联系</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E155CC9">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7CE8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7013437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2CC7C2FC">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14DB5FA">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本项目不涉及水产种质资源保护区和国家湿地公园</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3A63F8B">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3E43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77B015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13374B1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4FEAAB6">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本项目不涉及利用、占用长江流域河湖岸线；不涉及</w:t>
                  </w:r>
                  <w:r>
                    <w:rPr>
                      <w:rFonts w:hint="eastAsia" w:ascii="Times New Roman" w:hAnsi="Times New Roman" w:eastAsia="宋体" w:cs="Times New Roman"/>
                      <w:color w:val="auto"/>
                      <w:sz w:val="21"/>
                      <w:szCs w:val="21"/>
                      <w:lang w:val="en-US" w:eastAsia="zh-CN"/>
                    </w:rPr>
                    <w:t>占用</w:t>
                  </w:r>
                  <w:r>
                    <w:rPr>
                      <w:rFonts w:hint="default" w:ascii="Times New Roman" w:hAnsi="Times New Roman" w:eastAsia="宋体" w:cs="Times New Roman"/>
                      <w:color w:val="auto"/>
                      <w:sz w:val="21"/>
                      <w:szCs w:val="21"/>
                    </w:rPr>
                    <w:t>《长江岸线保护和开发利用总体规划》划定的岸线保护区和保留区；不涉及《全国重要江河湖泊水功能区划》划定的河段及湖泊保护区、保留区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8C7F56E">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69C9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3A87E1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3EAC0DD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禁止未经许可在长江干支流及湖泊新设、改设或扩大排污口。</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0FA68BC">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w:t>
                  </w:r>
                  <w:r>
                    <w:rPr>
                      <w:rFonts w:hint="eastAsia" w:ascii="Times New Roman" w:hAnsi="Times New Roman" w:eastAsia="宋体" w:cs="Times New Roman"/>
                      <w:color w:val="auto"/>
                      <w:sz w:val="21"/>
                      <w:szCs w:val="21"/>
                      <w:lang w:val="en-US" w:eastAsia="zh-CN"/>
                    </w:rPr>
                    <w:t>涉及</w:t>
                  </w:r>
                  <w:r>
                    <w:rPr>
                      <w:rFonts w:hint="default" w:ascii="Times New Roman" w:hAnsi="Times New Roman" w:eastAsia="宋体" w:cs="Times New Roman"/>
                      <w:color w:val="auto"/>
                      <w:sz w:val="21"/>
                      <w:szCs w:val="21"/>
                    </w:rPr>
                    <w:t>新设、改设或扩大排污口</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0A07625">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01D8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AC7D09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E4323A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禁止在“一江一口两湖七河”和</w:t>
                  </w:r>
                  <w:r>
                    <w:rPr>
                      <w:rFonts w:ascii="Times New Roman" w:hAnsi="Times New Roman" w:cs="Times New Roman"/>
                      <w:color w:val="auto"/>
                    </w:rPr>
                    <w:t>332</w:t>
                  </w:r>
                  <w:r>
                    <w:rPr>
                      <w:rFonts w:ascii="Times New Roman" w:hAnsi="Times New Roman" w:eastAsia="宋体" w:cs="Times New Roman"/>
                      <w:color w:val="auto"/>
                    </w:rPr>
                    <w:t>个水生生物保护区开展生产线捕捞。</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68E39DB">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w:t>
                  </w:r>
                  <w:r>
                    <w:rPr>
                      <w:rFonts w:hint="eastAsia" w:ascii="Times New Roman" w:hAnsi="Times New Roman" w:eastAsia="宋体" w:cs="Times New Roman"/>
                      <w:color w:val="auto"/>
                      <w:sz w:val="21"/>
                      <w:szCs w:val="21"/>
                      <w:lang w:val="en-US" w:eastAsia="zh-CN"/>
                    </w:rPr>
                    <w:t>涉及</w:t>
                  </w:r>
                  <w:r>
                    <w:rPr>
                      <w:rFonts w:hint="default" w:ascii="Times New Roman" w:hAnsi="Times New Roman" w:eastAsia="宋体" w:cs="Times New Roman"/>
                      <w:color w:val="auto"/>
                      <w:sz w:val="21"/>
                      <w:szCs w:val="21"/>
                    </w:rPr>
                    <w:t>捕捞</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8D88CB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4E50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7D7F88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72A063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扩建除外。</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296DA0D">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天然气勘探项目，不属于新建化工园区和化工项目，也不属于新建、改建、扩建尾矿库、冶炼渣库和磷石膏库</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44B9A5E">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0B29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0576682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2E7CC0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禁止在合规园区外新建、扩建钢铁、石化、化工、焦化、建材、有色、制浆造纸等高污染项目。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963ACA2">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天然气勘探项目，不属于新建、扩建钢铁、石化、化工、焦化、建材、有色、制浆造纸等高污染项目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4A35F6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37C4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2F195F9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0E305520">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禁止新建、扩建不符合国家石化、现代煤化工等产业布局规划的项目。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21776D6">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天然气勘探项目，不属于石化、现代煤化工等产业布局规划的项目</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AF8201C">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329C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B46394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11</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C0C32CC">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禁止新建、扩建法律法规和相关政策明令禁止的落后产能项目。禁止新建、扩建不符合国家产能置换要求的严重过剩产能行业的项目。禁止新建、扩建不符合要求的高耗能高排放项目。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CF0D72C">
                  <w:pPr>
                    <w:pStyle w:val="55"/>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根据《产业结构调整指导目录（2024年本）》，本项目属于第一类“鼓励类”第七条“石油天然气”第一款“石油天然气开采</w:t>
                  </w:r>
                  <w:r>
                    <w:rPr>
                      <w:rFonts w:hint="eastAsia" w:ascii="Times New Roman" w:hAnsi="Times New Roman" w:eastAsia="宋体" w:cs="Times New Roman"/>
                      <w:color w:val="auto"/>
                      <w:sz w:val="21"/>
                      <w:szCs w:val="21"/>
                      <w:lang w:eastAsia="zh-CN"/>
                    </w:rPr>
                    <w:t>：</w:t>
                  </w:r>
                  <w:r>
                    <w:rPr>
                      <w:rFonts w:hint="eastAsia" w:ascii="宋体" w:hAnsi="宋体" w:eastAsia="宋体" w:cs="宋体"/>
                      <w:color w:val="auto"/>
                      <w:highlight w:val="none"/>
                    </w:rPr>
                    <w:t>常规石油、</w:t>
                  </w:r>
                  <w:r>
                    <w:rPr>
                      <w:rFonts w:hint="eastAsia" w:ascii="宋体" w:hAnsi="宋体" w:eastAsia="宋体" w:cs="宋体"/>
                      <w:b w:val="0"/>
                      <w:bCs w:val="0"/>
                      <w:color w:val="auto"/>
                      <w:highlight w:val="none"/>
                    </w:rPr>
                    <w:t>天然气</w:t>
                  </w:r>
                  <w:r>
                    <w:rPr>
                      <w:rFonts w:hint="eastAsia" w:ascii="宋体" w:hAnsi="宋体" w:eastAsia="宋体" w:cs="宋体"/>
                      <w:color w:val="auto"/>
                      <w:highlight w:val="none"/>
                    </w:rPr>
                    <w:t>勘探与开采，</w:t>
                  </w:r>
                  <w:r>
                    <w:rPr>
                      <w:rFonts w:hint="eastAsia" w:ascii="宋体" w:hAnsi="宋体" w:eastAsia="宋体" w:cs="宋体"/>
                      <w:b w:val="0"/>
                      <w:bCs w:val="0"/>
                      <w:color w:val="auto"/>
                      <w:highlight w:val="none"/>
                    </w:rPr>
                    <w:t>页岩气、页岩油、致密油（气）、油砂、天然气水合物等非常规资源勘探开发</w:t>
                  </w:r>
                  <w:r>
                    <w:rPr>
                      <w:rFonts w:hint="default" w:ascii="Times New Roman" w:hAnsi="Times New Roman" w:eastAsia="宋体" w:cs="Times New Roman"/>
                      <w:color w:val="auto"/>
                      <w:sz w:val="21"/>
                      <w:szCs w:val="21"/>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F358A53">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bl>
          <w:p w14:paraId="3EC62A6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与《自然资源部关于规范临时用地管理的通知》（自然资规〔2021〕2号）符合性分析</w:t>
            </w:r>
          </w:p>
          <w:p w14:paraId="6D39D3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本项目与《自然资源部关于规范临时用地管理的通知》（自然资规〔2021〕2号）符合性分析见下表。</w:t>
            </w:r>
          </w:p>
          <w:p w14:paraId="1866A111">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本项目与《自然资源部关于规范临时用地管理的通知》（自然资规〔2021〕2号）符合性分析</w:t>
            </w:r>
          </w:p>
          <w:tbl>
            <w:tblPr>
              <w:tblStyle w:val="23"/>
              <w:tblW w:w="48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3588"/>
              <w:gridCol w:w="2610"/>
              <w:gridCol w:w="926"/>
            </w:tblGrid>
            <w:tr w14:paraId="23EA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F9395E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409345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68F66D5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5DCAB8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35E1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E24754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一、界定临时用地使用范围</w:t>
                  </w:r>
                </w:p>
              </w:tc>
            </w:tr>
            <w:tr w14:paraId="523E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66C6B73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93BF32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临时用地的范围包括：（二）矿产资源勘查、</w:t>
                  </w:r>
                  <w:r>
                    <w:rPr>
                      <w:rFonts w:hint="eastAsia" w:ascii="Times New Roman" w:hAnsi="Times New Roman" w:eastAsia="宋体" w:cs="Times New Roman"/>
                      <w:color w:val="auto"/>
                    </w:rPr>
                    <w:t>工程地质勘察</w:t>
                  </w:r>
                  <w:r>
                    <w:rPr>
                      <w:rFonts w:ascii="Times New Roman" w:hAnsi="Times New Roman" w:eastAsia="宋体" w:cs="Times New Roman"/>
                      <w:color w:val="auto"/>
                    </w:rPr>
                    <w:t>、水文地质勘查等，在勘查期间临时生活用房、临时工棚、勘查作业及其辅助工程、施工便道、运输便道等使用的土地，包括油气资源勘查中钻井井场、配套管线、电力设施、进场道路等钻井及配套设施使用的土地。</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05D0548B">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本项目用地为临时用地，属于油气资源勘查中钻井井场、配套管线、电力设施、进场道路等钻井及配套设施使用的土地</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7E97EB0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B56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932199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二、临时用地选址要求和使用期限</w:t>
                  </w:r>
                </w:p>
              </w:tc>
            </w:tr>
            <w:tr w14:paraId="218F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0C2DB90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61C56DC5">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设项目施工、地质勘查使用临时用地时应坚持“用多少、批多少、占多少、恢复多少”，尽量不占或者少占耕地。使用后土地复垦难度较大的临时用地，要严格控制占用耕地。铁路、公路等单独选址建设项目，应科学组织施工，节约集约使用临时用地。制梁场、拌合站等难以恢复原种植条件的不得以临时用地方式占用耕地和永久基本农田，可以建设用地方式或者临时占用未利用地方式使用土地。临时用地确需占用永久基本农田的，必须能够恢复原种植条件，并符合《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农业农村部关于加强和改进永久基本农田保护工作的通知》（自然资规〔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号）中申请条件、土壤剥离、复垦验收等有关规定。</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0DAF0D28">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永久基本农田）、坑塘水面、农村宅基地</w:t>
                  </w:r>
                  <w:r>
                    <w:rPr>
                      <w:rFonts w:hint="eastAsia" w:ascii="Times New Roman" w:hAnsi="Times New Roman" w:eastAsia="宋体" w:cs="Times New Roman"/>
                      <w:color w:val="auto"/>
                      <w:sz w:val="21"/>
                      <w:szCs w:val="21"/>
                      <w:lang w:val="en-US" w:eastAsia="zh-CN"/>
                    </w:rPr>
                    <w:t>等</w:t>
                  </w:r>
                  <w:r>
                    <w:rPr>
                      <w:rFonts w:hint="eastAsia" w:ascii="Times New Roman" w:hAnsi="Times New Roman" w:eastAsia="宋体" w:cs="Times New Roman"/>
                      <w:color w:val="auto"/>
                      <w:sz w:val="21"/>
                      <w:szCs w:val="21"/>
                    </w:rPr>
                    <w:t>。</w:t>
                  </w:r>
                </w:p>
                <w:p w14:paraId="0090EF17">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64B996E2">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hint="default" w:ascii="Times New Roman" w:hAnsi="Times New Roman" w:eastAsia="宋体" w:cs="Times New Roman"/>
                      <w:color w:val="auto"/>
                      <w:sz w:val="21"/>
                      <w:szCs w:val="21"/>
                      <w:highlight w:val="none"/>
                    </w:rPr>
                    <w:t>根据《四川省自然资源厅 关于解决油气勘探开发用地问题的复函》（川自然资函〔2019〕197号）文件要求，油气勘探开发项目可在无法避让基本农田的情况下，办理临时用地。</w:t>
                  </w:r>
                </w:p>
                <w:p w14:paraId="5D377F1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p>
                <w:p w14:paraId="2151C5F2">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b/>
                      <w:color w:val="auto"/>
                      <w:lang w:eastAsia="zh-CN"/>
                    </w:rPr>
                  </w:pPr>
                  <w:r>
                    <w:rPr>
                      <w:rFonts w:ascii="Times New Roman" w:hAnsi="Times New Roman" w:eastAsia="宋体" w:cs="Times New Roman"/>
                      <w:color w:val="auto"/>
                    </w:rPr>
                    <w:t>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7891C3B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E14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5E7A34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1A41F6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临时用地使用期限一般不超过两年。</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42CCB650">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项目临时用地使用期期限为</w:t>
                  </w:r>
                  <w:r>
                    <w:rPr>
                      <w:rFonts w:hint="eastAsia" w:ascii="Times New Roman" w:hAnsi="Times New Roman" w:eastAsia="宋体" w:cs="Times New Roman"/>
                      <w:color w:val="auto"/>
                    </w:rPr>
                    <w:t>485</w:t>
                  </w:r>
                  <w:r>
                    <w:rPr>
                      <w:rFonts w:ascii="Times New Roman" w:hAnsi="Times New Roman" w:eastAsia="宋体" w:cs="Times New Roman"/>
                      <w:color w:val="auto"/>
                    </w:rPr>
                    <w:t>天</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15CCE63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D3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EF2FF6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三、规范临时用地审批</w:t>
                  </w:r>
                </w:p>
              </w:tc>
            </w:tr>
            <w:tr w14:paraId="119E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69CE925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47C09EF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油气资源探采合一开发涉及的钻井及配套设施建设用地，可先以临时用地方式批准使用，勘探结束转入生产使用的，办理建设用地审批手续；不转入生产的，油气企业应当完成土地复垦，按期归还。</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3E4AE4AD">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本项目为勘探井，项目选址已取得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p>
                <w:p w14:paraId="2A6FA711">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57B0780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6C2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DC4D43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四、落实临时用地恢复责任</w:t>
                  </w:r>
                </w:p>
              </w:tc>
            </w:tr>
            <w:tr w14:paraId="36AC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529297D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75807CC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临时用地使用人应当按照批准的用途使用土地，不得转让、出租、抵押临时用地。临时用地使用人应当自临时用地期满之日起一年内完成土地复垦，因气候、灾害等不可抗力因素影响复垦的，经批准可以适当延长复垦期限。</w:t>
                  </w:r>
                </w:p>
              </w:tc>
              <w:tc>
                <w:tcPr>
                  <w:tcW w:w="1655" w:type="pct"/>
                  <w:vMerge w:val="restart"/>
                  <w:tcBorders>
                    <w:top w:val="single" w:color="auto" w:sz="4" w:space="0"/>
                    <w:left w:val="single" w:color="auto" w:sz="4" w:space="0"/>
                    <w:right w:val="single" w:color="auto" w:sz="4" w:space="0"/>
                  </w:tcBorders>
                  <w:noWrap w:val="0"/>
                  <w:vAlign w:val="center"/>
                </w:tcPr>
                <w:p w14:paraId="0EE99B0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本项目为勘探井，项目选址已取得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p>
                <w:p w14:paraId="7B614BAA">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6F7CFBF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1CA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F9CDB6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7CD5B73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1655" w:type="pct"/>
                  <w:vMerge w:val="continue"/>
                  <w:tcBorders>
                    <w:left w:val="single" w:color="auto" w:sz="4" w:space="0"/>
                    <w:bottom w:val="single" w:color="auto" w:sz="4" w:space="0"/>
                    <w:right w:val="single" w:color="auto" w:sz="4" w:space="0"/>
                  </w:tcBorders>
                  <w:noWrap w:val="0"/>
                  <w:vAlign w:val="center"/>
                </w:tcPr>
                <w:p w14:paraId="2C81D62F">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85" w:type="pct"/>
                  <w:tcBorders>
                    <w:top w:val="single" w:color="auto" w:sz="4" w:space="0"/>
                    <w:left w:val="single" w:color="auto" w:sz="4" w:space="0"/>
                    <w:bottom w:val="single" w:color="auto" w:sz="4" w:space="0"/>
                    <w:right w:val="single" w:color="auto" w:sz="4" w:space="0"/>
                  </w:tcBorders>
                  <w:noWrap w:val="0"/>
                  <w:vAlign w:val="center"/>
                </w:tcPr>
                <w:p w14:paraId="376C41A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78DBD2A9">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与《关于严格耕地用途管制有关问题的通知》（自然资规〔2021〕166号）符合性分析</w:t>
            </w:r>
          </w:p>
          <w:p w14:paraId="373F8C3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本项目与《关于严格耕地用途管制有关问题的通知》（自然资规〔2021〕166号）符合性分析见下表。</w:t>
            </w:r>
          </w:p>
          <w:p w14:paraId="7AF1C5F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本项目与《关于严格耕地用途管制有关问题的通知》（自然资规〔2021〕166号）符合性分析</w:t>
            </w:r>
          </w:p>
          <w:tbl>
            <w:tblPr>
              <w:tblStyle w:val="23"/>
              <w:tblW w:w="48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3679"/>
              <w:gridCol w:w="2642"/>
              <w:gridCol w:w="873"/>
            </w:tblGrid>
            <w:tr w14:paraId="510D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364AC25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852595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7368401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0604F0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75B9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C1352B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一、严格落实永久基本农田特殊保护制度</w:t>
                  </w:r>
                </w:p>
              </w:tc>
            </w:tr>
            <w:tr w14:paraId="2D04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5BF382E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1</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2B788B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永久基本农田现状种植粮食作物的，继续保持不变；按照《</w:t>
                  </w:r>
                  <w:r>
                    <w:rPr>
                      <w:rFonts w:hint="eastAsia" w:ascii="Times New Roman" w:hAnsi="Times New Roman" w:eastAsia="宋体" w:cs="Times New Roman"/>
                      <w:color w:val="auto"/>
                      <w:lang w:eastAsia="zh-CN"/>
                    </w:rPr>
                    <w:t>中华人民共和国土地管理法</w:t>
                  </w:r>
                  <w:r>
                    <w:rPr>
                      <w:rFonts w:ascii="Times New Roman" w:hAnsi="Times New Roman" w:eastAsia="宋体" w:cs="Times New Roman"/>
                      <w:color w:val="auto"/>
                    </w:rPr>
                    <w:t>》第三十三条明确的永久基本农田划定范围，现状种植棉、油、糖、蔬菜等非粮食作物的，可以维持不变，也可以结合国家和地方种粮补贴有关政策引导向种植粮食作物调整。种植粮食作物的情形包括在耕地上每年至少种植一季粮食作物和符合国土调查的耕地认定标准，采取粮食与非粮食作物间作、轮作、套种的土地利用方式。</w:t>
                  </w:r>
                </w:p>
              </w:tc>
              <w:tc>
                <w:tcPr>
                  <w:tcW w:w="1686" w:type="pct"/>
                  <w:vMerge w:val="restart"/>
                  <w:tcBorders>
                    <w:top w:val="single" w:color="auto" w:sz="4" w:space="0"/>
                    <w:left w:val="single" w:color="auto" w:sz="4" w:space="0"/>
                    <w:right w:val="single" w:color="auto" w:sz="4" w:space="0"/>
                  </w:tcBorders>
                  <w:noWrap w:val="0"/>
                  <w:vAlign w:val="center"/>
                </w:tcPr>
                <w:p w14:paraId="7EA61A14">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highlight w:val="yellow"/>
                    </w:rPr>
                  </w:pPr>
                  <w:r>
                    <w:rPr>
                      <w:rFonts w:ascii="Times New Roman" w:hAnsi="Times New Roman" w:eastAsia="宋体" w:cs="Times New Roman"/>
                      <w:color w:val="auto"/>
                    </w:rPr>
                    <w:t>本项目为勘探井，项目选址已取得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ascii="Times New Roman" w:hAnsi="Times New Roman" w:eastAsia="宋体" w:cs="Times New Roman"/>
                      <w:color w:val="auto"/>
                    </w:rPr>
                    <w:t>。</w:t>
                  </w:r>
                </w:p>
                <w:p w14:paraId="102A18E7">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cs="Times New Roman"/>
                      <w:color w:val="auto"/>
                    </w:rPr>
                    <w:t>目前建设单位正在按照相关要求办理临时用地手续。项目完成后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CB5242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0A4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21DD6A7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2</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B200DB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w:t>
                  </w:r>
                </w:p>
              </w:tc>
              <w:tc>
                <w:tcPr>
                  <w:tcW w:w="1686" w:type="pct"/>
                  <w:vMerge w:val="continue"/>
                  <w:tcBorders>
                    <w:left w:val="single" w:color="auto" w:sz="4" w:space="0"/>
                    <w:bottom w:val="single" w:color="auto" w:sz="4" w:space="0"/>
                    <w:right w:val="single" w:color="auto" w:sz="4" w:space="0"/>
                  </w:tcBorders>
                  <w:noWrap w:val="0"/>
                  <w:vAlign w:val="center"/>
                </w:tcPr>
                <w:p w14:paraId="75E65C12">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0D54F70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5E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2E3BF08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二、严格管控一般耕地转为其他农用地</w:t>
                  </w:r>
                </w:p>
              </w:tc>
            </w:tr>
            <w:tr w14:paraId="6ABA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79452D4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F84871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不得在一般耕地上挖湖造景、种植草皮。</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37F8EE20">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本项目临时占用</w:t>
                  </w:r>
                  <w:r>
                    <w:rPr>
                      <w:rFonts w:hint="eastAsia" w:ascii="Times New Roman" w:hAnsi="Times New Roman" w:eastAsia="宋体" w:cs="Times New Roman"/>
                      <w:color w:val="auto"/>
                      <w:lang w:val="en-US" w:eastAsia="zh-CN"/>
                    </w:rPr>
                    <w:t>耕地</w:t>
                  </w:r>
                  <w:r>
                    <w:rPr>
                      <w:rFonts w:ascii="Times New Roman" w:hAnsi="Times New Roman" w:eastAsia="宋体" w:cs="Times New Roman"/>
                      <w:color w:val="auto"/>
                    </w:rPr>
                    <w:t>，布设天然气勘探井，不会在临时用地上挖湖造景、种植草皮</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303AA3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51D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CF2FC7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CBC4BC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不得在国家批准的生态退耕规划和计划外擅自扩大退耕还林还草还湿还湖规模。经批准实施的，应当在“三调”底图和年度国土变更调查结果上，明确实施位置，带位置下达退耕任务。</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3314F51">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本项目临时占用</w:t>
                  </w:r>
                  <w:r>
                    <w:rPr>
                      <w:rFonts w:hint="eastAsia" w:ascii="Times New Roman" w:hAnsi="Times New Roman" w:eastAsia="宋体" w:cs="Times New Roman"/>
                      <w:color w:val="auto"/>
                      <w:lang w:val="en-US" w:eastAsia="zh-CN"/>
                    </w:rPr>
                    <w:t>耕地</w:t>
                  </w:r>
                  <w:r>
                    <w:rPr>
                      <w:rFonts w:ascii="Times New Roman" w:hAnsi="Times New Roman" w:eastAsia="宋体" w:cs="Times New Roman"/>
                      <w:color w:val="auto"/>
                    </w:rPr>
                    <w:t>布设天然气勘探井，不会擅自扩大退耕还林还草还湿还湖规模</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2BE848F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C36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340B973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0AC32E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不得违规超标准在铁路、公路等用地红线外，以及河渠两侧、水库周边占用一般耕地种树建设绿化带。</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EB39819">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w:t>
                  </w:r>
                  <w:r>
                    <w:rPr>
                      <w:rFonts w:hint="eastAsia" w:ascii="Times New Roman" w:hAnsi="Times New Roman" w:eastAsia="宋体" w:cs="Times New Roman"/>
                      <w:color w:val="auto"/>
                      <w:lang w:val="en-US" w:eastAsia="zh-CN"/>
                    </w:rPr>
                    <w:t>耕地</w:t>
                  </w:r>
                  <w:r>
                    <w:rPr>
                      <w:rFonts w:ascii="Times New Roman" w:hAnsi="Times New Roman" w:eastAsia="宋体" w:cs="Times New Roman"/>
                      <w:color w:val="auto"/>
                    </w:rPr>
                    <w:t>布设天然气勘探井，不会占用耕地建设绿化带</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0AC172D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A97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7477B98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2EEC5D10">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未经批准不得占用一般耕地实施国土绿化。经批准实施的，应当在“三调”底图和年度国土变更调查结果上明确实施位置。</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B466B69">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w:t>
                  </w:r>
                  <w:r>
                    <w:rPr>
                      <w:rFonts w:hint="eastAsia" w:ascii="Times New Roman" w:hAnsi="Times New Roman" w:eastAsia="宋体" w:cs="Times New Roman"/>
                      <w:color w:val="auto"/>
                      <w:lang w:val="en-US" w:eastAsia="zh-CN"/>
                    </w:rPr>
                    <w:t>耕地</w:t>
                  </w:r>
                  <w:r>
                    <w:rPr>
                      <w:rFonts w:ascii="Times New Roman" w:hAnsi="Times New Roman" w:eastAsia="宋体" w:cs="Times New Roman"/>
                      <w:color w:val="auto"/>
                    </w:rPr>
                    <w:t>布设天然气勘探井，不会占用耕地实施国土绿化</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3E1702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EE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0D9FAF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771BFD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未经批准工商企业等社会资本不得将通过流转获得土地经营权的一般耕地转为林地、园地等其他农用地。</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7621D77D">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本项目工程完成后将按照相关规定</w:t>
                  </w:r>
                  <w:r>
                    <w:rPr>
                      <w:rFonts w:hint="eastAsia" w:ascii="Times New Roman" w:hAnsi="Times New Roman" w:eastAsia="宋体" w:cs="Times New Roman"/>
                      <w:color w:val="auto"/>
                      <w:lang w:eastAsia="zh-CN"/>
                    </w:rPr>
                    <w:t>做好</w:t>
                  </w:r>
                  <w:r>
                    <w:rPr>
                      <w:rFonts w:ascii="Times New Roman" w:hAnsi="Times New Roman" w:eastAsia="宋体" w:cs="Times New Roman"/>
                      <w:color w:val="auto"/>
                    </w:rPr>
                    <w:t>临时占地恢复，做好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5B42235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936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634C8B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3D1B78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确需在耕地上建设农田防护林的，应当符合农田防护林建设相关标准。建成后，达到国土调查分类标准并变更为林地的，应当从耕地面积中扣除。</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463D0CFF">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w:t>
                  </w:r>
                  <w:r>
                    <w:rPr>
                      <w:rFonts w:hint="eastAsia" w:ascii="Times New Roman" w:hAnsi="Times New Roman" w:eastAsia="宋体" w:cs="Times New Roman"/>
                      <w:color w:val="auto"/>
                      <w:lang w:val="en-US" w:eastAsia="zh-CN"/>
                    </w:rPr>
                    <w:t>耕地</w:t>
                  </w:r>
                  <w:r>
                    <w:rPr>
                      <w:rFonts w:ascii="Times New Roman" w:hAnsi="Times New Roman" w:eastAsia="宋体" w:cs="Times New Roman"/>
                      <w:color w:val="auto"/>
                    </w:rPr>
                    <w:t>布设天然气勘探井，不会建设农田防护林</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342375D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029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43AD3E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9FBE68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严格控制新增农村道路、畜禽养殖设施、水产养殖设施和破坏耕作层的种植业设施等农业设施建设用地使用一般耕地。确需使用的，应经批准并符合相关标准。</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10F4C909">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天然气勘探项目，不属于新增农村道路、畜禽养殖设施、水产养殖设施和破坏耕作层的种植业设施等农业设施建设用地使用一般耕地</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169C1E8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FF5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DDB57D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BB6078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严格永久基本农田占用与补划</w:t>
                  </w:r>
                </w:p>
              </w:tc>
              <w:tc>
                <w:tcPr>
                  <w:tcW w:w="1686" w:type="pct"/>
                  <w:vMerge w:val="restart"/>
                  <w:tcBorders>
                    <w:top w:val="single" w:color="auto" w:sz="4" w:space="0"/>
                    <w:left w:val="single" w:color="auto" w:sz="4" w:space="0"/>
                    <w:right w:val="single" w:color="auto" w:sz="4" w:space="0"/>
                  </w:tcBorders>
                  <w:noWrap w:val="0"/>
                  <w:vAlign w:val="center"/>
                </w:tcPr>
                <w:p w14:paraId="130D016E">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highlight w:val="yellow"/>
                      <w:lang w:eastAsia="zh-CN"/>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占用永久基本</w:t>
                  </w:r>
                  <w:r>
                    <w:rPr>
                      <w:rFonts w:ascii="Times New Roman" w:hAnsi="Times New Roman" w:eastAsia="宋体" w:cs="Times New Roman"/>
                      <w:color w:val="auto"/>
                    </w:rPr>
                    <w:t>农田。项目选址已取得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hint="eastAsia" w:ascii="Times New Roman" w:hAnsi="Times New Roman" w:eastAsia="宋体" w:cs="Times New Roman"/>
                      <w:color w:val="auto"/>
                      <w:lang w:eastAsia="zh-CN"/>
                    </w:rPr>
                    <w:t>。</w:t>
                  </w:r>
                </w:p>
                <w:p w14:paraId="09B27D22">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cs="Times New Roman"/>
                      <w:color w:val="auto"/>
                    </w:rPr>
                    <w:t>目前建设单位正在按照相关要求办理临时用地手续。</w:t>
                  </w:r>
                  <w:r>
                    <w:rPr>
                      <w:rFonts w:ascii="Times New Roman" w:hAnsi="Times New Roman" w:eastAsia="宋体" w:cs="Times New Roman"/>
                      <w:color w:val="auto"/>
                    </w:rPr>
                    <w:t>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4B4DE18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AFA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5EDFCC1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11</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9B2832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建立健全永久基本农田储备区制度。各地要在永久基本农田之外的优质耕地中，划定永久基本农田储备区并上图入库。土地整理复垦开发和新建高标准农田增加的优质耕地应当优先划入永久基本农田储备区。</w:t>
                  </w:r>
                </w:p>
              </w:tc>
              <w:tc>
                <w:tcPr>
                  <w:tcW w:w="1686" w:type="pct"/>
                  <w:vMerge w:val="continue"/>
                  <w:tcBorders>
                    <w:left w:val="single" w:color="auto" w:sz="4" w:space="0"/>
                    <w:right w:val="single" w:color="auto" w:sz="4" w:space="0"/>
                  </w:tcBorders>
                  <w:noWrap w:val="0"/>
                  <w:vAlign w:val="center"/>
                </w:tcPr>
                <w:p w14:paraId="51A46050">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1AFD24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48C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56F430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12</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D8CB73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设项目经依法批准占用永久基本农田的，应当从永久基本农田储备区耕地中补划，储备区中难以补足的，在县域范围内其他优质耕地中补划；县域范围内无法补足的，可在市域范围内补划；个别市域范围内仍无法补足的，可在省域范围内补划。</w:t>
                  </w:r>
                </w:p>
              </w:tc>
              <w:tc>
                <w:tcPr>
                  <w:tcW w:w="1686" w:type="pct"/>
                  <w:vMerge w:val="continue"/>
                  <w:tcBorders>
                    <w:left w:val="single" w:color="auto" w:sz="4" w:space="0"/>
                    <w:bottom w:val="single" w:color="auto" w:sz="4" w:space="0"/>
                    <w:right w:val="single" w:color="auto" w:sz="4" w:space="0"/>
                  </w:tcBorders>
                  <w:noWrap w:val="0"/>
                  <w:vAlign w:val="center"/>
                </w:tcPr>
                <w:p w14:paraId="7AF98218">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151FA6E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D1B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11FBC0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13</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26854A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在土地整理复垦开发和高标准农田建设中，开展必要的灌溉及排水设施、田间道路、农田防护林等配套建设涉及少量占用或优化永久基本农田布局的，要在项目区内予以补足；难以补足的，县级自然资源主管部门要在县域范围内同步落实补划任务。</w:t>
                  </w:r>
                </w:p>
              </w:tc>
              <w:tc>
                <w:tcPr>
                  <w:tcW w:w="1686" w:type="pct"/>
                  <w:vMerge w:val="restart"/>
                  <w:tcBorders>
                    <w:top w:val="single" w:color="auto" w:sz="4" w:space="0"/>
                    <w:left w:val="single" w:color="auto" w:sz="4" w:space="0"/>
                    <w:right w:val="single" w:color="auto" w:sz="4" w:space="0"/>
                  </w:tcBorders>
                  <w:noWrap w:val="0"/>
                  <w:vAlign w:val="center"/>
                </w:tcPr>
                <w:p w14:paraId="21A8E78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本项目工程完成后将按照相关规定</w:t>
                  </w:r>
                  <w:r>
                    <w:rPr>
                      <w:rFonts w:hint="eastAsia" w:ascii="Times New Roman" w:hAnsi="Times New Roman" w:eastAsia="宋体" w:cs="Times New Roman"/>
                      <w:color w:val="auto"/>
                      <w:lang w:eastAsia="zh-CN"/>
                    </w:rPr>
                    <w:t>做好</w:t>
                  </w:r>
                  <w:r>
                    <w:rPr>
                      <w:rFonts w:ascii="Times New Roman" w:hAnsi="Times New Roman" w:eastAsia="宋体" w:cs="Times New Roman"/>
                      <w:color w:val="auto"/>
                    </w:rPr>
                    <w:t>临时占地恢复，做好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167A1CB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D67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E1831C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14</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5EFA9E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改进和规范建设占用耕地占补平衡</w:t>
                  </w:r>
                </w:p>
              </w:tc>
              <w:tc>
                <w:tcPr>
                  <w:tcW w:w="1686" w:type="pct"/>
                  <w:vMerge w:val="continue"/>
                  <w:tcBorders>
                    <w:left w:val="single" w:color="auto" w:sz="4" w:space="0"/>
                    <w:right w:val="single" w:color="auto" w:sz="4" w:space="0"/>
                  </w:tcBorders>
                  <w:noWrap w:val="0"/>
                  <w:vAlign w:val="center"/>
                </w:tcPr>
                <w:p w14:paraId="749112AE">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23ACABF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112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68768A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15</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6D9F55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在符合生态保护要求的前提下，通过组织实施土地整理复垦开发及高标准农田建设等，经验收能长期稳定利用的新增耕地可用于占补平衡。</w:t>
                  </w:r>
                </w:p>
              </w:tc>
              <w:tc>
                <w:tcPr>
                  <w:tcW w:w="1686" w:type="pct"/>
                  <w:vMerge w:val="continue"/>
                  <w:tcBorders>
                    <w:left w:val="single" w:color="auto" w:sz="4" w:space="0"/>
                    <w:right w:val="single" w:color="auto" w:sz="4" w:space="0"/>
                  </w:tcBorders>
                  <w:noWrap w:val="0"/>
                  <w:vAlign w:val="center"/>
                </w:tcPr>
                <w:p w14:paraId="5AAA29F5">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3B1DF68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C92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6E6C8EC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16</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252C489">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积极支持在可以垦造耕地的荒山荒坡上种植果树、林木，发展林果业，同时，将在平原地区原地类为耕地上种植果树、植树造林的地块，逐步退出，恢复耕地属性。其中，第二次全国土地调查不是耕地的，新增耕地可用于占补平衡。</w:t>
                  </w:r>
                </w:p>
              </w:tc>
              <w:tc>
                <w:tcPr>
                  <w:tcW w:w="1686" w:type="pct"/>
                  <w:vMerge w:val="continue"/>
                  <w:tcBorders>
                    <w:left w:val="single" w:color="auto" w:sz="4" w:space="0"/>
                    <w:right w:val="single" w:color="auto" w:sz="4" w:space="0"/>
                  </w:tcBorders>
                  <w:noWrap w:val="0"/>
                  <w:vAlign w:val="center"/>
                </w:tcPr>
                <w:p w14:paraId="399F661C">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0978425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076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F06C93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17</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C72EA8C">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除少数特殊紧急的国家重点项目并经自然资源部同意外，一律不得以先占后补承诺方式落实耕地占补平衡责任。经同意以承诺方式落实耕地占补平衡的，必须按期兑现承诺。到期未兑现承诺的，直接从补充耕地储备库中扣减。</w:t>
                  </w:r>
                </w:p>
              </w:tc>
              <w:tc>
                <w:tcPr>
                  <w:tcW w:w="1686" w:type="pct"/>
                  <w:vMerge w:val="continue"/>
                  <w:tcBorders>
                    <w:left w:val="single" w:color="auto" w:sz="4" w:space="0"/>
                    <w:right w:val="single" w:color="auto" w:sz="4" w:space="0"/>
                  </w:tcBorders>
                  <w:noWrap w:val="0"/>
                  <w:vAlign w:val="center"/>
                </w:tcPr>
                <w:p w14:paraId="6AAF38FD">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A902FE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788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65460BD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18</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B462A8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垦造的林地、园地等非耕地不得作为补充耕地用于占补平衡。城乡建设用地增减挂钩实施中，必须做到复垦补充耕地与</w:t>
                  </w:r>
                  <w:r>
                    <w:rPr>
                      <w:rFonts w:hint="eastAsia" w:ascii="Times New Roman" w:hAnsi="Times New Roman" w:eastAsia="宋体" w:cs="Times New Roman"/>
                      <w:color w:val="auto"/>
                    </w:rPr>
                    <w:t>新建</w:t>
                  </w:r>
                  <w:r>
                    <w:rPr>
                      <w:rFonts w:ascii="Times New Roman" w:hAnsi="Times New Roman" w:eastAsia="宋体" w:cs="Times New Roman"/>
                      <w:color w:val="auto"/>
                    </w:rPr>
                    <w:t>占用耕地数量相等、质量相当。</w:t>
                  </w:r>
                </w:p>
              </w:tc>
              <w:tc>
                <w:tcPr>
                  <w:tcW w:w="1686" w:type="pct"/>
                  <w:vMerge w:val="continue"/>
                  <w:tcBorders>
                    <w:left w:val="single" w:color="auto" w:sz="4" w:space="0"/>
                    <w:right w:val="single" w:color="auto" w:sz="4" w:space="0"/>
                  </w:tcBorders>
                  <w:noWrap w:val="0"/>
                  <w:vAlign w:val="center"/>
                </w:tcPr>
                <w:p w14:paraId="48B0C823">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2003135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7EA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CFDE3D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19</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3F9E63C">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对违法违规占用耕地从事非农业建设，先冻结储备库中违法用地所在地的补充耕地指标，拆除复耕后解除冻结；经查处后，符合条件可以补办用地手续的，直接扣减储备库内同等数量、质量的补充耕地指标，用于占补平衡。</w:t>
                  </w:r>
                </w:p>
              </w:tc>
              <w:tc>
                <w:tcPr>
                  <w:tcW w:w="1686" w:type="pct"/>
                  <w:vMerge w:val="continue"/>
                  <w:tcBorders>
                    <w:left w:val="single" w:color="auto" w:sz="4" w:space="0"/>
                    <w:right w:val="single" w:color="auto" w:sz="4" w:space="0"/>
                  </w:tcBorders>
                  <w:noWrap w:val="0"/>
                  <w:vAlign w:val="center"/>
                </w:tcPr>
                <w:p w14:paraId="45E9F95B">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7F45C6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644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2474F7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20</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47FA83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县域范围内难以落实耕地占补平衡的，省级自然资源主管部门要加大补充耕地指标省域内统筹力度，保障重点建设项目及时落地。</w:t>
                  </w:r>
                </w:p>
              </w:tc>
              <w:tc>
                <w:tcPr>
                  <w:tcW w:w="1686" w:type="pct"/>
                  <w:vMerge w:val="continue"/>
                  <w:tcBorders>
                    <w:left w:val="single" w:color="auto" w:sz="4" w:space="0"/>
                    <w:bottom w:val="single" w:color="auto" w:sz="4" w:space="0"/>
                    <w:right w:val="single" w:color="auto" w:sz="4" w:space="0"/>
                  </w:tcBorders>
                  <w:noWrap w:val="0"/>
                  <w:vAlign w:val="center"/>
                </w:tcPr>
                <w:p w14:paraId="2D15D3FB">
                  <w:pPr>
                    <w:pStyle w:val="55"/>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3203B8B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115E4F94">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与《四川省自然资源厅关于进一步明确临时用地管理有关事项的通知》（川自然资规〔2022〕3号）符合性分析</w:t>
            </w:r>
          </w:p>
          <w:p w14:paraId="4182A5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本项目与《四川省自然资源厅关于进一步明确临时用地管理有关事项的通知》（川自然资规〔2022〕3号）符合性分析见下表。</w:t>
            </w:r>
          </w:p>
          <w:p w14:paraId="4E3B3B90">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本项目与《四川省自然资源厅关于进一步明确临时用地管理有关事项的通知》（川自然资规〔2022〕3号）符合性分析</w:t>
            </w:r>
          </w:p>
          <w:tbl>
            <w:tblPr>
              <w:tblStyle w:val="23"/>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3267"/>
              <w:gridCol w:w="2908"/>
              <w:gridCol w:w="906"/>
            </w:tblGrid>
            <w:tr w14:paraId="594F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3836B2B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16E1F21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7790955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39CC25D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0536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F0008F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一、进一步规范临时用地审批</w:t>
                  </w:r>
                </w:p>
              </w:tc>
            </w:tr>
            <w:tr w14:paraId="53E8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74C0821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2CB29AD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临时用地审批权不得下放或委托相关部门行使。涉及占用耕地和永久基本农田的临时用地，由市级自然资源主管部门负责审批，不涉及的由县级自然资源主管部门负责审批。需要临时使用林地的，应当按照《中华人民共和国森林法》有关规定进行临时用地审批。临时用地位于地质灾害易发区进行工程建设的，申请人应按照《地质灾害防治条例》有关规定提供地质灾害危险性评估报告，并落实防治措施。</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2738C78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永久基本农田）、坑塘水面、农村宅基地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hint="eastAsia"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r>
                    <w:rPr>
                      <w:rFonts w:hint="eastAsia" w:ascii="Times New Roman" w:hAnsi="Times New Roman" w:eastAsia="宋体" w:cs="Times New Roman"/>
                      <w:color w:val="auto"/>
                      <w:lang w:val="en-US" w:eastAsia="zh-CN"/>
                    </w:rPr>
                    <w:t>项目完成后将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62F1B3D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399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9FAC3E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二、进一步落实临时用地恢复责任</w:t>
                  </w:r>
                </w:p>
              </w:tc>
            </w:tr>
            <w:tr w14:paraId="352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642D42B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41FF48B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县级自然资源主管部门负责审查临时用地土地复垦方案，并在土地复垦义务人完成复垦工作后，会同农业农村等相关部门开展复垦验收。审批临时用地的市、县级自然资源主管部门，应通知申请人根据《土地复垦条例实施办法》有关规定办理土地复垦费用预存手续。</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1ED18C2D">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本项目完成后，将按照相关规定做好对临时占地进行恢复，做好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val="en-US" w:eastAsia="zh-CN"/>
                    </w:rPr>
                    <w:t>临时</w:t>
                  </w:r>
                  <w:r>
                    <w:rPr>
                      <w:rFonts w:hint="eastAsia" w:ascii="Times New Roman" w:hAnsi="Times New Roman" w:eastAsia="宋体" w:cs="Times New Roman"/>
                      <w:color w:val="auto"/>
                      <w:highlight w:val="none"/>
                      <w:lang w:val="en-US" w:eastAsia="zh-CN"/>
                    </w:rPr>
                    <w:t>占用的林地及时进行恢复</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242649E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681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A10E73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三、进一步强化永久基本农田特殊保护</w:t>
                  </w:r>
                </w:p>
              </w:tc>
            </w:tr>
            <w:tr w14:paraId="6D84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15C63C3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6E5FF87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市、县级自然资源主管部门要严格耕地用途管制，临时用地应尽量不占或少占耕地，原则上不占用永久基本农田。确需占用永久基本农田的，县级自然资源主管部门应在前期选址阶段，实地核实永久基本农田地块的空间位置、地类、面积、质量状况、利用现状等，组织编制临时用地踏勘报告，并对占用永久基本农田的必要性和合理性进行严格论证，报市级自然资源主管部门审查。</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2CFA9E75">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2FBAB0E7">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根据《四川省自然资源厅 关于解决油气勘探开发用地问题的复函》（川自然资函〔2019〕197号）文件要求，油气勘探开发项目可在无法避让基本农田的情况下，办理临时用地。</w:t>
                  </w:r>
                </w:p>
                <w:p w14:paraId="2544443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永久基本农田）、坑塘水面、农村宅基地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hint="eastAsia"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r>
                    <w:rPr>
                      <w:rFonts w:ascii="Times New Roman" w:hAnsi="Times New Roman" w:eastAsia="宋体" w:cs="Times New Roman"/>
                      <w:color w:val="auto"/>
                    </w:rPr>
                    <w:t>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54ADCFD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FE3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F8C8A2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四、进一步严格临时用地监管</w:t>
                  </w:r>
                </w:p>
              </w:tc>
            </w:tr>
            <w:tr w14:paraId="457E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5D7EE96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5111669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市、县级自然资源主管部门应按照相关规定对临时用地选址、审批、备案、使用、复垦进行严格审核把关、依法监督检查，严禁违规认定临时用地，严禁在法律法规规定的禁止区域审批临时用地，严禁擅自扩大临时用地审批范围和延长使用期限，严禁以临时用地名义规避建设用地审批手续特别是建设占用耕地和永久基本农田，要坚持节约集约用地，切实保障临时用地依法管理、有序使用</w:t>
                  </w:r>
                  <w:bookmarkStart w:id="75" w:name="_GoBack"/>
                  <w:bookmarkEnd w:id="75"/>
                  <w:r>
                    <w:rPr>
                      <w:rFonts w:ascii="Times New Roman" w:hAnsi="Times New Roman" w:eastAsia="宋体" w:cs="Times New Roman"/>
                      <w:color w:val="auto"/>
                    </w:rPr>
                    <w:t>及时恢复。</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396974F9">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5645EAF6">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根据《四川省自然资源厅</w:t>
                  </w:r>
                  <w:r>
                    <w:rPr>
                      <w:rFonts w:ascii="Times New Roman" w:hAnsi="Times New Roman" w:cs="Times New Roman"/>
                      <w:color w:val="auto"/>
                    </w:rPr>
                    <w:t xml:space="preserve"> </w:t>
                  </w:r>
                  <w:r>
                    <w:rPr>
                      <w:rFonts w:ascii="Times New Roman" w:hAnsi="Times New Roman" w:eastAsia="宋体" w:cs="Times New Roman"/>
                      <w:color w:val="auto"/>
                    </w:rPr>
                    <w:t>关于解决油气勘探开发用地问题的复函》（川自然资函〔</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197</w:t>
                  </w:r>
                  <w:r>
                    <w:rPr>
                      <w:rFonts w:ascii="Times New Roman" w:hAnsi="Times New Roman" w:eastAsia="宋体" w:cs="Times New Roman"/>
                      <w:color w:val="auto"/>
                    </w:rPr>
                    <w:t>号）文件要求，油气勘探开发项目可在无法避让基本农田的情况下，办理临时用地。</w:t>
                  </w:r>
                </w:p>
                <w:p w14:paraId="5F2A6D65">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永久基本农田）、坑塘水面、农村宅基地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巴中市自然资源和规划局</w:t>
                  </w:r>
                  <w:r>
                    <w:rPr>
                      <w:rFonts w:hint="eastAsia" w:ascii="Times New Roman" w:hAnsi="Times New Roman" w:eastAsia="宋体" w:cs="Times New Roman"/>
                      <w:color w:val="auto"/>
                      <w:lang w:val="en-US" w:eastAsia="zh-CN"/>
                    </w:rPr>
                    <w:t>恩阳</w:t>
                  </w:r>
                  <w:r>
                    <w:rPr>
                      <w:rFonts w:hint="eastAsia" w:ascii="Times New Roman" w:hAnsi="Times New Roman" w:eastAsia="宋体" w:cs="Times New Roman"/>
                      <w:color w:val="auto"/>
                    </w:rPr>
                    <w:t>分局</w:t>
                  </w:r>
                  <w:r>
                    <w:rPr>
                      <w:rFonts w:hint="default" w:ascii="Times New Roman" w:hAnsi="Times New Roman" w:eastAsia="宋体" w:cs="Times New Roman"/>
                      <w:color w:val="auto"/>
                    </w:rPr>
                    <w:t>出具的</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&lt;核实元陆39井钻探工程项目选址情况的函&gt;的复函》</w:t>
                  </w:r>
                  <w:r>
                    <w:rPr>
                      <w:rFonts w:hint="eastAsia" w:ascii="Times New Roman" w:hAnsi="Times New Roman" w:eastAsia="宋体" w:cs="Times New Roman"/>
                      <w:color w:val="auto"/>
                    </w:rPr>
                    <w:t>，</w:t>
                  </w:r>
                  <w:r>
                    <w:rPr>
                      <w:rFonts w:ascii="Times New Roman" w:hAnsi="Times New Roman" w:cs="Times New Roman"/>
                      <w:color w:val="auto"/>
                    </w:rPr>
                    <w:t>目前建设单位正在按照相关要求办理临时用地手续。</w:t>
                  </w:r>
                  <w:r>
                    <w:rPr>
                      <w:rFonts w:ascii="Times New Roman" w:hAnsi="Times New Roman" w:eastAsia="宋体" w:cs="Times New Roman"/>
                      <w:color w:val="auto"/>
                    </w:rPr>
                    <w:t>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val="en-US" w:eastAsia="zh-CN"/>
                    </w:rPr>
                    <w:t>临时</w:t>
                  </w:r>
                  <w:r>
                    <w:rPr>
                      <w:rFonts w:hint="eastAsia" w:ascii="Times New Roman" w:hAnsi="Times New Roman" w:eastAsia="宋体" w:cs="Times New Roman"/>
                      <w:color w:val="auto"/>
                      <w:highlight w:val="none"/>
                      <w:lang w:val="en-US" w:eastAsia="zh-CN"/>
                    </w:rPr>
                    <w:t>占用的林地及时进行恢复</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4B7D871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297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EE6037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五、进一步加强临时用地监督检查</w:t>
                  </w:r>
                </w:p>
              </w:tc>
            </w:tr>
            <w:tr w14:paraId="51FB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309385A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62DCAA1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自然资源厅建立定期抽查和定期通报制度，组织厅机关相关处（室、局）和直属单位对全省临时用地审批、备案、使用、复垦情况进行监督检查，加强临时用地信息化管理，对不符合用地要求和未按要求完成复垦任务的，予以公开通报，责令限期改正，并依据法律法规的规定对违法违规问题严肃处理。</w:t>
                  </w:r>
                </w:p>
              </w:tc>
              <w:tc>
                <w:tcPr>
                  <w:tcW w:w="1848" w:type="pct"/>
                  <w:tcBorders>
                    <w:top w:val="single" w:color="auto" w:sz="4" w:space="0"/>
                    <w:left w:val="single" w:color="auto" w:sz="4" w:space="0"/>
                    <w:bottom w:val="single" w:color="auto" w:sz="4" w:space="0"/>
                    <w:right w:val="single" w:color="auto" w:sz="4" w:space="0"/>
                  </w:tcBorders>
                  <w:noWrap w:val="0"/>
                  <w:vAlign w:val="center"/>
                </w:tcPr>
                <w:p w14:paraId="38437B3A">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本项目临时用地将按相关要求进行审批备案、使用和复垦，严格执行复垦任务</w:t>
                  </w:r>
                </w:p>
              </w:tc>
              <w:tc>
                <w:tcPr>
                  <w:tcW w:w="574" w:type="pct"/>
                  <w:tcBorders>
                    <w:top w:val="single" w:color="auto" w:sz="4" w:space="0"/>
                    <w:left w:val="single" w:color="auto" w:sz="4" w:space="0"/>
                    <w:bottom w:val="single" w:color="auto" w:sz="4" w:space="0"/>
                    <w:right w:val="single" w:color="auto" w:sz="4" w:space="0"/>
                  </w:tcBorders>
                  <w:noWrap w:val="0"/>
                  <w:vAlign w:val="center"/>
                </w:tcPr>
                <w:p w14:paraId="7EFAEC0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5E449B29">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与《关于</w:t>
            </w:r>
            <w:r>
              <w:rPr>
                <w:rFonts w:hint="default" w:ascii="Times New Roman" w:hAnsi="Times New Roman" w:eastAsia="宋体" w:cs="Times New Roman"/>
                <w:b/>
                <w:color w:val="auto"/>
                <w:sz w:val="24"/>
              </w:rPr>
              <w:t>进一步做好用地用海要素保障的通知》（自然资发</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2023</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89号）符合性</w:t>
            </w:r>
          </w:p>
          <w:p w14:paraId="06C3977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本项目与《关于进一步做好用地用海要素保障的通知》（自然资发</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2023</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89号）符合性分析见下表。</w:t>
            </w:r>
          </w:p>
          <w:p w14:paraId="76C6C09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本项目与《关于进一步做好用地用海要素保障的通知》（自然资发</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2023</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89号）符合性分析</w:t>
            </w:r>
          </w:p>
          <w:tbl>
            <w:tblPr>
              <w:tblStyle w:val="23"/>
              <w:tblW w:w="48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707"/>
              <w:gridCol w:w="1527"/>
              <w:gridCol w:w="899"/>
            </w:tblGrid>
            <w:tr w14:paraId="2D3B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16FBAA3A">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969" w:type="pct"/>
                  <w:noWrap w:val="0"/>
                  <w:vAlign w:val="center"/>
                </w:tcPr>
                <w:p w14:paraId="3C3E3801">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技术政策要求</w:t>
                  </w:r>
                </w:p>
              </w:tc>
              <w:tc>
                <w:tcPr>
                  <w:tcW w:w="963" w:type="pct"/>
                  <w:noWrap w:val="0"/>
                  <w:vAlign w:val="center"/>
                </w:tcPr>
                <w:p w14:paraId="180FAA1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本项目情况</w:t>
                  </w:r>
                </w:p>
              </w:tc>
              <w:tc>
                <w:tcPr>
                  <w:tcW w:w="567" w:type="pct"/>
                  <w:noWrap w:val="0"/>
                  <w:vAlign w:val="center"/>
                </w:tcPr>
                <w:p w14:paraId="58BFDD8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符合性</w:t>
                  </w:r>
                </w:p>
              </w:tc>
            </w:tr>
            <w:tr w14:paraId="353A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204C781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969" w:type="pct"/>
                  <w:noWrap w:val="0"/>
                  <w:vAlign w:val="center"/>
                </w:tcPr>
                <w:p w14:paraId="25C6F4F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1、严格落实《全国国土空间规划纲要（2021~2035年）》和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三区三线</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划定成果，加快地方各级国土空间规划编制报批。在各级国土空间规划正式批准之前的过渡期，对省级国土空间规划已呈报国务院的省份，有批准权的人民政府自然资源主管部门已经组织审查通过的国土空间总体规划，可作为项目用地用海用岛组卷报批依据。国土空间规划明确了无居民海岛开发利用建设范围和具体保护措施等要求的，可不再编制可利用无居民海岛保护和利用规划。</w:t>
                  </w:r>
                </w:p>
              </w:tc>
              <w:tc>
                <w:tcPr>
                  <w:tcW w:w="963" w:type="pct"/>
                  <w:vMerge w:val="restart"/>
                  <w:noWrap w:val="0"/>
                  <w:vAlign w:val="center"/>
                </w:tcPr>
                <w:p w14:paraId="0D079C9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default" w:ascii="Times New Roman" w:hAnsi="Times New Roman" w:eastAsia="宋体" w:cs="Times New Roman"/>
                      <w:color w:val="auto"/>
                      <w:sz w:val="21"/>
                      <w:szCs w:val="21"/>
                      <w:highlight w:val="none"/>
                    </w:rPr>
                    <w:t>新建井场，用地为临时占地，土地利用现状为</w:t>
                  </w:r>
                  <w:r>
                    <w:rPr>
                      <w:rFonts w:hint="default" w:ascii="Times New Roman" w:hAnsi="Times New Roman" w:eastAsia="宋体" w:cs="Times New Roman"/>
                      <w:color w:val="auto"/>
                      <w:sz w:val="21"/>
                      <w:szCs w:val="21"/>
                      <w:highlight w:val="none"/>
                      <w:lang w:eastAsia="zh-CN"/>
                    </w:rPr>
                    <w:t>林地、</w:t>
                  </w:r>
                  <w:r>
                    <w:rPr>
                      <w:rFonts w:hint="eastAsia" w:ascii="Times New Roman" w:hAnsi="Times New Roman" w:eastAsia="宋体" w:cs="Times New Roman"/>
                      <w:color w:val="auto"/>
                      <w:sz w:val="21"/>
                      <w:szCs w:val="21"/>
                      <w:highlight w:val="none"/>
                      <w:lang w:val="en-US" w:eastAsia="zh-CN"/>
                    </w:rPr>
                    <w:t>耕地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含永久</w:t>
                  </w:r>
                  <w:r>
                    <w:rPr>
                      <w:rFonts w:hint="default" w:ascii="Times New Roman" w:hAnsi="Times New Roman" w:eastAsia="宋体" w:cs="Times New Roman"/>
                      <w:color w:val="auto"/>
                      <w:sz w:val="21"/>
                      <w:szCs w:val="21"/>
                      <w:highlight w:val="none"/>
                      <w:lang w:val="en-US" w:eastAsia="zh-CN"/>
                    </w:rPr>
                    <w:t>基本农田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rPr>
                    <w:t>、坑塘水面、农村宅基地</w:t>
                  </w:r>
                  <w:r>
                    <w:rPr>
                      <w:rFonts w:hint="eastAsia" w:ascii="Times New Roman" w:hAnsi="Times New Roman" w:eastAsia="宋体" w:cs="Times New Roman"/>
                      <w:color w:val="auto"/>
                      <w:lang w:val="en-US" w:eastAsia="zh-CN"/>
                    </w:rPr>
                    <w:t>等</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完成后将</w:t>
                  </w:r>
                  <w:r>
                    <w:rPr>
                      <w:rFonts w:hint="default" w:ascii="Times New Roman" w:hAnsi="Times New Roman" w:eastAsia="宋体" w:cs="Times New Roman"/>
                      <w:color w:val="auto"/>
                      <w:sz w:val="21"/>
                      <w:szCs w:val="21"/>
                      <w:highlight w:val="none"/>
                    </w:rPr>
                    <w:t>按照相关规定做好对临时占地进行恢复，做好</w:t>
                  </w:r>
                  <w:r>
                    <w:rPr>
                      <w:rFonts w:hint="default" w:ascii="Times New Roman" w:hAnsi="Times New Roman" w:eastAsia="宋体" w:cs="Times New Roman"/>
                      <w:color w:val="auto"/>
                      <w:sz w:val="21"/>
                      <w:szCs w:val="21"/>
                      <w:highlight w:val="none"/>
                      <w:lang w:eastAsia="zh-CN"/>
                    </w:rPr>
                    <w:t>覆土</w:t>
                  </w:r>
                  <w:r>
                    <w:rPr>
                      <w:rFonts w:hint="default" w:ascii="Times New Roman" w:hAnsi="Times New Roman" w:eastAsia="宋体" w:cs="Times New Roman"/>
                      <w:color w:val="auto"/>
                      <w:sz w:val="21"/>
                      <w:szCs w:val="21"/>
                      <w:highlight w:val="none"/>
                    </w:rPr>
                    <w:t>复耕，保证土壤质量</w:t>
                  </w:r>
                </w:p>
              </w:tc>
              <w:tc>
                <w:tcPr>
                  <w:tcW w:w="567" w:type="pct"/>
                  <w:noWrap w:val="0"/>
                  <w:vAlign w:val="center"/>
                </w:tcPr>
                <w:p w14:paraId="0E24A1E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42D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65C646E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969" w:type="pct"/>
                  <w:noWrap w:val="0"/>
                  <w:vAlign w:val="center"/>
                </w:tcPr>
                <w:p w14:paraId="63D9009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缩小用地预审范围。以下情形不需申请办理用地预审，直接申请办理农用地转用和土地征收：（1）国土空间规划确定的城市和村庄、集镇建设用地范围内的建设项目用地；（2）油气类</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探采合一</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探转采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钻井及其配套设施建设用地；（3）具备直接出让采矿权条件、能够明确具体用地范围的采矿用地；（4）露天煤矿接续用地；（5）水利水电项目涉及的淹没区用地。</w:t>
                  </w:r>
                </w:p>
              </w:tc>
              <w:tc>
                <w:tcPr>
                  <w:tcW w:w="963" w:type="pct"/>
                  <w:vMerge w:val="continue"/>
                  <w:noWrap w:val="0"/>
                  <w:vAlign w:val="center"/>
                </w:tcPr>
                <w:p w14:paraId="1A401BAA">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01292EB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6F2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31BE468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969" w:type="pct"/>
                  <w:noWrap w:val="0"/>
                  <w:vAlign w:val="center"/>
                </w:tcPr>
                <w:p w14:paraId="410FFB4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化建设项目用地预审审查。涉及规划土地用途调整的，重点审查是否符合允许调整的情形，规划土地用途调整方案在办理农用地转用和土地征收阶段提交；涉及占用永久基本农田的，重点审查是否符合允许占用的情形以及避让的可能性，补划方案在办理农用地转用和土地征收阶段提交；涉及占用生态保护红线的，重点审查是否属于允许有限人为活动之外的国家重大项目范围，在办理农用地转用和土地征收阶段提交省级人民政府出具的不可避让论证意见。</w:t>
                  </w:r>
                </w:p>
              </w:tc>
              <w:tc>
                <w:tcPr>
                  <w:tcW w:w="963" w:type="pct"/>
                  <w:vMerge w:val="continue"/>
                  <w:noWrap w:val="0"/>
                  <w:vAlign w:val="center"/>
                </w:tcPr>
                <w:p w14:paraId="62CC3A6E">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0B9F342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5FBB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72BA2FF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2969" w:type="pct"/>
                  <w:noWrap w:val="0"/>
                  <w:vAlign w:val="center"/>
                </w:tcPr>
                <w:p w14:paraId="5DBAFF7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优化临时用地政策。直接服务于铁路、公路、水利工程施工的制梁场、拌合站，需临时使用土地的，其土地复垦方案通过论证，业主单位签订承诺书，明确了复垦完成时限和恢复责任，确保能够恢复种植条件的，可以占用耕地，不得占用永久基本农田。</w:t>
                  </w:r>
                </w:p>
              </w:tc>
              <w:tc>
                <w:tcPr>
                  <w:tcW w:w="963" w:type="pct"/>
                  <w:vMerge w:val="continue"/>
                  <w:noWrap w:val="0"/>
                  <w:vAlign w:val="center"/>
                </w:tcPr>
                <w:p w14:paraId="47346F1F">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2382DB1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3A53E2F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lang w:val="en-US" w:eastAsia="zh-CN"/>
              </w:rPr>
              <w:t>与</w:t>
            </w:r>
            <w:r>
              <w:rPr>
                <w:rFonts w:hint="default" w:ascii="Times New Roman" w:hAnsi="Times New Roman" w:cs="Times New Roman"/>
                <w:b/>
                <w:color w:val="auto"/>
                <w:sz w:val="24"/>
              </w:rPr>
              <w:t>《关于进一步加强石油天然气行业环境影响评价管理的通知</w:t>
            </w:r>
            <w:r>
              <w:rPr>
                <w:rFonts w:hint="default" w:ascii="Times New Roman" w:hAnsi="Times New Roman" w:eastAsia="宋体" w:cs="Times New Roman"/>
                <w:b/>
                <w:color w:val="auto"/>
                <w:sz w:val="24"/>
              </w:rPr>
              <w:t>》（环办环评函〔2019〕910号）</w:t>
            </w:r>
            <w:r>
              <w:rPr>
                <w:rFonts w:hint="default" w:ascii="Times New Roman" w:hAnsi="Times New Roman" w:cs="Times New Roman"/>
                <w:b/>
                <w:color w:val="auto"/>
                <w:sz w:val="24"/>
              </w:rPr>
              <w:t>符合性分析</w:t>
            </w:r>
          </w:p>
          <w:p w14:paraId="59405A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本项目与《关于进一步加强石油天然气行业环境影响评价管理的通知》（环办环评函〔2019〕910号）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56AE63E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本项目与《关于进一步加强石油天然气行业环境影响评价管理的通知》（环办环评函〔2019〕910号）符合性分析</w:t>
            </w:r>
          </w:p>
          <w:tbl>
            <w:tblPr>
              <w:tblStyle w:val="23"/>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4325"/>
              <w:gridCol w:w="1941"/>
              <w:gridCol w:w="887"/>
            </w:tblGrid>
            <w:tr w14:paraId="7C91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150D978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1F855E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4EA7AE8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7339FE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2E86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06F73FB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深化项目环评“放管服”改革</w:t>
                  </w:r>
                </w:p>
              </w:tc>
            </w:tr>
            <w:tr w14:paraId="5869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4B91FAD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1E75A06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开采项目（含新开发和滚动开发项目）原则上应当以区块为单位开展环评（以下简称区块环评），一般包括区块内拟建的新井、加密井、调整井、站台、设备、管道和电缆及其更换工程、弃置工程及配套工程等。项目环评应当深入评价项目建设、运营带来的环境影响和环境风险防范措施。滚动开发区块产能建设项目环评文件中还应对现有工程环境影响进行回顾性评价，对存在的生态环境问题和环境风险隐患提出有效防治措施。依托其他防治设施或委托第三方处置的，应当论证其可行性和有效性。</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1826EEB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本项目为</w:t>
                  </w:r>
                  <w:r>
                    <w:rPr>
                      <w:rFonts w:hint="eastAsia" w:ascii="Times New Roman" w:hAnsi="Times New Roman" w:eastAsia="宋体" w:cs="Times New Roman"/>
                      <w:color w:val="auto"/>
                      <w:lang w:val="en-US" w:eastAsia="zh-CN"/>
                    </w:rPr>
                    <w:t>天然气</w:t>
                  </w:r>
                  <w:r>
                    <w:rPr>
                      <w:rFonts w:ascii="Times New Roman" w:hAnsi="Times New Roman" w:eastAsia="宋体" w:cs="Times New Roman"/>
                      <w:color w:val="auto"/>
                    </w:rPr>
                    <w:t>勘探</w:t>
                  </w:r>
                  <w:r>
                    <w:rPr>
                      <w:rFonts w:hint="eastAsia" w:ascii="Times New Roman" w:hAnsi="Times New Roman" w:eastAsia="宋体" w:cs="Times New Roman"/>
                      <w:color w:val="auto"/>
                      <w:lang w:val="en-US" w:eastAsia="zh-CN"/>
                    </w:rPr>
                    <w:t>工程，</w:t>
                  </w:r>
                  <w:r>
                    <w:rPr>
                      <w:rFonts w:ascii="Times New Roman" w:hAnsi="Times New Roman" w:eastAsia="宋体" w:cs="Times New Roman"/>
                      <w:color w:val="auto"/>
                    </w:rPr>
                    <w:t>本次评价提出了有效的生态环境保护和环境风险防范措施。充分论证了钻井废水及钻井岩屑、</w:t>
                  </w:r>
                  <w:r>
                    <w:rPr>
                      <w:rFonts w:hint="eastAsia" w:ascii="Times New Roman" w:hAnsi="Times New Roman" w:eastAsia="宋体" w:cs="Times New Roman"/>
                      <w:color w:val="auto"/>
                      <w:lang w:val="en-US" w:eastAsia="zh-CN"/>
                    </w:rPr>
                    <w:t>废钻井</w:t>
                  </w:r>
                  <w:r>
                    <w:rPr>
                      <w:rFonts w:ascii="Times New Roman" w:hAnsi="Times New Roman" w:eastAsia="宋体" w:cs="Times New Roman"/>
                      <w:color w:val="auto"/>
                    </w:rPr>
                    <w:t>泥浆等依托第三方处置的可行性</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0F39AB2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9C2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6640E75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强化生态环境保护措施</w:t>
                  </w:r>
                </w:p>
              </w:tc>
            </w:tr>
            <w:tr w14:paraId="21A1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388D2EF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04465C0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涉及向地表水体排放污染物的陆地油气开采项目，应当符合国家和地方污染物排放标准，满足重点污染物排放总量控制要求。</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73A79EB9">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w:t>
                  </w:r>
                  <w:r>
                    <w:rPr>
                      <w:rFonts w:hint="eastAsia" w:ascii="Times New Roman" w:hAnsi="Times New Roman" w:eastAsia="宋体" w:cs="Times New Roman"/>
                      <w:color w:val="auto"/>
                      <w:lang w:eastAsia="zh-CN"/>
                    </w:rPr>
                    <w:t>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交由符合环保要求且有处理能力的钻井废水处理公司进行处理；生活污水通过环保厕所收集后转运至</w:t>
                  </w:r>
                  <w:r>
                    <w:rPr>
                      <w:rFonts w:hint="eastAsia" w:ascii="Times New Roman" w:hAnsi="Times New Roman" w:eastAsia="宋体" w:cs="Times New Roman"/>
                      <w:color w:val="auto"/>
                      <w:lang w:val="en-US" w:eastAsia="zh-CN"/>
                    </w:rPr>
                    <w:t>上八庙镇</w:t>
                  </w:r>
                  <w:r>
                    <w:rPr>
                      <w:rFonts w:hint="eastAsia" w:ascii="Times New Roman" w:hAnsi="Times New Roman" w:eastAsia="宋体" w:cs="Times New Roman"/>
                      <w:color w:val="auto"/>
                    </w:rPr>
                    <w:t>污水处理站处理</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310212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0FC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025F836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10E5FED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涉及废水回注的，应当论证回注的环境可行性，采取切实可行的地下水污染防治和监控措施，不得回注与油气开采无关的废水，严禁造成地下水污染。</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20382FA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本项目钻井废水不回注</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743418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w:t>
                  </w:r>
                </w:p>
              </w:tc>
            </w:tr>
            <w:tr w14:paraId="66A7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59E271A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74DF644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油气开采产生的废弃油基泥浆、含油钻屑及其他固体废物，应当遵循减量化、资源化、无害化原则，按照国家和地方有关固体废物的管理规定进行处置。</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4D517685">
                  <w:pPr>
                    <w:pStyle w:val="55"/>
                    <w:keepNext w:val="0"/>
                    <w:keepLines w:val="0"/>
                    <w:suppressLineNumbers w:val="0"/>
                    <w:spacing w:before="0" w:beforeAutospacing="0" w:after="0" w:afterAutospacing="0"/>
                    <w:ind w:left="0" w:right="0"/>
                    <w:jc w:val="left"/>
                    <w:rPr>
                      <w:rFonts w:ascii="Times New Roman" w:hAnsi="Times New Roman" w:cs="Times New Roman"/>
                      <w:color w:val="auto"/>
                      <w:highlight w:val="yellow"/>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未采用油基钻井液体系，钻井过程中产生的钻井固废（钻井岩屑和废钻井泥浆）以及沉淀污泥经过脱水后（含水率低于60%）收集至岩屑接收罐，交由符合环保要求且有处理能力的砖厂、水泥厂等进行资源化利用</w:t>
                  </w:r>
                  <w:r>
                    <w:rPr>
                      <w:rFonts w:ascii="Times New Roman" w:hAnsi="Times New Roman" w:eastAsia="宋体" w:cs="Times New Roman"/>
                      <w:color w:val="auto"/>
                    </w:rPr>
                    <w:t>。废油</w:t>
                  </w:r>
                  <w:r>
                    <w:rPr>
                      <w:rFonts w:hint="eastAsia" w:ascii="Times New Roman" w:hAnsi="Times New Roman" w:eastAsia="宋体" w:cs="Times New Roman"/>
                      <w:color w:val="auto"/>
                    </w:rPr>
                    <w:t>、含油污染物交由</w:t>
                  </w:r>
                  <w:r>
                    <w:rPr>
                      <w:rFonts w:ascii="Times New Roman" w:hAnsi="Times New Roman" w:eastAsia="宋体" w:cs="Times New Roman"/>
                      <w:color w:val="auto"/>
                    </w:rPr>
                    <w:t>危险废物处置资质单位进行处置</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63BAD86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23D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2E5E428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784F88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陆地油气开采项目的建设单位应当对挥发性有机物液体储存和装载损失、废水液面逸散、设备与管线组件泄漏、非正常工况等挥发性有机物无组织排放源进行有效管控，通过采取设备密闭、废气有效收集及配套高效末端处理设施等措施，有效控制挥发性有机物和恶臭气体无组织排放。涉及高含硫天然气开采的，应当强化钻井、输送、净化等环节环境风险防范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0B630788">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w:t>
                  </w:r>
                  <w:r>
                    <w:rPr>
                      <w:rFonts w:hint="eastAsia" w:ascii="Times New Roman" w:hAnsi="Times New Roman" w:eastAsia="宋体" w:cs="Times New Roman"/>
                      <w:color w:val="auto"/>
                      <w:lang w:val="en-US" w:eastAsia="zh-CN"/>
                    </w:rPr>
                    <w:t>地层</w:t>
                  </w:r>
                  <w:r>
                    <w:rPr>
                      <w:rFonts w:ascii="Times New Roman" w:hAnsi="Times New Roman" w:eastAsia="宋体" w:cs="Times New Roman"/>
                      <w:color w:val="auto"/>
                    </w:rPr>
                    <w:t>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w:t>
                  </w:r>
                </w:p>
                <w:p w14:paraId="3C10A32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本次环评对钻井期间环境风险提出了防范措施</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6D84E2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E1B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70A63F4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4331E29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50B51AFE">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本项目施工布置要求减少施工占地、缩短施工时间、选择合理施工方式等，钻井设备采用网电；选用低噪声设备，并提出避免噪声扰民方案；施工结束后落实环评提出的生态保护措施方案</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61B9817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240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2C9B35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加强事中事后监管</w:t>
                  </w:r>
                </w:p>
              </w:tc>
            </w:tr>
            <w:tr w14:paraId="43FF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0831595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5EF74325">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油气企业应当切实落实生态环境保护主体责任，进一步健全生态环境保护管理体系和制度，充分发挥企业内部生态环境保护部门作用，健全健康、安全与环境（</w:t>
                  </w:r>
                  <w:r>
                    <w:rPr>
                      <w:rFonts w:ascii="Times New Roman" w:hAnsi="Times New Roman" w:cs="Times New Roman"/>
                      <w:color w:val="auto"/>
                    </w:rPr>
                    <w:t>HSE</w:t>
                  </w:r>
                  <w:r>
                    <w:rPr>
                      <w:rFonts w:ascii="Times New Roman" w:hAnsi="Times New Roman" w:eastAsia="宋体" w:cs="Times New Roman"/>
                      <w:color w:val="auto"/>
                    </w:rPr>
                    <w:t>）管理体系，加强督促检查，推动所属油气田落实规划、建设、运营、退役等环节生态环境保护措施。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05DEBF9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中国石油化工股份有限公司勘探分公司建立有完善的生态环境保护管理体系和制度，规范钻井过程中各项工程的环境保护责任和措施</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4EBEE0D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AED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1409B43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7449119">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油气企业应按照企事业单位环境信息公开办法、环境影响评价公众参与办法等有关要求，主动公开油气开采项目环境信息，保障公众的知情权、参与权、表达权和监督权。</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627D8ACD">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本项目按照要求进行环境影响评价及环境信息公开事宜</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75A9331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2A5254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因此，本项目建设符合《关于进一步加强石油天然气行业环境影响评价管理的通知》（环办环评函〔2019〕910号）</w:t>
            </w:r>
            <w:r>
              <w:rPr>
                <w:rFonts w:hint="eastAsia" w:ascii="Times New Roman" w:hAnsi="Times New Roman" w:eastAsia="宋体" w:cs="Times New Roman"/>
                <w:color w:val="auto"/>
                <w:sz w:val="24"/>
                <w:lang w:val="en-US" w:eastAsia="zh-CN"/>
              </w:rPr>
              <w:t>相关</w:t>
            </w:r>
            <w:r>
              <w:rPr>
                <w:rFonts w:hint="default" w:ascii="Times New Roman" w:hAnsi="Times New Roman" w:eastAsia="宋体" w:cs="Times New Roman"/>
                <w:color w:val="auto"/>
                <w:sz w:val="24"/>
              </w:rPr>
              <w:t>要求。</w:t>
            </w:r>
          </w:p>
          <w:p w14:paraId="3AE4E02C">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与《甲烷排放控制行动方案》（环气候〔2023〕67号）符合性分析</w:t>
            </w:r>
          </w:p>
          <w:p w14:paraId="638B461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bCs/>
                <w:color w:val="auto"/>
                <w:sz w:val="24"/>
              </w:rPr>
            </w:pPr>
            <w:r>
              <w:rPr>
                <w:rFonts w:hint="default" w:ascii="Times New Roman" w:hAnsi="Times New Roman" w:cs="Times New Roman"/>
                <w:color w:val="auto"/>
                <w:sz w:val="24"/>
              </w:rPr>
              <w:t>本项目与《甲烷排放控制行动方案》（环气候〔2023〕67号）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1348B750">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本项目与《甲烷排放控制行动方案》（环气候〔2023〕67号）符合性分析</w:t>
            </w:r>
          </w:p>
          <w:tbl>
            <w:tblPr>
              <w:tblStyle w:val="23"/>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646"/>
              <w:gridCol w:w="1688"/>
              <w:gridCol w:w="881"/>
            </w:tblGrid>
            <w:tr w14:paraId="59EC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5A5E9F1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序号</w:t>
                  </w:r>
                </w:p>
              </w:tc>
              <w:tc>
                <w:tcPr>
                  <w:tcW w:w="2932" w:type="pct"/>
                  <w:noWrap w:val="0"/>
                  <w:vAlign w:val="center"/>
                </w:tcPr>
                <w:p w14:paraId="748C8CA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内容</w:t>
                  </w:r>
                </w:p>
              </w:tc>
              <w:tc>
                <w:tcPr>
                  <w:tcW w:w="1065" w:type="pct"/>
                  <w:noWrap w:val="0"/>
                  <w:vAlign w:val="center"/>
                </w:tcPr>
                <w:p w14:paraId="134A4E0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本项目情况</w:t>
                  </w:r>
                </w:p>
              </w:tc>
              <w:tc>
                <w:tcPr>
                  <w:tcW w:w="556" w:type="pct"/>
                  <w:noWrap w:val="0"/>
                  <w:vAlign w:val="center"/>
                </w:tcPr>
                <w:p w14:paraId="27F75C9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符合性</w:t>
                  </w:r>
                </w:p>
              </w:tc>
            </w:tr>
            <w:tr w14:paraId="58EC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11A3D97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2932" w:type="pct"/>
                  <w:noWrap w:val="0"/>
                  <w:vAlign w:val="center"/>
                </w:tcPr>
                <w:p w14:paraId="4F231048">
                  <w:pPr>
                    <w:keepNext w:val="0"/>
                    <w:keepLines w:val="0"/>
                    <w:suppressLineNumbers w:val="0"/>
                    <w:spacing w:before="0" w:beforeAutospacing="0" w:after="0" w:afterAutospacing="0"/>
                    <w:ind w:left="0" w:right="0"/>
                    <w:jc w:val="left"/>
                    <w:rPr>
                      <w:rFonts w:hint="eastAsia" w:ascii="Times New Roman" w:hAnsi="Times New Roman" w:cs="Times New Roman"/>
                      <w:color w:val="auto"/>
                      <w:szCs w:val="21"/>
                    </w:rPr>
                  </w:pPr>
                  <w:r>
                    <w:rPr>
                      <w:rFonts w:hint="eastAsia" w:ascii="Times New Roman" w:hAnsi="Times New Roman" w:cs="Times New Roman"/>
                      <w:color w:val="auto"/>
                      <w:szCs w:val="21"/>
                      <w:lang w:eastAsia="zh-CN"/>
                    </w:rPr>
                    <w:t>（一）</w:t>
                  </w:r>
                  <w:r>
                    <w:rPr>
                      <w:rFonts w:hint="default" w:ascii="Times New Roman" w:hAnsi="Times New Roman" w:cs="Times New Roman"/>
                      <w:color w:val="auto"/>
                      <w:szCs w:val="21"/>
                    </w:rPr>
                    <w:t>加强甲烷排放监测、核算、报告和核查体系建设</w:t>
                  </w:r>
                  <w:r>
                    <w:rPr>
                      <w:rFonts w:hint="eastAsia" w:ascii="Times New Roman" w:hAnsi="Times New Roman" w:cs="Times New Roman"/>
                      <w:color w:val="auto"/>
                      <w:szCs w:val="21"/>
                    </w:rPr>
                    <w:t>。</w:t>
                  </w:r>
                </w:p>
                <w:p w14:paraId="739D4CDE">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1</w:t>
                  </w:r>
                  <w:r>
                    <w:rPr>
                      <w:rFonts w:hint="eastAsia" w:ascii="Times New Roman" w:hAnsi="Times New Roman" w:cs="Times New Roman"/>
                      <w:color w:val="auto"/>
                      <w:szCs w:val="21"/>
                    </w:rPr>
                    <w:t>.</w:t>
                  </w:r>
                  <w:r>
                    <w:rPr>
                      <w:rFonts w:hint="default" w:ascii="Times New Roman" w:hAnsi="Times New Roman" w:cs="Times New Roman"/>
                      <w:color w:val="auto"/>
                      <w:szCs w:val="21"/>
                    </w:rPr>
                    <w:t>加强甲烷排放监测。探索开展甲烷排放监测试点，在重点领域推广甲烷排放源监测。根据我国甲烷排放特征，在现有的生态环境监测体系下开展甲烷环境浓度监测，逐步建立地面监测、无人机和卫星遥感等天空地一体化的甲烷监测体系。</w:t>
                  </w:r>
                </w:p>
                <w:p w14:paraId="1C3257B7">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2.研究建立甲烷排放核算、报告和核查制度。研究推进建立重点行业企业甲烷排放核算和报告制度，推动煤矿、油气田、养殖场、垃圾填埋场以及污水处理厂等大型排放源定期报告甲烷排放数据。结合国家和省级温室气体清单编制工作，逐步实现甲烷排放常态化核算。组织开展数据核查、抽查和现场检查工作，稳步提升甲烷排放数据质量。</w:t>
                  </w:r>
                </w:p>
                <w:p w14:paraId="3273FC85">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3.提升甲烷排放数据信息化管理水平。推动温室气体排放数据综合管理系统建设，加强甲烷排放数据采集、分析与利用信息集成促进跨部门数据共享。探索开展大气甲烷浓度反演排放量模式等研究，加强反演数据对核算数据的校核。</w:t>
                  </w:r>
                </w:p>
              </w:tc>
              <w:tc>
                <w:tcPr>
                  <w:tcW w:w="1065" w:type="pct"/>
                  <w:noWrap w:val="0"/>
                  <w:vAlign w:val="center"/>
                </w:tcPr>
                <w:p w14:paraId="113841C7">
                  <w:pPr>
                    <w:keepNext w:val="0"/>
                    <w:keepLines w:val="0"/>
                    <w:suppressLineNumbers w:val="0"/>
                    <w:wordWrap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本项目</w:t>
                  </w:r>
                  <w:r>
                    <w:rPr>
                      <w:rFonts w:hint="eastAsia" w:ascii="Times New Roman" w:hAnsi="Times New Roman" w:cs="Times New Roman"/>
                      <w:color w:val="auto"/>
                      <w:szCs w:val="21"/>
                      <w:lang w:val="en-US" w:eastAsia="zh-CN"/>
                    </w:rPr>
                    <w:t>将</w:t>
                  </w:r>
                  <w:r>
                    <w:rPr>
                      <w:rFonts w:hint="eastAsia" w:ascii="Times New Roman" w:hAnsi="Times New Roman" w:cs="Times New Roman"/>
                      <w:color w:val="auto"/>
                      <w:szCs w:val="21"/>
                    </w:rPr>
                    <w:t>按</w:t>
                  </w:r>
                  <w:r>
                    <w:rPr>
                      <w:rFonts w:hint="default" w:ascii="Times New Roman" w:hAnsi="Times New Roman" w:cs="Times New Roman"/>
                      <w:color w:val="auto"/>
                      <w:szCs w:val="21"/>
                    </w:rPr>
                    <w:t>《石油天然气工业健康、安全与环境管理体系》（SY/T</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6276-20</w:t>
                  </w:r>
                  <w:r>
                    <w:rPr>
                      <w:rFonts w:hint="eastAsia" w:ascii="Times New Roman" w:hAnsi="Times New Roman" w:cs="Times New Roman"/>
                      <w:color w:val="auto"/>
                      <w:szCs w:val="21"/>
                      <w:lang w:val="en-US" w:eastAsia="zh-CN"/>
                    </w:rPr>
                    <w:t>25</w:t>
                  </w:r>
                  <w:r>
                    <w:rPr>
                      <w:rFonts w:hint="default" w:ascii="Times New Roman" w:hAnsi="Times New Roman" w:cs="Times New Roman"/>
                      <w:color w:val="auto"/>
                      <w:szCs w:val="21"/>
                    </w:rPr>
                    <w:t>）及相关的井控技术标准和规范中的有关规定执行，</w:t>
                  </w:r>
                  <w:r>
                    <w:rPr>
                      <w:rFonts w:hint="eastAsia" w:ascii="Times New Roman" w:hAnsi="Times New Roman" w:cs="Times New Roman"/>
                      <w:color w:val="auto"/>
                      <w:szCs w:val="21"/>
                    </w:rPr>
                    <w:t>对钻井过程中的气体进行实时监测</w:t>
                  </w:r>
                </w:p>
              </w:tc>
              <w:tc>
                <w:tcPr>
                  <w:tcW w:w="556" w:type="pct"/>
                  <w:noWrap w:val="0"/>
                  <w:vAlign w:val="center"/>
                </w:tcPr>
                <w:p w14:paraId="1575779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14:paraId="1867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2160DFA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2</w:t>
                  </w:r>
                </w:p>
              </w:tc>
              <w:tc>
                <w:tcPr>
                  <w:tcW w:w="2932" w:type="pct"/>
                  <w:noWrap w:val="0"/>
                  <w:vAlign w:val="center"/>
                </w:tcPr>
                <w:p w14:paraId="1E0C4016">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eastAsia" w:ascii="Times New Roman" w:hAnsi="Times New Roman" w:cs="Times New Roman"/>
                      <w:color w:val="auto"/>
                      <w:szCs w:val="21"/>
                      <w:lang w:eastAsia="zh-CN"/>
                    </w:rPr>
                    <w:t>（二）</w:t>
                  </w:r>
                  <w:r>
                    <w:rPr>
                      <w:rFonts w:hint="default" w:ascii="Times New Roman" w:hAnsi="Times New Roman" w:cs="Times New Roman"/>
                      <w:color w:val="auto"/>
                      <w:szCs w:val="21"/>
                    </w:rPr>
                    <w:t>推进能源领域甲烷排放控制。</w:t>
                  </w:r>
                </w:p>
                <w:p w14:paraId="73CA7D28">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4.强化甲烷综合利用。促进油气田放空甲烷排放管控，鼓励企业因地制宜开展伴生气与放空气回收利用，不能回收或难以回收的应经燃烧后放空。鼓励引导煤炭企业加大煤矿瓦斯抽采利用。到2025年，煤矿瓦斯年利用量达到60亿立方米</w:t>
                  </w:r>
                  <w:r>
                    <w:rPr>
                      <w:rFonts w:hint="eastAsia" w:ascii="Times New Roman" w:hAnsi="Times New Roman" w:cs="Times New Roman"/>
                      <w:color w:val="auto"/>
                      <w:szCs w:val="21"/>
                      <w:lang w:eastAsia="zh-CN"/>
                    </w:rPr>
                    <w:t>；</w:t>
                  </w:r>
                  <w:r>
                    <w:rPr>
                      <w:rFonts w:hint="default" w:ascii="Times New Roman" w:hAnsi="Times New Roman" w:cs="Times New Roman"/>
                      <w:color w:val="auto"/>
                      <w:szCs w:val="21"/>
                    </w:rPr>
                    <w:t>到2030年，油田伴生气集气率达到国际先进水平</w:t>
                  </w:r>
                </w:p>
                <w:p w14:paraId="6B3C76C6">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5.推广应用泄漏检测与修复技术。探索逐步完善油气领域泄漏检测与修复技术规范体系，推动全产业链泄漏检测与修复常态化应用。加强管线先进维检修技术、设备的研究与应用，有效提升甲烷泄漏控制能力。</w:t>
                  </w:r>
                </w:p>
                <w:p w14:paraId="49AD6E6F">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6.推动逐步减少油气系统常规火炬，优化油气田地面工程建设与管理，减少火炬系统天然气燃烧量。科学规划设计新建油气作业项目，在确保生产安全的基础上，努力逐步减少常规火炬燃放。</w:t>
                  </w:r>
                </w:p>
              </w:tc>
              <w:tc>
                <w:tcPr>
                  <w:tcW w:w="1065" w:type="pct"/>
                  <w:noWrap w:val="0"/>
                  <w:vAlign w:val="center"/>
                </w:tcPr>
                <w:p w14:paraId="1D2C7E71">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eastAsia" w:ascii="Times New Roman" w:hAnsi="Times New Roman" w:cs="Times New Roman"/>
                      <w:color w:val="auto"/>
                      <w:szCs w:val="21"/>
                    </w:rPr>
                    <w:t>本项目测试放喷的天然气经专用放喷管线引至放喷池后点火燃烧，经自然扩散排入周边环境</w:t>
                  </w:r>
                </w:p>
              </w:tc>
              <w:tc>
                <w:tcPr>
                  <w:tcW w:w="556" w:type="pct"/>
                  <w:noWrap w:val="0"/>
                  <w:vAlign w:val="center"/>
                </w:tcPr>
                <w:p w14:paraId="1F006BB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bl>
          <w:p w14:paraId="3A2E2E1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综上所述，本项目符合《甲烷排放控制行动方案》（环气候〔2023〕67号）的相关要求。</w:t>
            </w:r>
          </w:p>
          <w:p w14:paraId="6921E4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与《地下水管理条例》（国令第748号）符合性分析</w:t>
            </w:r>
          </w:p>
          <w:p w14:paraId="43BE14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本项目与《地下水管理条例》（国令第748号）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75E48DBE">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与《地下水管理条例》（国令第748号）符合性分析</w:t>
            </w:r>
          </w:p>
          <w:tbl>
            <w:tblPr>
              <w:tblStyle w:val="23"/>
              <w:tblW w:w="4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4"/>
              <w:gridCol w:w="2652"/>
              <w:gridCol w:w="923"/>
            </w:tblGrid>
            <w:tr w14:paraId="16A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22EB5AA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条例要求</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CF5DAF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4B00523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5454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198E8E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第三章</w:t>
                  </w:r>
                  <w:r>
                    <w:rPr>
                      <w:rFonts w:ascii="Times New Roman" w:hAnsi="Times New Roman" w:cs="Times New Roman"/>
                      <w:color w:val="auto"/>
                    </w:rPr>
                    <w:t xml:space="preserve"> </w:t>
                  </w:r>
                  <w:r>
                    <w:rPr>
                      <w:rFonts w:ascii="Times New Roman" w:hAnsi="Times New Roman" w:eastAsia="宋体" w:cs="Times New Roman"/>
                      <w:color w:val="auto"/>
                    </w:rPr>
                    <w:t>节约与保护</w:t>
                  </w:r>
                </w:p>
              </w:tc>
            </w:tr>
            <w:tr w14:paraId="407E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334C789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第二十六条</w:t>
                  </w:r>
                  <w:r>
                    <w:rPr>
                      <w:rFonts w:ascii="Times New Roman" w:hAnsi="Times New Roman" w:cs="Times New Roman"/>
                      <w:color w:val="auto"/>
                    </w:rPr>
                    <w:t xml:space="preserve"> </w:t>
                  </w:r>
                  <w:r>
                    <w:rPr>
                      <w:rFonts w:ascii="Times New Roman" w:hAnsi="Times New Roman" w:eastAsia="宋体" w:cs="Times New Roman"/>
                      <w:color w:val="auto"/>
                    </w:rPr>
                    <w:t>建设单位和个人应当采取措施防止地下工程建设对地下水补给、径流、排泄等造成重大不利影响。对开挖达到一定深度或者达到一定排水规模的地下工程，建设单位和个人应当于工程开工前，将工程建设方案和防止对地下水产生不利影响的措施方案报有管理权限的水行政主管部门备案。开挖深度和排水规模由省、自治区、直辖市人民政府制定、公布。</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25DB56AF">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天然气勘探项目，项目采用泥浆不落地工艺，本项目</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参照《非常规油气开采污染控制技术规范》（</w:t>
                  </w:r>
                  <w:r>
                    <w:rPr>
                      <w:rFonts w:ascii="Times New Roman" w:hAnsi="Times New Roman" w:cs="Times New Roman"/>
                      <w:color w:val="auto"/>
                    </w:rPr>
                    <w:t>SY/T7482-2020</w:t>
                  </w:r>
                  <w:r>
                    <w:rPr>
                      <w:rFonts w:ascii="Times New Roman" w:hAnsi="Times New Roman" w:eastAsia="宋体" w:cs="Times New Roman"/>
                      <w:color w:val="auto"/>
                    </w:rPr>
                    <w:t>）标准，同时根据工程各功能单元可能产生污染的地区，划分为重点污染防治区、一般污染防治区，防止对地下水产生不利影响</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22556EC2">
                  <w:pPr>
                    <w:pStyle w:val="55"/>
                    <w:keepNext w:val="0"/>
                    <w:keepLines w:val="0"/>
                    <w:suppressLineNumbers w:val="0"/>
                    <w:spacing w:before="0" w:beforeAutospacing="0" w:after="0" w:afterAutospacing="0"/>
                    <w:ind w:left="0" w:right="0"/>
                    <w:jc w:val="center"/>
                    <w:rPr>
                      <w:rFonts w:ascii="Times New Roman" w:hAnsi="Times New Roman" w:cs="Times New Roman"/>
                      <w:color w:val="auto"/>
                    </w:rPr>
                  </w:pPr>
                  <w:r>
                    <w:rPr>
                      <w:rFonts w:ascii="Times New Roman" w:hAnsi="Times New Roman" w:eastAsia="宋体" w:cs="Times New Roman"/>
                      <w:color w:val="auto"/>
                    </w:rPr>
                    <w:t>符合</w:t>
                  </w:r>
                </w:p>
              </w:tc>
            </w:tr>
            <w:tr w14:paraId="1122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A5B53B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第五章</w:t>
                  </w:r>
                  <w:r>
                    <w:rPr>
                      <w:rFonts w:ascii="Times New Roman" w:hAnsi="Times New Roman" w:cs="Times New Roman"/>
                      <w:color w:val="auto"/>
                    </w:rPr>
                    <w:t xml:space="preserve"> </w:t>
                  </w:r>
                  <w:r>
                    <w:rPr>
                      <w:rFonts w:ascii="Times New Roman" w:hAnsi="Times New Roman" w:eastAsia="宋体" w:cs="Times New Roman"/>
                      <w:color w:val="auto"/>
                    </w:rPr>
                    <w:t>污染防治</w:t>
                  </w:r>
                </w:p>
              </w:tc>
            </w:tr>
            <w:tr w14:paraId="50D3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6FB0CD2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第四十条</w:t>
                  </w:r>
                  <w:r>
                    <w:rPr>
                      <w:rFonts w:ascii="Times New Roman" w:hAnsi="Times New Roman" w:cs="Times New Roman"/>
                      <w:color w:val="auto"/>
                    </w:rPr>
                    <w:t xml:space="preserve"> </w:t>
                  </w:r>
                  <w:r>
                    <w:rPr>
                      <w:rFonts w:ascii="Times New Roman" w:hAnsi="Times New Roman" w:eastAsia="宋体" w:cs="Times New Roman"/>
                      <w:color w:val="auto"/>
                    </w:rPr>
                    <w:t>禁止下列污染或者可能污染地下水的行为：</w:t>
                  </w:r>
                </w:p>
                <w:p w14:paraId="54FF119B">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（一）利用渗井、渗坑、裂隙、溶洞以及私设暗管等逃避监管的方式排放水污染物；</w:t>
                  </w:r>
                </w:p>
                <w:p w14:paraId="00D61A8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（二）利用岩层孔隙、裂隙、溶洞、废弃矿坑等贮存石化原料及产品、农药、危险废物、城镇污水处理设施产生的污泥和处理后的污泥或者其他有毒有害物质；</w:t>
                  </w:r>
                </w:p>
                <w:p w14:paraId="42950555">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（三）利用无防渗漏措施的沟渠、坑塘等输送或者贮存含有毒污染物的废水、含病原体的污水和其他废弃物；</w:t>
                  </w:r>
                </w:p>
                <w:p w14:paraId="7ADAA20F">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（四）</w:t>
                  </w:r>
                  <w:r>
                    <w:rPr>
                      <w:rFonts w:hint="eastAsia" w:ascii="Times New Roman" w:hAnsi="Times New Roman" w:eastAsia="宋体" w:cs="Times New Roman"/>
                      <w:color w:val="auto"/>
                      <w:lang w:eastAsia="zh-CN"/>
                    </w:rPr>
                    <w:t>法律法规</w:t>
                  </w:r>
                  <w:r>
                    <w:rPr>
                      <w:rFonts w:ascii="Times New Roman" w:hAnsi="Times New Roman" w:eastAsia="宋体" w:cs="Times New Roman"/>
                      <w:color w:val="auto"/>
                    </w:rPr>
                    <w:t>禁止的其他污染或者可能污染地下水的行为。</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437C0CAD">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w:t>
                  </w:r>
                  <w:r>
                    <w:rPr>
                      <w:rFonts w:hint="eastAsia" w:ascii="Times New Roman" w:hAnsi="Times New Roman" w:eastAsia="宋体" w:cs="Times New Roman"/>
                      <w:color w:val="auto"/>
                      <w:lang w:eastAsia="zh-CN"/>
                    </w:rPr>
                    <w:t>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eastAsia="zh-CN"/>
                    </w:rPr>
                    <w:t>初期雨水</w:t>
                  </w:r>
                  <w:r>
                    <w:rPr>
                      <w:rFonts w:hint="eastAsia" w:ascii="Times New Roman" w:hAnsi="Times New Roman" w:eastAsia="宋体" w:cs="Times New Roman"/>
                      <w:color w:val="auto"/>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交由符合环保要求且有处理能力的钻井废水处理公司进行处理；生活污水通过环保厕所收集后转运至</w:t>
                  </w:r>
                  <w:r>
                    <w:rPr>
                      <w:rFonts w:hint="eastAsia" w:ascii="Times New Roman" w:hAnsi="Times New Roman" w:eastAsia="宋体" w:cs="Times New Roman"/>
                      <w:color w:val="auto"/>
                      <w:lang w:val="en-US" w:eastAsia="zh-CN"/>
                    </w:rPr>
                    <w:t>上八庙镇</w:t>
                  </w:r>
                  <w:r>
                    <w:rPr>
                      <w:rFonts w:hint="eastAsia" w:ascii="Times New Roman" w:hAnsi="Times New Roman" w:eastAsia="宋体" w:cs="Times New Roman"/>
                      <w:color w:val="auto"/>
                    </w:rPr>
                    <w:t>污水处理站处理</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165049F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9FB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5D297B1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第四十一条</w:t>
                  </w:r>
                  <w:r>
                    <w:rPr>
                      <w:rFonts w:ascii="Times New Roman" w:hAnsi="Times New Roman" w:cs="Times New Roman"/>
                      <w:color w:val="auto"/>
                    </w:rPr>
                    <w:t xml:space="preserve"> </w:t>
                  </w:r>
                  <w:r>
                    <w:rPr>
                      <w:rFonts w:ascii="Times New Roman" w:hAnsi="Times New Roman" w:eastAsia="宋体" w:cs="Times New Roman"/>
                      <w:color w:val="auto"/>
                    </w:rPr>
                    <w:t>企业事业单位和其他生产经营者应当采取下列措施，防止地下水污染：</w:t>
                  </w:r>
                </w:p>
                <w:p w14:paraId="50CC576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（一）兴建地下工程设施或者进行地下勘探、采矿等活动，依法编制的环境影响评价文件中，应当包括地下水污染防治的内容，并采取防护性措施；</w:t>
                  </w:r>
                </w:p>
                <w:p w14:paraId="7CCBB42F">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（二）化工园区和化工项目、矿山开采区、尾矿库、危险废物处置场、垃圾填埋场等的运营、管理单位，应当采取防渗漏等措施，并建设地下水水质监测井进行监测；</w:t>
                  </w:r>
                </w:p>
                <w:p w14:paraId="7CB85CF2">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（三）加油站、采油厂等的地下油罐应当使用双层罐或者采取建造防渗池等其他有效措施，并进行防渗漏监测；</w:t>
                  </w:r>
                </w:p>
                <w:p w14:paraId="35A20143">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（四）存放可溶性剧毒废渣的场所，应当采取防水、防渗漏、防流失的措施；</w:t>
                  </w:r>
                </w:p>
                <w:p w14:paraId="4B935F0C">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（五）</w:t>
                  </w:r>
                  <w:r>
                    <w:rPr>
                      <w:rFonts w:hint="eastAsia" w:ascii="Times New Roman" w:hAnsi="Times New Roman" w:eastAsia="宋体" w:cs="Times New Roman"/>
                      <w:color w:val="auto"/>
                      <w:lang w:eastAsia="zh-CN"/>
                    </w:rPr>
                    <w:t>法律法规</w:t>
                  </w:r>
                  <w:r>
                    <w:rPr>
                      <w:rFonts w:ascii="Times New Roman" w:hAnsi="Times New Roman" w:eastAsia="宋体" w:cs="Times New Roman"/>
                      <w:color w:val="auto"/>
                    </w:rPr>
                    <w:t>规定应当采取的其他防止地下水污染的措施。</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4BDA61B9">
                  <w:pPr>
                    <w:pStyle w:val="55"/>
                    <w:keepNext w:val="0"/>
                    <w:keepLines w:val="0"/>
                    <w:suppressLineNumbers w:val="0"/>
                    <w:spacing w:before="0" w:beforeAutospacing="0" w:after="0" w:afterAutospacing="0"/>
                    <w:ind w:left="0" w:right="0"/>
                    <w:jc w:val="both"/>
                    <w:rPr>
                      <w:rFonts w:ascii="Times New Roman" w:hAnsi="Times New Roman" w:cs="Times New Roman"/>
                      <w:color w:val="auto"/>
                      <w:highlight w:val="yellow"/>
                    </w:rPr>
                  </w:pPr>
                  <w:r>
                    <w:rPr>
                      <w:rFonts w:ascii="Times New Roman" w:hAnsi="Times New Roman" w:eastAsia="宋体" w:cs="Times New Roman"/>
                      <w:color w:val="auto"/>
                    </w:rPr>
                    <w:t>本次环评编制了地下水环境影响专项评价，专项评价报告提出了地下水污染防治措施，对工程各功能单元可能产生污染的地区，划分重点防渗区、一般防渗区</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简单防渗区</w:t>
                  </w:r>
                  <w:r>
                    <w:rPr>
                      <w:rFonts w:ascii="Times New Roman" w:hAnsi="Times New Roman" w:eastAsia="宋体" w:cs="Times New Roman"/>
                      <w:color w:val="auto"/>
                    </w:rPr>
                    <w:t>，在采取防渗措施的前提下，能够防止对地下水产生不利影响</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50375CD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284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4C3A8B8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第四十二条</w:t>
                  </w:r>
                  <w:r>
                    <w:rPr>
                      <w:rFonts w:ascii="Times New Roman" w:hAnsi="Times New Roman" w:cs="Times New Roman"/>
                      <w:color w:val="auto"/>
                    </w:rPr>
                    <w:t xml:space="preserve"> </w:t>
                  </w:r>
                  <w:r>
                    <w:rPr>
                      <w:rFonts w:ascii="Times New Roman" w:hAnsi="Times New Roman" w:eastAsia="宋体" w:cs="Times New Roman"/>
                      <w:color w:val="auto"/>
                    </w:rPr>
                    <w:t>在泉域保护范围以及岩溶强发育、存在较多落水洞和岩溶漏斗的区域内，不得新建、改建、扩建可能造成地下水污染的建设项目。</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6D2C1D48">
                  <w:pPr>
                    <w:keepNext w:val="0"/>
                    <w:keepLines w:val="0"/>
                    <w:suppressLineNumbers w:val="0"/>
                    <w:spacing w:before="0" w:beforeAutospacing="0" w:after="0" w:afterAutospacing="0"/>
                    <w:ind w:left="0" w:right="0"/>
                    <w:rPr>
                      <w:rFonts w:hint="default" w:ascii="Times New Roman" w:hAnsi="Times New Roman" w:cs="Times New Roman"/>
                      <w:color w:val="auto"/>
                      <w:highlight w:val="yellow"/>
                    </w:rPr>
                  </w:pPr>
                  <w:r>
                    <w:rPr>
                      <w:rFonts w:hint="eastAsia" w:ascii="Times New Roman" w:hAnsi="Times New Roman" w:eastAsia="宋体" w:cs="Times New Roman"/>
                      <w:color w:val="auto"/>
                      <w:kern w:val="0"/>
                      <w:sz w:val="21"/>
                      <w:szCs w:val="21"/>
                      <w:lang w:val="en-US" w:eastAsia="zh-CN"/>
                    </w:rPr>
                    <w:t>项目</w:t>
                  </w:r>
                  <w:r>
                    <w:rPr>
                      <w:rFonts w:hint="default" w:ascii="Times New Roman" w:hAnsi="Times New Roman" w:cs="Times New Roman"/>
                      <w:color w:val="auto"/>
                    </w:rPr>
                    <w:t>不在泉域保护范围以及岩溶强发育、存在较多落水洞和岩溶漏斗的区域内</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7E5D1FD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0E9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19742961">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第四十三条</w:t>
                  </w:r>
                  <w:r>
                    <w:rPr>
                      <w:rFonts w:ascii="Times New Roman" w:hAnsi="Times New Roman" w:cs="Times New Roman"/>
                      <w:color w:val="auto"/>
                    </w:rPr>
                    <w:t xml:space="preserve"> </w:t>
                  </w:r>
                  <w:r>
                    <w:rPr>
                      <w:rFonts w:ascii="Times New Roman" w:hAnsi="Times New Roman" w:eastAsia="宋体" w:cs="Times New Roman"/>
                      <w:color w:val="auto"/>
                    </w:rPr>
                    <w:t>多层含水层开采、回灌地下水应当防止串层污染。</w:t>
                  </w:r>
                </w:p>
                <w:p w14:paraId="75D9476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多层地下水的含水层水质差异大的，应当分层开采；对已受污染的潜水和承压水，不得混合开采。</w:t>
                  </w:r>
                </w:p>
                <w:p w14:paraId="3EFA8A0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已经造成地下水串层污染的，应当按照封填井技术要求限期回填串层开采井，并对造成的地下水污染进行治理和修复。</w:t>
                  </w:r>
                </w:p>
                <w:p w14:paraId="127B2EFA">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人工回灌补给地下水，应当符合相关的水质标准，不得使地下水水质恶化。</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5EDDAFB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本项目不属于多层含水层开采、回灌地下水项目</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16CD43E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6D1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2D8B0EAE">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第四十四条</w:t>
                  </w:r>
                  <w:r>
                    <w:rPr>
                      <w:rFonts w:ascii="Times New Roman" w:hAnsi="Times New Roman" w:cs="Times New Roman"/>
                      <w:color w:val="auto"/>
                    </w:rPr>
                    <w:t xml:space="preserve"> </w:t>
                  </w:r>
                  <w:r>
                    <w:rPr>
                      <w:rFonts w:ascii="Times New Roman" w:hAnsi="Times New Roman" w:eastAsia="宋体" w:cs="Times New Roman"/>
                      <w:color w:val="auto"/>
                    </w:rPr>
                    <w:t>农业生产经营者等有关单位和个人应当科学、合理使用农药、肥料等农业投入品，农田灌溉用水应当符合相关水质标准，防止地下水污染。</w:t>
                  </w:r>
                </w:p>
                <w:p w14:paraId="41F6DC54">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县级以上地方人民政府及其有关部门应当加强农药、肥料等农业投入品使用指导和技术服务，鼓励和引导农业生产经营者等有关单位和个人合理使用农药、肥料等农业投入品，防止地下水污染。</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24741E0B">
                  <w:pPr>
                    <w:pStyle w:val="55"/>
                    <w:keepNext w:val="0"/>
                    <w:keepLines w:val="0"/>
                    <w:suppressLineNumbers w:val="0"/>
                    <w:spacing w:before="0" w:beforeAutospacing="0" w:after="0" w:afterAutospacing="0"/>
                    <w:ind w:left="0" w:right="0"/>
                    <w:jc w:val="both"/>
                    <w:rPr>
                      <w:rFonts w:ascii="Times New Roman" w:hAnsi="Times New Roman" w:cs="Times New Roman"/>
                      <w:color w:val="auto"/>
                      <w:highlight w:val="yellow"/>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天然气勘探项目，不使用农药、肥料等农业投入品</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06D3969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B93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05E5CCE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第四十五条</w:t>
                  </w:r>
                  <w:r>
                    <w:rPr>
                      <w:rFonts w:ascii="Times New Roman" w:hAnsi="Times New Roman" w:cs="Times New Roman"/>
                      <w:color w:val="auto"/>
                    </w:rPr>
                    <w:t xml:space="preserve"> </w:t>
                  </w:r>
                  <w:r>
                    <w:rPr>
                      <w:rFonts w:ascii="Times New Roman" w:hAnsi="Times New Roman" w:eastAsia="宋体" w:cs="Times New Roman"/>
                      <w:color w:val="auto"/>
                    </w:rPr>
                    <w:t>依照《中华人民共和国生态环境法典》的有关规定，安全利用类和严格管控类农用地地块的土壤污染影响或者可能影响地下水安全的，制定防治污染的方案时，应当包括地下水污染防治的内容。污染物含量超过土壤污染风险管控标准的建设用地地块，编制土壤污染风险评估报告时，应当包括地下水是否受到污染的内容；列入风险管控和修复名录的建设用地地块，采取的风险管控措施中应当包括地下水污染防治的内容。对需要实施修复的农用地地块，以及列入风险管控和修复名录的建设用地地块，修复方案中应当包括地下水污染防治的内容。</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2EBA882">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经环境现状</w:t>
                  </w:r>
                  <w:r>
                    <w:rPr>
                      <w:rFonts w:hint="eastAsia" w:ascii="Times New Roman" w:hAnsi="Times New Roman" w:eastAsia="宋体" w:cs="Times New Roman"/>
                      <w:color w:val="auto"/>
                      <w:lang w:val="en-US" w:eastAsia="zh-CN"/>
                    </w:rPr>
                    <w:t>监测</w:t>
                  </w:r>
                  <w:r>
                    <w:rPr>
                      <w:rFonts w:ascii="Times New Roman" w:hAnsi="Times New Roman" w:eastAsia="宋体" w:cs="Times New Roman"/>
                      <w:color w:val="auto"/>
                    </w:rPr>
                    <w:t>，项目所在地土壤环境质量满足相关标准要求。</w:t>
                  </w:r>
                </w:p>
                <w:p w14:paraId="36211751">
                  <w:pPr>
                    <w:pStyle w:val="55"/>
                    <w:keepNext w:val="0"/>
                    <w:keepLines w:val="0"/>
                    <w:suppressLineNumbers w:val="0"/>
                    <w:spacing w:before="0" w:beforeAutospacing="0" w:after="0" w:afterAutospacing="0"/>
                    <w:ind w:left="0" w:right="0"/>
                    <w:jc w:val="left"/>
                    <w:rPr>
                      <w:rFonts w:ascii="Times New Roman" w:hAnsi="Times New Roman" w:cs="Times New Roman"/>
                      <w:color w:val="auto"/>
                      <w:highlight w:val="yellow"/>
                    </w:rPr>
                  </w:pPr>
                  <w:r>
                    <w:rPr>
                      <w:rFonts w:ascii="Times New Roman" w:hAnsi="Times New Roman" w:eastAsia="宋体" w:cs="Times New Roman"/>
                      <w:color w:val="auto"/>
                    </w:rPr>
                    <w:t>本次评价提出了地下水污染防治措施，对工程各功能单元可能产生污染的地区，划分重点防渗区、一般防渗区</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简单防渗区</w:t>
                  </w:r>
                  <w:r>
                    <w:rPr>
                      <w:rFonts w:ascii="Times New Roman" w:hAnsi="Times New Roman" w:eastAsia="宋体" w:cs="Times New Roman"/>
                      <w:color w:val="auto"/>
                    </w:rPr>
                    <w:t>，在采取防渗措施的前提下，能够防止对地下水及土壤环境产生不利影响</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28534BC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33E98642">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与《四川省土壤污染防治条例》的符合性分析</w:t>
            </w:r>
          </w:p>
          <w:p w14:paraId="63E6F43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本项目与《四川省土壤污染防治条例》符合性分析见下表。</w:t>
            </w:r>
          </w:p>
          <w:p w14:paraId="4FA2440B">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与《四川省土壤污染防治条例》符合性分析</w:t>
            </w:r>
          </w:p>
          <w:tbl>
            <w:tblPr>
              <w:tblStyle w:val="23"/>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345"/>
              <w:gridCol w:w="2905"/>
              <w:gridCol w:w="894"/>
            </w:tblGrid>
            <w:tr w14:paraId="7FD7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16D5F6ED">
                  <w:pPr>
                    <w:keepNext w:val="0"/>
                    <w:keepLines w:val="0"/>
                    <w:suppressLineNumbers w:val="0"/>
                    <w:spacing w:before="0" w:beforeAutospacing="0" w:after="0" w:afterAutospacing="0"/>
                    <w:ind w:left="0" w:right="0"/>
                    <w:jc w:val="center"/>
                    <w:rPr>
                      <w:rFonts w:hint="default" w:ascii="Times New Roman" w:hAnsi="Times New Roman" w:cs="Arial"/>
                      <w:b/>
                      <w:color w:val="auto"/>
                      <w:szCs w:val="32"/>
                    </w:rPr>
                  </w:pPr>
                  <w:r>
                    <w:rPr>
                      <w:rFonts w:hint="eastAsia" w:ascii="Times New Roman" w:hAnsi="Times New Roman" w:cs="Arial"/>
                      <w:b/>
                      <w:color w:val="auto"/>
                      <w:szCs w:val="32"/>
                    </w:rPr>
                    <w:t>序号</w:t>
                  </w:r>
                </w:p>
              </w:tc>
              <w:tc>
                <w:tcPr>
                  <w:tcW w:w="2137" w:type="pct"/>
                  <w:noWrap w:val="0"/>
                  <w:vAlign w:val="center"/>
                </w:tcPr>
                <w:p w14:paraId="66795AD7">
                  <w:pPr>
                    <w:keepNext w:val="0"/>
                    <w:keepLines w:val="0"/>
                    <w:suppressLineNumbers w:val="0"/>
                    <w:spacing w:before="0" w:beforeAutospacing="0" w:after="0" w:afterAutospacing="0"/>
                    <w:ind w:left="0" w:right="0"/>
                    <w:jc w:val="center"/>
                    <w:rPr>
                      <w:rFonts w:hint="default" w:ascii="Times New Roman" w:hAnsi="Times New Roman" w:cs="Arial"/>
                      <w:b/>
                      <w:color w:val="auto"/>
                      <w:szCs w:val="32"/>
                    </w:rPr>
                  </w:pPr>
                  <w:r>
                    <w:rPr>
                      <w:rFonts w:hint="eastAsia" w:ascii="Times New Roman" w:hAnsi="Times New Roman" w:cs="Arial"/>
                      <w:b/>
                      <w:color w:val="auto"/>
                      <w:szCs w:val="32"/>
                    </w:rPr>
                    <w:t>内容</w:t>
                  </w:r>
                </w:p>
              </w:tc>
              <w:tc>
                <w:tcPr>
                  <w:tcW w:w="1856" w:type="pct"/>
                  <w:noWrap w:val="0"/>
                  <w:vAlign w:val="center"/>
                </w:tcPr>
                <w:p w14:paraId="371144F7">
                  <w:pPr>
                    <w:keepNext w:val="0"/>
                    <w:keepLines w:val="0"/>
                    <w:suppressLineNumbers w:val="0"/>
                    <w:spacing w:before="0" w:beforeAutospacing="0" w:after="0" w:afterAutospacing="0"/>
                    <w:ind w:left="0" w:right="0"/>
                    <w:jc w:val="center"/>
                    <w:rPr>
                      <w:rFonts w:hint="default" w:ascii="Times New Roman" w:hAnsi="Times New Roman" w:cs="Arial"/>
                      <w:b/>
                      <w:color w:val="auto"/>
                      <w:szCs w:val="32"/>
                    </w:rPr>
                  </w:pPr>
                  <w:r>
                    <w:rPr>
                      <w:rFonts w:hint="eastAsia" w:ascii="Times New Roman" w:hAnsi="Times New Roman" w:cs="Arial"/>
                      <w:b/>
                      <w:color w:val="auto"/>
                      <w:szCs w:val="32"/>
                    </w:rPr>
                    <w:t>本项目情况</w:t>
                  </w:r>
                </w:p>
              </w:tc>
              <w:tc>
                <w:tcPr>
                  <w:tcW w:w="571" w:type="pct"/>
                  <w:noWrap w:val="0"/>
                  <w:vAlign w:val="center"/>
                </w:tcPr>
                <w:p w14:paraId="14A4B9B2">
                  <w:pPr>
                    <w:keepNext w:val="0"/>
                    <w:keepLines w:val="0"/>
                    <w:suppressLineNumbers w:val="0"/>
                    <w:spacing w:before="0" w:beforeAutospacing="0" w:after="0" w:afterAutospacing="0"/>
                    <w:ind w:left="0" w:right="0"/>
                    <w:jc w:val="center"/>
                    <w:rPr>
                      <w:rFonts w:hint="default" w:ascii="Times New Roman" w:hAnsi="Times New Roman" w:cs="Arial"/>
                      <w:b/>
                      <w:color w:val="auto"/>
                      <w:szCs w:val="32"/>
                    </w:rPr>
                  </w:pPr>
                  <w:r>
                    <w:rPr>
                      <w:rFonts w:hint="eastAsia" w:ascii="Times New Roman" w:hAnsi="Times New Roman" w:cs="Arial"/>
                      <w:b/>
                      <w:color w:val="auto"/>
                      <w:szCs w:val="32"/>
                    </w:rPr>
                    <w:t>符合性</w:t>
                  </w:r>
                </w:p>
              </w:tc>
            </w:tr>
            <w:tr w14:paraId="731C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7824CC54">
                  <w:pPr>
                    <w:keepNext w:val="0"/>
                    <w:keepLines w:val="0"/>
                    <w:suppressLineNumbers w:val="0"/>
                    <w:spacing w:before="0" w:beforeAutospacing="0" w:after="0" w:afterAutospacing="0"/>
                    <w:ind w:left="0" w:right="0"/>
                    <w:jc w:val="center"/>
                    <w:rPr>
                      <w:rFonts w:hint="default" w:ascii="Times New Roman" w:hAnsi="Times New Roman" w:cs="Arial"/>
                      <w:bCs/>
                      <w:color w:val="auto"/>
                      <w:szCs w:val="32"/>
                    </w:rPr>
                  </w:pPr>
                  <w:r>
                    <w:rPr>
                      <w:rFonts w:hint="eastAsia" w:ascii="Times New Roman" w:hAnsi="Times New Roman" w:cs="Arial"/>
                      <w:bCs/>
                      <w:color w:val="auto"/>
                      <w:szCs w:val="32"/>
                    </w:rPr>
                    <w:t>1</w:t>
                  </w:r>
                </w:p>
              </w:tc>
              <w:tc>
                <w:tcPr>
                  <w:tcW w:w="2137" w:type="pct"/>
                  <w:noWrap w:val="0"/>
                  <w:vAlign w:val="center"/>
                </w:tcPr>
                <w:p w14:paraId="75CB5356">
                  <w:pPr>
                    <w:keepNext w:val="0"/>
                    <w:keepLines w:val="0"/>
                    <w:suppressLineNumbers w:val="0"/>
                    <w:spacing w:before="0" w:beforeAutospacing="0" w:after="0" w:afterAutospacing="0"/>
                    <w:ind w:left="0" w:right="0"/>
                    <w:jc w:val="left"/>
                    <w:rPr>
                      <w:rFonts w:hint="default" w:ascii="Times New Roman" w:hAnsi="Times New Roman" w:cs="Arial"/>
                      <w:bCs/>
                      <w:color w:val="auto"/>
                      <w:szCs w:val="32"/>
                    </w:rPr>
                  </w:pPr>
                  <w:r>
                    <w:rPr>
                      <w:rFonts w:hint="eastAsia" w:ascii="Times New Roman" w:hAnsi="Times New Roman" w:cs="Arial"/>
                      <w:bCs/>
                      <w:color w:val="auto"/>
                      <w:szCs w:val="32"/>
                    </w:rPr>
                    <w:t>各类涉及土地利用的规划和可能造成土壤污染的建设项目，应当依法进行环境影响评价。环境影响评价文件应当包括对土壤和地下水可能造成的不良影响以及应当采取的防治措施等内容。县级以上地方人民政府及其有关部门应当按照国土空间规划，严格执行相关行业企业布局选址要求，禁止在居民区和学校、医院、疗养院、养老院、文物保护单位等单位周边新建、改建、扩建可能造成土壤和地下水污染的项目。</w:t>
                  </w:r>
                </w:p>
              </w:tc>
              <w:tc>
                <w:tcPr>
                  <w:tcW w:w="1856" w:type="pct"/>
                  <w:noWrap w:val="0"/>
                  <w:vAlign w:val="center"/>
                </w:tcPr>
                <w:p w14:paraId="1C470639">
                  <w:pPr>
                    <w:keepNext w:val="0"/>
                    <w:keepLines w:val="0"/>
                    <w:suppressLineNumbers w:val="0"/>
                    <w:spacing w:before="0" w:beforeAutospacing="0" w:after="0" w:afterAutospacing="0"/>
                    <w:ind w:left="0" w:right="0"/>
                    <w:jc w:val="left"/>
                    <w:rPr>
                      <w:rFonts w:hint="default" w:ascii="Times New Roman" w:hAnsi="Times New Roman" w:cs="Arial"/>
                      <w:bCs/>
                      <w:color w:val="auto"/>
                      <w:szCs w:val="32"/>
                    </w:rPr>
                  </w:pPr>
                  <w:r>
                    <w:rPr>
                      <w:rFonts w:hint="eastAsia" w:ascii="Times New Roman" w:hAnsi="Times New Roman" w:cs="Arial"/>
                      <w:bCs/>
                      <w:color w:val="auto"/>
                      <w:szCs w:val="32"/>
                    </w:rPr>
                    <w:t>本项目对土壤和地下水可能造成的不良影响进行了分析，编制了地下水专项评价，井场采取分区防渗措施，提出</w:t>
                  </w:r>
                  <w:r>
                    <w:rPr>
                      <w:rFonts w:hint="eastAsia" w:ascii="Times New Roman" w:hAnsi="Times New Roman" w:eastAsia="Times New Roman" w:cs="Courier New"/>
                      <w:bCs/>
                      <w:color w:val="auto"/>
                      <w:szCs w:val="32"/>
                    </w:rPr>
                    <w:t>了</w:t>
                  </w:r>
                  <w:r>
                    <w:rPr>
                      <w:rFonts w:hint="default" w:ascii="Times New Roman" w:hAnsi="Times New Roman" w:eastAsia="Times New Roman" w:cs="Courier New"/>
                      <w:bCs/>
                      <w:color w:val="auto"/>
                      <w:szCs w:val="32"/>
                    </w:rPr>
                    <w:t>有效的</w:t>
                  </w:r>
                  <w:r>
                    <w:rPr>
                      <w:rFonts w:hint="eastAsia" w:ascii="Times New Roman" w:hAnsi="Times New Roman" w:eastAsia="Times New Roman" w:cs="Courier New"/>
                      <w:bCs/>
                      <w:color w:val="auto"/>
                      <w:szCs w:val="32"/>
                    </w:rPr>
                    <w:t>土壤保护措施和地下水污染防治措施。本项目为临时占地，</w:t>
                  </w:r>
                  <w:r>
                    <w:rPr>
                      <w:rFonts w:hint="eastAsia" w:ascii="Times New Roman" w:hAnsi="Times New Roman" w:cs="Arial"/>
                      <w:bCs/>
                      <w:color w:val="auto"/>
                      <w:szCs w:val="32"/>
                    </w:rPr>
                    <w:t>井场</w:t>
                  </w:r>
                  <w:r>
                    <w:rPr>
                      <w:rFonts w:hint="eastAsia" w:ascii="Times New Roman" w:hAnsi="Times New Roman" w:eastAsia="Times New Roman" w:cs="Courier New"/>
                      <w:bCs/>
                      <w:color w:val="auto"/>
                      <w:szCs w:val="32"/>
                    </w:rPr>
                    <w:t>周边不涉及居民区和学校、医院、疗养院</w:t>
                  </w:r>
                  <w:r>
                    <w:rPr>
                      <w:rFonts w:hint="eastAsia" w:ascii="Times New Roman" w:hAnsi="Times New Roman" w:cs="Arial"/>
                      <w:bCs/>
                      <w:color w:val="auto"/>
                      <w:szCs w:val="32"/>
                    </w:rPr>
                    <w:t>、养老院、文物保护单位等</w:t>
                  </w:r>
                </w:p>
              </w:tc>
              <w:tc>
                <w:tcPr>
                  <w:tcW w:w="571" w:type="pct"/>
                  <w:noWrap w:val="0"/>
                  <w:vAlign w:val="center"/>
                </w:tcPr>
                <w:p w14:paraId="42BD93E1">
                  <w:pPr>
                    <w:keepNext w:val="0"/>
                    <w:keepLines w:val="0"/>
                    <w:suppressLineNumbers w:val="0"/>
                    <w:spacing w:before="0" w:beforeAutospacing="0" w:after="0" w:afterAutospacing="0"/>
                    <w:ind w:left="0" w:right="0"/>
                    <w:jc w:val="center"/>
                    <w:rPr>
                      <w:rFonts w:hint="default" w:ascii="Times New Roman" w:hAnsi="Times New Roman" w:cs="Arial"/>
                      <w:bCs/>
                      <w:color w:val="auto"/>
                      <w:szCs w:val="32"/>
                    </w:rPr>
                  </w:pPr>
                  <w:r>
                    <w:rPr>
                      <w:rFonts w:hint="eastAsia" w:ascii="Times New Roman" w:hAnsi="Times New Roman" w:cs="Arial"/>
                      <w:bCs/>
                      <w:color w:val="auto"/>
                      <w:szCs w:val="32"/>
                    </w:rPr>
                    <w:t>符合</w:t>
                  </w:r>
                </w:p>
              </w:tc>
            </w:tr>
            <w:tr w14:paraId="60D7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19160932">
                  <w:pPr>
                    <w:keepNext w:val="0"/>
                    <w:keepLines w:val="0"/>
                    <w:suppressLineNumbers w:val="0"/>
                    <w:spacing w:before="0" w:beforeAutospacing="0" w:after="0" w:afterAutospacing="0"/>
                    <w:ind w:left="0" w:right="0"/>
                    <w:jc w:val="center"/>
                    <w:rPr>
                      <w:rFonts w:hint="default" w:ascii="Times New Roman" w:hAnsi="Times New Roman" w:cs="Arial"/>
                      <w:bCs/>
                      <w:color w:val="auto"/>
                      <w:szCs w:val="32"/>
                    </w:rPr>
                  </w:pPr>
                  <w:r>
                    <w:rPr>
                      <w:rFonts w:hint="eastAsia" w:ascii="Times New Roman" w:hAnsi="Times New Roman" w:cs="Arial"/>
                      <w:bCs/>
                      <w:color w:val="auto"/>
                      <w:szCs w:val="32"/>
                    </w:rPr>
                    <w:t>2</w:t>
                  </w:r>
                </w:p>
              </w:tc>
              <w:tc>
                <w:tcPr>
                  <w:tcW w:w="2137" w:type="pct"/>
                  <w:noWrap w:val="0"/>
                  <w:vAlign w:val="center"/>
                </w:tcPr>
                <w:p w14:paraId="19466E4A">
                  <w:pPr>
                    <w:keepNext w:val="0"/>
                    <w:keepLines w:val="0"/>
                    <w:suppressLineNumbers w:val="0"/>
                    <w:spacing w:before="0" w:beforeAutospacing="0" w:after="0" w:afterAutospacing="0"/>
                    <w:ind w:left="0" w:right="0"/>
                    <w:jc w:val="left"/>
                    <w:rPr>
                      <w:rFonts w:hint="default" w:ascii="Times New Roman" w:hAnsi="Times New Roman" w:cs="Arial"/>
                      <w:bCs/>
                      <w:color w:val="auto"/>
                      <w:szCs w:val="32"/>
                    </w:rPr>
                  </w:pPr>
                  <w:r>
                    <w:rPr>
                      <w:rFonts w:hint="eastAsia" w:ascii="Times New Roman" w:hAnsi="Times New Roman" w:cs="Arial"/>
                      <w:bCs/>
                      <w:color w:val="auto"/>
                      <w:szCs w:val="32"/>
                    </w:rPr>
                    <w:t>页岩气勘探开发单位应当采用先进清洁生产技术，减少勘探、开采、封井、回注等环节中污染物的产生和排放；开展页岩气开发区域土壤及地表水、地下水污染状况监测，对产生的废钻井液、废水、岩屑、污油等污染物进行无害化处置和资源化利用，防止有毒有害物质污染土壤及地表水、地下水。所在地生态环境、自然资源等主管部门应当加强对页岩气开发区域土壤污染防治的监督管理，督促勘探开发单位落实污染防治主体责任。</w:t>
                  </w:r>
                </w:p>
              </w:tc>
              <w:tc>
                <w:tcPr>
                  <w:tcW w:w="1856" w:type="pct"/>
                  <w:noWrap w:val="0"/>
                  <w:vAlign w:val="center"/>
                </w:tcPr>
                <w:p w14:paraId="629B00E1">
                  <w:pPr>
                    <w:keepNext w:val="0"/>
                    <w:keepLines w:val="0"/>
                    <w:suppressLineNumbers w:val="0"/>
                    <w:spacing w:before="0" w:beforeAutospacing="0" w:after="0" w:afterAutospacing="0"/>
                    <w:ind w:left="0" w:right="0"/>
                    <w:jc w:val="left"/>
                    <w:rPr>
                      <w:rFonts w:hint="eastAsia" w:ascii="Times New Roman" w:hAnsi="Times New Roman" w:eastAsia="Times New Roman" w:cs="Courier New"/>
                      <w:bCs/>
                      <w:color w:val="auto"/>
                      <w:szCs w:val="32"/>
                    </w:rPr>
                  </w:pPr>
                  <w:r>
                    <w:rPr>
                      <w:rFonts w:hint="eastAsia" w:ascii="Times New Roman" w:hAnsi="Times New Roman" w:eastAsia="Times New Roman" w:cs="Courier New"/>
                      <w:bCs/>
                      <w:color w:val="auto"/>
                      <w:szCs w:val="32"/>
                    </w:rPr>
                    <w:t>本项目采用泥浆不落地系统，钻井废水、井场内</w:t>
                  </w:r>
                  <w:r>
                    <w:rPr>
                      <w:rFonts w:hint="eastAsia" w:eastAsia="宋体" w:cs="Courier New"/>
                      <w:bCs/>
                      <w:color w:val="auto"/>
                      <w:szCs w:val="32"/>
                      <w:lang w:eastAsia="zh-CN"/>
                    </w:rPr>
                    <w:t>初期雨水优先回用于</w:t>
                  </w:r>
                  <w:r>
                    <w:rPr>
                      <w:rFonts w:hint="eastAsia" w:ascii="Times New Roman" w:hAnsi="Times New Roman" w:eastAsia="Times New Roman" w:cs="Courier New"/>
                      <w:bCs/>
                      <w:color w:val="auto"/>
                      <w:szCs w:val="32"/>
                    </w:rPr>
                    <w:t>钻井泥浆</w:t>
                  </w:r>
                  <w:r>
                    <w:rPr>
                      <w:rFonts w:hint="eastAsia" w:eastAsia="宋体" w:cs="Courier New"/>
                      <w:bCs/>
                      <w:color w:val="auto"/>
                      <w:szCs w:val="32"/>
                      <w:lang w:eastAsia="zh-CN"/>
                    </w:rPr>
                    <w:t>配制</w:t>
                  </w:r>
                  <w:r>
                    <w:rPr>
                      <w:rFonts w:hint="eastAsia" w:ascii="Times New Roman" w:hAnsi="Times New Roman" w:eastAsia="Times New Roman" w:cs="Courier New"/>
                      <w:bCs/>
                      <w:color w:val="auto"/>
                      <w:szCs w:val="32"/>
                    </w:rPr>
                    <w:t>，未能回用的钻井废水和井场内</w:t>
                  </w:r>
                  <w:r>
                    <w:rPr>
                      <w:rFonts w:hint="eastAsia" w:eastAsia="宋体" w:cs="Courier New"/>
                      <w:bCs/>
                      <w:color w:val="auto"/>
                      <w:szCs w:val="32"/>
                      <w:lang w:eastAsia="zh-CN"/>
                    </w:rPr>
                    <w:t>初期雨水</w:t>
                  </w:r>
                  <w:r>
                    <w:rPr>
                      <w:rFonts w:hint="eastAsia" w:ascii="Times New Roman" w:hAnsi="Times New Roman" w:eastAsia="Times New Roman" w:cs="Courier New"/>
                      <w:bCs/>
                      <w:color w:val="auto"/>
                      <w:szCs w:val="32"/>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Times New Roman" w:cs="Courier New"/>
                      <w:bCs/>
                      <w:color w:val="auto"/>
                      <w:szCs w:val="32"/>
                    </w:rPr>
                    <w:t>交由符合环保要求且有处理能力的钻井废水处理公司进行处理；生活污水通过环保厕所收集后转运至</w:t>
                  </w:r>
                  <w:r>
                    <w:rPr>
                      <w:rFonts w:hint="eastAsia" w:eastAsia="宋体" w:cs="Courier New"/>
                      <w:bCs/>
                      <w:color w:val="auto"/>
                      <w:szCs w:val="32"/>
                      <w:lang w:val="en-US" w:eastAsia="zh-CN"/>
                    </w:rPr>
                    <w:t>上八庙</w:t>
                  </w:r>
                  <w:r>
                    <w:rPr>
                      <w:rFonts w:hint="eastAsia" w:ascii="Times New Roman" w:hAnsi="Times New Roman" w:eastAsia="Times New Roman" w:cs="Courier New"/>
                      <w:bCs/>
                      <w:color w:val="auto"/>
                      <w:szCs w:val="32"/>
                    </w:rPr>
                    <w:t>镇污水处理站处理。</w:t>
                  </w:r>
                </w:p>
                <w:p w14:paraId="024DA361">
                  <w:pPr>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eastAsia" w:ascii="Times New Roman" w:hAnsi="Times New Roman" w:eastAsia="宋体" w:cs="Times New Roman"/>
                      <w:color w:val="auto"/>
                    </w:rPr>
                    <w:t>钻井固废（钻井岩屑和废钻井泥浆）以及沉淀污泥经过脱水后（含水率低于60%）收集至岩屑接收罐，交由符合环保要求且有处理能力的砖厂、水泥厂等进行资源化利用</w:t>
                  </w:r>
                  <w:r>
                    <w:rPr>
                      <w:rFonts w:hint="default" w:ascii="Times New Roman" w:hAnsi="Times New Roman" w:eastAsia="宋体" w:cs="Times New Roman"/>
                      <w:color w:val="auto"/>
                    </w:rPr>
                    <w:t>。</w:t>
                  </w:r>
                  <w:r>
                    <w:rPr>
                      <w:rFonts w:hint="default" w:ascii="Times New Roman" w:hAnsi="Times New Roman" w:cs="Times New Roman"/>
                      <w:color w:val="auto"/>
                    </w:rPr>
                    <w:t>废油</w:t>
                  </w:r>
                  <w:r>
                    <w:rPr>
                      <w:rFonts w:hint="eastAsia" w:ascii="Times New Roman" w:hAnsi="Times New Roman" w:cs="Times New Roman"/>
                      <w:color w:val="auto"/>
                    </w:rPr>
                    <w:t>、含油污染物危废间中暂存后</w:t>
                  </w:r>
                  <w:r>
                    <w:rPr>
                      <w:rFonts w:hint="default" w:ascii="Times New Roman" w:hAnsi="Times New Roman" w:cs="Times New Roman"/>
                      <w:color w:val="auto"/>
                    </w:rPr>
                    <w:t>委托有危废处理资质单位处置</w:t>
                  </w:r>
                </w:p>
              </w:tc>
              <w:tc>
                <w:tcPr>
                  <w:tcW w:w="571" w:type="pct"/>
                  <w:noWrap w:val="0"/>
                  <w:vAlign w:val="center"/>
                </w:tcPr>
                <w:p w14:paraId="59360320">
                  <w:pPr>
                    <w:keepNext w:val="0"/>
                    <w:keepLines w:val="0"/>
                    <w:suppressLineNumbers w:val="0"/>
                    <w:spacing w:before="0" w:beforeAutospacing="0" w:after="0" w:afterAutospacing="0"/>
                    <w:ind w:left="0" w:right="0"/>
                    <w:jc w:val="center"/>
                    <w:rPr>
                      <w:rFonts w:hint="eastAsia" w:ascii="Times New Roman" w:hAnsi="Times New Roman" w:cs="Arial"/>
                      <w:bCs/>
                      <w:color w:val="auto"/>
                      <w:szCs w:val="32"/>
                    </w:rPr>
                  </w:pPr>
                  <w:r>
                    <w:rPr>
                      <w:rFonts w:hint="eastAsia" w:ascii="Times New Roman" w:hAnsi="Times New Roman" w:cs="Arial"/>
                      <w:bCs/>
                      <w:color w:val="auto"/>
                      <w:szCs w:val="32"/>
                    </w:rPr>
                    <w:t>符合</w:t>
                  </w:r>
                </w:p>
              </w:tc>
            </w:tr>
          </w:tbl>
          <w:p w14:paraId="0C0E106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与《加快构建碳排放双控制度体系工作方案》（国办发〔2024〕39号）符合性分析</w:t>
            </w:r>
          </w:p>
          <w:p w14:paraId="2E00C074">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国务院办公厅于2024年7月30日发布了《加快构建碳排放双控制度体系工作方案》（国办发〔2024〕39号），方案提出：将碳排放指标及相关要求纳入国家规划，建立健全地方碳考核、行业碳管控、企业碳管理、项目碳评价、产品碳足迹等政策制度和管理机制，并与全国碳排放权交易市场有效衔接，构建系统完备的碳排放双控制度体系，为实现碳达峰碳中和目标提供有力保障。</w:t>
            </w:r>
          </w:p>
          <w:p w14:paraId="6417B1C7">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到2025年，碳排放统计核算体系进一步完善，一批行业企业碳排放核算相关标准和产品碳足迹标准出台实施，国家温室气体排放因子数据库基本建成并定期更新，相关计量、统计、监测能力得到提升，为“十五五”时期在全国范围实施碳排放双控奠定基础。</w:t>
            </w:r>
          </w:p>
          <w:p w14:paraId="23BFAAEA">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十五五”时期，实施以强度控制为主、总量控制为辅的碳排放双控制度，建立碳达峰碳中和综合评价考核制度，加强重点领域和行业碳排放核算能力，健全重点用能和碳排放单位管理制度，开展固定资产投资项目碳排放评价，构建符合中国国情的产品碳足迹管理体系和产品碳标识认证制度，确保如期实现碳达峰目标。碳达峰后，实施以总量控制为主、强度控制为辅的碳排放双控制度，建立碳中和目标评价考核制度，进一步强化对各地区及重点领域、行业、企业的碳排放管控要求，健全产品碳足迹管理体系，推行产品碳标识认证制度，推动碳排放总量稳中有降。</w:t>
            </w:r>
          </w:p>
          <w:p w14:paraId="463540F2">
            <w:pPr>
              <w:keepNext w:val="0"/>
              <w:keepLines w:val="0"/>
              <w:widowControl/>
              <w:suppressLineNumbers w:val="0"/>
              <w:shd w:val="clear" w:color="auto" w:fill="FFFFFF"/>
              <w:spacing w:before="0" w:beforeAutospacing="0" w:after="0" w:afterAutospacing="0" w:line="360" w:lineRule="auto"/>
              <w:ind w:left="0" w:right="0" w:firstLine="420"/>
              <w:jc w:val="left"/>
              <w:rPr>
                <w:rFonts w:hint="default" w:ascii="Times New Roman" w:hAnsi="Times New Roman" w:cs="Times New Roman"/>
                <w:color w:val="auto"/>
                <w:kern w:val="0"/>
                <w:sz w:val="24"/>
              </w:rPr>
            </w:pPr>
            <w:r>
              <w:rPr>
                <w:rFonts w:hint="eastAsia" w:ascii="Times New Roman" w:hAnsi="Times New Roman" w:cs="Times New Roman"/>
                <w:color w:val="auto"/>
                <w:kern w:val="0"/>
                <w:sz w:val="24"/>
              </w:rPr>
              <w:t>本项目</w:t>
            </w:r>
            <w:r>
              <w:rPr>
                <w:rFonts w:hint="eastAsia" w:ascii="宋体" w:hAnsi="宋体" w:cs="Times New Roman"/>
                <w:color w:val="auto"/>
                <w:kern w:val="0"/>
                <w:sz w:val="24"/>
              </w:rPr>
              <w:t>测试放喷天然气经点火燃烧处理后排放，能大幅度降低温室气体甲烷的排</w:t>
            </w:r>
            <w:r>
              <w:rPr>
                <w:rFonts w:hint="eastAsia" w:ascii="Times New Roman" w:hAnsi="Times New Roman" w:cs="Times New Roman"/>
                <w:color w:val="auto"/>
                <w:kern w:val="0"/>
                <w:sz w:val="24"/>
              </w:rPr>
              <w:t>放，与《加快构建碳排放双控制度体系工作方案》（国办发〔2024〕39号）是相符的。</w:t>
            </w:r>
          </w:p>
          <w:p w14:paraId="2C52B2AC">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与《2024-2025年节能降碳行动方案》（国发〔2024〕12号）符合性分析</w:t>
            </w:r>
          </w:p>
          <w:p w14:paraId="66722E2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kern w:val="0"/>
                <w:sz w:val="24"/>
              </w:rPr>
              <w:t>节能降碳是积极稳妥推进碳达峰碳中和、全面推进美丽中国建设、促进经济社会发展全面绿色转型的重要举措。为加大节能降碳工作推进力度，采取务实管用措施，尽最大努力完成“十四五”节能降碳束性指标，国务院于2024年5月23日制定了</w:t>
            </w:r>
            <w:r>
              <w:rPr>
                <w:rFonts w:hint="eastAsia" w:ascii="Times New Roman" w:hAnsi="Times New Roman" w:cs="Times New Roman"/>
                <w:color w:val="auto"/>
                <w:sz w:val="24"/>
              </w:rPr>
              <w:t>《2024-2025年节能降碳行动方案》（国发〔2024〕12号）。方案中明确：优化油气消费结构。合理调控石油消费，推广先进生物液体燃料、可持续航空燃料。加快页岩油（气）、煤层气、致密油（气）等非常规油气资源规模化开发。有序引导天然气消费，优先保障居民生活和北方地区清洁取暖。除石化企业现有自备机组外，不得采用高硫石油焦作为燃料。</w:t>
            </w:r>
          </w:p>
          <w:p w14:paraId="4FDB9B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rPr>
            </w:pPr>
            <w:r>
              <w:rPr>
                <w:rFonts w:hint="eastAsia" w:ascii="Times New Roman" w:hAnsi="Times New Roman" w:cs="Times New Roman"/>
                <w:color w:val="auto"/>
                <w:kern w:val="0"/>
                <w:sz w:val="24"/>
              </w:rPr>
              <w:t>本项目为非常规天然气勘探工程，项目的实施对非常规天然气资源规模化开发具有积极作用，故本项目的建设与《2024-2025年节能降碳行动方案》（国发〔2024〕12号）相符。</w:t>
            </w:r>
          </w:p>
          <w:p w14:paraId="1F0F67A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与《四川省减污降碳协同增效行动方案》（川环发〔2023〕15号）符合性分析</w:t>
            </w:r>
          </w:p>
          <w:p w14:paraId="54A26080">
            <w:pPr>
              <w:pStyle w:val="22"/>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本项目与《四川省减污降碳协同增效行动方案》（川环发〔2023〕15号）符合性分析见下表。</w:t>
            </w:r>
          </w:p>
          <w:p w14:paraId="20D1F3D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本项目与《四川省减污降碳协同增效行动方案》（川环发〔2023〕15号）符合性分析</w:t>
            </w:r>
          </w:p>
          <w:tbl>
            <w:tblPr>
              <w:tblStyle w:val="23"/>
              <w:tblW w:w="47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3855"/>
              <w:gridCol w:w="2250"/>
              <w:gridCol w:w="904"/>
            </w:tblGrid>
            <w:tr w14:paraId="0C23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0385885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2486" w:type="pct"/>
                  <w:tcBorders>
                    <w:top w:val="single" w:color="auto" w:sz="4" w:space="0"/>
                    <w:left w:val="single" w:color="auto" w:sz="4" w:space="0"/>
                    <w:bottom w:val="single" w:color="auto" w:sz="4" w:space="0"/>
                    <w:right w:val="single" w:color="auto" w:sz="4" w:space="0"/>
                  </w:tcBorders>
                  <w:noWrap w:val="0"/>
                  <w:vAlign w:val="center"/>
                </w:tcPr>
                <w:p w14:paraId="4E5388EF">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内容</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752B706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本项目情况</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53E47AC2">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符合性</w:t>
                  </w:r>
                </w:p>
              </w:tc>
            </w:tr>
            <w:tr w14:paraId="41E4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268DA4D">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658D0F8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强化生态环境分区管控。</w:t>
                  </w:r>
                </w:p>
                <w:p w14:paraId="439DE441">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快构建城市化地区、农产品主产区、重点生态功能区分类指导的减污降碳政策体系。衔接国土空间规划分区和用途管制要求，将碳达峰碳中和要求纳入生态环境分区管控体系。深化成都、乐山减污降碳协同管控试点，切实发挥示范带动作用。增强区域环境质量改善目标对能源和产业布局的引导作用，落实国家以环境质量改善和碳达峰目标为导向的产业准入及退出清单要求，持续推动系统性去产能、结构性优产能，严格落实钢铁、水泥、平板玻璃（不含光伏压延玻璃）、电解铝等行业产能置换政策。加大污染严重地区结构调整和布局优化力度，加快推动成都平原、川南、川东北等重点区域和沱江、岷江、嘉陵江等重点流域落后和过剩产能退出。</w:t>
                  </w:r>
                </w:p>
              </w:tc>
              <w:tc>
                <w:tcPr>
                  <w:tcW w:w="1451" w:type="pct"/>
                  <w:vMerge w:val="restart"/>
                  <w:tcBorders>
                    <w:top w:val="single" w:color="auto" w:sz="4" w:space="0"/>
                    <w:left w:val="single" w:color="auto" w:sz="4" w:space="0"/>
                    <w:right w:val="single" w:color="auto" w:sz="4" w:space="0"/>
                  </w:tcBorders>
                  <w:noWrap w:val="0"/>
                  <w:vAlign w:val="center"/>
                </w:tcPr>
                <w:p w14:paraId="24728FB5">
                  <w:pPr>
                    <w:keepNext w:val="0"/>
                    <w:keepLines w:val="0"/>
                    <w:suppressLineNumbers w:val="0"/>
                    <w:autoSpaceDE w:val="0"/>
                    <w:autoSpaceDN w:val="0"/>
                    <w:adjustRightInd w:val="0"/>
                    <w:spacing w:before="0" w:beforeAutospacing="0" w:after="0" w:afterAutospacing="0"/>
                    <w:ind w:left="0" w:right="0"/>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本项目为天然气勘探工程，不占用生态保护红线和城镇开发边界，项目建设符合《巴中市国土空间总体规划》，符合巴中市</w:t>
                  </w:r>
                  <w:r>
                    <w:rPr>
                      <w:rFonts w:hint="default" w:ascii="Times New Roman" w:hAnsi="Times New Roman" w:eastAsia="宋体" w:cs="Times New Roman"/>
                      <w:color w:val="auto"/>
                      <w:sz w:val="21"/>
                      <w:szCs w:val="21"/>
                      <w:lang w:val="en-US" w:eastAsia="zh-CN"/>
                    </w:rPr>
                    <w:t>恩阳</w:t>
                  </w:r>
                  <w:r>
                    <w:rPr>
                      <w:rFonts w:hint="default" w:ascii="Times New Roman" w:hAnsi="Times New Roman" w:eastAsia="宋体" w:cs="Times New Roman"/>
                      <w:color w:val="auto"/>
                      <w:sz w:val="21"/>
                      <w:szCs w:val="21"/>
                    </w:rPr>
                    <w:t>区“生态环境分区管控”要求</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518259DA">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343D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0208250">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1FE34DD0">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实施生态环境准入管理。</w:t>
                  </w:r>
                </w:p>
                <w:p w14:paraId="5C7A1D8F">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坚决遏制高耗能、高排放、低水平项目盲目发展，高耗能、高排放项目审批要严格落实国家产业规划、产业政策、生态环境分区管控、环评审批、取水许可审批、节能审查及污染物区域削减替代等要求，采取先进适用的工艺技术和装备，提升高耗能项目能耗准入标准，能耗、物耗、水耗要达到清洁生产先进水平。严格落实环评区域限批政策，推动开展重点行业建设项目碳排放环境影响评价，鼓励天然气（页岩气）等重点行业企业自主开展碳排放影响评价。持续加强产业集群环境治理，明确产业布局和发展方向，高起点设定项目准入类别，引导产业向“专精特新”转型。严格落实国家产业结构调整指导目录，依法依规推动落后产能、落后工艺和落后产品退出。落实生态环境影响相关评价方法和准入要求，建立绿色低碳优势产业重点项目环评审批清单，助推清洁能源生产、支撑和应用产业发展。到2025年，绿色低碳优势产业体系基本形成。</w:t>
                  </w:r>
                </w:p>
              </w:tc>
              <w:tc>
                <w:tcPr>
                  <w:tcW w:w="1451" w:type="pct"/>
                  <w:vMerge w:val="continue"/>
                  <w:tcBorders>
                    <w:left w:val="single" w:color="auto" w:sz="4" w:space="0"/>
                    <w:bottom w:val="single" w:color="auto" w:sz="4" w:space="0"/>
                    <w:right w:val="single" w:color="auto" w:sz="4" w:space="0"/>
                  </w:tcBorders>
                  <w:noWrap w:val="0"/>
                  <w:vAlign w:val="center"/>
                </w:tcPr>
                <w:p w14:paraId="3B5C993B">
                  <w:pPr>
                    <w:keepNext w:val="0"/>
                    <w:keepLines w:val="0"/>
                    <w:suppressLineNumbers w:val="0"/>
                    <w:autoSpaceDE w:val="0"/>
                    <w:autoSpaceDN w:val="0"/>
                    <w:adjustRightInd w:val="0"/>
                    <w:spacing w:before="0" w:beforeAutospacing="0" w:after="0" w:afterAutospacing="0"/>
                    <w:ind w:left="0" w:right="0" w:firstLine="420" w:firstLineChars="200"/>
                    <w:textAlignment w:val="baseline"/>
                    <w:outlineLvl w:val="4"/>
                    <w:rPr>
                      <w:rFonts w:hint="default" w:ascii="Times New Roman" w:hAnsi="Times New Roman" w:eastAsia="宋体" w:cs="Times New Roman"/>
                      <w:color w:val="auto"/>
                      <w:sz w:val="21"/>
                      <w:szCs w:val="21"/>
                    </w:rPr>
                  </w:pPr>
                </w:p>
              </w:tc>
              <w:tc>
                <w:tcPr>
                  <w:tcW w:w="583" w:type="pct"/>
                  <w:tcBorders>
                    <w:top w:val="single" w:color="auto" w:sz="4" w:space="0"/>
                    <w:left w:val="single" w:color="auto" w:sz="4" w:space="0"/>
                    <w:bottom w:val="single" w:color="auto" w:sz="4" w:space="0"/>
                    <w:right w:val="single" w:color="auto" w:sz="4" w:space="0"/>
                  </w:tcBorders>
                  <w:noWrap w:val="0"/>
                  <w:vAlign w:val="center"/>
                </w:tcPr>
                <w:p w14:paraId="39213B2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199C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EF4B062">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25893AF6">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加快水环境治理协同控制。</w:t>
                  </w:r>
                </w:p>
                <w:p w14:paraId="7EB8B121">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提高工业用水效率，加强园区水循环梯级利用，加快雨水收集、再生水循环利用设施建设，实现串联用水、分质用水、一水多用、梯级利用和再生利用。加快构建城镇良性水循环系统，因地制宜建设人工湿地水质净化工程及再生水调蓄设施，探索推广污水社区化分类处理和就地回用。建设资源能源标杆再生水厂，推动下沉式再生水厂开展景观绿化。推进污水处理厂节能降耗，优化工艺流程，提高处理效率。</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01B1E2B0">
                  <w:pPr>
                    <w:keepNext w:val="0"/>
                    <w:keepLines w:val="0"/>
                    <w:suppressLineNumbers w:val="0"/>
                    <w:autoSpaceDE w:val="0"/>
                    <w:autoSpaceDN w:val="0"/>
                    <w:adjustRightInd w:val="0"/>
                    <w:spacing w:before="0" w:beforeAutospacing="0" w:after="0" w:afterAutospacing="0"/>
                    <w:ind w:left="0" w:right="0"/>
                    <w:textAlignment w:val="baseline"/>
                    <w:outlineLvl w:val="4"/>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项目钻井废水、井场内</w:t>
                  </w:r>
                  <w:r>
                    <w:rPr>
                      <w:rFonts w:hint="eastAsia" w:cs="Times New Roman"/>
                      <w:color w:val="auto"/>
                      <w:sz w:val="21"/>
                      <w:szCs w:val="21"/>
                      <w:lang w:eastAsia="zh-CN"/>
                    </w:rPr>
                    <w:t>初期雨水</w:t>
                  </w:r>
                  <w:r>
                    <w:rPr>
                      <w:rFonts w:hint="default" w:ascii="Times New Roman" w:hAnsi="Times New Roman" w:eastAsia="宋体" w:cs="Times New Roman"/>
                      <w:color w:val="auto"/>
                      <w:sz w:val="21"/>
                      <w:szCs w:val="21"/>
                      <w:lang w:eastAsia="zh-CN"/>
                    </w:rPr>
                    <w:t>优先回用于</w:t>
                  </w:r>
                  <w:r>
                    <w:rPr>
                      <w:rFonts w:hint="default" w:ascii="Times New Roman" w:hAnsi="Times New Roman" w:eastAsia="宋体" w:cs="Times New Roman"/>
                      <w:color w:val="auto"/>
                      <w:sz w:val="21"/>
                      <w:szCs w:val="21"/>
                    </w:rPr>
                    <w:t>钻井泥浆</w:t>
                  </w:r>
                  <w:r>
                    <w:rPr>
                      <w:rFonts w:hint="default" w:ascii="Times New Roman" w:hAnsi="Times New Roman" w:eastAsia="宋体" w:cs="Times New Roman"/>
                      <w:color w:val="auto"/>
                      <w:sz w:val="21"/>
                      <w:szCs w:val="21"/>
                      <w:lang w:eastAsia="zh-CN"/>
                    </w:rPr>
                    <w:t>配制</w:t>
                  </w:r>
                  <w:r>
                    <w:rPr>
                      <w:rFonts w:hint="default" w:ascii="Times New Roman" w:hAnsi="Times New Roman" w:eastAsia="宋体" w:cs="Times New Roman"/>
                      <w:color w:val="auto"/>
                      <w:sz w:val="21"/>
                      <w:szCs w:val="21"/>
                    </w:rPr>
                    <w:t>，未能回用的钻井废水和井场内</w:t>
                  </w:r>
                  <w:r>
                    <w:rPr>
                      <w:rFonts w:hint="eastAsia" w:cs="Times New Roman"/>
                      <w:color w:val="auto"/>
                      <w:sz w:val="21"/>
                      <w:szCs w:val="21"/>
                      <w:lang w:eastAsia="zh-CN"/>
                    </w:rPr>
                    <w:t>初期雨水</w:t>
                  </w:r>
                  <w:r>
                    <w:rPr>
                      <w:rFonts w:hint="default" w:ascii="Times New Roman" w:hAnsi="Times New Roman" w:eastAsia="宋体" w:cs="Times New Roman"/>
                      <w:color w:val="auto"/>
                      <w:sz w:val="21"/>
                      <w:szCs w:val="21"/>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sz w:val="21"/>
                      <w:szCs w:val="21"/>
                    </w:rPr>
                    <w:t>交由符合环保要求且有处理能力的钻井废水处理公司进行处理</w:t>
                  </w:r>
                  <w:r>
                    <w:rPr>
                      <w:rFonts w:hint="default" w:ascii="Times New Roman" w:hAnsi="Times New Roman" w:eastAsia="宋体" w:cs="Times New Roman"/>
                      <w:color w:val="auto"/>
                      <w:sz w:val="21"/>
                      <w:szCs w:val="21"/>
                      <w:lang w:eastAsia="zh-CN"/>
                    </w:rPr>
                    <w:t>；生活污水通过环保厕所收集后转运至</w:t>
                  </w:r>
                  <w:r>
                    <w:rPr>
                      <w:rFonts w:hint="default" w:ascii="Times New Roman" w:hAnsi="Times New Roman" w:eastAsia="宋体" w:cs="Times New Roman"/>
                      <w:color w:val="auto"/>
                      <w:sz w:val="21"/>
                      <w:szCs w:val="21"/>
                      <w:lang w:val="en-US" w:eastAsia="zh-CN"/>
                    </w:rPr>
                    <w:t>上八庙</w:t>
                  </w:r>
                  <w:r>
                    <w:rPr>
                      <w:rFonts w:hint="default" w:ascii="Times New Roman" w:hAnsi="Times New Roman" w:eastAsia="宋体" w:cs="Times New Roman"/>
                      <w:color w:val="auto"/>
                      <w:sz w:val="21"/>
                      <w:szCs w:val="21"/>
                      <w:lang w:eastAsia="zh-CN"/>
                    </w:rPr>
                    <w:t>镇污水处理站处理</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2DBC0A7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1B84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537C7D7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41DABE67">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实施固体废物污染防治协同控制。</w:t>
                  </w:r>
                </w:p>
                <w:p w14:paraId="76A78FDE">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固体废物源头减量、分类回收和综合利用，分批分期启动成都市、自贡市、泸州市等15个“无废城市”建设，推进城市固体废物精细化管理，建立“无废城市”建设成效清单。开展固体废物领域重点行业减污降碳路径及数据核算方法研究，形成一批有特点、可复制、可借鉴、可推广的固体废物治理典型模式。推动煤矸石、粉煤灰、尾矿、冶炼渣、油基岩屑等工业固废、生活垃圾焚烧飞灰和建筑垃圾资源利用或替代建材生产原料。到2025年，存量大宗固废有序减少。</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0D4F17BE">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本项目固废包括钻井固废、沉淀污泥、废油、含油污染物、生活垃圾和包装材料等。</w:t>
                  </w:r>
                </w:p>
                <w:p w14:paraId="0EF97DE4">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钻井固废（钻井岩屑和废钻井泥浆）以及沉淀污泥经过脱水后（含水率低于60%）收集至岩屑接收罐，交由符合环保要求且有处理能力的砖厂、水泥厂等进行资源化利用。废油、含油污染物经收集后，交有危废处理资质单位处置；生活垃圾收集后统一交由当地环卫部门处置；废包装材料</w:t>
                  </w:r>
                  <w:r>
                    <w:rPr>
                      <w:rFonts w:hint="eastAsia" w:ascii="Times New Roman" w:hAnsi="Times New Roman" w:eastAsia="宋体" w:cs="Times New Roman"/>
                      <w:color w:val="auto"/>
                      <w:sz w:val="21"/>
                      <w:szCs w:val="21"/>
                      <w:lang w:val="en-US" w:eastAsia="zh-CN"/>
                    </w:rPr>
                    <w:t>集中收集后外售资源化利用</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606146D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14:paraId="0B3FD52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《四川省空气质量持续改善行动计划实施方案》（川府发〔2024〕15号）符合性分析</w:t>
            </w:r>
          </w:p>
          <w:p w14:paraId="583D1483">
            <w:pPr>
              <w:pStyle w:val="22"/>
              <w:keepNext w:val="0"/>
              <w:keepLines w:val="0"/>
              <w:suppressLineNumbers w:val="0"/>
              <w:spacing w:before="0" w:beforeAutospacing="0" w:afterAutospacing="0" w:line="360" w:lineRule="auto"/>
              <w:ind w:left="0" w:leftChars="0" w:right="0" w:firstLine="480" w:firstLineChars="200"/>
              <w:rPr>
                <w:rFonts w:hint="default"/>
                <w:color w:val="auto"/>
              </w:rPr>
            </w:pPr>
            <w:r>
              <w:rPr>
                <w:rFonts w:hint="eastAsia" w:ascii="Times New Roman" w:hAnsi="Times New Roman" w:eastAsia="宋体" w:cs="Times New Roman"/>
                <w:color w:val="auto"/>
                <w:sz w:val="24"/>
              </w:rPr>
              <w:t>本项目与《四川省空气质量持续改善行动计划实施方案》（川府发〔2024〕15号）符合性分析见下表。</w:t>
            </w:r>
          </w:p>
          <w:p w14:paraId="30A149B7">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与《四川省空气质量持续改善行动计划实施方案》（川府发〔2024〕15号）符合性分析</w:t>
            </w:r>
          </w:p>
          <w:tbl>
            <w:tblPr>
              <w:tblStyle w:val="23"/>
              <w:tblW w:w="4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4262"/>
              <w:gridCol w:w="1899"/>
              <w:gridCol w:w="888"/>
            </w:tblGrid>
            <w:tr w14:paraId="0FC0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8" w:type="pct"/>
                  <w:tcBorders>
                    <w:top w:val="single" w:color="auto" w:sz="4" w:space="0"/>
                    <w:left w:val="single" w:color="auto" w:sz="4" w:space="0"/>
                    <w:bottom w:val="single" w:color="auto" w:sz="4" w:space="0"/>
                    <w:right w:val="single" w:color="auto" w:sz="4" w:space="0"/>
                  </w:tcBorders>
                  <w:noWrap w:val="0"/>
                  <w:vAlign w:val="center"/>
                </w:tcPr>
                <w:p w14:paraId="581F104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序号</w:t>
                  </w:r>
                </w:p>
              </w:tc>
              <w:tc>
                <w:tcPr>
                  <w:tcW w:w="2727" w:type="pct"/>
                  <w:tcBorders>
                    <w:top w:val="single" w:color="auto" w:sz="4" w:space="0"/>
                    <w:left w:val="single" w:color="auto" w:sz="4" w:space="0"/>
                    <w:bottom w:val="single" w:color="auto" w:sz="4" w:space="0"/>
                    <w:right w:val="single" w:color="auto" w:sz="4" w:space="0"/>
                  </w:tcBorders>
                  <w:noWrap w:val="0"/>
                  <w:vAlign w:val="center"/>
                </w:tcPr>
                <w:p w14:paraId="4BB4A90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内容</w:t>
                  </w:r>
                </w:p>
              </w:tc>
              <w:tc>
                <w:tcPr>
                  <w:tcW w:w="1215" w:type="pct"/>
                  <w:tcBorders>
                    <w:top w:val="single" w:color="auto" w:sz="4" w:space="0"/>
                    <w:left w:val="single" w:color="auto" w:sz="4" w:space="0"/>
                    <w:bottom w:val="single" w:color="auto" w:sz="4" w:space="0"/>
                    <w:right w:val="single" w:color="auto" w:sz="4" w:space="0"/>
                  </w:tcBorders>
                  <w:noWrap w:val="0"/>
                  <w:vAlign w:val="center"/>
                </w:tcPr>
                <w:p w14:paraId="78326EC4">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本项目情况</w:t>
                  </w:r>
                </w:p>
              </w:tc>
              <w:tc>
                <w:tcPr>
                  <w:tcW w:w="568" w:type="pct"/>
                  <w:tcBorders>
                    <w:top w:val="single" w:color="auto" w:sz="4" w:space="0"/>
                    <w:left w:val="single" w:color="auto" w:sz="4" w:space="0"/>
                    <w:bottom w:val="single" w:color="auto" w:sz="4" w:space="0"/>
                    <w:right w:val="single" w:color="auto" w:sz="4" w:space="0"/>
                  </w:tcBorders>
                  <w:noWrap w:val="0"/>
                  <w:vAlign w:val="center"/>
                </w:tcPr>
                <w:p w14:paraId="3A81947A">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符合性</w:t>
                  </w:r>
                </w:p>
              </w:tc>
            </w:tr>
            <w:tr w14:paraId="7D75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8" w:type="pct"/>
                  <w:tcBorders>
                    <w:top w:val="single" w:color="auto" w:sz="4" w:space="0"/>
                    <w:left w:val="single" w:color="auto" w:sz="4" w:space="0"/>
                    <w:bottom w:val="single" w:color="auto" w:sz="4" w:space="0"/>
                    <w:right w:val="single" w:color="auto" w:sz="4" w:space="0"/>
                  </w:tcBorders>
                  <w:noWrap w:val="0"/>
                  <w:vAlign w:val="center"/>
                </w:tcPr>
                <w:p w14:paraId="6A6B935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2727" w:type="pct"/>
                  <w:tcBorders>
                    <w:top w:val="single" w:color="auto" w:sz="4" w:space="0"/>
                    <w:left w:val="single" w:color="auto" w:sz="4" w:space="0"/>
                    <w:bottom w:val="single" w:color="auto" w:sz="4" w:space="0"/>
                    <w:right w:val="single" w:color="auto" w:sz="4" w:space="0"/>
                  </w:tcBorders>
                  <w:noWrap w:val="0"/>
                  <w:vAlign w:val="top"/>
                </w:tcPr>
                <w:p w14:paraId="40F84F19">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严格产业准入。</w:t>
                  </w:r>
                </w:p>
                <w:p w14:paraId="3BB008AB">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坚决遏制高耗能、高排放、低水平项目盲目上马。新改扩建项目严格落实国家和四川省产业规划、产业政策、生态环境分区管控方案、规划环评、项目环评、节能审查、产能置换、重点污染物总量控制、污染物排放区域削减、碳排放达峰目标等相关要求，原则上采用清洁运输方式。从严控制高耗能项目节能审查，对年综合能耗5万吨标准煤以上的项目按要求开展能耗替代。涉及产能置换的项目，被置换产能及其配套设施关停后，新建项目方可投产。</w:t>
                  </w:r>
                </w:p>
              </w:tc>
              <w:tc>
                <w:tcPr>
                  <w:tcW w:w="1215" w:type="pct"/>
                  <w:vMerge w:val="restart"/>
                  <w:tcBorders>
                    <w:top w:val="single" w:color="auto" w:sz="4" w:space="0"/>
                    <w:left w:val="single" w:color="auto" w:sz="4" w:space="0"/>
                    <w:right w:val="single" w:color="auto" w:sz="4" w:space="0"/>
                  </w:tcBorders>
                  <w:noWrap w:val="0"/>
                  <w:vAlign w:val="center"/>
                </w:tcPr>
                <w:p w14:paraId="56050010">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为天然气勘探工程，项目不属于高耗能、高排放、低水平项目。根据《产业结构调整指导目录（2024年本）》，本项目属于鼓励类项目。项目的建设与《四川省“十四五”能源发展规划》《四川省矿产资源总体规划（2021-2025年）》《四川省矿产资源总体规划（2021-2025年）环境影响报告书》《巴中市矿产资源总体规划（2021-2025年）》相符，项目不占用生态保护红线和城镇开发边界，符合《巴中市国土空间总体规划》，符合巴中市</w:t>
                  </w:r>
                  <w:r>
                    <w:rPr>
                      <w:rFonts w:hint="default" w:ascii="Times New Roman" w:hAnsi="Times New Roman" w:eastAsia="宋体" w:cs="Times New Roman"/>
                      <w:color w:val="auto"/>
                      <w:szCs w:val="21"/>
                      <w:lang w:val="en-US" w:eastAsia="zh-CN"/>
                    </w:rPr>
                    <w:t>恩阳区</w:t>
                  </w:r>
                  <w:r>
                    <w:rPr>
                      <w:rFonts w:hint="default" w:ascii="Times New Roman" w:hAnsi="Times New Roman" w:eastAsia="宋体" w:cs="Times New Roman"/>
                      <w:color w:val="auto"/>
                      <w:szCs w:val="21"/>
                    </w:rPr>
                    <w:t>“生态环境分区管控”要求</w:t>
                  </w:r>
                </w:p>
              </w:tc>
              <w:tc>
                <w:tcPr>
                  <w:tcW w:w="568" w:type="pct"/>
                  <w:tcBorders>
                    <w:top w:val="single" w:color="auto" w:sz="4" w:space="0"/>
                    <w:left w:val="single" w:color="auto" w:sz="4" w:space="0"/>
                    <w:bottom w:val="single" w:color="auto" w:sz="4" w:space="0"/>
                    <w:right w:val="single" w:color="auto" w:sz="4" w:space="0"/>
                  </w:tcBorders>
                  <w:noWrap w:val="0"/>
                  <w:vAlign w:val="center"/>
                </w:tcPr>
                <w:p w14:paraId="7D0C9A13">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r w14:paraId="09CE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8" w:type="pct"/>
                  <w:tcBorders>
                    <w:top w:val="single" w:color="auto" w:sz="4" w:space="0"/>
                    <w:left w:val="single" w:color="auto" w:sz="4" w:space="0"/>
                    <w:bottom w:val="single" w:color="auto" w:sz="4" w:space="0"/>
                    <w:right w:val="single" w:color="auto" w:sz="4" w:space="0"/>
                  </w:tcBorders>
                  <w:noWrap w:val="0"/>
                  <w:vAlign w:val="center"/>
                </w:tcPr>
                <w:p w14:paraId="0D50F0CF">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2727" w:type="pct"/>
                  <w:tcBorders>
                    <w:top w:val="single" w:color="auto" w:sz="4" w:space="0"/>
                    <w:left w:val="single" w:color="auto" w:sz="4" w:space="0"/>
                    <w:bottom w:val="single" w:color="auto" w:sz="4" w:space="0"/>
                    <w:right w:val="single" w:color="auto" w:sz="4" w:space="0"/>
                  </w:tcBorders>
                  <w:noWrap w:val="0"/>
                  <w:vAlign w:val="top"/>
                </w:tcPr>
                <w:p w14:paraId="6911916E">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加快调整优化重点行业产能。</w:t>
                  </w:r>
                </w:p>
                <w:p w14:paraId="34592C3E">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严格执行《产业结构调整指导目录（2024年本）》，制定实施年度推动落后产能退出工作方案。重点城市提高能耗、环保、质量、安全、技术等要求，支持限制类涉气行业工艺装备通过等量或减量置换退出。</w:t>
                  </w:r>
                </w:p>
                <w:p w14:paraId="18F6DB4D">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到2025年，推动一批烧结、高炉、转炉、焦炉等限制类装备退出或产品升级。逐步淘汰步进式烧结机和球团竖炉以及半封闭式硅锰合金、镍铁、高碳铬铁、高碳锰铁电炉。推动砖瓦行业兼并重组减量置换，到2025年，重点城市力争烧结砖瓦生产线数量压减40%以上，广元市、巴中市力争压减20%以上。推进城市建成区的烧结砖瓦企业关停退出。持续推动水泥行业压减过剩产能和产能置换改造升级。</w:t>
                  </w:r>
                </w:p>
              </w:tc>
              <w:tc>
                <w:tcPr>
                  <w:tcW w:w="1215" w:type="pct"/>
                  <w:vMerge w:val="continue"/>
                  <w:tcBorders>
                    <w:left w:val="single" w:color="auto" w:sz="4" w:space="0"/>
                    <w:bottom w:val="single" w:color="auto" w:sz="4" w:space="0"/>
                    <w:right w:val="single" w:color="auto" w:sz="4" w:space="0"/>
                  </w:tcBorders>
                  <w:noWrap w:val="0"/>
                  <w:vAlign w:val="center"/>
                </w:tcPr>
                <w:p w14:paraId="23AE4907">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宋体" w:cs="Times New Roman"/>
                      <w:color w:val="auto"/>
                      <w:szCs w:val="21"/>
                    </w:rPr>
                  </w:pPr>
                </w:p>
              </w:tc>
              <w:tc>
                <w:tcPr>
                  <w:tcW w:w="568" w:type="pct"/>
                  <w:tcBorders>
                    <w:top w:val="single" w:color="auto" w:sz="4" w:space="0"/>
                    <w:left w:val="single" w:color="auto" w:sz="4" w:space="0"/>
                    <w:bottom w:val="single" w:color="auto" w:sz="4" w:space="0"/>
                    <w:right w:val="single" w:color="auto" w:sz="4" w:space="0"/>
                  </w:tcBorders>
                  <w:noWrap w:val="0"/>
                  <w:vAlign w:val="center"/>
                </w:tcPr>
                <w:p w14:paraId="651F69F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符合</w:t>
                  </w:r>
                </w:p>
              </w:tc>
            </w:tr>
          </w:tbl>
          <w:p w14:paraId="4AA7F5B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《四川省人民政府办公厅关于建设占用耕地耕作层土壤剥离再利用的通知》</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川办函〔2024〕100号</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符合性分析</w:t>
            </w:r>
          </w:p>
          <w:p w14:paraId="08679B71">
            <w:pPr>
              <w:pStyle w:val="22"/>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本项目与《四川省人民政府办公厅关于建设占用耕地耕作层土壤剥离再利用的通知》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川办函〔2024〕100号</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符合性分析见下表。</w:t>
            </w:r>
          </w:p>
          <w:p w14:paraId="489E9209">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本项目与《四川省人民政府办公厅关于建设占用耕地耕作层土壤剥离再利用的通知》（川办函〔2024〕100号）符合性分析</w:t>
            </w:r>
          </w:p>
          <w:tbl>
            <w:tblPr>
              <w:tblStyle w:val="23"/>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5"/>
              <w:gridCol w:w="1869"/>
              <w:gridCol w:w="893"/>
            </w:tblGrid>
            <w:tr w14:paraId="6EA4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40" w:type="pct"/>
                  <w:tcBorders>
                    <w:top w:val="single" w:color="auto" w:sz="4" w:space="0"/>
                    <w:left w:val="single" w:color="auto" w:sz="4" w:space="0"/>
                    <w:bottom w:val="single" w:color="auto" w:sz="4" w:space="0"/>
                    <w:right w:val="single" w:color="auto" w:sz="4" w:space="0"/>
                  </w:tcBorders>
                  <w:noWrap w:val="0"/>
                  <w:vAlign w:val="center"/>
                </w:tcPr>
                <w:p w14:paraId="39F1137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内容</w:t>
                  </w:r>
                </w:p>
              </w:tc>
              <w:tc>
                <w:tcPr>
                  <w:tcW w:w="1190" w:type="pct"/>
                  <w:tcBorders>
                    <w:top w:val="single" w:color="auto" w:sz="4" w:space="0"/>
                    <w:left w:val="single" w:color="auto" w:sz="4" w:space="0"/>
                    <w:bottom w:val="single" w:color="auto" w:sz="4" w:space="0"/>
                    <w:right w:val="single" w:color="auto" w:sz="4" w:space="0"/>
                  </w:tcBorders>
                  <w:noWrap w:val="0"/>
                  <w:vAlign w:val="center"/>
                </w:tcPr>
                <w:p w14:paraId="1AAAC71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本项目情况</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B008BF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符合性</w:t>
                  </w:r>
                </w:p>
              </w:tc>
            </w:tr>
            <w:tr w14:paraId="791F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40" w:type="pct"/>
                  <w:tcBorders>
                    <w:top w:val="single" w:color="auto" w:sz="4" w:space="0"/>
                    <w:left w:val="single" w:color="auto" w:sz="4" w:space="0"/>
                    <w:right w:val="single" w:color="auto" w:sz="4" w:space="0"/>
                  </w:tcBorders>
                  <w:noWrap w:val="0"/>
                  <w:vAlign w:val="center"/>
                </w:tcPr>
                <w:p w14:paraId="7613762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eastAsia" w:ascii="华文仿宋" w:hAnsi="华文仿宋" w:eastAsia="宋体" w:cs="Courier New"/>
                      <w:color w:val="auto"/>
                      <w:szCs w:val="21"/>
                      <w:lang w:eastAsia="zh-CN"/>
                    </w:rPr>
                    <w:t>（一）</w:t>
                  </w:r>
                  <w:r>
                    <w:rPr>
                      <w:rFonts w:hint="default" w:ascii="华文仿宋" w:hAnsi="华文仿宋" w:eastAsia="Times New Roman" w:cs="Courier New"/>
                      <w:color w:val="auto"/>
                      <w:szCs w:val="21"/>
                    </w:rPr>
                    <w:t>满足以下条件之一的</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应当实施土壤剥离再利用</w:t>
                  </w:r>
                </w:p>
                <w:p w14:paraId="2DB50755">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1.非农建设依法占用永久基本农田的</w:t>
                  </w:r>
                  <w:r>
                    <w:rPr>
                      <w:rFonts w:hint="eastAsia" w:ascii="华文仿宋" w:hAnsi="华文仿宋" w:eastAsia="Times New Roman" w:cs="Courier New"/>
                      <w:color w:val="auto"/>
                      <w:szCs w:val="21"/>
                    </w:rPr>
                    <w:t>；</w:t>
                  </w:r>
                </w:p>
                <w:p w14:paraId="6B3DE53D">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2.非农建设依法占用一般耕地质量等级3等以上的</w:t>
                  </w:r>
                  <w:r>
                    <w:rPr>
                      <w:rFonts w:hint="eastAsia" w:ascii="华文仿宋" w:hAnsi="华文仿宋" w:eastAsia="Times New Roman" w:cs="Courier New"/>
                      <w:color w:val="auto"/>
                      <w:szCs w:val="21"/>
                    </w:rPr>
                    <w:t>；</w:t>
                  </w:r>
                </w:p>
                <w:p w14:paraId="73C4118C">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3.临时占用耕地的</w:t>
                  </w:r>
                  <w:r>
                    <w:rPr>
                      <w:rFonts w:hint="eastAsia" w:ascii="华文仿宋" w:hAnsi="华文仿宋" w:eastAsia="Times New Roman" w:cs="Courier New"/>
                      <w:color w:val="auto"/>
                      <w:szCs w:val="21"/>
                    </w:rPr>
                    <w:t>；</w:t>
                  </w:r>
                </w:p>
                <w:p w14:paraId="60C9E675">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4.其余建设占用耕地耕作层土壤有条件剥离再利用的</w:t>
                  </w:r>
                  <w:r>
                    <w:rPr>
                      <w:rFonts w:hint="eastAsia" w:ascii="华文仿宋" w:hAnsi="华文仿宋" w:eastAsia="Times New Roman" w:cs="Courier New"/>
                      <w:color w:val="auto"/>
                      <w:szCs w:val="21"/>
                    </w:rPr>
                    <w:t>，</w:t>
                  </w:r>
                  <w:r>
                    <w:rPr>
                      <w:rFonts w:hint="default" w:ascii="华文仿宋" w:hAnsi="华文仿宋" w:eastAsia="Times New Roman" w:cs="Courier New"/>
                      <w:color w:val="auto"/>
                      <w:szCs w:val="21"/>
                    </w:rPr>
                    <w:t>县</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市、区</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人民政府可以要求参照执行。</w:t>
                  </w:r>
                </w:p>
                <w:p w14:paraId="4970A669">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（二</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属于应当剥离范围，但存在以下情形之一的，由县级自然资源主管部门会同有关部门联合认定，经县</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市、区</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人民政府同意后，可以不实施土壤剥离再利用。</w:t>
                  </w:r>
                </w:p>
                <w:p w14:paraId="59885B61">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1.耕作层土壤厚度不足10厘米的；</w:t>
                  </w:r>
                </w:p>
                <w:p w14:paraId="788D3B18">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2.耕地坡度大于25 度的；</w:t>
                  </w:r>
                </w:p>
                <w:p w14:paraId="3AAE8F1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3.建设项目占用耕地面积小于10亩的；</w:t>
                  </w:r>
                </w:p>
                <w:p w14:paraId="0DEB0C5D">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4.涉及国家安全、军事、抢险救灾等急需临时占用的；</w:t>
                  </w:r>
                </w:p>
                <w:p w14:paraId="1E04A21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5.依据《四川省土壤污染防治条例》被列为严格管控类的；</w:t>
                  </w:r>
                </w:p>
                <w:p w14:paraId="01F81A17">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Cs w:val="21"/>
                    </w:rPr>
                  </w:pPr>
                  <w:r>
                    <w:rPr>
                      <w:rFonts w:hint="eastAsia" w:ascii="Times New Roman" w:hAnsi="Times New Roman" w:eastAsia="Times New Roman" w:cs="Courier New"/>
                      <w:color w:val="auto"/>
                      <w:szCs w:val="21"/>
                    </w:rPr>
                    <w:t>6.其他不适合剥离再利用的。</w:t>
                  </w:r>
                </w:p>
              </w:tc>
              <w:tc>
                <w:tcPr>
                  <w:tcW w:w="1190" w:type="pct"/>
                  <w:tcBorders>
                    <w:top w:val="single" w:color="auto" w:sz="4" w:space="0"/>
                    <w:left w:val="single" w:color="auto" w:sz="4" w:space="0"/>
                    <w:right w:val="single" w:color="auto" w:sz="4" w:space="0"/>
                  </w:tcBorders>
                  <w:noWrap w:val="0"/>
                  <w:vAlign w:val="center"/>
                </w:tcPr>
                <w:p w14:paraId="7A0F3F96">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本项目临时占用耕地，故应当实施土壤剥离再利用。</w:t>
                  </w:r>
                </w:p>
                <w:p w14:paraId="145B6E5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Cs w:val="21"/>
                    </w:rPr>
                  </w:pPr>
                  <w:r>
                    <w:rPr>
                      <w:rFonts w:hint="eastAsia" w:ascii="Times New Roman" w:hAnsi="Times New Roman" w:eastAsia="Times New Roman" w:cs="Courier New"/>
                      <w:color w:val="auto"/>
                      <w:szCs w:val="21"/>
                    </w:rPr>
                    <w:t>本项目实施表土剥离，并设置表土堆场。项目临时用地使用完成后，建设单位</w:t>
                  </w:r>
                  <w:r>
                    <w:rPr>
                      <w:rFonts w:hint="eastAsia" w:ascii="Times New Roman" w:hAnsi="Times New Roman" w:eastAsia="宋体" w:cs="Courier New"/>
                      <w:color w:val="auto"/>
                      <w:szCs w:val="21"/>
                      <w:lang w:val="en-US" w:eastAsia="zh-CN"/>
                    </w:rPr>
                    <w:t>将</w:t>
                  </w:r>
                  <w:r>
                    <w:rPr>
                      <w:rFonts w:hint="eastAsia" w:ascii="Times New Roman" w:hAnsi="Times New Roman" w:eastAsia="Times New Roman" w:cs="Courier New"/>
                      <w:color w:val="auto"/>
                      <w:szCs w:val="21"/>
                    </w:rPr>
                    <w:t>按经批准的土地复垦方案及时组织复垦，确保被压占破坏土地恢复原土地使用状态</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D03A55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Cs w:val="21"/>
                    </w:rPr>
                  </w:pPr>
                  <w:r>
                    <w:rPr>
                      <w:rFonts w:hint="eastAsia" w:ascii="华文仿宋" w:hAnsi="华文仿宋" w:eastAsia="Times New Roman" w:cs="Courier New"/>
                      <w:color w:val="auto"/>
                      <w:szCs w:val="21"/>
                    </w:rPr>
                    <w:t>符合</w:t>
                  </w:r>
                </w:p>
              </w:tc>
            </w:tr>
          </w:tbl>
          <w:p w14:paraId="1DBD0C7E">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《土壤污染源头防控行动计划》</w:t>
            </w:r>
            <w:r>
              <w:rPr>
                <w:rFonts w:hint="eastAsia" w:ascii="Times New Roman" w:hAnsi="Times New Roman" w:cs="Times New Roman"/>
                <w:b/>
                <w:color w:val="auto"/>
                <w:sz w:val="24"/>
              </w:rPr>
              <w:t>（</w:t>
            </w:r>
            <w:r>
              <w:rPr>
                <w:rFonts w:hint="default" w:ascii="Times New Roman" w:hAnsi="Times New Roman" w:cs="Times New Roman"/>
                <w:b/>
                <w:color w:val="auto"/>
                <w:sz w:val="24"/>
              </w:rPr>
              <w:t>环土壤〔2024〕80号</w:t>
            </w:r>
            <w:r>
              <w:rPr>
                <w:rFonts w:hint="eastAsia" w:ascii="Times New Roman" w:hAnsi="Times New Roman" w:cs="Times New Roman"/>
                <w:b/>
                <w:color w:val="auto"/>
                <w:sz w:val="24"/>
              </w:rPr>
              <w:t>）符合性分析</w:t>
            </w:r>
          </w:p>
          <w:p w14:paraId="50E2095E">
            <w:pPr>
              <w:pStyle w:val="22"/>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本项目与《四川省人民政府办公厅关于建设占用耕地耕作层土壤剥离再利用的通知》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川办函〔2024〕100号</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符合性分析见下表。</w:t>
            </w:r>
          </w:p>
          <w:p w14:paraId="1A2FA41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本项目与《土壤污染源头防控行动计划》（环土壤〔2024〕80号）符合性分析</w:t>
            </w:r>
          </w:p>
          <w:tbl>
            <w:tblPr>
              <w:tblStyle w:val="23"/>
              <w:tblW w:w="47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4139"/>
              <w:gridCol w:w="876"/>
            </w:tblGrid>
            <w:tr w14:paraId="3CBA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9" w:type="pct"/>
                  <w:tcBorders>
                    <w:top w:val="single" w:color="auto" w:sz="4" w:space="0"/>
                    <w:left w:val="single" w:color="auto" w:sz="4" w:space="0"/>
                    <w:bottom w:val="single" w:color="auto" w:sz="4" w:space="0"/>
                    <w:right w:val="single" w:color="auto" w:sz="4" w:space="0"/>
                  </w:tcBorders>
                  <w:noWrap w:val="0"/>
                  <w:vAlign w:val="center"/>
                </w:tcPr>
                <w:p w14:paraId="1CE2DC06">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内容</w:t>
                  </w:r>
                </w:p>
              </w:tc>
              <w:tc>
                <w:tcPr>
                  <w:tcW w:w="2658" w:type="pct"/>
                  <w:tcBorders>
                    <w:top w:val="single" w:color="auto" w:sz="4" w:space="0"/>
                    <w:left w:val="single" w:color="auto" w:sz="4" w:space="0"/>
                    <w:bottom w:val="single" w:color="auto" w:sz="4" w:space="0"/>
                    <w:right w:val="single" w:color="auto" w:sz="4" w:space="0"/>
                  </w:tcBorders>
                  <w:noWrap w:val="0"/>
                  <w:vAlign w:val="center"/>
                </w:tcPr>
                <w:p w14:paraId="68E4ABF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本项目情况</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51AF300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符合性</w:t>
                  </w:r>
                </w:p>
              </w:tc>
            </w:tr>
            <w:tr w14:paraId="514A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9" w:type="pct"/>
                  <w:tcBorders>
                    <w:top w:val="single" w:color="auto" w:sz="4" w:space="0"/>
                    <w:left w:val="single" w:color="auto" w:sz="4" w:space="0"/>
                    <w:bottom w:val="single" w:color="auto" w:sz="4" w:space="0"/>
                    <w:right w:val="single" w:color="auto" w:sz="4" w:space="0"/>
                  </w:tcBorders>
                  <w:noWrap w:val="0"/>
                  <w:vAlign w:val="center"/>
                </w:tcPr>
                <w:p w14:paraId="30C5A8FF">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华文仿宋" w:hAnsi="华文仿宋" w:eastAsia="宋体" w:cs="Courier New"/>
                      <w:color w:val="auto"/>
                      <w:szCs w:val="21"/>
                      <w:lang w:eastAsia="zh-CN"/>
                    </w:rPr>
                  </w:pPr>
                  <w:r>
                    <w:rPr>
                      <w:rFonts w:hint="eastAsia" w:ascii="Times New Roman" w:hAnsi="Times New Roman" w:eastAsia="Times New Roman" w:cs="Courier New"/>
                      <w:color w:val="auto"/>
                      <w:szCs w:val="21"/>
                    </w:rPr>
                    <w:t>（四）加强未污染土壤保护。强化优先保护类耕地管理，加强土壤生态环境质量监测和保护。鼓励黑龙江等省份探索开展黑土地土壤生态环境保护监督管理。加强盐碱地生态环境保护。新建涉重金属排放企业，要在相关建设项目中加强重金属排放对周边耕地土壤的累积性风险分析，存在风险的，要采取防控措施</w:t>
                  </w:r>
                  <w:r>
                    <w:rPr>
                      <w:rFonts w:hint="eastAsia" w:ascii="Times New Roman" w:hAnsi="Times New Roman" w:eastAsia="宋体" w:cs="Courier New"/>
                      <w:color w:val="auto"/>
                      <w:szCs w:val="21"/>
                      <w:lang w:eastAsia="zh-CN"/>
                    </w:rPr>
                    <w:t>。</w:t>
                  </w:r>
                </w:p>
              </w:tc>
              <w:tc>
                <w:tcPr>
                  <w:tcW w:w="2658" w:type="pct"/>
                  <w:tcBorders>
                    <w:top w:val="single" w:color="auto" w:sz="4" w:space="0"/>
                    <w:left w:val="single" w:color="auto" w:sz="4" w:space="0"/>
                    <w:right w:val="single" w:color="auto" w:sz="4" w:space="0"/>
                  </w:tcBorders>
                  <w:noWrap w:val="0"/>
                  <w:vAlign w:val="center"/>
                </w:tcPr>
                <w:p w14:paraId="3066E7FC">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宋体" w:cs="Courier New"/>
                      <w:color w:val="auto"/>
                      <w:szCs w:val="21"/>
                      <w:lang w:eastAsia="zh-CN"/>
                    </w:rPr>
                  </w:pPr>
                  <w:r>
                    <w:rPr>
                      <w:rFonts w:hint="eastAsia" w:ascii="Times New Roman" w:hAnsi="Times New Roman" w:eastAsia="Times New Roman" w:cs="Courier New"/>
                      <w:color w:val="auto"/>
                      <w:szCs w:val="21"/>
                    </w:rPr>
                    <w:t>本项目为天然气勘探工程，位于四川省巴中市</w:t>
                  </w:r>
                  <w:r>
                    <w:rPr>
                      <w:rFonts w:hint="eastAsia" w:eastAsia="宋体" w:cs="Courier New"/>
                      <w:color w:val="auto"/>
                      <w:szCs w:val="21"/>
                      <w:lang w:eastAsia="zh-CN"/>
                    </w:rPr>
                    <w:t>恩阳区</w:t>
                  </w:r>
                  <w:r>
                    <w:rPr>
                      <w:rFonts w:hint="eastAsia" w:ascii="Times New Roman" w:hAnsi="Times New Roman" w:eastAsia="Times New Roman" w:cs="Courier New"/>
                      <w:color w:val="auto"/>
                      <w:szCs w:val="21"/>
                    </w:rPr>
                    <w:t>。项目临时占用林地和耕地</w:t>
                  </w:r>
                  <w:r>
                    <w:rPr>
                      <w:rFonts w:hint="eastAsia" w:ascii="Times New Roman" w:hAnsi="Times New Roman" w:eastAsia="宋体" w:cs="Courier New"/>
                      <w:color w:val="auto"/>
                      <w:szCs w:val="21"/>
                      <w:lang w:val="en-US" w:eastAsia="zh-CN"/>
                    </w:rPr>
                    <w:t>等</w:t>
                  </w:r>
                  <w:r>
                    <w:rPr>
                      <w:rFonts w:hint="eastAsia" w:ascii="Times New Roman" w:hAnsi="Times New Roman" w:eastAsia="Times New Roman" w:cs="Courier New"/>
                      <w:color w:val="auto"/>
                      <w:szCs w:val="21"/>
                    </w:rPr>
                    <w:t>，本项目不涉及重金属排放，同时本项目对项目所在地土壤进行了监测，符合</w:t>
                  </w:r>
                  <w:r>
                    <w:rPr>
                      <w:rFonts w:hint="default" w:ascii="Times New Roman" w:hAnsi="Times New Roman" w:eastAsia="Times New Roman" w:cs="Courier New"/>
                      <w:color w:val="auto"/>
                      <w:szCs w:val="21"/>
                    </w:rPr>
                    <w:t>《</w:t>
                  </w:r>
                  <w:r>
                    <w:rPr>
                      <w:rFonts w:hint="eastAsia" w:ascii="Times New Roman" w:hAnsi="Times New Roman" w:eastAsia="宋体" w:cs="Courier New"/>
                      <w:color w:val="auto"/>
                      <w:szCs w:val="21"/>
                      <w:lang w:eastAsia="zh-CN"/>
                    </w:rPr>
                    <w:t>土壤环境质量 建设用地土壤污染风险管控标准（试行）</w:t>
                  </w:r>
                  <w:r>
                    <w:rPr>
                      <w:rFonts w:hint="default" w:ascii="Times New Roman" w:hAnsi="Times New Roman" w:eastAsia="Times New Roman" w:cs="Courier New"/>
                      <w:color w:val="auto"/>
                      <w:szCs w:val="21"/>
                    </w:rPr>
                    <w:t>》（GB</w:t>
                  </w:r>
                  <w:r>
                    <w:rPr>
                      <w:rFonts w:hint="eastAsia" w:ascii="Times New Roman" w:hAnsi="Times New Roman" w:eastAsia="宋体" w:cs="Courier New"/>
                      <w:color w:val="auto"/>
                      <w:szCs w:val="21"/>
                      <w:lang w:val="en-US" w:eastAsia="zh-CN"/>
                    </w:rPr>
                    <w:t xml:space="preserve"> </w:t>
                  </w:r>
                  <w:r>
                    <w:rPr>
                      <w:rFonts w:hint="default" w:ascii="Times New Roman" w:hAnsi="Times New Roman" w:eastAsia="Times New Roman" w:cs="Courier New"/>
                      <w:color w:val="auto"/>
                      <w:szCs w:val="21"/>
                    </w:rPr>
                    <w:t>36600-2018）</w:t>
                  </w:r>
                  <w:r>
                    <w:rPr>
                      <w:rFonts w:hint="eastAsia" w:ascii="Times New Roman" w:hAnsi="Times New Roman" w:eastAsia="Times New Roman" w:cs="Courier New"/>
                      <w:color w:val="auto"/>
                      <w:szCs w:val="21"/>
                    </w:rPr>
                    <w:t>第二类用地筛选值</w:t>
                  </w:r>
                  <w:r>
                    <w:rPr>
                      <w:rFonts w:hint="eastAsia" w:ascii="Times New Roman" w:hAnsi="Times New Roman" w:eastAsia="Times New Roman" w:cs="Courier New"/>
                      <w:color w:val="auto"/>
                      <w:szCs w:val="21"/>
                      <w:lang w:val="en-US" w:eastAsia="zh-CN"/>
                    </w:rPr>
                    <w:t>要求</w:t>
                  </w:r>
                  <w:r>
                    <w:rPr>
                      <w:rFonts w:hint="eastAsia" w:ascii="Times New Roman" w:hAnsi="Times New Roman" w:eastAsia="Times New Roman" w:cs="Courier New"/>
                      <w:color w:val="auto"/>
                      <w:szCs w:val="21"/>
                      <w:lang w:eastAsia="zh-CN"/>
                    </w:rPr>
                    <w:t>、</w:t>
                  </w:r>
                  <w:r>
                    <w:rPr>
                      <w:rFonts w:hint="eastAsia" w:ascii="Times New Roman" w:hAnsi="Times New Roman" w:eastAsia="Times New Roman" w:cs="Courier New"/>
                      <w:color w:val="auto"/>
                      <w:szCs w:val="21"/>
                    </w:rPr>
                    <w:t>《</w:t>
                  </w:r>
                  <w:r>
                    <w:rPr>
                      <w:rFonts w:hint="eastAsia" w:ascii="Times New Roman" w:hAnsi="Times New Roman" w:eastAsia="宋体" w:cs="Courier New"/>
                      <w:color w:val="auto"/>
                      <w:szCs w:val="21"/>
                      <w:lang w:eastAsia="zh-CN"/>
                    </w:rPr>
                    <w:t>土壤环境质量 农用地土壤污染风险管控标准（试行）</w:t>
                  </w:r>
                  <w:r>
                    <w:rPr>
                      <w:rFonts w:hint="default" w:ascii="Times New Roman" w:hAnsi="Times New Roman" w:eastAsia="Times New Roman" w:cs="Courier New"/>
                      <w:color w:val="auto"/>
                      <w:szCs w:val="21"/>
                    </w:rPr>
                    <w:t>》（GB</w:t>
                  </w:r>
                  <w:r>
                    <w:rPr>
                      <w:rFonts w:hint="eastAsia" w:ascii="Times New Roman" w:hAnsi="Times New Roman" w:eastAsia="宋体" w:cs="Courier New"/>
                      <w:color w:val="auto"/>
                      <w:szCs w:val="21"/>
                      <w:lang w:val="en-US" w:eastAsia="zh-CN"/>
                    </w:rPr>
                    <w:t xml:space="preserve"> </w:t>
                  </w:r>
                  <w:r>
                    <w:rPr>
                      <w:rFonts w:hint="default" w:ascii="Times New Roman" w:hAnsi="Times New Roman" w:eastAsia="Times New Roman" w:cs="Courier New"/>
                      <w:color w:val="auto"/>
                      <w:szCs w:val="21"/>
                    </w:rPr>
                    <w:t>15618-2018）筛选值要求</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b w:val="0"/>
                      <w:color w:val="auto"/>
                      <w:kern w:val="2"/>
                      <w:sz w:val="21"/>
                      <w:szCs w:val="21"/>
                      <w:highlight w:val="none"/>
                      <w:lang w:val="en-US" w:eastAsia="zh-CN" w:bidi="ar-SA"/>
                    </w:rPr>
                    <w:t>钡指标满足《四川省建设用地土壤污染风险管控标准》（DB 51/2978-2023）表1中第二类用地筛选值，为保护土壤地下水，项目布置了重点防渗和一般防渗</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73092110">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Cs w:val="21"/>
                    </w:rPr>
                  </w:pPr>
                  <w:r>
                    <w:rPr>
                      <w:rFonts w:hint="eastAsia" w:ascii="华文仿宋" w:hAnsi="华文仿宋" w:eastAsia="Times New Roman" w:cs="Courier New"/>
                      <w:color w:val="auto"/>
                      <w:szCs w:val="21"/>
                    </w:rPr>
                    <w:t>符合</w:t>
                  </w:r>
                </w:p>
              </w:tc>
            </w:tr>
          </w:tbl>
          <w:p w14:paraId="3CDA1D02">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与《固体废物综合治理行动计划》（国发</w:t>
            </w:r>
            <w:r>
              <w:rPr>
                <w:rFonts w:hint="default" w:ascii="Times New Roman" w:hAnsi="Times New Roman" w:eastAsia="宋体" w:cs="Times New Roman"/>
                <w:b/>
                <w:color w:val="auto"/>
                <w:sz w:val="24"/>
                <w:lang w:val="en-US" w:eastAsia="zh-CN"/>
              </w:rPr>
              <w:t>〔202</w:t>
            </w:r>
            <w:r>
              <w:rPr>
                <w:rFonts w:hint="eastAsia" w:ascii="Times New Roman" w:hAnsi="Times New Roman" w:eastAsia="宋体" w:cs="Times New Roman"/>
                <w:b/>
                <w:color w:val="auto"/>
                <w:sz w:val="24"/>
                <w:lang w:val="en-US" w:eastAsia="zh-CN"/>
              </w:rPr>
              <w:t>5</w:t>
            </w:r>
            <w:r>
              <w:rPr>
                <w:rFonts w:hint="default" w:ascii="Times New Roman" w:hAnsi="Times New Roman" w:eastAsia="宋体" w:cs="Times New Roman"/>
                <w:b/>
                <w:color w:val="auto"/>
                <w:sz w:val="24"/>
                <w:lang w:val="en-US" w:eastAsia="zh-CN"/>
              </w:rPr>
              <w:t>〕</w:t>
            </w:r>
            <w:r>
              <w:rPr>
                <w:rFonts w:hint="eastAsia" w:ascii="Times New Roman" w:hAnsi="Times New Roman" w:eastAsia="宋体" w:cs="Times New Roman"/>
                <w:b/>
                <w:color w:val="auto"/>
                <w:sz w:val="24"/>
                <w:lang w:val="en-US" w:eastAsia="zh-CN"/>
              </w:rPr>
              <w:t>14号）符合性分析</w:t>
            </w:r>
          </w:p>
          <w:p w14:paraId="020F1997">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与《固体废物综合治理行动计划》（国发〔2025〕14号）</w:t>
            </w:r>
            <w:r>
              <w:rPr>
                <w:rFonts w:hint="default" w:ascii="Times New Roman" w:hAnsi="Times New Roman" w:eastAsia="宋体" w:cs="Times New Roman"/>
                <w:b/>
                <w:color w:val="auto"/>
                <w:lang w:val="en-US" w:eastAsia="zh-CN"/>
              </w:rPr>
              <w:t>符合性分析</w:t>
            </w:r>
          </w:p>
          <w:tbl>
            <w:tblPr>
              <w:tblStyle w:val="23"/>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4294"/>
              <w:gridCol w:w="1964"/>
              <w:gridCol w:w="898"/>
            </w:tblGrid>
            <w:tr w14:paraId="44AA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041294C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5398B6C8">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内容</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04287E6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本项目情况</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4758981B">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符合性</w:t>
                  </w:r>
                </w:p>
              </w:tc>
            </w:tr>
            <w:tr w14:paraId="0BA0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24A40A1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1</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FE0949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加强工业固体废物源头减量。严格落实产业、环保、节能等政策，依法依规淘汰落后产能。强化工业园区固体废物源头管控。大力推行绿色设计，支持企业改进生产工艺和装备，强化工业生产精细化管控，降低固体废物产生强度。推动重有色金属矿采选一体化建设，促进尾矿就近充填回填，原则上不再批准建设无自建矿山、无配套尾矿利用处置设施的选矿项目。推动重点行业固体废物产生量与综合消纳量逐步实现动态平衡。</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22BB29B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本项目为天然气勘探工程，未处于工业园区内，不属于有色金属矿采选项目；钻井固废（钻井岩屑和废钻井泥浆）以及沉淀污泥经过脱水后（含水率低于60%）收集至岩屑接收罐，交由符合环保要求且有处理能力的砖厂、水泥厂等进行资源化利用。废油、含油污染物经收集后，交有危废处理资质单位处置；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673BA4E">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符合</w:t>
                  </w:r>
                </w:p>
              </w:tc>
            </w:tr>
            <w:tr w14:paraId="02AF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41CB0101">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2</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A20F5A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实施城镇固体废物源头管控。推进建筑垃圾分类处理。稳步发展装配式建筑，推广绿色施工、全装修或标准化装修交付，强化建筑工地固体废物源头管控。将建筑垃圾减量、运输、利用、处置所需费用列入工程造价，在工程招标和施工设计中明确减量要求和措施。探索房屋建筑和市政工程固体废物排放限额管理。鼓励就地就近处理园林垃圾。压实经营者主体责任，严格落实塑料制品规范使用和减量要求。加快推进快递包装绿色转型，加强商品过度包装治理。</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04AB6A92">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本项目</w:t>
                  </w:r>
                  <w:r>
                    <w:rPr>
                      <w:rFonts w:hint="default" w:ascii="Times New Roman" w:hAnsi="Times New Roman" w:eastAsia="宋体" w:cs="Times New Roman"/>
                      <w:bCs/>
                      <w:color w:val="auto"/>
                      <w:sz w:val="21"/>
                      <w:szCs w:val="21"/>
                      <w:highlight w:val="none"/>
                    </w:rPr>
                    <w:t>生活垃圾</w:t>
                  </w:r>
                  <w:r>
                    <w:rPr>
                      <w:rFonts w:hint="default" w:ascii="Times New Roman" w:hAnsi="Times New Roman" w:eastAsia="宋体" w:cs="Times New Roman"/>
                      <w:bCs/>
                      <w:color w:val="auto"/>
                      <w:sz w:val="21"/>
                      <w:szCs w:val="21"/>
                      <w:highlight w:val="none"/>
                      <w:lang w:val="en-US" w:eastAsia="zh-CN"/>
                    </w:rPr>
                    <w:t>由</w:t>
                  </w:r>
                  <w:r>
                    <w:rPr>
                      <w:rFonts w:hint="default" w:ascii="Times New Roman" w:hAnsi="Times New Roman" w:eastAsia="宋体" w:cs="Times New Roman"/>
                      <w:bCs/>
                      <w:color w:val="auto"/>
                      <w:sz w:val="21"/>
                      <w:szCs w:val="21"/>
                      <w:highlight w:val="none"/>
                    </w:rPr>
                    <w:t>当地环卫</w:t>
                  </w:r>
                  <w:r>
                    <w:rPr>
                      <w:rFonts w:hint="default" w:ascii="Times New Roman" w:hAnsi="Times New Roman" w:eastAsia="宋体" w:cs="Times New Roman"/>
                      <w:bCs/>
                      <w:color w:val="auto"/>
                      <w:sz w:val="21"/>
                      <w:szCs w:val="21"/>
                      <w:highlight w:val="none"/>
                      <w:lang w:val="en-US" w:eastAsia="zh-CN"/>
                    </w:rPr>
                    <w:t>部门</w:t>
                  </w:r>
                  <w:r>
                    <w:rPr>
                      <w:rFonts w:hint="default" w:ascii="Times New Roman" w:hAnsi="Times New Roman" w:eastAsia="宋体" w:cs="Times New Roman"/>
                      <w:bCs/>
                      <w:color w:val="auto"/>
                      <w:sz w:val="21"/>
                      <w:szCs w:val="21"/>
                      <w:highlight w:val="none"/>
                    </w:rPr>
                    <w:t>定期</w:t>
                  </w:r>
                  <w:r>
                    <w:rPr>
                      <w:rFonts w:hint="default" w:ascii="Times New Roman" w:hAnsi="Times New Roman" w:eastAsia="宋体" w:cs="Times New Roman"/>
                      <w:bCs/>
                      <w:color w:val="auto"/>
                      <w:sz w:val="21"/>
                      <w:szCs w:val="21"/>
                      <w:highlight w:val="none"/>
                      <w:lang w:val="en-US" w:eastAsia="zh-CN"/>
                    </w:rPr>
                    <w:t>清运处置</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4386687B">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符合</w:t>
                  </w:r>
                </w:p>
              </w:tc>
            </w:tr>
            <w:tr w14:paraId="0DF8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4B0039A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3</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5CA4EF15">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246" w:type="pct"/>
                  <w:vMerge w:val="restart"/>
                  <w:tcBorders>
                    <w:top w:val="single" w:color="auto" w:sz="4" w:space="0"/>
                    <w:left w:val="single" w:color="auto" w:sz="4" w:space="0"/>
                    <w:right w:val="single" w:color="auto" w:sz="4" w:space="0"/>
                  </w:tcBorders>
                  <w:noWrap w:val="0"/>
                  <w:vAlign w:val="center"/>
                </w:tcPr>
                <w:p w14:paraId="50EC75F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kern w:val="2"/>
                      <w:sz w:val="21"/>
                      <w:szCs w:val="21"/>
                      <w:highlight w:val="none"/>
                      <w:lang w:val="en-US" w:eastAsia="zh-CN" w:bidi="ar-SA"/>
                    </w:rPr>
                    <w:t>本项目拟采取工业固体废物管理台账制度，严格管控各类固废分类收集贮存；钻井固废（钻井岩屑和废钻井泥浆）以及沉淀污泥经过脱水后（含水率低于60%）收集至岩屑接收罐，交由符合环保要求且有处理能力的砖厂、水泥厂等进行资源化利用</w:t>
                  </w:r>
                  <w:r>
                    <w:rPr>
                      <w:rFonts w:hint="default" w:ascii="Times New Roman" w:hAnsi="Times New Roman" w:eastAsia="宋体" w:cs="Times New Roman"/>
                      <w:b w:val="0"/>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废油和含油污染物</w:t>
                  </w:r>
                  <w:r>
                    <w:rPr>
                      <w:rFonts w:hint="default" w:ascii="Times New Roman" w:hAnsi="Times New Roman" w:eastAsia="宋体" w:cs="Times New Roman"/>
                      <w:color w:val="auto"/>
                      <w:sz w:val="21"/>
                      <w:szCs w:val="21"/>
                    </w:rPr>
                    <w:t>作为危险废物收集后，交有危废处置资质的单位处置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Cs/>
                      <w:color w:val="auto"/>
                      <w:sz w:val="21"/>
                      <w:szCs w:val="21"/>
                      <w:highlight w:val="none"/>
                    </w:rPr>
                    <w:t>生活垃圾</w:t>
                  </w:r>
                  <w:r>
                    <w:rPr>
                      <w:rFonts w:hint="default" w:ascii="Times New Roman" w:hAnsi="Times New Roman" w:eastAsia="宋体" w:cs="Times New Roman"/>
                      <w:bCs/>
                      <w:color w:val="auto"/>
                      <w:sz w:val="21"/>
                      <w:szCs w:val="21"/>
                      <w:highlight w:val="none"/>
                      <w:lang w:val="en-US" w:eastAsia="zh-CN"/>
                    </w:rPr>
                    <w:t>由</w:t>
                  </w:r>
                  <w:r>
                    <w:rPr>
                      <w:rFonts w:hint="default" w:ascii="Times New Roman" w:hAnsi="Times New Roman" w:eastAsia="宋体" w:cs="Times New Roman"/>
                      <w:bCs/>
                      <w:color w:val="auto"/>
                      <w:sz w:val="21"/>
                      <w:szCs w:val="21"/>
                      <w:highlight w:val="none"/>
                    </w:rPr>
                    <w:t>当地环卫</w:t>
                  </w:r>
                  <w:r>
                    <w:rPr>
                      <w:rFonts w:hint="default" w:ascii="Times New Roman" w:hAnsi="Times New Roman" w:eastAsia="宋体" w:cs="Times New Roman"/>
                      <w:bCs/>
                      <w:color w:val="auto"/>
                      <w:sz w:val="21"/>
                      <w:szCs w:val="21"/>
                      <w:highlight w:val="none"/>
                      <w:lang w:val="en-US" w:eastAsia="zh-CN"/>
                    </w:rPr>
                    <w:t>部门</w:t>
                  </w:r>
                  <w:r>
                    <w:rPr>
                      <w:rFonts w:hint="default" w:ascii="Times New Roman" w:hAnsi="Times New Roman" w:eastAsia="宋体" w:cs="Times New Roman"/>
                      <w:bCs/>
                      <w:color w:val="auto"/>
                      <w:sz w:val="21"/>
                      <w:szCs w:val="21"/>
                      <w:highlight w:val="none"/>
                    </w:rPr>
                    <w:t>定期</w:t>
                  </w:r>
                  <w:r>
                    <w:rPr>
                      <w:rFonts w:hint="default" w:ascii="Times New Roman" w:hAnsi="Times New Roman" w:eastAsia="宋体" w:cs="Times New Roman"/>
                      <w:bCs/>
                      <w:color w:val="auto"/>
                      <w:sz w:val="21"/>
                      <w:szCs w:val="21"/>
                      <w:highlight w:val="none"/>
                      <w:lang w:val="en-US" w:eastAsia="zh-CN"/>
                    </w:rPr>
                    <w:t>清运处置</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16DB260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符合</w:t>
                  </w:r>
                </w:p>
              </w:tc>
            </w:tr>
            <w:tr w14:paraId="50AF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2F804222">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4</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433C968">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开展非法倾倒处置固体废物专项整治。深入开展重点区域非法倾倒处置固体废物排查，及时发现问题并逐一限时整改。依法依规严肃查处违法单位和个人，斩断黑色利益链条。</w:t>
                  </w:r>
                </w:p>
              </w:tc>
              <w:tc>
                <w:tcPr>
                  <w:tcW w:w="1246" w:type="pct"/>
                  <w:vMerge w:val="continue"/>
                  <w:tcBorders>
                    <w:left w:val="single" w:color="auto" w:sz="4" w:space="0"/>
                    <w:bottom w:val="single" w:color="auto" w:sz="4" w:space="0"/>
                    <w:right w:val="single" w:color="auto" w:sz="4" w:space="0"/>
                  </w:tcBorders>
                  <w:noWrap w:val="0"/>
                  <w:vAlign w:val="center"/>
                </w:tcPr>
                <w:p w14:paraId="085A313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p>
              </w:tc>
              <w:tc>
                <w:tcPr>
                  <w:tcW w:w="569" w:type="pct"/>
                  <w:tcBorders>
                    <w:top w:val="single" w:color="auto" w:sz="4" w:space="0"/>
                    <w:left w:val="single" w:color="auto" w:sz="4" w:space="0"/>
                    <w:bottom w:val="single" w:color="auto" w:sz="4" w:space="0"/>
                    <w:right w:val="single" w:color="auto" w:sz="4" w:space="0"/>
                  </w:tcBorders>
                  <w:noWrap w:val="0"/>
                  <w:vAlign w:val="center"/>
                </w:tcPr>
                <w:p w14:paraId="6461B8D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符合</w:t>
                  </w:r>
                </w:p>
              </w:tc>
            </w:tr>
          </w:tbl>
          <w:p w14:paraId="1F30B775">
            <w:pPr>
              <w:keepNext w:val="0"/>
              <w:keepLines w:val="0"/>
              <w:numPr>
                <w:ilvl w:val="0"/>
                <w:numId w:val="10"/>
              </w:numPr>
              <w:suppressLineNumbers w:val="0"/>
              <w:tabs>
                <w:tab w:val="left" w:pos="0"/>
              </w:tabs>
              <w:spacing w:before="0" w:beforeAutospacing="0" w:after="0" w:afterAutospacing="0" w:line="360" w:lineRule="auto"/>
              <w:ind w:left="0" w:leftChars="0" w:right="0" w:firstLine="482" w:firstLineChars="200"/>
              <w:rPr>
                <w:rFonts w:hint="eastAsia" w:ascii="Times New Roman" w:hAnsi="Times New Roman" w:eastAsia="宋体" w:cs="Times New Roman"/>
                <w:b/>
                <w:bCs w:val="0"/>
                <w:color w:val="auto"/>
                <w:sz w:val="24"/>
                <w:highlight w:val="none"/>
                <w:lang w:val="en-US" w:eastAsia="zh-CN"/>
              </w:rPr>
            </w:pPr>
            <w:r>
              <w:rPr>
                <w:rFonts w:hint="eastAsia" w:ascii="Times New Roman" w:hAnsi="Times New Roman" w:eastAsia="宋体" w:cs="Times New Roman"/>
                <w:b/>
                <w:bCs w:val="0"/>
                <w:color w:val="auto"/>
                <w:sz w:val="24"/>
                <w:highlight w:val="none"/>
                <w:lang w:val="en-US" w:eastAsia="zh-CN"/>
              </w:rPr>
              <w:t>与《石油天然气开采业固体废物污染控制技术规范（试行）》（HJ 1461-2026）符合性分析</w:t>
            </w:r>
          </w:p>
          <w:p w14:paraId="18CDC706">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与《石油天然气开采业固体废物污染控制技术规范（试行）》（HJ 1461-2026）</w:t>
            </w:r>
            <w:r>
              <w:rPr>
                <w:rFonts w:hint="default" w:ascii="Times New Roman" w:hAnsi="Times New Roman" w:eastAsia="宋体" w:cs="Times New Roman"/>
                <w:b/>
                <w:color w:val="auto"/>
                <w:lang w:val="en-US" w:eastAsia="zh-CN"/>
              </w:rPr>
              <w:t>符合性分析</w:t>
            </w:r>
          </w:p>
          <w:tbl>
            <w:tblPr>
              <w:tblStyle w:val="23"/>
              <w:tblW w:w="48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3686"/>
              <w:gridCol w:w="2560"/>
              <w:gridCol w:w="908"/>
            </w:tblGrid>
            <w:tr w14:paraId="3A94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180D95F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序号</w:t>
                  </w:r>
                </w:p>
              </w:tc>
              <w:tc>
                <w:tcPr>
                  <w:tcW w:w="2338" w:type="pct"/>
                  <w:noWrap w:val="0"/>
                  <w:vAlign w:val="center"/>
                </w:tcPr>
                <w:p w14:paraId="04FFD2E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内容</w:t>
                  </w:r>
                </w:p>
              </w:tc>
              <w:tc>
                <w:tcPr>
                  <w:tcW w:w="1624" w:type="pct"/>
                  <w:noWrap w:val="0"/>
                  <w:vAlign w:val="center"/>
                </w:tcPr>
                <w:p w14:paraId="025C671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本项目情况</w:t>
                  </w:r>
                </w:p>
              </w:tc>
              <w:tc>
                <w:tcPr>
                  <w:tcW w:w="575" w:type="pct"/>
                  <w:noWrap w:val="0"/>
                  <w:vAlign w:val="center"/>
                </w:tcPr>
                <w:p w14:paraId="3E363BA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符合性</w:t>
                  </w:r>
                </w:p>
              </w:tc>
            </w:tr>
            <w:tr w14:paraId="008C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0BDF5EC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1</w:t>
                  </w:r>
                </w:p>
              </w:tc>
              <w:tc>
                <w:tcPr>
                  <w:tcW w:w="2338" w:type="pct"/>
                  <w:noWrap w:val="0"/>
                  <w:vAlign w:val="center"/>
                </w:tcPr>
                <w:p w14:paraId="7525C57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总体要求</w:t>
                  </w:r>
                </w:p>
                <w:p w14:paraId="76D1D9F9">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4.1油气开采固体废物污染环境防治坚持减量化、资源化和无害化原则。钻井作业现场配备钻井泥浆回收装置，实现钻井泥浆最大化利用。无法循环利用的钻井泥浆宜采用随钻不落地处理，回收钻井泥浆中的液相，减少钻井岩屑的产生量，回收的液相宜在钻井作业现场循环利用。</w:t>
                  </w:r>
                </w:p>
                <w:p w14:paraId="7688CEC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4.2含油废物综合考虑含油率、剩余固相的利用或处置污染控制要求等因素采取适当的利用处置技术，宜采用回收矿物油的方式利用。</w:t>
                  </w:r>
                </w:p>
                <w:p w14:paraId="67B7AFAC">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4.3水基岩屑、剩余固相根据相关国家生态环境标准或技术文件等要求开展环境风险定量评价，评价结果为可接受时，可用于油气开采区内基础设施建设场地铺垫、管线覆盖土等其他利用方式。</w:t>
                  </w:r>
                </w:p>
                <w:p w14:paraId="3670ECFC">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4.4油气开采固体废物利用处置过程中废气排放满足GB16297、GB 37822等国家或地方大气污染物排放标准要求。</w:t>
                  </w:r>
                </w:p>
                <w:p w14:paraId="4480FE8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4.5油气开采固体废物利用处置过程中废水排放满足GB8978等国家或地方水污染物排放标准要求。</w:t>
                  </w:r>
                </w:p>
                <w:p w14:paraId="792BF9D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4.6油气开采固体废物、剩余固相和回收的矿物油收集、贮存、转移、利用、处置过程涉及的国家安全生产、职业健康、交通运输、消防等，应符合国家和地方相关法律法规及标准的规定。</w:t>
                  </w:r>
                </w:p>
              </w:tc>
              <w:tc>
                <w:tcPr>
                  <w:tcW w:w="1624" w:type="pct"/>
                  <w:noWrap w:val="0"/>
                  <w:vAlign w:val="center"/>
                </w:tcPr>
                <w:p w14:paraId="7E8C2A6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（1）本项目设置泥浆循环系统，将返回地面的泥浆部分回用钻井；</w:t>
                  </w:r>
                </w:p>
                <w:p w14:paraId="2CF4DA2B">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（2）本项目含油废物将暂存危废间后交由有危废处理资质的机构处置；</w:t>
                  </w:r>
                </w:p>
                <w:p w14:paraId="02D6199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（3）水基岩屑不用于油气开采区内基础设施建设场地铺垫、管线覆盖土等其他利用方式；</w:t>
                  </w:r>
                </w:p>
                <w:p w14:paraId="37F15A72">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（4）本项目不涉及油气开采固体废物利用；</w:t>
                  </w:r>
                </w:p>
                <w:p w14:paraId="482CDE5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（5）环评要求本项目固体废物收集、贮存、转移、利用、处置过程涉及的国家安全生产、职业健康、交通运输、消防等，应满足国家和地方相关法律法规及标准的规定后实施相关措施</w:t>
                  </w:r>
                </w:p>
              </w:tc>
              <w:tc>
                <w:tcPr>
                  <w:tcW w:w="575" w:type="pct"/>
                  <w:noWrap w:val="0"/>
                  <w:vAlign w:val="center"/>
                </w:tcPr>
                <w:p w14:paraId="0640E69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符合</w:t>
                  </w:r>
                </w:p>
              </w:tc>
            </w:tr>
            <w:tr w14:paraId="646C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5DC01C6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w:t>
                  </w:r>
                </w:p>
              </w:tc>
              <w:tc>
                <w:tcPr>
                  <w:tcW w:w="2338" w:type="pct"/>
                  <w:noWrap w:val="0"/>
                  <w:vAlign w:val="center"/>
                </w:tcPr>
                <w:p w14:paraId="2C0BF87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收集、贮存、转移污染控制要求</w:t>
                  </w:r>
                </w:p>
                <w:p w14:paraId="3DC61482">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5.1含油废物与水基岩屑分开收集。水基岩屑中磺化钻井岩屑单独收集处理，造斜井段和目的层井段等特殊工段及非正常工况下产生的聚合物钻井岩屑单独收集处理。</w:t>
                  </w:r>
                </w:p>
                <w:p w14:paraId="156C929D">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5.2水基岩屑随钻固液分离后收集，其中磺化钻井岩屑先破胶脱稳处理，分离后的水基岩屑含水率宜小于60%，分离后的液相宜在钻井现场循环利用。</w:t>
                  </w:r>
                </w:p>
                <w:p w14:paraId="15B4055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5.3水基岩屑需要在作业现场临时贮存的，贮存场地的防渗性能满足GB18599的要求。综合考虑降雨量、蒸发量等因素，因地制宜采取必要的防雨、防尘措施。转移过程中采取防遗撒、防扬尘、防泄漏的措施。</w:t>
                  </w:r>
                </w:p>
                <w:p w14:paraId="627F8959">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5.4含油废物的收集、贮存、转移等环节采取防雨、防渗、防泄漏等措施。属于挥发性有机物(VOCs)物料的，采取有效措施减少VOCs的无组织排放。</w:t>
                  </w:r>
                </w:p>
                <w:p w14:paraId="38DC645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5.5剩余固相的转移采取防遗撒、防扬尘、防泄漏的措施。剩余固相和回收的矿物油收集、贮存、转移过程的其他要求，根据其管理属性分别执行相关环境保护规定和标准的要求。</w:t>
                  </w:r>
                </w:p>
              </w:tc>
              <w:tc>
                <w:tcPr>
                  <w:tcW w:w="1624" w:type="pct"/>
                  <w:noWrap w:val="0"/>
                  <w:vAlign w:val="center"/>
                </w:tcPr>
                <w:p w14:paraId="56AE872A">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水基岩屑由岩屑罐进行收集</w:t>
                  </w:r>
                  <w:r>
                    <w:rPr>
                      <w:rFonts w:hint="eastAsia" w:ascii="Times New Roman" w:hAnsi="Times New Roman" w:eastAsia="宋体" w:cs="Times New Roman"/>
                      <w:color w:val="auto"/>
                      <w:sz w:val="21"/>
                      <w:szCs w:val="21"/>
                      <w:highlight w:val="none"/>
                      <w:lang w:val="en-US" w:eastAsia="zh-CN"/>
                    </w:rPr>
                    <w:t>；含油废物收集在危废间，分开收集</w:t>
                  </w:r>
                  <w:r>
                    <w:rPr>
                      <w:rFonts w:hint="eastAsia" w:ascii="Times New Roman" w:hAnsi="Times New Roman" w:eastAsia="宋体" w:cs="Arial"/>
                      <w:b w:val="0"/>
                      <w:bCs/>
                      <w:color w:val="auto"/>
                      <w:kern w:val="2"/>
                      <w:sz w:val="21"/>
                      <w:szCs w:val="21"/>
                      <w:highlight w:val="none"/>
                      <w:lang w:val="en-US" w:eastAsia="zh-CN" w:bidi="ar-SA"/>
                    </w:rPr>
                    <w:t>；</w:t>
                  </w:r>
                </w:p>
                <w:p w14:paraId="066ED3FB">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（2）水基岩屑在</w:t>
                  </w:r>
                  <w:r>
                    <w:rPr>
                      <w:rFonts w:hint="default" w:ascii="Times New Roman" w:hAnsi="Times New Roman" w:cs="Times New Roman"/>
                      <w:bCs/>
                      <w:color w:val="auto"/>
                      <w:sz w:val="21"/>
                      <w:szCs w:val="21"/>
                      <w:highlight w:val="none"/>
                    </w:rPr>
                    <w:t>泥浆不落地系统脱水后暂存岩屑罐后</w:t>
                  </w:r>
                  <w:r>
                    <w:rPr>
                      <w:rFonts w:hint="eastAsia" w:cs="Times New Roman"/>
                      <w:bCs/>
                      <w:color w:val="auto"/>
                      <w:sz w:val="21"/>
                      <w:szCs w:val="21"/>
                      <w:highlight w:val="none"/>
                      <w:lang w:val="en-US" w:eastAsia="zh-CN"/>
                    </w:rPr>
                    <w:t>交由</w:t>
                  </w:r>
                  <w:r>
                    <w:rPr>
                      <w:rFonts w:hint="eastAsia" w:ascii="Times New Roman" w:hAnsi="Times New Roman" w:cs="Times New Roman"/>
                      <w:bCs/>
                      <w:color w:val="auto"/>
                      <w:sz w:val="21"/>
                      <w:szCs w:val="21"/>
                      <w:highlight w:val="none"/>
                      <w:lang w:eastAsia="zh-CN"/>
                    </w:rPr>
                    <w:t>符合环保要求且有处理能</w:t>
                  </w:r>
                  <w:r>
                    <w:rPr>
                      <w:rFonts w:hint="default" w:ascii="Times New Roman" w:hAnsi="Times New Roman" w:cs="Times New Roman"/>
                      <w:bCs/>
                      <w:color w:val="auto"/>
                      <w:sz w:val="21"/>
                      <w:szCs w:val="21"/>
                      <w:highlight w:val="none"/>
                    </w:rPr>
                    <w:t>力的砖厂、水泥厂</w:t>
                  </w:r>
                  <w:r>
                    <w:rPr>
                      <w:rFonts w:hint="eastAsia" w:ascii="Times New Roman" w:hAnsi="Times New Roman" w:cs="Times New Roman"/>
                      <w:bCs/>
                      <w:color w:val="auto"/>
                      <w:sz w:val="21"/>
                      <w:szCs w:val="21"/>
                      <w:highlight w:val="none"/>
                      <w:lang w:val="en-US" w:eastAsia="zh-CN"/>
                    </w:rPr>
                    <w:t>等进行资源化利用</w:t>
                  </w:r>
                  <w:r>
                    <w:rPr>
                      <w:rFonts w:hint="eastAsia" w:ascii="Times New Roman" w:hAnsi="Times New Roman" w:eastAsia="宋体" w:cs="Times New Roman"/>
                      <w:color w:val="auto"/>
                      <w:sz w:val="21"/>
                      <w:szCs w:val="21"/>
                      <w:highlight w:val="none"/>
                      <w:lang w:val="en-US" w:eastAsia="zh-CN"/>
                    </w:rPr>
                    <w:t>，分离后的岩屑含水率小于60%，上清液回用配制泥浆。</w:t>
                  </w:r>
                </w:p>
                <w:p w14:paraId="3B1D75D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（3）本项目涉及水基岩屑的区域实行重点防渗，满足GB18599的要求；</w:t>
                  </w:r>
                </w:p>
                <w:p w14:paraId="3D25EDB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（4）含油废物收集、贮存、转移等环节均密闭；</w:t>
                  </w:r>
                </w:p>
                <w:p w14:paraId="34A1D658">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（5）剩余固相转移中，将采取防遗撒、防扬尘、防泄漏的措施，按照相关环境保护规定和标准执行</w:t>
                  </w:r>
                </w:p>
              </w:tc>
              <w:tc>
                <w:tcPr>
                  <w:tcW w:w="575" w:type="pct"/>
                  <w:noWrap w:val="0"/>
                  <w:vAlign w:val="center"/>
                </w:tcPr>
                <w:p w14:paraId="11C4EDD7">
                  <w:pPr>
                    <w:keepNext w:val="0"/>
                    <w:keepLines w:val="0"/>
                    <w:widowControl w:val="0"/>
                    <w:suppressLineNumbers w:val="0"/>
                    <w:spacing w:before="0" w:beforeAutospacing="0" w:after="0" w:afterAutospacing="0" w:line="240" w:lineRule="auto"/>
                    <w:ind w:left="0" w:right="0" w:firstLine="0" w:firstLineChars="0"/>
                    <w:jc w:val="center"/>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符合</w:t>
                  </w:r>
                </w:p>
              </w:tc>
            </w:tr>
          </w:tbl>
          <w:p w14:paraId="5DD5F97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与</w:t>
            </w:r>
            <w:r>
              <w:rPr>
                <w:rFonts w:hint="default" w:ascii="Times New Roman" w:hAnsi="Times New Roman" w:eastAsia="宋体" w:cs="Times New Roman"/>
                <w:b/>
                <w:color w:val="auto"/>
                <w:sz w:val="24"/>
              </w:rPr>
              <w:t>《一般工业固体废物环境管理工作指南》</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环办固体函</w:t>
            </w:r>
            <w:r>
              <w:rPr>
                <w:rFonts w:hint="default" w:ascii="Times New Roman" w:hAnsi="Times New Roman" w:eastAsia="宋体" w:cs="Times New Roman"/>
                <w:b/>
                <w:color w:val="auto"/>
                <w:sz w:val="24"/>
                <w:lang w:val="en-US" w:eastAsia="zh-CN"/>
              </w:rPr>
              <w:t>〔</w:t>
            </w:r>
            <w:r>
              <w:rPr>
                <w:rFonts w:hint="default" w:ascii="Times New Roman" w:hAnsi="Times New Roman" w:eastAsia="宋体" w:cs="Times New Roman"/>
                <w:b/>
                <w:color w:val="auto"/>
                <w:sz w:val="24"/>
              </w:rPr>
              <w:t>2026〕18号</w:t>
            </w:r>
            <w:r>
              <w:rPr>
                <w:rFonts w:hint="eastAsia" w:ascii="Times New Roman" w:hAnsi="Times New Roman" w:eastAsia="宋体" w:cs="Times New Roman"/>
                <w:b/>
                <w:color w:val="auto"/>
                <w:sz w:val="24"/>
                <w:lang w:eastAsia="zh-CN"/>
              </w:rPr>
              <w:t>）</w:t>
            </w:r>
            <w:r>
              <w:rPr>
                <w:rFonts w:hint="eastAsia" w:ascii="Times New Roman" w:hAnsi="Times New Roman" w:eastAsia="宋体" w:cs="Times New Roman"/>
                <w:b/>
                <w:color w:val="auto"/>
                <w:sz w:val="24"/>
                <w:lang w:val="en-US" w:eastAsia="zh-CN"/>
              </w:rPr>
              <w:t>符合性分析</w:t>
            </w:r>
          </w:p>
          <w:p w14:paraId="2D728B6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与《一般工业固体废物环境管理工作指南》</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环办固体函〔2026〕18号</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符合性分析</w:t>
            </w:r>
          </w:p>
          <w:tbl>
            <w:tblPr>
              <w:tblStyle w:val="24"/>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6"/>
              <w:gridCol w:w="2133"/>
              <w:gridCol w:w="879"/>
            </w:tblGrid>
            <w:tr w14:paraId="1821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0C0E31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内容</w:t>
                  </w:r>
                </w:p>
              </w:tc>
              <w:tc>
                <w:tcPr>
                  <w:tcW w:w="2133" w:type="dxa"/>
                  <w:noWrap w:val="0"/>
                  <w:vAlign w:val="center"/>
                </w:tcPr>
                <w:p w14:paraId="7F5D9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本项目</w:t>
                  </w:r>
                </w:p>
              </w:tc>
              <w:tc>
                <w:tcPr>
                  <w:tcW w:w="879" w:type="dxa"/>
                  <w:noWrap w:val="0"/>
                  <w:vAlign w:val="center"/>
                </w:tcPr>
                <w:p w14:paraId="3AFDF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符合性</w:t>
                  </w:r>
                </w:p>
              </w:tc>
            </w:tr>
            <w:tr w14:paraId="25A6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68" w:type="dxa"/>
                  <w:gridSpan w:val="3"/>
                  <w:noWrap w:val="0"/>
                  <w:vAlign w:val="center"/>
                </w:tcPr>
                <w:p w14:paraId="6415F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val="0"/>
                      <w:bCs/>
                      <w:color w:val="auto"/>
                      <w:highlight w:val="none"/>
                    </w:rPr>
                    <w:t>附表七、委托他人运输、利用、处置管理要求</w:t>
                  </w:r>
                </w:p>
              </w:tc>
            </w:tr>
            <w:tr w14:paraId="4589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216F9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1.产废单位委托他人运输一般工业固体废物的，应核实受托方的道路运输经营许可证和车辆营运证。</w:t>
                  </w:r>
                </w:p>
              </w:tc>
              <w:tc>
                <w:tcPr>
                  <w:tcW w:w="2133" w:type="dxa"/>
                  <w:vMerge w:val="restart"/>
                  <w:noWrap w:val="0"/>
                  <w:vAlign w:val="center"/>
                </w:tcPr>
                <w:p w14:paraId="177CE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1、本项目</w:t>
                  </w:r>
                  <w:r>
                    <w:rPr>
                      <w:rFonts w:hint="eastAsia" w:ascii="Times New Roman" w:hAnsi="Times New Roman" w:eastAsia="Times New Roman" w:cs="Courier New"/>
                      <w:b w:val="0"/>
                      <w:color w:val="auto"/>
                      <w:kern w:val="2"/>
                      <w:sz w:val="21"/>
                      <w:szCs w:val="21"/>
                      <w:highlight w:val="none"/>
                      <w:lang w:val="en-US" w:eastAsia="zh-CN" w:bidi="ar-SA"/>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cs="Times New Roman"/>
                      <w:bCs/>
                      <w:color w:val="auto"/>
                      <w:sz w:val="21"/>
                      <w:szCs w:val="21"/>
                      <w:highlight w:val="none"/>
                      <w:vertAlign w:val="baseline"/>
                      <w:lang w:val="en-US" w:eastAsia="zh-CN"/>
                    </w:rPr>
                    <w:t>。</w:t>
                  </w:r>
                </w:p>
                <w:p w14:paraId="343D4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2、待接收砖厂、水泥厂正在招标中，本环评要求项目部需核实受委托方道路运输经营许可证和车辆营运证、营业执照、排污许可证、环境影响评价文件、处理能力是否符合接受处置要求</w:t>
                  </w:r>
                </w:p>
              </w:tc>
              <w:tc>
                <w:tcPr>
                  <w:tcW w:w="879" w:type="dxa"/>
                  <w:vMerge w:val="restart"/>
                  <w:noWrap w:val="0"/>
                  <w:vAlign w:val="center"/>
                </w:tcPr>
                <w:p w14:paraId="2ACF7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r w14:paraId="2CA4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3F772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产废单位委托他人利用、处置一般工业固体废物的，在发生委托行为之前，可参照下述要求核实受托方的主体资格和技术能力。(1)营业执照。营业执照中应明确其具有利用处置固体废物的经营范围如固体废物治理、废弃资源综合利用等。(2)排污许可证。排污许可证中应明确利用处置设施、利用处置方式及可以利用处置的固体废物种类。(3)在核实受托方的主体资格之后，产废单位还应当结合环境影响评价文件和排污许可证等材料，针对拟委托的一般工业固体废物的种类和数量，进一步核实是否在受托方利用处置能力范围之内。</w:t>
                  </w:r>
                </w:p>
              </w:tc>
              <w:tc>
                <w:tcPr>
                  <w:tcW w:w="2133" w:type="dxa"/>
                  <w:vMerge w:val="continue"/>
                  <w:noWrap w:val="0"/>
                  <w:vAlign w:val="center"/>
                </w:tcPr>
                <w:p w14:paraId="253D5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p>
              </w:tc>
              <w:tc>
                <w:tcPr>
                  <w:tcW w:w="879" w:type="dxa"/>
                  <w:vMerge w:val="continue"/>
                  <w:noWrap w:val="0"/>
                  <w:vAlign w:val="center"/>
                </w:tcPr>
                <w:p w14:paraId="3E3DA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p>
              </w:tc>
            </w:tr>
            <w:tr w14:paraId="198E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36787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经核实，受托方具备相应的主体资格和技术能力，产废单位可以与受托方签订委托合同，在合同中载明以下事项，并且将受托方的资质类材料作为合同附件：(1)一般工业固体废物的种类和数量；(2)一般工业固体废物的委托单价；(3)一般工业固体废物的特性数据，包括产生环节、物理性状、主要成分特征污染物等；(4)受托方利用、处置一般工业固体废物的场所、采取的技术方法以及利用处置能力；(5)受托方运输、利用、处置一般工业固体废物执行的污染控制标准等环境保护要求，如果没有对应的污染控制标准，双方应当根据实际情况约定污染防治要求。如，要求运输车辆采取防扬散、防流失、防渗漏等污染环境防治措施，宜配备安装实时监控设备等；(6)受托方在运输、利用、处置活动结束后及时向委托方报告的要求。</w:t>
                  </w:r>
                </w:p>
              </w:tc>
              <w:tc>
                <w:tcPr>
                  <w:tcW w:w="2133" w:type="dxa"/>
                  <w:noWrap w:val="0"/>
                  <w:vAlign w:val="center"/>
                </w:tcPr>
                <w:p w14:paraId="5BE87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待接收、处理本项目水基固废的砖厂、水泥厂确定后，本环评要求项目部按照文件要求将受托方的资质类材料作为合同附件</w:t>
                  </w:r>
                </w:p>
              </w:tc>
              <w:tc>
                <w:tcPr>
                  <w:tcW w:w="879" w:type="dxa"/>
                  <w:noWrap w:val="0"/>
                  <w:vAlign w:val="center"/>
                </w:tcPr>
                <w:p w14:paraId="2664B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r w14:paraId="623F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226D3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4.产废单位委托他人运输、利用、处置一般工业固体废物的，在涉及多个委托环节、多个受托方的情况下，应分别与每个受托方签订书面合同。</w:t>
                  </w:r>
                </w:p>
              </w:tc>
              <w:tc>
                <w:tcPr>
                  <w:tcW w:w="2133" w:type="dxa"/>
                  <w:noWrap w:val="0"/>
                  <w:vAlign w:val="center"/>
                </w:tcPr>
                <w:p w14:paraId="366C4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本环评要求项目部按照文件要求在涉及多个委托环节、多个受托方的情况下分别签订书面合同</w:t>
                  </w:r>
                </w:p>
              </w:tc>
              <w:tc>
                <w:tcPr>
                  <w:tcW w:w="879" w:type="dxa"/>
                  <w:noWrap w:val="0"/>
                  <w:vAlign w:val="center"/>
                </w:tcPr>
                <w:p w14:paraId="60BD8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bl>
          <w:p w14:paraId="168B0BE4">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default" w:ascii="Times New Roman" w:hAnsi="Times New Roman" w:eastAsia="宋体" w:cs="Times New Roman"/>
                <w:b/>
                <w:color w:val="auto"/>
                <w:sz w:val="24"/>
              </w:rPr>
              <w:t>《巴中市国土空间总体规划（2021</w:t>
            </w:r>
            <w:r>
              <w:rPr>
                <w:rFonts w:hint="eastAsia" w:ascii="Times New Roman" w:hAnsi="Times New Roman" w:eastAsia="宋体" w:cs="Times New Roman"/>
                <w:b/>
                <w:color w:val="auto"/>
                <w:sz w:val="24"/>
                <w:lang w:val="en-US" w:eastAsia="zh-CN"/>
              </w:rPr>
              <w:t>-</w:t>
            </w:r>
            <w:r>
              <w:rPr>
                <w:rFonts w:hint="default" w:ascii="Times New Roman" w:hAnsi="Times New Roman" w:eastAsia="宋体" w:cs="Times New Roman"/>
                <w:b/>
                <w:color w:val="auto"/>
                <w:sz w:val="24"/>
              </w:rPr>
              <w:t>2035年）》</w:t>
            </w:r>
            <w:r>
              <w:rPr>
                <w:rFonts w:hint="eastAsia" w:ascii="Times New Roman" w:hAnsi="Times New Roman" w:eastAsia="宋体" w:cs="Times New Roman"/>
                <w:b/>
                <w:color w:val="auto"/>
                <w:sz w:val="24"/>
              </w:rPr>
              <w:t>符合性</w:t>
            </w:r>
            <w:r>
              <w:rPr>
                <w:rFonts w:hint="eastAsia" w:ascii="Times New Roman" w:hAnsi="Times New Roman" w:cs="Times New Roman"/>
                <w:b/>
                <w:color w:val="auto"/>
                <w:sz w:val="24"/>
              </w:rPr>
              <w:t>分析</w:t>
            </w:r>
          </w:p>
          <w:p w14:paraId="71312F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2035年）》中“第五章 第二节 第122条 能源消耗总量控制”提出：按照能源消耗总量控制指标要求，持续优化能源供给结构深入实施能耗总量和强度“双控”制度，调整优化全市能源消费结构，控制煤炭消费总量，提高非化石能源消费占比，推进煤改气、煤改电等替代工程，推进新能源、可再生能源、清洁能源发展，加快巴中天然气勘探开发，有序开发水电项目。</w:t>
            </w:r>
          </w:p>
          <w:p w14:paraId="2E22038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《四川省人民政府</w:t>
            </w:r>
            <w:r>
              <w:rPr>
                <w:rFonts w:hint="eastAsia" w:ascii="Times New Roman" w:hAnsi="Times New Roman" w:cs="Times New Roman"/>
                <w:color w:val="auto"/>
                <w:sz w:val="24"/>
                <w:lang w:val="en-US" w:eastAsia="zh-CN"/>
              </w:rPr>
              <w:t>&lt;</w:t>
            </w:r>
            <w:r>
              <w:rPr>
                <w:rFonts w:hint="default" w:ascii="Times New Roman" w:hAnsi="Times New Roman" w:cs="Times New Roman"/>
                <w:color w:val="auto"/>
                <w:sz w:val="24"/>
              </w:rPr>
              <w:t>关于巴中市国土空间总体规划（2021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w:t>
            </w:r>
            <w:r>
              <w:rPr>
                <w:rFonts w:hint="eastAsia" w:ascii="Times New Roman" w:hAnsi="Times New Roman" w:cs="Times New Roman"/>
                <w:color w:val="auto"/>
                <w:sz w:val="24"/>
                <w:lang w:val="en-US" w:eastAsia="zh-CN"/>
              </w:rPr>
              <w:t>&gt;</w:t>
            </w:r>
            <w:r>
              <w:rPr>
                <w:rFonts w:hint="default" w:ascii="Times New Roman" w:hAnsi="Times New Roman" w:cs="Times New Roman"/>
                <w:color w:val="auto"/>
                <w:sz w:val="24"/>
              </w:rPr>
              <w:t>的批复》（川府函〔2024〕65号）中指出“统筹提升水、电、气、通信、环境卫生等各类市政基础设施保障能力和服务水平，确保城市生命线稳定运行。健全公共安全和综合防灾体系，增强抵御灾害事故和处置突发事件能力，提高城市韧性。”</w:t>
            </w:r>
          </w:p>
          <w:p w14:paraId="7110B66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b w:val="0"/>
                <w:bCs w:val="0"/>
                <w:color w:val="auto"/>
                <w:sz w:val="24"/>
              </w:rPr>
              <w:t>本项目</w:t>
            </w:r>
            <w:r>
              <w:rPr>
                <w:rFonts w:hint="eastAsia" w:ascii="Times New Roman" w:hAnsi="Times New Roman" w:cs="Times New Roman"/>
                <w:b w:val="0"/>
                <w:bCs w:val="0"/>
                <w:color w:val="auto"/>
                <w:sz w:val="24"/>
                <w:lang w:val="en-US" w:eastAsia="zh-CN"/>
              </w:rPr>
              <w:t>为</w:t>
            </w:r>
            <w:r>
              <w:rPr>
                <w:rFonts w:hint="eastAsia" w:ascii="Times New Roman" w:hAnsi="Times New Roman" w:cs="Times New Roman"/>
                <w:b w:val="0"/>
                <w:bCs w:val="0"/>
                <w:color w:val="auto"/>
                <w:sz w:val="24"/>
              </w:rPr>
              <w:t>天然气</w:t>
            </w:r>
            <w:r>
              <w:rPr>
                <w:rFonts w:hint="default" w:ascii="Times New Roman" w:hAnsi="Times New Roman" w:cs="Times New Roman"/>
                <w:b w:val="0"/>
                <w:bCs w:val="0"/>
                <w:color w:val="auto"/>
                <w:sz w:val="24"/>
              </w:rPr>
              <w:t>勘探项目，</w:t>
            </w:r>
            <w:r>
              <w:rPr>
                <w:rFonts w:hint="default" w:ascii="Times New Roman" w:hAnsi="Times New Roman" w:cs="Times New Roman"/>
                <w:color w:val="auto"/>
                <w:sz w:val="24"/>
              </w:rPr>
              <w:t>项目的建设有利于推进清洁能源的发展，有利于提升城市电、气等基础设施保障能力</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符合《巴中市国土空间总体规划（2021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w:t>
            </w:r>
            <w:r>
              <w:rPr>
                <w:rFonts w:hint="eastAsia" w:ascii="Times New Roman" w:hAnsi="Times New Roman" w:cs="Times New Roman"/>
                <w:color w:val="auto"/>
                <w:sz w:val="24"/>
                <w:lang w:val="en-US" w:eastAsia="zh-CN"/>
              </w:rPr>
              <w:t>相关要求。</w:t>
            </w:r>
          </w:p>
          <w:p w14:paraId="5B5A842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“生态环境分区管控”符合性分析</w:t>
            </w:r>
          </w:p>
          <w:p w14:paraId="3BBA194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根据《关于印发</w:t>
            </w:r>
            <w:r>
              <w:rPr>
                <w:rFonts w:hint="eastAsia" w:ascii="Times New Roman" w:hAnsi="Times New Roman" w:cs="Times New Roman"/>
                <w:color w:val="auto"/>
                <w:sz w:val="24"/>
                <w:lang w:eastAsia="zh-CN"/>
              </w:rPr>
              <w:t>&lt;</w:t>
            </w:r>
            <w:r>
              <w:rPr>
                <w:rFonts w:hint="eastAsia" w:ascii="Times New Roman" w:hAnsi="Times New Roman" w:cs="Times New Roman"/>
                <w:color w:val="auto"/>
                <w:sz w:val="24"/>
              </w:rPr>
              <w:t>生态环境分区管控管理暂行规定</w:t>
            </w:r>
            <w:r>
              <w:rPr>
                <w:rFonts w:hint="eastAsia" w:ascii="Times New Roman" w:hAnsi="Times New Roman" w:cs="Times New Roman"/>
                <w:color w:val="auto"/>
                <w:sz w:val="24"/>
                <w:lang w:eastAsia="zh-CN"/>
              </w:rPr>
              <w:t>&gt;的通知》</w:t>
            </w:r>
            <w:r>
              <w:rPr>
                <w:rFonts w:hint="eastAsia" w:ascii="Times New Roman" w:hAnsi="Times New Roman" w:cs="Times New Roman"/>
                <w:color w:val="auto"/>
                <w:sz w:val="24"/>
              </w:rPr>
              <w:t>（环环评〔2024〕41号）</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《巴中市生态环境保护委员会办公室关于加强生态环境分区管控的通知》（巴环委办〔2024〕3号），本项目与区域生态环境分区管控符合性分析如下</w:t>
            </w:r>
            <w:r>
              <w:rPr>
                <w:rFonts w:hint="eastAsia" w:ascii="Times New Roman" w:hAnsi="Times New Roman" w:cs="Times New Roman"/>
                <w:color w:val="auto"/>
                <w:sz w:val="24"/>
                <w:lang w:eastAsia="zh-CN"/>
              </w:rPr>
              <w:t>。</w:t>
            </w:r>
          </w:p>
          <w:p w14:paraId="3276263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一</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rPr>
              <w:t>环境管控单元</w:t>
            </w:r>
          </w:p>
          <w:p w14:paraId="69BEC0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巴中市</w:t>
            </w:r>
            <w:r>
              <w:rPr>
                <w:rFonts w:hint="default" w:ascii="Times New Roman" w:hAnsi="Times New Roman" w:eastAsia="宋体" w:cs="Times New Roman"/>
                <w:color w:val="auto"/>
                <w:sz w:val="24"/>
                <w:szCs w:val="24"/>
                <w:highlight w:val="none"/>
                <w:lang w:val="en-US" w:eastAsia="zh-CN"/>
              </w:rPr>
              <w:t>生态环境保护委员会办公室关于加强生态环境分区管控的通知》（巴环委办</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号</w:t>
            </w:r>
            <w:r>
              <w:rPr>
                <w:rFonts w:hint="default" w:ascii="Times New Roman" w:hAnsi="Times New Roman" w:eastAsia="宋体" w:cs="Times New Roman"/>
                <w:color w:val="auto"/>
                <w:sz w:val="24"/>
                <w:szCs w:val="24"/>
                <w:highlight w:val="none"/>
                <w:lang w:val="en-US" w:eastAsia="zh-CN"/>
              </w:rPr>
              <w:t>）指出</w:t>
            </w:r>
            <w:r>
              <w:rPr>
                <w:rFonts w:hint="default" w:ascii="Times New Roman" w:hAnsi="Times New Roman" w:eastAsia="宋体" w:cs="Times New Roman"/>
                <w:color w:val="auto"/>
                <w:sz w:val="24"/>
                <w:szCs w:val="24"/>
                <w:highlight w:val="none"/>
              </w:rPr>
              <w:t>：为贯彻落实《中共中央</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国务院关于全面加强生态环境保护坚决打好污染防治攻坚战的意见》《生态环境部关于组织开展生态环境分区管控与国土空间规划衔接试点工作的通知》精神，按照国家“十四五”生态环境保护相关规划中关于生态保护红线、环境质量底线、资源利用上线的最新要求，充分衔接《巴中市国土空间总体规划</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2021-2035年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》最新成果，将全市行政区域从生态环境保护角度划分为优先保护、重点管控和一般管控三类环境管控单元。</w:t>
            </w:r>
          </w:p>
          <w:p w14:paraId="3AF2DF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优先保护单元。以生态环境保护为主的区域，全市划分优先保护单元13个，主要包括生态保护红线、自然保护地、饮用水水源保护区和重点生态环境敏感区、脆弱区等，以生态环境保护优先为原则，严格执行相关</w:t>
            </w:r>
            <w:r>
              <w:rPr>
                <w:rFonts w:hint="default" w:ascii="Times New Roman" w:hAnsi="Times New Roman" w:eastAsia="宋体" w:cs="Times New Roman"/>
                <w:color w:val="auto"/>
                <w:sz w:val="24"/>
                <w:szCs w:val="24"/>
                <w:highlight w:val="none"/>
                <w:lang w:eastAsia="zh-CN"/>
              </w:rPr>
              <w:t>法律法规</w:t>
            </w:r>
            <w:r>
              <w:rPr>
                <w:rFonts w:hint="default" w:ascii="Times New Roman" w:hAnsi="Times New Roman" w:eastAsia="宋体" w:cs="Times New Roman"/>
                <w:color w:val="auto"/>
                <w:sz w:val="24"/>
                <w:szCs w:val="24"/>
                <w:highlight w:val="none"/>
              </w:rPr>
              <w:t>要求，严守生态环境质量底线，确保生态环境功能不降低。</w:t>
            </w:r>
          </w:p>
          <w:p w14:paraId="0203B6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②重点管控单元。涉及水、大气、土壤</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自然资源等</w:t>
            </w:r>
            <w:r>
              <w:rPr>
                <w:rFonts w:hint="default" w:ascii="Times New Roman" w:hAnsi="Times New Roman" w:eastAsia="宋体" w:cs="Times New Roman"/>
                <w:color w:val="auto"/>
                <w:sz w:val="24"/>
                <w:szCs w:val="24"/>
                <w:highlight w:val="none"/>
              </w:rPr>
              <w:t>资源环境要素重点管控的区域，全市划分重点管控单元2</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个，主要包括人口密集的城镇规划区和产业集聚的工业园区（工业集聚区）等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不断提升资源利用效率，</w:t>
            </w:r>
            <w:r>
              <w:rPr>
                <w:rFonts w:hint="default" w:ascii="Times New Roman" w:hAnsi="Times New Roman" w:eastAsia="宋体" w:cs="Times New Roman"/>
                <w:color w:val="auto"/>
                <w:sz w:val="24"/>
                <w:szCs w:val="24"/>
                <w:highlight w:val="none"/>
              </w:rPr>
              <w:t>有针对性地加强污染物排放控制和环境风险防控，</w:t>
            </w:r>
            <w:r>
              <w:rPr>
                <w:rFonts w:hint="default" w:ascii="Times New Roman" w:hAnsi="Times New Roman" w:eastAsia="宋体" w:cs="Times New Roman"/>
                <w:color w:val="auto"/>
                <w:sz w:val="24"/>
                <w:szCs w:val="24"/>
                <w:highlight w:val="none"/>
                <w:lang w:val="en-US" w:eastAsia="zh-CN"/>
              </w:rPr>
              <w:t>解决生态环境质量不达标</w:t>
            </w:r>
            <w:r>
              <w:rPr>
                <w:rFonts w:hint="default" w:ascii="Times New Roman" w:hAnsi="Times New Roman" w:eastAsia="宋体" w:cs="Times New Roman"/>
                <w:color w:val="auto"/>
                <w:sz w:val="24"/>
                <w:szCs w:val="24"/>
                <w:highlight w:val="none"/>
              </w:rPr>
              <w:t>、生态环境风险突出等问题，制定差别化的生态环境准入要求。</w:t>
            </w:r>
          </w:p>
          <w:p w14:paraId="082AC0F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③一般管控单元。除优先保护单元和重点管控单元之外的其他区域，全市共划分一般管控单元5个。执行区域生态环境保护的基本要求，重点加强农业、生活等领域污染治理。</w:t>
            </w:r>
          </w:p>
          <w:p w14:paraId="0977E5B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巴中市环境管控单元图</w:t>
            </w:r>
            <w:r>
              <w:rPr>
                <w:rFonts w:hint="eastAsia" w:ascii="宋体" w:hAnsi="宋体" w:cs="宋体"/>
                <w:color w:val="auto"/>
                <w:sz w:val="24"/>
                <w:szCs w:val="24"/>
                <w:highlight w:val="none"/>
                <w:lang w:val="en-US" w:eastAsia="zh-CN"/>
              </w:rPr>
              <w:t>如下所示</w:t>
            </w:r>
            <w:r>
              <w:rPr>
                <w:rFonts w:hint="eastAsia" w:ascii="宋体" w:hAnsi="宋体" w:eastAsia="宋体" w:cs="宋体"/>
                <w:color w:val="auto"/>
                <w:sz w:val="24"/>
                <w:szCs w:val="24"/>
                <w:highlight w:val="none"/>
              </w:rPr>
              <w:t>。</w:t>
            </w:r>
          </w:p>
          <w:p w14:paraId="39EA145D">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szCs w:val="24"/>
                <w:highlight w:val="none"/>
              </w:rPr>
            </w:pPr>
            <w:r>
              <w:rPr>
                <w:rFonts w:hint="default" w:ascii="Times New Roman" w:hAnsi="Times New Roman" w:cs="Times New Roman"/>
                <w:color w:val="auto"/>
                <w:sz w:val="21"/>
              </w:rPr>
              <mc:AlternateContent>
                <mc:Choice Requires="wps">
                  <w:drawing>
                    <wp:anchor distT="0" distB="0" distL="114300" distR="114300" simplePos="0" relativeHeight="251659264" behindDoc="0" locked="0" layoutInCell="1" allowOverlap="1">
                      <wp:simplePos x="0" y="0"/>
                      <wp:positionH relativeFrom="column">
                        <wp:posOffset>224155</wp:posOffset>
                      </wp:positionH>
                      <wp:positionV relativeFrom="paragraph">
                        <wp:posOffset>1385570</wp:posOffset>
                      </wp:positionV>
                      <wp:extent cx="1021715" cy="285115"/>
                      <wp:effectExtent l="6350" t="6350" r="8255" b="699135"/>
                      <wp:wrapNone/>
                      <wp:docPr id="1" name="矩形标注 87"/>
                      <wp:cNvGraphicFramePr/>
                      <a:graphic xmlns:a="http://schemas.openxmlformats.org/drawingml/2006/main">
                        <a:graphicData uri="http://schemas.microsoft.com/office/word/2010/wordprocessingShape">
                          <wps:wsp>
                            <wps:cNvSpPr/>
                            <wps:spPr>
                              <a:xfrm>
                                <a:off x="0" y="0"/>
                                <a:ext cx="1021715" cy="285115"/>
                              </a:xfrm>
                              <a:prstGeom prst="wedgeRectCallout">
                                <a:avLst>
                                  <a:gd name="adj1" fmla="val 47700"/>
                                  <a:gd name="adj2" fmla="val 280957"/>
                                </a:avLst>
                              </a:prstGeom>
                              <a:gradFill rotWithShape="0">
                                <a:gsLst>
                                  <a:gs pos="0">
                                    <a:srgbClr val="FFFFFF"/>
                                  </a:gs>
                                  <a:gs pos="100000">
                                    <a:srgbClr val="FFFFFF"/>
                                  </a:gs>
                                </a:gsLst>
                                <a:lin ang="0"/>
                                <a:tileRect/>
                              </a:gradFill>
                              <a:ln w="12700" cap="flat" cmpd="sng">
                                <a:solidFill>
                                  <a:srgbClr val="FF0000"/>
                                </a:solidFill>
                                <a:prstDash val="solid"/>
                                <a:miter/>
                                <a:headEnd type="none" w="med" len="med"/>
                                <a:tailEnd type="none" w="med" len="med"/>
                              </a:ln>
                            </wps:spPr>
                            <wps:txbx>
                              <w:txbxContent>
                                <w:p w14:paraId="1352DFFE">
                                  <w:pPr>
                                    <w:rPr>
                                      <w:sz w:val="21"/>
                                      <w:szCs w:val="21"/>
                                    </w:rPr>
                                  </w:pPr>
                                  <w:r>
                                    <w:rPr>
                                      <w:rFonts w:hint="eastAsia"/>
                                      <w:sz w:val="21"/>
                                      <w:szCs w:val="21"/>
                                    </w:rPr>
                                    <w:t>项目所在位置</w:t>
                                  </w:r>
                                </w:p>
                              </w:txbxContent>
                            </wps:txbx>
                            <wps:bodyPr vert="horz" wrap="square" anchor="t" anchorCtr="0" upright="1"/>
                          </wps:wsp>
                        </a:graphicData>
                      </a:graphic>
                    </wp:anchor>
                  </w:drawing>
                </mc:Choice>
                <mc:Fallback>
                  <w:pict>
                    <v:shape id="矩形标注 87" o:spid="_x0000_s1026" o:spt="61" type="#_x0000_t61" style="position:absolute;left:0pt;margin-left:17.65pt;margin-top:109.1pt;height:22.45pt;width:80.45pt;z-index:251659264;mso-width-relative:page;mso-height-relative:page;" fillcolor="#FFFFFF" filled="t" stroked="t" coordsize="21600,21600" o:gfxdata="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ley311wAAAAoB&#10;AAAPAAAAAAAAAAEAIAAAACIAAABkcnMvZG93bnJldi54bWxQSwECFAAUAAAACACHTuJAHX3ALY4C&#10;AABJBQAADgAAAAAAAAABACAAAAAmAQAAZHJzL2Uyb0RvYy54bWxQSwUGAAAAAAYABgBZAQAAJgYA&#10;AAAA&#10;" adj="21103,71487">
                      <v:fill type="gradient" on="t" color2="#FFFFFF" angle="90" focus="100%" focussize="0,0">
                        <o:fill type="gradientUnscaled" v:ext="backwardCompatible"/>
                      </v:fill>
                      <v:stroke weight="1pt" color="#FF0000" joinstyle="miter"/>
                      <v:imagedata o:title=""/>
                      <o:lock v:ext="edit" aspectratio="f"/>
                      <v:textbox>
                        <w:txbxContent>
                          <w:p w14:paraId="1352DFFE">
                            <w:pPr>
                              <w:rPr>
                                <w:sz w:val="21"/>
                                <w:szCs w:val="21"/>
                              </w:rPr>
                            </w:pPr>
                            <w:r>
                              <w:rPr>
                                <w:rFonts w:hint="eastAsia"/>
                                <w:sz w:val="21"/>
                                <w:szCs w:val="21"/>
                              </w:rPr>
                              <w:t>项目所在位置</w:t>
                            </w:r>
                          </w:p>
                        </w:txbxContent>
                      </v:textbox>
                    </v:shape>
                  </w:pict>
                </mc:Fallback>
              </mc:AlternateContent>
            </w:r>
            <w:r>
              <w:rPr>
                <w:rFonts w:hint="default" w:ascii="Times New Roman" w:hAnsi="Times New Roman" w:cs="Times New Roman"/>
                <w:color w:val="auto"/>
                <w:highlight w:val="none"/>
              </w:rPr>
              <w:drawing>
                <wp:inline distT="0" distB="0" distL="114300" distR="114300">
                  <wp:extent cx="5109210" cy="3659505"/>
                  <wp:effectExtent l="0" t="0" r="8890" b="5715"/>
                  <wp:docPr id="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1"/>
                          <pic:cNvPicPr>
                            <a:picLocks noChangeAspect="1"/>
                          </pic:cNvPicPr>
                        </pic:nvPicPr>
                        <pic:blipFill>
                          <a:blip r:embed="rId6"/>
                          <a:stretch>
                            <a:fillRect/>
                          </a:stretch>
                        </pic:blipFill>
                        <pic:spPr>
                          <a:xfrm>
                            <a:off x="0" y="0"/>
                            <a:ext cx="5109210" cy="3659505"/>
                          </a:xfrm>
                          <a:prstGeom prst="rect">
                            <a:avLst/>
                          </a:prstGeom>
                          <a:noFill/>
                          <a:ln>
                            <a:noFill/>
                          </a:ln>
                        </pic:spPr>
                      </pic:pic>
                    </a:graphicData>
                  </a:graphic>
                </wp:inline>
              </w:drawing>
            </w:r>
          </w:p>
          <w:p w14:paraId="42122BC3">
            <w:pPr>
              <w:pStyle w:val="95"/>
              <w:keepNext w:val="0"/>
              <w:keepLines w:val="0"/>
              <w:suppressLineNumbers w:val="0"/>
              <w:bidi w:val="0"/>
              <w:spacing w:before="0" w:beforeAutospacing="0" w:after="0" w:afterAutospacing="0"/>
              <w:ind w:left="1660" w:leftChars="0" w:right="0" w:hanging="1660" w:firstLineChars="0"/>
              <w:rPr>
                <w:rFonts w:hint="default" w:cs="Times New Roman"/>
                <w:color w:val="auto"/>
              </w:rPr>
            </w:pPr>
            <w:r>
              <w:rPr>
                <w:rFonts w:hint="eastAsia" w:cs="Times New Roman"/>
                <w:color w:val="auto"/>
              </w:rPr>
              <w:t>巴中市环境管控单元图</w:t>
            </w:r>
          </w:p>
          <w:p w14:paraId="0ABE09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根据四川省政务服务网“生态环境分区管控</w:t>
            </w:r>
            <w:r>
              <w:rPr>
                <w:rFonts w:hint="eastAsia" w:ascii="Times New Roman" w:hAnsi="Times New Roman" w:eastAsia="宋体" w:cs="Times New Roman"/>
                <w:color w:val="auto"/>
                <w:sz w:val="24"/>
                <w:szCs w:val="24"/>
                <w:highlight w:val="none"/>
                <w:lang w:val="en-US" w:eastAsia="zh-CN"/>
              </w:rPr>
              <w:t>智能应用</w:t>
            </w:r>
            <w:r>
              <w:rPr>
                <w:rFonts w:hint="default" w:ascii="Times New Roman" w:hAnsi="Times New Roman" w:eastAsia="宋体" w:cs="Times New Roman"/>
                <w:color w:val="auto"/>
                <w:sz w:val="24"/>
                <w:szCs w:val="24"/>
                <w:highlight w:val="none"/>
                <w:lang w:val="en-US" w:eastAsia="zh-CN"/>
              </w:rPr>
              <w:t>”系统（四川省政务服务网-直通部门-生态环境厅-生态环境分区管控</w:t>
            </w:r>
            <w:r>
              <w:rPr>
                <w:rFonts w:hint="eastAsia" w:ascii="Times New Roman" w:hAnsi="Times New Roman" w:eastAsia="宋体" w:cs="Times New Roman"/>
                <w:color w:val="auto"/>
                <w:sz w:val="24"/>
                <w:szCs w:val="24"/>
                <w:highlight w:val="none"/>
                <w:lang w:val="en-US" w:eastAsia="zh-CN"/>
              </w:rPr>
              <w:t>智能应用</w:t>
            </w:r>
            <w:r>
              <w:rPr>
                <w:rFonts w:hint="default" w:ascii="Times New Roman" w:hAnsi="Times New Roman" w:eastAsia="宋体" w:cs="Times New Roman"/>
                <w:color w:val="auto"/>
                <w:sz w:val="24"/>
                <w:szCs w:val="24"/>
                <w:highlight w:val="none"/>
                <w:lang w:val="en-US" w:eastAsia="zh-CN"/>
              </w:rPr>
              <w:t>）查询，</w:t>
            </w:r>
            <w:r>
              <w:rPr>
                <w:rFonts w:hint="default" w:ascii="Times New Roman" w:hAnsi="Times New Roman" w:eastAsia="宋体" w:cs="Times New Roman"/>
                <w:color w:val="auto"/>
                <w:sz w:val="24"/>
                <w:szCs w:val="24"/>
                <w:highlight w:val="none"/>
              </w:rPr>
              <w:t>本项目涉及</w:t>
            </w:r>
            <w:r>
              <w:rPr>
                <w:rFonts w:hint="default" w:ascii="Times New Roman" w:hAnsi="Times New Roman" w:eastAsia="宋体" w:cs="Times New Roman"/>
                <w:color w:val="auto"/>
                <w:sz w:val="24"/>
                <w:szCs w:val="24"/>
                <w:highlight w:val="none"/>
                <w:lang w:val="en-US" w:eastAsia="zh-CN"/>
              </w:rPr>
              <w:t>生态环境管控单元1个，涉及环境要素管控</w:t>
            </w:r>
            <w:r>
              <w:rPr>
                <w:rFonts w:hint="eastAsia" w:ascii="Times New Roman" w:hAnsi="Times New Roman" w:eastAsia="宋体" w:cs="Times New Roman"/>
                <w:color w:val="auto"/>
                <w:sz w:val="24"/>
                <w:szCs w:val="24"/>
                <w:highlight w:val="none"/>
                <w:lang w:val="en-US" w:eastAsia="zh-CN"/>
              </w:rPr>
              <w:t>分区4个</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查询结果如下所示</w:t>
            </w:r>
            <w:r>
              <w:rPr>
                <w:rFonts w:hint="default" w:ascii="Times New Roman" w:hAnsi="Times New Roman" w:eastAsia="宋体" w:cs="Times New Roman"/>
                <w:color w:val="auto"/>
                <w:sz w:val="24"/>
                <w:szCs w:val="24"/>
                <w:highlight w:val="none"/>
              </w:rPr>
              <w:t>。</w:t>
            </w:r>
          </w:p>
          <w:p w14:paraId="6C34DF46">
            <w:pPr>
              <w:pStyle w:val="21"/>
              <w:keepNext w:val="0"/>
              <w:keepLines w:val="0"/>
              <w:suppressLineNumbers w:val="0"/>
              <w:spacing w:beforeAutospacing="0" w:afterAutospacing="0"/>
              <w:ind w:left="0"/>
              <w:rPr>
                <w:rFonts w:hint="default"/>
                <w:color w:val="auto"/>
              </w:rPr>
            </w:pPr>
          </w:p>
          <w:p w14:paraId="10C99E45">
            <w:pPr>
              <w:pStyle w:val="21"/>
              <w:keepNext w:val="0"/>
              <w:keepLines w:val="0"/>
              <w:suppressLineNumbers w:val="0"/>
              <w:tabs>
                <w:tab w:val="left" w:pos="7980"/>
              </w:tabs>
              <w:spacing w:beforeAutospacing="0" w:afterAutospacing="0"/>
              <w:ind w:left="0" w:leftChars="0" w:firstLine="0" w:firstLineChars="0"/>
              <w:jc w:val="center"/>
              <w:rPr>
                <w:rFonts w:hint="default"/>
                <w:color w:val="auto"/>
              </w:rPr>
            </w:pPr>
            <w:r>
              <w:rPr>
                <w:rFonts w:hint="default" w:ascii="Times New Roman" w:hAnsi="Times New Roman" w:cs="Times New Roman"/>
                <w:color w:val="auto"/>
                <w:sz w:val="21"/>
              </w:rPr>
              <mc:AlternateContent>
                <mc:Choice Requires="wps">
                  <w:drawing>
                    <wp:anchor distT="0" distB="0" distL="114300" distR="114300" simplePos="0" relativeHeight="251661312" behindDoc="0" locked="0" layoutInCell="1" allowOverlap="1">
                      <wp:simplePos x="0" y="0"/>
                      <wp:positionH relativeFrom="column">
                        <wp:posOffset>1294130</wp:posOffset>
                      </wp:positionH>
                      <wp:positionV relativeFrom="paragraph">
                        <wp:posOffset>456565</wp:posOffset>
                      </wp:positionV>
                      <wp:extent cx="934085" cy="304800"/>
                      <wp:effectExtent l="5080" t="4445" r="36195" b="833755"/>
                      <wp:wrapNone/>
                      <wp:docPr id="36" name="自选图形 1055"/>
                      <wp:cNvGraphicFramePr/>
                      <a:graphic xmlns:a="http://schemas.openxmlformats.org/drawingml/2006/main">
                        <a:graphicData uri="http://schemas.microsoft.com/office/word/2010/wordprocessingShape">
                          <wps:wsp>
                            <wps:cNvSpPr/>
                            <wps:spPr>
                              <a:xfrm>
                                <a:off x="0" y="0"/>
                                <a:ext cx="934085" cy="304800"/>
                              </a:xfrm>
                              <a:prstGeom prst="wedgeRoundRectCallout">
                                <a:avLst>
                                  <a:gd name="adj1" fmla="val 51155"/>
                                  <a:gd name="adj2" fmla="val 31020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5BA97F54">
                                  <w:pPr>
                                    <w:jc w:val="center"/>
                                    <w:rPr>
                                      <w:rFonts w:hint="default" w:eastAsia="宋体"/>
                                      <w:lang w:val="en-US" w:eastAsia="zh-CN"/>
                                    </w:rPr>
                                  </w:pPr>
                                  <w:r>
                                    <w:rPr>
                                      <w:rFonts w:hint="eastAsia"/>
                                      <w:lang w:val="en-US" w:eastAsia="zh-CN"/>
                                    </w:rPr>
                                    <w:t>本项目位置</w:t>
                                  </w:r>
                                </w:p>
                              </w:txbxContent>
                            </wps:txbx>
                            <wps:bodyPr vert="horz" wrap="square" anchor="t" anchorCtr="0" upright="1"/>
                          </wps:wsp>
                        </a:graphicData>
                      </a:graphic>
                    </wp:anchor>
                  </w:drawing>
                </mc:Choice>
                <mc:Fallback>
                  <w:pict>
                    <v:shape id="自选图形 1055" o:spid="_x0000_s1026" o:spt="62" type="#_x0000_t62" style="position:absolute;left:0pt;margin-left:101.9pt;margin-top:35.95pt;height:24pt;width:73.55pt;z-index:251661312;mso-width-relative:page;mso-height-relative:page;" fillcolor="#FFFFFF" filled="t" stroked="t" coordsize="21600,21600" o:gfxdata="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xg4zDXAAAACgEAAA8AAAAAAAAAAQAgAAAAIgAAAGRycy9kb3ducmV2LnhtbFBL&#10;AQIUABQAAAAIAIdO4kC9Gec5aQIAAOwEAAAOAAAAAAAAAAEAIAAAACYBAABkcnMvZTJvRG9jLnht&#10;bFBLBQYAAAAABgAGAFkBAAABBgAAAAA=&#10;" adj="21849,77805,14400">
                      <v:fill on="t" focussize="0,0"/>
                      <v:stroke color="#000000" joinstyle="miter"/>
                      <v:imagedata o:title=""/>
                      <o:lock v:ext="edit" aspectratio="f"/>
                      <v:textbox>
                        <w:txbxContent>
                          <w:p w14:paraId="5BA97F54">
                            <w:pPr>
                              <w:jc w:val="center"/>
                              <w:rPr>
                                <w:rFonts w:hint="default" w:eastAsia="宋体"/>
                                <w:lang w:val="en-US" w:eastAsia="zh-CN"/>
                              </w:rPr>
                            </w:pPr>
                            <w:r>
                              <w:rPr>
                                <w:rFonts w:hint="eastAsia"/>
                                <w:lang w:val="en-US" w:eastAsia="zh-CN"/>
                              </w:rPr>
                              <w:t>本项目位置</w:t>
                            </w:r>
                          </w:p>
                        </w:txbxContent>
                      </v:textbox>
                    </v:shape>
                  </w:pict>
                </mc:Fallback>
              </mc:AlternateContent>
            </w:r>
            <w:r>
              <w:rPr>
                <w:rFonts w:hint="default"/>
                <w:color w:val="auto"/>
              </w:rPr>
              <w:drawing>
                <wp:inline distT="0" distB="0" distL="114300" distR="114300">
                  <wp:extent cx="5046345" cy="2414270"/>
                  <wp:effectExtent l="0" t="0" r="13335" b="889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7"/>
                          <a:stretch>
                            <a:fillRect/>
                          </a:stretch>
                        </pic:blipFill>
                        <pic:spPr>
                          <a:xfrm>
                            <a:off x="0" y="0"/>
                            <a:ext cx="5046345" cy="2414270"/>
                          </a:xfrm>
                          <a:prstGeom prst="rect">
                            <a:avLst/>
                          </a:prstGeom>
                          <a:noFill/>
                          <a:ln>
                            <a:noFill/>
                          </a:ln>
                        </pic:spPr>
                      </pic:pic>
                    </a:graphicData>
                  </a:graphic>
                </wp:inline>
              </w:drawing>
            </w:r>
          </w:p>
          <w:p w14:paraId="7E677136">
            <w:pPr>
              <w:pStyle w:val="95"/>
              <w:keepNext w:val="0"/>
              <w:keepLines w:val="0"/>
              <w:suppressLineNumbers w:val="0"/>
              <w:bidi w:val="0"/>
              <w:spacing w:before="0" w:beforeAutospacing="0" w:after="0" w:afterAutospacing="0"/>
              <w:ind w:left="1660" w:leftChars="0" w:right="0" w:hanging="1660" w:firstLineChars="0"/>
              <w:rPr>
                <w:rFonts w:hint="default"/>
                <w:color w:val="auto"/>
              </w:rPr>
            </w:pPr>
            <w:r>
              <w:rPr>
                <w:rFonts w:hint="default" w:ascii="Times New Roman" w:hAnsi="Times New Roman" w:eastAsia="宋体" w:cs="Times New Roman"/>
                <w:color w:val="auto"/>
              </w:rPr>
              <w:t>项目</w:t>
            </w:r>
            <w:r>
              <w:rPr>
                <w:rFonts w:hint="eastAsia" w:ascii="Times New Roman" w:hAnsi="Times New Roman" w:cs="Times New Roman"/>
                <w:color w:val="auto"/>
                <w:lang w:val="en-US" w:eastAsia="zh-CN"/>
              </w:rPr>
              <w:t>与生态环境管控单元相对位置关系图-系统</w:t>
            </w:r>
            <w:r>
              <w:rPr>
                <w:rFonts w:hint="default" w:ascii="Times New Roman" w:hAnsi="Times New Roman" w:eastAsia="宋体" w:cs="Times New Roman"/>
                <w:color w:val="auto"/>
                <w:lang w:val="en-US" w:eastAsia="zh-CN"/>
              </w:rPr>
              <w:t>截图</w:t>
            </w:r>
          </w:p>
          <w:p w14:paraId="55294E3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rPr>
              <mc:AlternateContent>
                <mc:Choice Requires="wps">
                  <w:drawing>
                    <wp:anchor distT="0" distB="0" distL="114300" distR="114300" simplePos="0" relativeHeight="251660288" behindDoc="0" locked="0" layoutInCell="1" allowOverlap="1">
                      <wp:simplePos x="0" y="0"/>
                      <wp:positionH relativeFrom="column">
                        <wp:posOffset>1515110</wp:posOffset>
                      </wp:positionH>
                      <wp:positionV relativeFrom="paragraph">
                        <wp:posOffset>667385</wp:posOffset>
                      </wp:positionV>
                      <wp:extent cx="934085" cy="304800"/>
                      <wp:effectExtent l="5080" t="4445" r="167005" b="763905"/>
                      <wp:wrapNone/>
                      <wp:docPr id="2" name="自选图形 1055"/>
                      <wp:cNvGraphicFramePr/>
                      <a:graphic xmlns:a="http://schemas.openxmlformats.org/drawingml/2006/main">
                        <a:graphicData uri="http://schemas.microsoft.com/office/word/2010/wordprocessingShape">
                          <wps:wsp>
                            <wps:cNvSpPr/>
                            <wps:spPr>
                              <a:xfrm>
                                <a:off x="0" y="0"/>
                                <a:ext cx="934085" cy="304800"/>
                              </a:xfrm>
                              <a:prstGeom prst="wedgeRoundRectCallout">
                                <a:avLst>
                                  <a:gd name="adj1" fmla="val 65023"/>
                                  <a:gd name="adj2" fmla="val 28520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5A16F0BF">
                                  <w:pPr>
                                    <w:jc w:val="center"/>
                                    <w:rPr>
                                      <w:rFonts w:hint="default" w:eastAsia="宋体"/>
                                      <w:lang w:val="en-US" w:eastAsia="zh-CN"/>
                                    </w:rPr>
                                  </w:pPr>
                                  <w:r>
                                    <w:rPr>
                                      <w:rFonts w:hint="eastAsia"/>
                                      <w:lang w:val="en-US" w:eastAsia="zh-CN"/>
                                    </w:rPr>
                                    <w:t>本项目位置</w:t>
                                  </w:r>
                                </w:p>
                              </w:txbxContent>
                            </wps:txbx>
                            <wps:bodyPr vert="horz" wrap="square" anchor="t" anchorCtr="0" upright="1"/>
                          </wps:wsp>
                        </a:graphicData>
                      </a:graphic>
                    </wp:anchor>
                  </w:drawing>
                </mc:Choice>
                <mc:Fallback>
                  <w:pict>
                    <v:shape id="自选图形 1055" o:spid="_x0000_s1026" o:spt="62" type="#_x0000_t62" style="position:absolute;left:0pt;margin-left:119.3pt;margin-top:52.55pt;height:24pt;width:73.55pt;z-index:251660288;mso-width-relative:page;mso-height-relative:page;" fillcolor="#FFFFFF" filled="t" stroked="t" coordsize="21600,21600" o:gfxdata="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08y1XYAAAACwEAAA8AAAAAAAAAAQAgAAAAIgAAAGRycy9kb3ducmV2LnhtbFBL&#10;AQIUABQAAAAIAIdO4kAZNUlTaAIAAOsEAAAOAAAAAAAAAAEAIAAAACcBAABkcnMvZTJvRG9jLnht&#10;bFBLBQYAAAAABgAGAFkBAAABBgAAAAA=&#10;" adj="24845,72405,14400">
                      <v:fill on="t" focussize="0,0"/>
                      <v:stroke color="#000000" joinstyle="miter"/>
                      <v:imagedata o:title=""/>
                      <o:lock v:ext="edit" aspectratio="f"/>
                      <v:textbox>
                        <w:txbxContent>
                          <w:p w14:paraId="5A16F0BF">
                            <w:pPr>
                              <w:jc w:val="center"/>
                              <w:rPr>
                                <w:rFonts w:hint="default" w:eastAsia="宋体"/>
                                <w:lang w:val="en-US" w:eastAsia="zh-CN"/>
                              </w:rPr>
                            </w:pPr>
                            <w:r>
                              <w:rPr>
                                <w:rFonts w:hint="eastAsia"/>
                                <w:lang w:val="en-US" w:eastAsia="zh-CN"/>
                              </w:rPr>
                              <w:t>本项目位置</w:t>
                            </w:r>
                          </w:p>
                        </w:txbxContent>
                      </v:textbox>
                    </v:shape>
                  </w:pict>
                </mc:Fallback>
              </mc:AlternateContent>
            </w:r>
            <w:r>
              <w:rPr>
                <w:rFonts w:hint="default"/>
                <w:color w:val="auto"/>
              </w:rPr>
              <w:drawing>
                <wp:inline distT="0" distB="0" distL="0" distR="0">
                  <wp:extent cx="5080000" cy="2921000"/>
                  <wp:effectExtent l="0" t="0" r="10160" b="5080"/>
                  <wp:docPr id="37" name="Drawing 0" descr="position-map-1783741947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0" descr="position-map-1783741947142.png"/>
                          <pic:cNvPicPr>
                            <a:picLocks noChangeAspect="1"/>
                          </pic:cNvPicPr>
                        </pic:nvPicPr>
                        <pic:blipFill>
                          <a:blip r:embed="rId8"/>
                          <a:stretch>
                            <a:fillRect/>
                          </a:stretch>
                        </pic:blipFill>
                        <pic:spPr>
                          <a:xfrm>
                            <a:off x="0" y="0"/>
                            <a:ext cx="5080000" cy="2921000"/>
                          </a:xfrm>
                          <a:prstGeom prst="rect">
                            <a:avLst/>
                          </a:prstGeom>
                        </pic:spPr>
                      </pic:pic>
                    </a:graphicData>
                  </a:graphic>
                </wp:inline>
              </w:drawing>
            </w:r>
          </w:p>
          <w:p w14:paraId="2DC8DBCE">
            <w:pPr>
              <w:pStyle w:val="95"/>
              <w:keepNext w:val="0"/>
              <w:keepLines w:val="0"/>
              <w:suppressLineNumbers w:val="0"/>
              <w:bidi w:val="0"/>
              <w:spacing w:before="0" w:beforeAutospacing="0" w:after="0" w:afterAutospacing="0"/>
              <w:ind w:left="1660" w:leftChars="0" w:right="0" w:hanging="1660" w:firstLineChars="0"/>
              <w:rPr>
                <w:rFonts w:hint="default" w:ascii="Times New Roman" w:hAnsi="Times New Roman" w:eastAsia="宋体" w:cs="Times New Roman"/>
                <w:color w:val="auto"/>
              </w:rPr>
            </w:pPr>
            <w:r>
              <w:rPr>
                <w:rFonts w:hint="default" w:ascii="Times New Roman" w:hAnsi="Times New Roman" w:eastAsia="宋体" w:cs="Times New Roman"/>
                <w:color w:val="auto"/>
              </w:rPr>
              <w:t>项目</w:t>
            </w:r>
            <w:r>
              <w:rPr>
                <w:rFonts w:hint="eastAsia" w:ascii="Times New Roman" w:hAnsi="Times New Roman" w:cs="Times New Roman"/>
                <w:color w:val="auto"/>
                <w:lang w:val="en-US" w:eastAsia="zh-CN"/>
              </w:rPr>
              <w:t>与生态环境管控单元相对位置关系图-系统查询结果</w:t>
            </w:r>
          </w:p>
          <w:p w14:paraId="5D74C8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本项目涉及的环境管控单元</w:t>
            </w:r>
            <w:r>
              <w:rPr>
                <w:rFonts w:hint="eastAsia" w:ascii="Times New Roman" w:hAnsi="Times New Roman" w:cs="Times New Roman"/>
                <w:color w:val="auto"/>
                <w:sz w:val="24"/>
                <w:lang w:val="en-US" w:eastAsia="zh-CN"/>
              </w:rPr>
              <w:t>和环境要素管控分区如下</w:t>
            </w:r>
            <w:r>
              <w:rPr>
                <w:rFonts w:hint="default" w:ascii="Times New Roman" w:hAnsi="Times New Roman" w:cs="Times New Roman"/>
                <w:color w:val="auto"/>
                <w:sz w:val="24"/>
              </w:rPr>
              <w:t>表</w:t>
            </w:r>
            <w:r>
              <w:rPr>
                <w:rFonts w:hint="eastAsia" w:ascii="Times New Roman" w:hAnsi="Times New Roman" w:cs="Times New Roman"/>
                <w:color w:val="auto"/>
                <w:sz w:val="24"/>
                <w:lang w:val="en-US" w:eastAsia="zh-CN"/>
              </w:rPr>
              <w:t>所示</w:t>
            </w:r>
            <w:r>
              <w:rPr>
                <w:rFonts w:hint="default" w:ascii="Times New Roman" w:hAnsi="Times New Roman" w:cs="Times New Roman"/>
                <w:color w:val="auto"/>
                <w:sz w:val="24"/>
              </w:rPr>
              <w:t>。</w:t>
            </w:r>
          </w:p>
          <w:p w14:paraId="59A2C06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本项目所涉及环境管控单元表</w:t>
            </w:r>
          </w:p>
          <w:tbl>
            <w:tblPr>
              <w:tblStyle w:val="23"/>
              <w:tblW w:w="78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541"/>
              <w:gridCol w:w="1361"/>
              <w:gridCol w:w="1536"/>
              <w:gridCol w:w="2364"/>
              <w:gridCol w:w="905"/>
              <w:gridCol w:w="1164"/>
            </w:tblGrid>
            <w:tr w14:paraId="661D2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41" w:type="dxa"/>
                  <w:tcBorders>
                    <w:top w:val="single" w:color="000000" w:sz="2" w:space="0"/>
                    <w:left w:val="single" w:color="000000" w:sz="2" w:space="0"/>
                    <w:bottom w:val="single" w:color="000000" w:sz="2" w:space="0"/>
                    <w:right w:val="single" w:color="000000" w:sz="2" w:space="0"/>
                  </w:tcBorders>
                  <w:noWrap w:val="0"/>
                  <w:vAlign w:val="center"/>
                </w:tcPr>
                <w:p w14:paraId="562088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1361" w:type="dxa"/>
                  <w:tcBorders>
                    <w:top w:val="single" w:color="000000" w:sz="2" w:space="0"/>
                    <w:left w:val="single" w:color="000000" w:sz="2" w:space="0"/>
                    <w:bottom w:val="single" w:color="000000" w:sz="2" w:space="0"/>
                    <w:right w:val="single" w:color="000000" w:sz="2" w:space="0"/>
                  </w:tcBorders>
                  <w:noWrap w:val="0"/>
                  <w:vAlign w:val="center"/>
                </w:tcPr>
                <w:p w14:paraId="24EACA4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涉及环境管控单元名称</w:t>
                  </w:r>
                </w:p>
              </w:tc>
              <w:tc>
                <w:tcPr>
                  <w:tcW w:w="1536" w:type="dxa"/>
                  <w:tcBorders>
                    <w:top w:val="single" w:color="000000" w:sz="2" w:space="0"/>
                    <w:left w:val="single" w:color="000000" w:sz="2" w:space="0"/>
                    <w:bottom w:val="single" w:color="000000" w:sz="2" w:space="0"/>
                    <w:right w:val="single" w:color="000000" w:sz="2" w:space="0"/>
                  </w:tcBorders>
                  <w:noWrap w:val="0"/>
                  <w:vAlign w:val="center"/>
                </w:tcPr>
                <w:p w14:paraId="01412E8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涉及环境管控单元编码</w:t>
                  </w:r>
                </w:p>
              </w:tc>
              <w:tc>
                <w:tcPr>
                  <w:tcW w:w="2364" w:type="dxa"/>
                  <w:tcBorders>
                    <w:top w:val="single" w:color="000000" w:sz="2" w:space="0"/>
                    <w:left w:val="single" w:color="000000" w:sz="2" w:space="0"/>
                    <w:bottom w:val="single" w:color="000000" w:sz="2" w:space="0"/>
                    <w:right w:val="single" w:color="000000" w:sz="2" w:space="0"/>
                  </w:tcBorders>
                  <w:noWrap w:val="0"/>
                  <w:vAlign w:val="center"/>
                </w:tcPr>
                <w:p w14:paraId="50CB70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与管控单元关系（点选：点位信息）</w:t>
                  </w:r>
                </w:p>
              </w:tc>
              <w:tc>
                <w:tcPr>
                  <w:tcW w:w="905" w:type="dxa"/>
                  <w:tcBorders>
                    <w:top w:val="single" w:color="000000" w:sz="2" w:space="0"/>
                    <w:left w:val="single" w:color="000000" w:sz="2" w:space="0"/>
                    <w:bottom w:val="single" w:color="000000" w:sz="2" w:space="0"/>
                    <w:right w:val="single" w:color="000000" w:sz="2" w:space="0"/>
                  </w:tcBorders>
                  <w:noWrap w:val="0"/>
                  <w:vAlign w:val="center"/>
                </w:tcPr>
                <w:p w14:paraId="1D2B54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行政区划</w:t>
                  </w:r>
                </w:p>
              </w:tc>
              <w:tc>
                <w:tcPr>
                  <w:tcW w:w="1164" w:type="dxa"/>
                  <w:tcBorders>
                    <w:top w:val="single" w:color="000000" w:sz="2" w:space="0"/>
                    <w:left w:val="single" w:color="000000" w:sz="2" w:space="0"/>
                    <w:bottom w:val="single" w:color="000000" w:sz="2" w:space="0"/>
                    <w:right w:val="single" w:color="000000" w:sz="2" w:space="0"/>
                  </w:tcBorders>
                  <w:noWrap w:val="0"/>
                  <w:vAlign w:val="center"/>
                </w:tcPr>
                <w:p w14:paraId="2359467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环境管控单元类型</w:t>
                  </w:r>
                </w:p>
              </w:tc>
            </w:tr>
            <w:tr w14:paraId="30D68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41" w:type="dxa"/>
                  <w:tcBorders>
                    <w:top w:val="single" w:color="000000" w:sz="2" w:space="0"/>
                    <w:left w:val="single" w:color="000000" w:sz="2" w:space="0"/>
                    <w:bottom w:val="single" w:color="000000" w:sz="2" w:space="0"/>
                    <w:right w:val="single" w:color="000000" w:sz="2" w:space="0"/>
                  </w:tcBorders>
                  <w:noWrap w:val="0"/>
                  <w:vAlign w:val="center"/>
                </w:tcPr>
                <w:p w14:paraId="2A1C10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361" w:type="dxa"/>
                  <w:tcBorders>
                    <w:top w:val="single" w:color="000000" w:sz="2" w:space="0"/>
                    <w:left w:val="single" w:color="000000" w:sz="2" w:space="0"/>
                    <w:bottom w:val="single" w:color="000000" w:sz="2" w:space="0"/>
                    <w:right w:val="single" w:color="000000" w:sz="2" w:space="0"/>
                  </w:tcBorders>
                  <w:noWrap w:val="0"/>
                  <w:vAlign w:val="center"/>
                </w:tcPr>
                <w:p w14:paraId="3ACF34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恩阳区要素重点管控单元</w:t>
                  </w:r>
                </w:p>
              </w:tc>
              <w:tc>
                <w:tcPr>
                  <w:tcW w:w="1536" w:type="dxa"/>
                  <w:tcBorders>
                    <w:top w:val="single" w:color="000000" w:sz="2" w:space="0"/>
                    <w:left w:val="single" w:color="000000" w:sz="2" w:space="0"/>
                    <w:bottom w:val="single" w:color="000000" w:sz="2" w:space="0"/>
                    <w:right w:val="single" w:color="000000" w:sz="2" w:space="0"/>
                  </w:tcBorders>
                  <w:noWrap w:val="0"/>
                  <w:vAlign w:val="center"/>
                </w:tcPr>
                <w:p w14:paraId="589DC9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ZH51190320005</w:t>
                  </w:r>
                </w:p>
              </w:tc>
              <w:tc>
                <w:tcPr>
                  <w:tcW w:w="2364" w:type="dxa"/>
                  <w:tcBorders>
                    <w:top w:val="single" w:color="000000" w:sz="2" w:space="0"/>
                    <w:left w:val="single" w:color="000000" w:sz="2" w:space="0"/>
                    <w:bottom w:val="single" w:color="000000" w:sz="2" w:space="0"/>
                    <w:right w:val="single" w:color="000000" w:sz="2" w:space="0"/>
                  </w:tcBorders>
                  <w:noWrap w:val="0"/>
                  <w:vAlign w:val="center"/>
                </w:tcPr>
                <w:p w14:paraId="7B82D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w:t>
                  </w:r>
                  <w:r>
                    <w:rPr>
                      <w:rFonts w:hint="eastAsia" w:cs="Times New Roman"/>
                      <w:color w:val="auto"/>
                      <w:sz w:val="21"/>
                      <w:szCs w:val="21"/>
                      <w:lang w:eastAsia="zh-CN"/>
                    </w:rPr>
                    <w:t>，</w:t>
                  </w:r>
                  <w:r>
                    <w:rPr>
                      <w:rFonts w:hint="eastAsia" w:cs="Times New Roman"/>
                      <w:color w:val="auto"/>
                      <w:sz w:val="21"/>
                      <w:szCs w:val="21"/>
                      <w:lang w:val="en-US" w:eastAsia="zh-CN"/>
                    </w:rPr>
                    <w:t>***</w:t>
                  </w:r>
                </w:p>
              </w:tc>
              <w:tc>
                <w:tcPr>
                  <w:tcW w:w="905" w:type="dxa"/>
                  <w:tcBorders>
                    <w:top w:val="single" w:color="000000" w:sz="2" w:space="0"/>
                    <w:left w:val="single" w:color="000000" w:sz="2" w:space="0"/>
                    <w:bottom w:val="single" w:color="000000" w:sz="2" w:space="0"/>
                    <w:right w:val="single" w:color="000000" w:sz="2" w:space="0"/>
                  </w:tcBorders>
                  <w:noWrap w:val="0"/>
                  <w:vAlign w:val="center"/>
                </w:tcPr>
                <w:p w14:paraId="6C72FE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r>
                    <w:rPr>
                      <w:rFonts w:hint="eastAsia" w:cs="Times New Roman"/>
                      <w:color w:val="auto"/>
                      <w:sz w:val="21"/>
                      <w:szCs w:val="21"/>
                      <w:lang w:val="en-US" w:eastAsia="zh-CN"/>
                    </w:rPr>
                    <w:t>恩阳</w:t>
                  </w:r>
                </w:p>
              </w:tc>
              <w:tc>
                <w:tcPr>
                  <w:tcW w:w="1164" w:type="dxa"/>
                  <w:tcBorders>
                    <w:top w:val="single" w:color="000000" w:sz="2" w:space="0"/>
                    <w:left w:val="single" w:color="000000" w:sz="2" w:space="0"/>
                    <w:bottom w:val="single" w:color="000000" w:sz="2" w:space="0"/>
                    <w:right w:val="single" w:color="000000" w:sz="2" w:space="0"/>
                  </w:tcBorders>
                  <w:noWrap w:val="0"/>
                  <w:vAlign w:val="center"/>
                </w:tcPr>
                <w:p w14:paraId="00D1A8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要素重点管控单元</w:t>
                  </w:r>
                </w:p>
              </w:tc>
            </w:tr>
          </w:tbl>
          <w:p w14:paraId="56A66E8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本项目所涉及环境要素管控分区表</w:t>
            </w:r>
          </w:p>
          <w:tbl>
            <w:tblPr>
              <w:tblStyle w:val="23"/>
              <w:tblW w:w="790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585"/>
              <w:gridCol w:w="2056"/>
              <w:gridCol w:w="1649"/>
              <w:gridCol w:w="916"/>
              <w:gridCol w:w="773"/>
              <w:gridCol w:w="1924"/>
            </w:tblGrid>
            <w:tr w14:paraId="7AAB07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489768E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61E2AD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涉及环境要素管控分区名称</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5594A2F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涉及环境要素管控分区编码</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299EB9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行政区划</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01B14E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环境要素类型</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4033DC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环境要素细类</w:t>
                  </w:r>
                </w:p>
              </w:tc>
            </w:tr>
            <w:tr w14:paraId="640B4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45F02C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13BB6C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恩阳区自然资源一般管控区</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67DCF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YS5119033510001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37E7B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0722C9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0ED96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自然资源一般管控区</w:t>
                  </w:r>
                </w:p>
              </w:tc>
            </w:tr>
            <w:tr w14:paraId="742D7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340324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744E2C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恩阳区其他区域</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1F53FD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YS5119033110001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F1028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4B18D7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4ADBE7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r>
            <w:tr w14:paraId="04DD0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215431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5154F8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恩阳河-恩阳区-小元村-控制单元</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2E8F87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YS5119033210001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59AFAE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137E80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6711BB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水环境一般管控区</w:t>
                  </w:r>
                </w:p>
              </w:tc>
            </w:tr>
            <w:tr w14:paraId="5A84E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08690A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69D59D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恩阳区大气环境布局敏感重点管控区</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6EE99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YS5119032320001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DD7C5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297854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5BD8FB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大气环境布局敏感重点管控区</w:t>
                  </w:r>
                </w:p>
              </w:tc>
            </w:tr>
          </w:tbl>
          <w:p w14:paraId="38C4A354">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tc>
      </w:tr>
    </w:tbl>
    <w:p w14:paraId="038196A8">
      <w:pPr>
        <w:spacing w:line="360" w:lineRule="auto"/>
        <w:rPr>
          <w:rFonts w:eastAsia="黑体"/>
          <w:color w:val="auto"/>
          <w:sz w:val="30"/>
        </w:rPr>
        <w:sectPr>
          <w:footerReference r:id="rId4" w:type="default"/>
          <w:pgSz w:w="11906" w:h="16838"/>
          <w:pgMar w:top="1134" w:right="1134" w:bottom="1134" w:left="1417" w:header="851" w:footer="1077" w:gutter="0"/>
          <w:pgBorders>
            <w:top w:val="none" w:sz="0" w:space="0"/>
            <w:left w:val="none" w:sz="0" w:space="0"/>
            <w:bottom w:val="none" w:sz="0" w:space="0"/>
            <w:right w:val="none" w:sz="0" w:space="0"/>
          </w:pgBorders>
          <w:pgNumType w:fmt="decimal" w:start="1"/>
          <w:cols w:space="720" w:num="1"/>
          <w:rtlGutter w:val="0"/>
          <w:docGrid w:linePitch="312" w:charSpace="0"/>
        </w:sectPr>
      </w:pPr>
    </w:p>
    <w:tbl>
      <w:tblPr>
        <w:tblStyle w:val="23"/>
        <w:tblW w:w="13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9"/>
      </w:tblGrid>
      <w:tr w14:paraId="6835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4" w:hRule="atLeast"/>
          <w:jc w:val="center"/>
        </w:trPr>
        <w:tc>
          <w:tcPr>
            <w:tcW w:w="13799" w:type="dxa"/>
            <w:noWrap w:val="0"/>
            <w:vAlign w:val="top"/>
          </w:tcPr>
          <w:p w14:paraId="768E8463">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二</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生态环境分区管控要求</w:t>
            </w:r>
          </w:p>
          <w:p w14:paraId="50DE3C8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巴中市</w:t>
            </w:r>
            <w:r>
              <w:rPr>
                <w:rFonts w:hint="default" w:ascii="Times New Roman" w:hAnsi="Times New Roman" w:eastAsia="宋体" w:cs="Times New Roman"/>
                <w:color w:val="auto"/>
                <w:sz w:val="24"/>
                <w:lang w:val="en-US" w:eastAsia="zh-CN"/>
              </w:rPr>
              <w:t>生态环境保护委员会办公室关于加强生态环境分区管控的通知》（巴环委办</w:t>
            </w:r>
            <w:r>
              <w:rPr>
                <w:rFonts w:hint="default" w:ascii="Times New Roman" w:hAnsi="Times New Roman" w:eastAsia="宋体" w:cs="Times New Roman"/>
                <w:color w:val="auto"/>
                <w:sz w:val="24"/>
              </w:rPr>
              <w:t>〔202</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号</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，同时结合</w:t>
            </w:r>
            <w:r>
              <w:rPr>
                <w:rFonts w:hint="default" w:ascii="Times New Roman" w:hAnsi="Times New Roman" w:eastAsia="宋体" w:cs="Times New Roman"/>
                <w:color w:val="auto"/>
                <w:sz w:val="24"/>
                <w:lang w:val="en-US" w:eastAsia="zh-CN"/>
              </w:rPr>
              <w:t>四川省政务服务网“生态环境分区管控</w:t>
            </w:r>
            <w:r>
              <w:rPr>
                <w:rFonts w:hint="eastAsia" w:ascii="Times New Roman" w:hAnsi="Times New Roman" w:eastAsia="宋体" w:cs="Times New Roman"/>
                <w:color w:val="auto"/>
                <w:sz w:val="24"/>
                <w:lang w:val="en-US" w:eastAsia="zh-CN"/>
              </w:rPr>
              <w:t>智能应用</w:t>
            </w:r>
            <w:r>
              <w:rPr>
                <w:rFonts w:hint="default" w:ascii="Times New Roman" w:hAnsi="Times New Roman" w:eastAsia="宋体" w:cs="Times New Roman"/>
                <w:color w:val="auto"/>
                <w:sz w:val="24"/>
                <w:lang w:val="en-US" w:eastAsia="zh-CN"/>
              </w:rPr>
              <w:t>”系统</w:t>
            </w:r>
            <w:r>
              <w:rPr>
                <w:rFonts w:hint="eastAsia" w:ascii="Times New Roman" w:hAnsi="Times New Roman" w:eastAsia="宋体" w:cs="Times New Roman"/>
                <w:color w:val="auto"/>
                <w:sz w:val="24"/>
                <w:lang w:val="en-US" w:eastAsia="zh-CN"/>
              </w:rPr>
              <w:t>查询结果，本项目相关管控要求符合性分析如下。</w:t>
            </w:r>
          </w:p>
          <w:p w14:paraId="7CF9A6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（1）所属经济区要求</w:t>
            </w:r>
          </w:p>
          <w:p w14:paraId="0DFCFA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val="en-US" w:eastAsia="zh-CN"/>
              </w:rPr>
              <w:t>本项目与所属经济区相关要求符合性分析如下表所示。</w:t>
            </w:r>
          </w:p>
          <w:p w14:paraId="6E440BA6">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本项目与所属经济区要求符合性分析表</w:t>
            </w:r>
          </w:p>
          <w:tbl>
            <w:tblPr>
              <w:tblStyle w:val="23"/>
              <w:tblW w:w="134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244"/>
              <w:gridCol w:w="1282"/>
              <w:gridCol w:w="6860"/>
              <w:gridCol w:w="3181"/>
              <w:gridCol w:w="863"/>
            </w:tblGrid>
            <w:tr w14:paraId="6195B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tcBorders>
                    <w:top w:val="single" w:color="000000" w:sz="2" w:space="0"/>
                    <w:left w:val="single" w:color="000000" w:sz="2" w:space="0"/>
                    <w:bottom w:val="single" w:color="000000" w:sz="2" w:space="0"/>
                    <w:right w:val="single" w:color="000000" w:sz="2" w:space="0"/>
                  </w:tcBorders>
                  <w:noWrap w:val="0"/>
                  <w:vAlign w:val="center"/>
                </w:tcPr>
                <w:p w14:paraId="6B4F1B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经济区名称</w:t>
                  </w: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451330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标题</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224B9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内容</w:t>
                  </w:r>
                </w:p>
              </w:tc>
              <w:tc>
                <w:tcPr>
                  <w:tcW w:w="3181" w:type="dxa"/>
                  <w:tcBorders>
                    <w:top w:val="single" w:color="000000" w:sz="2" w:space="0"/>
                    <w:left w:val="single" w:color="000000" w:sz="2" w:space="0"/>
                    <w:bottom w:val="single" w:color="000000" w:sz="2" w:space="0"/>
                    <w:right w:val="single" w:color="000000" w:sz="2" w:space="0"/>
                  </w:tcBorders>
                  <w:noWrap w:val="0"/>
                  <w:vAlign w:val="center"/>
                </w:tcPr>
                <w:p w14:paraId="20B55F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本项目情况</w:t>
                  </w: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72EC0E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符合性</w:t>
                  </w:r>
                </w:p>
              </w:tc>
            </w:tr>
            <w:tr w14:paraId="743BD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restart"/>
                  <w:tcBorders>
                    <w:top w:val="single" w:color="000000" w:sz="2" w:space="0"/>
                    <w:left w:val="single" w:color="000000" w:sz="2" w:space="0"/>
                    <w:bottom w:val="single" w:color="000000" w:sz="2" w:space="0"/>
                    <w:right w:val="single" w:color="000000" w:sz="2" w:space="0"/>
                  </w:tcBorders>
                  <w:noWrap w:val="0"/>
                  <w:vAlign w:val="center"/>
                </w:tcPr>
                <w:p w14:paraId="3E5FFD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川东北经济区</w:t>
                  </w: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4827A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区域特点</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524A929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南充、达州、广安、广元、巴中5市内大部分区域属于省级层面重点开发区，是一般管控单元的集中分布区域。该区域发展定位为东向北向出川综合交通枢纽和川渝陕甘结合部区域经济中心。</w:t>
                  </w:r>
                </w:p>
              </w:tc>
              <w:tc>
                <w:tcPr>
                  <w:tcW w:w="3181" w:type="dxa"/>
                  <w:vMerge w:val="restart"/>
                  <w:tcBorders>
                    <w:top w:val="single" w:color="000000" w:sz="2" w:space="0"/>
                    <w:left w:val="single" w:color="000000" w:sz="2" w:space="0"/>
                    <w:right w:val="single" w:color="000000" w:sz="2" w:space="0"/>
                  </w:tcBorders>
                  <w:noWrap w:val="0"/>
                  <w:vAlign w:val="center"/>
                </w:tcPr>
                <w:p w14:paraId="21CF3772">
                  <w:pPr>
                    <w:pStyle w:val="55"/>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highlight w:val="none"/>
                      <w:lang w:val="en-US" w:eastAsia="zh-CN"/>
                    </w:rPr>
                    <w:t>上八庙</w:t>
                  </w:r>
                  <w:r>
                    <w:rPr>
                      <w:rFonts w:hint="default" w:ascii="Times New Roman" w:hAnsi="Times New Roman" w:eastAsia="宋体" w:cs="Times New Roman"/>
                      <w:color w:val="auto"/>
                      <w:highlight w:val="none"/>
                    </w:rPr>
                    <w:t>镇污水处理站处理；本项目</w:t>
                  </w:r>
                  <w:r>
                    <w:rPr>
                      <w:rFonts w:hint="eastAsia" w:ascii="Times New Roman" w:hAnsi="Times New Roman" w:eastAsia="宋体" w:cs="Times New Roman"/>
                      <w:color w:val="auto"/>
                      <w:highlight w:val="none"/>
                      <w:lang w:eastAsia="zh-CN"/>
                    </w:rPr>
                    <w:t>放喷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517D80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B430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6E5EF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3AA84E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发展定位与目标</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2F15FAA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3181" w:type="dxa"/>
                  <w:vMerge w:val="continue"/>
                  <w:tcBorders>
                    <w:left w:val="single" w:color="000000" w:sz="2" w:space="0"/>
                    <w:right w:val="single" w:color="000000" w:sz="2" w:space="0"/>
                  </w:tcBorders>
                  <w:noWrap w:val="0"/>
                  <w:vAlign w:val="center"/>
                </w:tcPr>
                <w:p w14:paraId="3FB755CD">
                  <w:pPr>
                    <w:keepNext w:val="0"/>
                    <w:keepLines w:val="0"/>
                    <w:suppressLineNumbers w:val="0"/>
                    <w:spacing w:before="0" w:beforeAutospacing="0" w:after="0" w:afterAutospacing="0"/>
                    <w:ind w:left="0" w:right="0"/>
                    <w:rPr>
                      <w:rFonts w:hint="default" w:ascii="Times New Roman" w:hAnsi="Times New Roman" w:cs="Times New Roman"/>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3D9420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4559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FCD3A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357BE5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区域突出生态环境问题</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770BE9C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1、小流域污染问题突出，嘉陵江及渠江部分支流部分河段水环境承载力不足，乡镇污水基础设施建设滞后；出川断面多，水质要求高，保护压力大。</w:t>
                  </w:r>
                </w:p>
                <w:p w14:paraId="64E4788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2、区域嘉陵江流域存在输入性水环境风险问题。</w:t>
                  </w:r>
                </w:p>
                <w:p w14:paraId="2D7B1DC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3、达州、广安大气污染问题须重视。</w:t>
                  </w:r>
                </w:p>
              </w:tc>
              <w:tc>
                <w:tcPr>
                  <w:tcW w:w="3181" w:type="dxa"/>
                  <w:vMerge w:val="continue"/>
                  <w:tcBorders>
                    <w:left w:val="single" w:color="000000" w:sz="2" w:space="0"/>
                    <w:right w:val="single" w:color="000000" w:sz="2" w:space="0"/>
                  </w:tcBorders>
                  <w:noWrap w:val="0"/>
                  <w:vAlign w:val="center"/>
                </w:tcPr>
                <w:p w14:paraId="25536FF9">
                  <w:pPr>
                    <w:pStyle w:val="55"/>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68A738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41268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154C3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604884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总体管控要求</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488EE7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1、控制农村面源污染，提高污水收集处理率，加快乡镇污水处理基础设施建设。</w:t>
                  </w:r>
                </w:p>
                <w:p w14:paraId="59A4EA3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2、建设流域水环境风险联防联控体系。提高大气污染治理水平。</w:t>
                  </w:r>
                </w:p>
              </w:tc>
              <w:tc>
                <w:tcPr>
                  <w:tcW w:w="3181" w:type="dxa"/>
                  <w:vMerge w:val="continue"/>
                  <w:tcBorders>
                    <w:left w:val="single" w:color="000000" w:sz="2" w:space="0"/>
                    <w:bottom w:val="single" w:color="000000" w:sz="2" w:space="0"/>
                    <w:right w:val="single" w:color="000000" w:sz="2" w:space="0"/>
                  </w:tcBorders>
                  <w:noWrap w:val="0"/>
                  <w:vAlign w:val="center"/>
                </w:tcPr>
                <w:p w14:paraId="4EB7D7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1A4EB7E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3B5F50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（2）生态环境准入清单</w:t>
            </w:r>
          </w:p>
          <w:p w14:paraId="379A0A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①市（州）普适性管控要求</w:t>
            </w:r>
          </w:p>
          <w:p w14:paraId="62BF290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lang w:val="en-US" w:eastAsia="zh-CN"/>
              </w:rPr>
            </w:pPr>
            <w:r>
              <w:rPr>
                <w:rFonts w:hint="eastAsia" w:ascii="Times New Roman" w:hAnsi="Times New Roman" w:eastAsia="宋体" w:cs="Times New Roman"/>
                <w:color w:val="auto"/>
                <w:sz w:val="24"/>
                <w:szCs w:val="24"/>
                <w:lang w:val="en-US" w:eastAsia="zh-CN"/>
              </w:rPr>
              <w:t>本项目与</w:t>
            </w:r>
            <w:r>
              <w:rPr>
                <w:rFonts w:hint="eastAsia" w:cs="Times New Roman"/>
                <w:color w:val="auto"/>
                <w:sz w:val="24"/>
                <w:szCs w:val="24"/>
                <w:lang w:val="en-US" w:eastAsia="zh-CN"/>
              </w:rPr>
              <w:t>巴中市</w:t>
            </w:r>
            <w:r>
              <w:rPr>
                <w:rFonts w:hint="default" w:ascii="Times New Roman" w:hAnsi="Times New Roman" w:eastAsia="宋体" w:cs="Times New Roman"/>
                <w:color w:val="auto"/>
                <w:sz w:val="24"/>
                <w:szCs w:val="24"/>
                <w:lang w:val="en-US" w:eastAsia="zh-CN"/>
              </w:rPr>
              <w:t>优先保护单元+城镇重点管控单元+工业重点管控单元+要素重点管控单元+一般管控单元</w:t>
            </w:r>
            <w:r>
              <w:rPr>
                <w:rFonts w:hint="eastAsia" w:ascii="Times New Roman" w:hAnsi="Times New Roman" w:cs="Times New Roman"/>
                <w:color w:val="auto"/>
                <w:kern w:val="0"/>
                <w:sz w:val="24"/>
                <w:lang w:val="en-US" w:eastAsia="zh-CN"/>
              </w:rPr>
              <w:t>普适性管控要求符合性分析如下表所示。</w:t>
            </w:r>
          </w:p>
          <w:p w14:paraId="1889048B">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w:t>
            </w:r>
            <w:r>
              <w:rPr>
                <w:rFonts w:hint="default" w:ascii="Times New Roman" w:hAnsi="Times New Roman" w:eastAsia="宋体" w:cs="Times New Roman"/>
                <w:b/>
                <w:color w:val="auto"/>
                <w:lang w:val="en-US" w:eastAsia="zh-CN"/>
              </w:rPr>
              <w:t>优先保护单元+城镇重点管控单元+工业重点管控单元+要素重点管控单元+一般管控单元</w:t>
            </w:r>
            <w:r>
              <w:rPr>
                <w:rFonts w:hint="eastAsia" w:ascii="Times New Roman" w:hAnsi="Times New Roman" w:eastAsia="宋体" w:cs="Times New Roman"/>
                <w:b/>
                <w:color w:val="auto"/>
                <w:lang w:val="en-US" w:eastAsia="zh-CN"/>
              </w:rPr>
              <w:t>普适性管控要求符合性分析表</w:t>
            </w:r>
          </w:p>
          <w:tbl>
            <w:tblPr>
              <w:tblStyle w:val="23"/>
              <w:tblW w:w="1328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462"/>
              <w:gridCol w:w="615"/>
              <w:gridCol w:w="576"/>
              <w:gridCol w:w="442"/>
              <w:gridCol w:w="5276"/>
              <w:gridCol w:w="5121"/>
              <w:gridCol w:w="788"/>
            </w:tblGrid>
            <w:tr w14:paraId="3DA05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tcBorders>
                    <w:top w:val="single" w:color="000000" w:sz="2" w:space="0"/>
                    <w:left w:val="single" w:color="000000" w:sz="2" w:space="0"/>
                    <w:bottom w:val="single" w:color="000000" w:sz="2" w:space="0"/>
                    <w:right w:val="single" w:color="000000" w:sz="2" w:space="0"/>
                  </w:tcBorders>
                  <w:noWrap w:val="0"/>
                  <w:vAlign w:val="center"/>
                </w:tcPr>
                <w:p w14:paraId="42D687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615" w:type="dxa"/>
                  <w:tcBorders>
                    <w:top w:val="single" w:color="000000" w:sz="2" w:space="0"/>
                    <w:left w:val="single" w:color="000000" w:sz="2" w:space="0"/>
                    <w:bottom w:val="single" w:color="000000" w:sz="2" w:space="0"/>
                    <w:right w:val="single" w:color="000000" w:sz="2" w:space="0"/>
                  </w:tcBorders>
                  <w:noWrap w:val="0"/>
                  <w:vAlign w:val="center"/>
                </w:tcPr>
                <w:p w14:paraId="5A20ED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576" w:type="dxa"/>
                  <w:tcBorders>
                    <w:top w:val="single" w:color="000000" w:sz="2" w:space="0"/>
                    <w:left w:val="single" w:color="000000" w:sz="2" w:space="0"/>
                    <w:bottom w:val="single" w:color="000000" w:sz="2" w:space="0"/>
                    <w:right w:val="single" w:color="000000" w:sz="2" w:space="0"/>
                  </w:tcBorders>
                  <w:noWrap w:val="0"/>
                  <w:vAlign w:val="center"/>
                </w:tcPr>
                <w:p w14:paraId="771D08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288BD5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5276" w:type="dxa"/>
                  <w:tcBorders>
                    <w:top w:val="single" w:color="000000" w:sz="2" w:space="0"/>
                    <w:left w:val="single" w:color="000000" w:sz="2" w:space="0"/>
                    <w:bottom w:val="single" w:color="000000" w:sz="2" w:space="0"/>
                    <w:right w:val="single" w:color="000000" w:sz="2" w:space="0"/>
                  </w:tcBorders>
                  <w:noWrap w:val="0"/>
                  <w:vAlign w:val="center"/>
                </w:tcPr>
                <w:p w14:paraId="7FAECA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5121" w:type="dxa"/>
                  <w:tcBorders>
                    <w:top w:val="single" w:color="000000" w:sz="2" w:space="0"/>
                    <w:left w:val="single" w:color="000000" w:sz="2" w:space="0"/>
                    <w:bottom w:val="single" w:color="000000" w:sz="2" w:space="0"/>
                    <w:right w:val="single" w:color="000000" w:sz="2" w:space="0"/>
                  </w:tcBorders>
                  <w:noWrap w:val="0"/>
                  <w:vAlign w:val="center"/>
                </w:tcPr>
                <w:p w14:paraId="1F86023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本项目情况</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22399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符合性</w:t>
                  </w:r>
                </w:p>
              </w:tc>
            </w:tr>
            <w:tr w14:paraId="5895C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restart"/>
                  <w:tcBorders>
                    <w:top w:val="single" w:color="000000" w:sz="2" w:space="0"/>
                    <w:left w:val="single" w:color="000000" w:sz="2" w:space="0"/>
                    <w:bottom w:val="single" w:color="000000" w:sz="2" w:space="0"/>
                    <w:right w:val="single" w:color="000000" w:sz="2" w:space="0"/>
                  </w:tcBorders>
                  <w:noWrap w:val="0"/>
                  <w:vAlign w:val="center"/>
                </w:tcPr>
                <w:p w14:paraId="269BD7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p>
              </w:tc>
              <w:tc>
                <w:tcPr>
                  <w:tcW w:w="615" w:type="dxa"/>
                  <w:vMerge w:val="restart"/>
                  <w:tcBorders>
                    <w:top w:val="single" w:color="000000" w:sz="2" w:space="0"/>
                    <w:left w:val="single" w:color="000000" w:sz="2" w:space="0"/>
                    <w:bottom w:val="single" w:color="000000" w:sz="2" w:space="0"/>
                    <w:right w:val="single" w:color="000000" w:sz="2" w:space="0"/>
                  </w:tcBorders>
                  <w:noWrap w:val="0"/>
                  <w:vAlign w:val="center"/>
                </w:tcPr>
                <w:p w14:paraId="7BC1EC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巴州区+恩阳区+通江县+南江县+平昌县</w:t>
                  </w:r>
                </w:p>
              </w:tc>
              <w:tc>
                <w:tcPr>
                  <w:tcW w:w="576" w:type="dxa"/>
                  <w:vMerge w:val="restart"/>
                  <w:tcBorders>
                    <w:top w:val="single" w:color="000000" w:sz="2" w:space="0"/>
                    <w:left w:val="single" w:color="000000" w:sz="2" w:space="0"/>
                    <w:bottom w:val="single" w:color="000000" w:sz="2" w:space="0"/>
                    <w:right w:val="single" w:color="000000" w:sz="2" w:space="0"/>
                  </w:tcBorders>
                  <w:noWrap w:val="0"/>
                  <w:vAlign w:val="center"/>
                </w:tcPr>
                <w:p w14:paraId="5E6984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巴州区+恩阳区+通江县+南江县+平昌县</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2C8F2A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5276" w:type="dxa"/>
                  <w:tcBorders>
                    <w:top w:val="single" w:color="000000" w:sz="2" w:space="0"/>
                    <w:left w:val="single" w:color="000000" w:sz="2" w:space="0"/>
                    <w:bottom w:val="single" w:color="000000" w:sz="2" w:space="0"/>
                    <w:right w:val="single" w:color="000000" w:sz="2" w:space="0"/>
                  </w:tcBorders>
                  <w:noWrap w:val="0"/>
                  <w:vAlign w:val="center"/>
                </w:tcPr>
                <w:p w14:paraId="3551903B">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【限制开发建设活动的要求】</w:t>
                  </w:r>
                </w:p>
                <w:p w14:paraId="5575FA1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培育和引入产业必须符合国家产业政策，严控新建、扩建“两高”项目，强化企业环境管理；</w:t>
                  </w:r>
                </w:p>
                <w:p w14:paraId="6E5E8F8D">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【其他空间布局约束要求】</w:t>
                  </w:r>
                </w:p>
                <w:p w14:paraId="59AF3123">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合理控制并优化生态环境敏感区内的旅游开发建设活动，合理开发利用水利资源，大力发展生态康养旅游产业。严格落实自然保护地、生态保护红线、集中式饮用水水源保护区等管控要求；</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加强农村环境综合治理，积极发展生态农业和有机农业；</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严格控制化肥、农药、农膜使用量，合理布局畜禽养殖</w:t>
                  </w:r>
                </w:p>
              </w:tc>
              <w:tc>
                <w:tcPr>
                  <w:tcW w:w="5121" w:type="dxa"/>
                  <w:tcBorders>
                    <w:top w:val="single" w:color="000000" w:sz="2" w:space="0"/>
                    <w:left w:val="single" w:color="000000" w:sz="2" w:space="0"/>
                    <w:bottom w:val="single" w:color="000000" w:sz="2" w:space="0"/>
                    <w:right w:val="single" w:color="000000" w:sz="2" w:space="0"/>
                  </w:tcBorders>
                  <w:noWrap w:val="0"/>
                  <w:vAlign w:val="center"/>
                </w:tcPr>
                <w:p w14:paraId="4988D45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项目</w:t>
                  </w:r>
                  <w:r>
                    <w:rPr>
                      <w:rFonts w:hint="eastAsia" w:cs="Times New Roman"/>
                      <w:color w:val="auto"/>
                      <w:highlight w:val="none"/>
                      <w:lang w:val="en-US" w:eastAsia="zh-CN"/>
                    </w:rPr>
                    <w:t>不涉及水利资源开发利用，不涉及自然保护地、生态保护红线和集中式饮用水水源保护区</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742FEE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848E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0CFE33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21F355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30CA47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2B11AD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5276" w:type="dxa"/>
                  <w:tcBorders>
                    <w:top w:val="single" w:color="000000" w:sz="2" w:space="0"/>
                    <w:left w:val="single" w:color="000000" w:sz="2" w:space="0"/>
                    <w:bottom w:val="single" w:color="000000" w:sz="2" w:space="0"/>
                    <w:right w:val="single" w:color="000000" w:sz="2" w:space="0"/>
                  </w:tcBorders>
                  <w:noWrap w:val="0"/>
                  <w:vAlign w:val="center"/>
                </w:tcPr>
                <w:p w14:paraId="3A10308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【现有源提标升级改造】</w:t>
                  </w:r>
                </w:p>
                <w:p w14:paraId="3FAD8F4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强化水、大气、土壤污染源头管控，深化环境污染治理，完善污染治理基础设施，巩固提升环境质量；</w:t>
                  </w:r>
                </w:p>
                <w:p w14:paraId="270120D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2ABEF619">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5121" w:type="dxa"/>
                  <w:tcBorders>
                    <w:top w:val="single" w:color="000000" w:sz="2" w:space="0"/>
                    <w:left w:val="single" w:color="000000" w:sz="2" w:space="0"/>
                    <w:bottom w:val="single" w:color="000000" w:sz="2" w:space="0"/>
                    <w:right w:val="single" w:color="000000" w:sz="2" w:space="0"/>
                  </w:tcBorders>
                  <w:noWrap w:val="0"/>
                  <w:vAlign w:val="center"/>
                </w:tcPr>
                <w:p w14:paraId="2A6A7584">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highlight w:val="none"/>
                      <w:lang w:eastAsia="zh-CN"/>
                    </w:rPr>
                    <w:t>上八庙镇</w:t>
                  </w:r>
                  <w:r>
                    <w:rPr>
                      <w:rFonts w:hint="default" w:ascii="Times New Roman" w:hAnsi="Times New Roman" w:eastAsia="宋体" w:cs="Times New Roman"/>
                      <w:color w:val="auto"/>
                      <w:highlight w:val="none"/>
                    </w:rPr>
                    <w:t>污水处理站处理；本项目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5FA44E3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8246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073202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2A23E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0C5E26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1FFA5E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5276" w:type="dxa"/>
                  <w:tcBorders>
                    <w:top w:val="single" w:color="000000" w:sz="2" w:space="0"/>
                    <w:left w:val="single" w:color="000000" w:sz="2" w:space="0"/>
                    <w:bottom w:val="single" w:color="000000" w:sz="2" w:space="0"/>
                    <w:right w:val="single" w:color="000000" w:sz="2" w:space="0"/>
                  </w:tcBorders>
                  <w:noWrap w:val="0"/>
                  <w:vAlign w:val="center"/>
                </w:tcPr>
                <w:p w14:paraId="2C52A3C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【联防联控要求】</w:t>
                  </w:r>
                </w:p>
                <w:p w14:paraId="23C9C77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深化成都平原、川南、川东北地区大气污染联防联控工作机制，加强川渝地区联防联控。强化重污染天气区域应急联动机制，深化区域重污染天气联合应对。</w:t>
                  </w:r>
                </w:p>
              </w:tc>
              <w:tc>
                <w:tcPr>
                  <w:tcW w:w="5121" w:type="dxa"/>
                  <w:tcBorders>
                    <w:top w:val="single" w:color="000000" w:sz="2" w:space="0"/>
                    <w:left w:val="single" w:color="000000" w:sz="2" w:space="0"/>
                    <w:bottom w:val="single" w:color="000000" w:sz="2" w:space="0"/>
                    <w:right w:val="single" w:color="000000" w:sz="2" w:space="0"/>
                  </w:tcBorders>
                  <w:noWrap w:val="0"/>
                  <w:vAlign w:val="center"/>
                </w:tcPr>
                <w:p w14:paraId="4F155BE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不属于工业项目</w:t>
                  </w:r>
                  <w:r>
                    <w:rPr>
                      <w:rFonts w:hint="eastAsia" w:cs="Times New Roman"/>
                      <w:color w:val="auto"/>
                      <w:szCs w:val="21"/>
                      <w:lang w:val="en-US" w:eastAsia="zh-CN"/>
                    </w:rPr>
                    <w:t>。</w:t>
                  </w:r>
                  <w:r>
                    <w:rPr>
                      <w:rFonts w:hint="default"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hint="default"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hint="default" w:ascii="Times New Roman" w:hAnsi="Times New Roman" w:eastAsia="宋体" w:cs="Times New Roman"/>
                      <w:color w:val="auto"/>
                    </w:rPr>
                    <w:t>。本次环评对钻井期间环境风险提出了防范措施</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00B353F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0C2E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6D67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7C9FD3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1DA78F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73C2C1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5276" w:type="dxa"/>
                  <w:tcBorders>
                    <w:top w:val="single" w:color="000000" w:sz="2" w:space="0"/>
                    <w:left w:val="single" w:color="000000" w:sz="2" w:space="0"/>
                    <w:bottom w:val="single" w:color="000000" w:sz="2" w:space="0"/>
                    <w:right w:val="single" w:color="000000" w:sz="2" w:space="0"/>
                  </w:tcBorders>
                  <w:noWrap w:val="0"/>
                  <w:vAlign w:val="center"/>
                </w:tcPr>
                <w:p w14:paraId="20F2EC6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【其他资源利用效率要求】</w:t>
                  </w:r>
                </w:p>
                <w:p w14:paraId="1670686C">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持续推进畜禽粪污综合利用；</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加强城乡集中式饮用水水源保护，确保饮用水水源安全</w:t>
                  </w:r>
                  <w:r>
                    <w:rPr>
                      <w:rFonts w:hint="eastAsia" w:cs="Times New Roman"/>
                      <w:color w:val="auto"/>
                      <w:sz w:val="21"/>
                      <w:szCs w:val="21"/>
                      <w:lang w:eastAsia="zh-CN"/>
                    </w:rPr>
                    <w:t>。</w:t>
                  </w:r>
                </w:p>
              </w:tc>
              <w:tc>
                <w:tcPr>
                  <w:tcW w:w="5121" w:type="dxa"/>
                  <w:tcBorders>
                    <w:top w:val="single" w:color="000000" w:sz="2" w:space="0"/>
                    <w:left w:val="single" w:color="000000" w:sz="2" w:space="0"/>
                    <w:bottom w:val="single" w:color="000000" w:sz="2" w:space="0"/>
                    <w:right w:val="single" w:color="000000" w:sz="2" w:space="0"/>
                  </w:tcBorders>
                  <w:noWrap w:val="0"/>
                  <w:vAlign w:val="center"/>
                </w:tcPr>
                <w:p w14:paraId="07A9076A">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cs="Times New Roman"/>
                      <w:color w:val="auto"/>
                      <w:highlight w:val="none"/>
                      <w:lang w:val="en-US" w:eastAsia="zh-CN"/>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cs="Times New Roman"/>
                      <w:color w:val="auto"/>
                      <w:highlight w:val="none"/>
                      <w:lang w:val="en-US" w:eastAsia="zh-CN"/>
                    </w:rPr>
                    <w:t>，不涉及集中式饮用水水源保护区</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454133C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2B078D58">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本项目与巴中市要素重点管控单元普适性管控要求符合性分析表</w:t>
            </w:r>
          </w:p>
          <w:tbl>
            <w:tblPr>
              <w:tblStyle w:val="23"/>
              <w:tblW w:w="1328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462"/>
              <w:gridCol w:w="615"/>
              <w:gridCol w:w="576"/>
              <w:gridCol w:w="442"/>
              <w:gridCol w:w="8192"/>
              <w:gridCol w:w="2205"/>
              <w:gridCol w:w="788"/>
            </w:tblGrid>
            <w:tr w14:paraId="35511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tcBorders>
                    <w:top w:val="single" w:color="000000" w:sz="2" w:space="0"/>
                    <w:left w:val="single" w:color="000000" w:sz="2" w:space="0"/>
                    <w:bottom w:val="single" w:color="000000" w:sz="2" w:space="0"/>
                    <w:right w:val="single" w:color="000000" w:sz="2" w:space="0"/>
                  </w:tcBorders>
                  <w:noWrap w:val="0"/>
                  <w:vAlign w:val="center"/>
                </w:tcPr>
                <w:p w14:paraId="7AAE67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615" w:type="dxa"/>
                  <w:tcBorders>
                    <w:top w:val="single" w:color="000000" w:sz="2" w:space="0"/>
                    <w:left w:val="single" w:color="000000" w:sz="2" w:space="0"/>
                    <w:bottom w:val="single" w:color="000000" w:sz="2" w:space="0"/>
                    <w:right w:val="single" w:color="000000" w:sz="2" w:space="0"/>
                  </w:tcBorders>
                  <w:noWrap w:val="0"/>
                  <w:vAlign w:val="center"/>
                </w:tcPr>
                <w:p w14:paraId="526593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576" w:type="dxa"/>
                  <w:tcBorders>
                    <w:top w:val="single" w:color="000000" w:sz="2" w:space="0"/>
                    <w:left w:val="single" w:color="000000" w:sz="2" w:space="0"/>
                    <w:bottom w:val="single" w:color="000000" w:sz="2" w:space="0"/>
                    <w:right w:val="single" w:color="000000" w:sz="2" w:space="0"/>
                  </w:tcBorders>
                  <w:noWrap w:val="0"/>
                  <w:vAlign w:val="center"/>
                </w:tcPr>
                <w:p w14:paraId="4308BD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049D6B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751E5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002FF27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本项目情况</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795F6A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符合性</w:t>
                  </w:r>
                </w:p>
              </w:tc>
            </w:tr>
            <w:tr w14:paraId="1955D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restart"/>
                  <w:tcBorders>
                    <w:top w:val="single" w:color="000000" w:sz="2" w:space="0"/>
                    <w:left w:val="single" w:color="000000" w:sz="2" w:space="0"/>
                    <w:bottom w:val="single" w:color="000000" w:sz="2" w:space="0"/>
                    <w:right w:val="single" w:color="000000" w:sz="2" w:space="0"/>
                  </w:tcBorders>
                  <w:noWrap w:val="0"/>
                  <w:vAlign w:val="center"/>
                </w:tcPr>
                <w:p w14:paraId="1811CC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p>
              </w:tc>
              <w:tc>
                <w:tcPr>
                  <w:tcW w:w="615" w:type="dxa"/>
                  <w:vMerge w:val="restart"/>
                  <w:tcBorders>
                    <w:top w:val="single" w:color="000000" w:sz="2" w:space="0"/>
                    <w:left w:val="single" w:color="000000" w:sz="2" w:space="0"/>
                    <w:bottom w:val="single" w:color="000000" w:sz="2" w:space="0"/>
                    <w:right w:val="single" w:color="000000" w:sz="2" w:space="0"/>
                  </w:tcBorders>
                  <w:noWrap w:val="0"/>
                  <w:vAlign w:val="center"/>
                </w:tcPr>
                <w:p w14:paraId="03426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w:t>
                  </w:r>
                </w:p>
              </w:tc>
              <w:tc>
                <w:tcPr>
                  <w:tcW w:w="576" w:type="dxa"/>
                  <w:vMerge w:val="restart"/>
                  <w:tcBorders>
                    <w:top w:val="single" w:color="000000" w:sz="2" w:space="0"/>
                    <w:left w:val="single" w:color="000000" w:sz="2" w:space="0"/>
                    <w:bottom w:val="single" w:color="000000" w:sz="2" w:space="0"/>
                    <w:right w:val="single" w:color="000000" w:sz="2" w:space="0"/>
                  </w:tcBorders>
                  <w:noWrap w:val="0"/>
                  <w:vAlign w:val="center"/>
                </w:tcPr>
                <w:p w14:paraId="110A46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1FCD8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055B2D21">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C557B4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-禁止在法律法规规定的禁采区内新建矿山；禁止土法采、选、冶严重污染环境的矿产资源。-涉及基本农田的区域，除法律规定的重点建设项目选址确实无法避让外，其他任何建设不得占用</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禁止在长江干支流岸线一公里范围内新建、扩建化工园区和化工项目。-禁止在长江干流岸线三公里范围内和重要支流岸线一公里范围内新建、改建、扩建尾矿库、冶炼渣库、磷石膏库，以提升安全、生态环境保护水平为目的的改建除外。-禁止在长江流域河湖管理范围内倾倒、填埋、堆放、弃置、处理固体废物。-畜禽养殖严格按照区县畜禽养殖区域划定方案执行，依法关闭或搬迁禁养区内的畜禽养殖场（小区）或养殖专业户。-禁止在永久基本农田集中区域和其他需要特别保护的区域选址建设尾矿库、冶炼渣库、磷石膏库。</w:t>
                  </w:r>
                </w:p>
                <w:p w14:paraId="5F5FE9F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【限制开发建设活动的要求】</w:t>
                  </w:r>
                </w:p>
                <w:p w14:paraId="6AF4C62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472BC3B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2136AE7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水环境农业污染重点管控区：（1）稳步推进建制镇污水处理设施建设，适当预留发展空间，宜集中则集中，宜分散则分散。农村生活污水处理设施排水执行《农村生活污水处理设施水污染</w:t>
                  </w:r>
                  <w:r>
                    <w:rPr>
                      <w:rFonts w:hint="eastAsia" w:ascii="Times New Roman" w:hAnsi="Times New Roman" w:eastAsia="宋体" w:cs="Times New Roman"/>
                      <w:color w:val="auto"/>
                      <w:sz w:val="21"/>
                      <w:szCs w:val="21"/>
                      <w:lang w:val="en-US" w:eastAsia="zh-CN"/>
                    </w:rPr>
                    <w:t>物</w:t>
                  </w:r>
                  <w:r>
                    <w:rPr>
                      <w:rFonts w:hint="default" w:ascii="Times New Roman" w:hAnsi="Times New Roman" w:eastAsia="宋体" w:cs="Times New Roman"/>
                      <w:color w:val="auto"/>
                      <w:sz w:val="21"/>
                      <w:szCs w:val="21"/>
                    </w:rPr>
                    <w:t>排放标准》（DB512626-2019）要求。（2）深入推进化肥减量增效。鼓励以循环利用与生态净化相结合的方式控制种植业污染，农企合作推进测土配方施肥。</w:t>
                  </w:r>
                </w:p>
                <w:p w14:paraId="39F4B6B2">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【不符合空间布局要求活动的退出要求】</w:t>
                  </w:r>
                </w:p>
                <w:p w14:paraId="48381BB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-全面取缔禁养区内规模化畜禽养殖场。-针对现有水泥企业，强化污染治理和污染物减排，依法依规整治或搬迁。-严格执行《</w:t>
                  </w:r>
                  <w:r>
                    <w:rPr>
                      <w:rFonts w:hint="eastAsia" w:ascii="Times New Roman" w:hAnsi="Times New Roman" w:eastAsia="宋体" w:cs="Times New Roman"/>
                      <w:color w:val="auto"/>
                      <w:sz w:val="21"/>
                      <w:szCs w:val="21"/>
                      <w:lang w:eastAsia="zh-CN"/>
                    </w:rPr>
                    <w:t>矿产资源开采登记管理办法</w:t>
                  </w:r>
                  <w:r>
                    <w:rPr>
                      <w:rFonts w:hint="default" w:ascii="Times New Roman" w:hAnsi="Times New Roman" w:eastAsia="宋体" w:cs="Times New Roman"/>
                      <w:color w:val="auto"/>
                      <w:sz w:val="21"/>
                      <w:szCs w:val="21"/>
                    </w:rPr>
                    <w:t>》的相关规定</w:t>
                  </w:r>
                </w:p>
                <w:p w14:paraId="4F59D34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其他空间布局约束要求</w:t>
                  </w:r>
                  <w:r>
                    <w:rPr>
                      <w:rFonts w:hint="default" w:ascii="Times New Roman" w:hAnsi="Times New Roman" w:eastAsia="宋体" w:cs="Times New Roman"/>
                      <w:b/>
                      <w:bCs/>
                      <w:color w:val="auto"/>
                      <w:sz w:val="21"/>
                      <w:szCs w:val="21"/>
                    </w:rPr>
                    <w:t>】</w:t>
                  </w:r>
                </w:p>
                <w:p w14:paraId="18559440">
                  <w:pPr>
                    <w:keepNext w:val="0"/>
                    <w:keepLines w:val="0"/>
                    <w:suppressLineNumbers w:val="0"/>
                    <w:spacing w:before="0" w:beforeAutospacing="0" w:after="0" w:afterAutospacing="0"/>
                    <w:ind w:left="0" w:right="0"/>
                    <w:jc w:val="left"/>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68F85D0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sz w:val="21"/>
                      <w:szCs w:val="21"/>
                      <w:highlight w:val="none"/>
                    </w:rPr>
                    <w:t>用地为临时占地，土地利用现状为</w:t>
                  </w:r>
                  <w:r>
                    <w:rPr>
                      <w:rFonts w:hint="default" w:ascii="Times New Roman" w:hAnsi="Times New Roman" w:eastAsia="宋体" w:cs="Times New Roman"/>
                      <w:color w:val="auto"/>
                      <w:sz w:val="21"/>
                      <w:szCs w:val="21"/>
                      <w:highlight w:val="none"/>
                      <w:lang w:eastAsia="zh-CN"/>
                    </w:rPr>
                    <w:t>林地、</w:t>
                  </w:r>
                  <w:r>
                    <w:rPr>
                      <w:rFonts w:hint="eastAsia" w:ascii="Times New Roman" w:hAnsi="Times New Roman" w:eastAsia="宋体" w:cs="Times New Roman"/>
                      <w:color w:val="auto"/>
                      <w:sz w:val="21"/>
                      <w:szCs w:val="21"/>
                      <w:highlight w:val="none"/>
                      <w:lang w:val="en-US" w:eastAsia="zh-CN"/>
                    </w:rPr>
                    <w:t>耕地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含永久</w:t>
                  </w:r>
                  <w:r>
                    <w:rPr>
                      <w:rFonts w:hint="default" w:ascii="Times New Roman" w:hAnsi="Times New Roman" w:eastAsia="宋体" w:cs="Times New Roman"/>
                      <w:color w:val="auto"/>
                      <w:sz w:val="21"/>
                      <w:szCs w:val="21"/>
                      <w:highlight w:val="none"/>
                      <w:lang w:val="en-US" w:eastAsia="zh-CN"/>
                    </w:rPr>
                    <w:t>基本农田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rPr>
                    <w:t>、坑塘水面、农村宅基地</w:t>
                  </w:r>
                  <w:r>
                    <w:rPr>
                      <w:rFonts w:hint="eastAsia" w:ascii="Times New Roman" w:hAnsi="Times New Roman" w:eastAsia="宋体" w:cs="Times New Roman"/>
                      <w:color w:val="auto"/>
                      <w:lang w:val="en-US" w:eastAsia="zh-CN"/>
                    </w:rPr>
                    <w:t>等。</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完成后将</w:t>
                  </w:r>
                  <w:r>
                    <w:rPr>
                      <w:rFonts w:hint="default" w:ascii="Times New Roman" w:hAnsi="Times New Roman" w:eastAsia="宋体" w:cs="Times New Roman"/>
                      <w:color w:val="auto"/>
                      <w:sz w:val="21"/>
                      <w:szCs w:val="21"/>
                      <w:highlight w:val="none"/>
                    </w:rPr>
                    <w:t>按照相关规定做好对临时占地进行恢复，做好</w:t>
                  </w:r>
                  <w:r>
                    <w:rPr>
                      <w:rFonts w:hint="default" w:ascii="Times New Roman" w:hAnsi="Times New Roman" w:eastAsia="宋体" w:cs="Times New Roman"/>
                      <w:color w:val="auto"/>
                      <w:sz w:val="21"/>
                      <w:szCs w:val="21"/>
                      <w:highlight w:val="none"/>
                      <w:lang w:eastAsia="zh-CN"/>
                    </w:rPr>
                    <w:t>覆土</w:t>
                  </w:r>
                  <w:r>
                    <w:rPr>
                      <w:rFonts w:hint="default" w:ascii="Times New Roman" w:hAnsi="Times New Roman" w:eastAsia="宋体" w:cs="Times New Roman"/>
                      <w:color w:val="auto"/>
                      <w:sz w:val="21"/>
                      <w:szCs w:val="21"/>
                      <w:highlight w:val="none"/>
                    </w:rPr>
                    <w:t>复耕，保证土壤质量</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62E0E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650A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E080A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82B72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24A7D7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102363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1307B9E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【现有源提标升级改造】</w:t>
                  </w:r>
                </w:p>
                <w:p w14:paraId="6149752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快现有乡镇污水处理设施升级改造，按要求达《城镇污水处理厂污染物排放标准》一级A标后排放。-在矿产资源开发活动集中区域，废水执行重金属污染物排放特别限值。-火电、水泥等行业按相关要求推进大气污染物超低排放和深度治理。-砖瓦行业实施脱硫、除尘升级改造，污染物排放达到《砖瓦工业大气污染物排放标准》相关要求</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27BBA75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25FABB8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源等量或倍量替代：-若上一年度空气质量年平均浓度不达标、水环境质量未达到要求，则建设项目新增相关污染物按照总量管控要求进行倍量削减替代。-若上一年度空气质量、水环境质量达标，则建设项目新增相关污染物按照总量管控要求进行等量替代。-新增VOCs排放的建设项目实行等量替代。污染物排放绩效水平准入要求：-屠宰项目必须配套污水处理设施或进入城市污水管网；-到2025年，基本消除城市建成区生活污水直排口和收集处理设施空白区；县城污水处理率达到95%以上；水环境敏感地区污水处理基本达到一级A排放标准；-到2035年，城市生活污水收集管网基本全覆盖，城镇污水处理能力全覆盖，全面实现污泥无害化处置。-大中型矿山达到绿色矿山标准，引导小型矿山按照绿色矿山标准规范发展；加强矿山采选废水的处理和综合利用，不外排，采矿废水应尽量回用。-到2021年底，全市生活垃圾收转运处置体系覆盖95%以上行政村，再生资源回收网点覆盖30%以上的行政村，全市95%以上行政村的生活垃圾得到有效治理。到2023年，全市生活垃圾收转运处置体系覆盖所有行政村，再生资源回收网点覆盖60%以上的行政村，实现保洁员配备合理、管理有效，村组保洁工作运转有序。到2025年，乡镇和农村地区生活垃圾分类工作取得明显成效，生活垃圾减量化、无害化、资源化水平显著提高。基本建成垃圾分类有特色、转运设施较齐全。村庄保洁见长效，资金投入有保障、监管制度较完善的农村生活垃圾治理体系。-到2025年底，全市有机肥使用面积达到370万亩，平均耕地质量提升一个等级，化肥使用量总体保持零增长；-到2025年，主要粮经作物主产区农药包装废弃物回收率达80%。</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22EE67FD">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highlight w:val="none"/>
                      <w:lang w:eastAsia="zh-CN"/>
                    </w:rPr>
                    <w:t>上八庙镇</w:t>
                  </w:r>
                  <w:r>
                    <w:rPr>
                      <w:rFonts w:hint="default" w:ascii="Times New Roman" w:hAnsi="Times New Roman" w:eastAsia="宋体" w:cs="Times New Roman"/>
                      <w:color w:val="auto"/>
                      <w:highlight w:val="none"/>
                    </w:rPr>
                    <w:t>污水处理站处理；本项目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eastAsia" w:ascii="Times New Roman" w:hAnsi="Times New Roman" w:eastAsia="宋体" w:cs="Times New Roman"/>
                      <w:color w:val="auto"/>
                      <w:highlight w:val="none"/>
                      <w:lang w:eastAsia="zh-CN"/>
                    </w:rPr>
                    <w:t>。</w:t>
                  </w:r>
                </w:p>
                <w:p w14:paraId="58C93D0A">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w:t>
                  </w:r>
                </w:p>
                <w:p w14:paraId="6E027EC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本次环评对钻井期间环境风险提出了防范措施</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BB913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2C47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EC8F0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E6C75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9236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3C8F5E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2A53C0EA">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【联防联控要求】</w:t>
                  </w:r>
                </w:p>
                <w:p w14:paraId="2FCC327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49B912D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【其他环境风险防控要求】</w:t>
                  </w:r>
                </w:p>
                <w:p w14:paraId="7947B48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企业环境风险防控要求：-工业企业退出用地，应按相关要求进行评估、修复，满足相应用地功能后，方可改变用途。
-加强“散乱污”企业环境风险防控。
-现有涉及五类重金属的企业，严控污染物排放，限时整治或搬迁。
-加强再生利用行业清理整顿。落实《电子废物、废轮胎、废塑料、废旧衣服、废家电拆解等再生利用行业清理整顿工作方案》，防止污染土壤和地下水。
用地环境风险防控要求：-严禁将城镇生活垃圾、污泥、工业废物直接用作肥料，禁止处理不达标的污泥进入耕地；禁止在农用地排放、倾倒、使用污泥、清淤底泥、尾矿（渣）等可能对土壤造成污染的固体废物。
-严格控制林地、草地、园地的农药使用量，禁止使用高毒、高残留农药。</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3C74C7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不属于工业项目</w:t>
                  </w:r>
                  <w:r>
                    <w:rPr>
                      <w:rFonts w:hint="eastAsia" w:cs="Times New Roman"/>
                      <w:color w:val="auto"/>
                      <w:szCs w:val="21"/>
                      <w:lang w:val="en-US" w:eastAsia="zh-CN"/>
                    </w:rPr>
                    <w:t>。</w:t>
                  </w:r>
                  <w:r>
                    <w:rPr>
                      <w:rFonts w:hint="default"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hint="default"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hint="default" w:ascii="Times New Roman" w:hAnsi="Times New Roman" w:eastAsia="宋体" w:cs="Times New Roman"/>
                      <w:color w:val="auto"/>
                    </w:rPr>
                    <w:t>。本次环评对钻井期间环境风险提出了防范措施</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3F1A6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5B7C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33573C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1F13D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76B34C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392CD7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41D6AB98">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【水资源利用总量要求】</w:t>
                  </w:r>
                </w:p>
                <w:p w14:paraId="3A12609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到2022年，万元国内生产总值用水量、万元工业增加值用水量较2015年分别降低30%和28%。</w:t>
                  </w:r>
                </w:p>
                <w:p w14:paraId="56B83C74">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【地下水开采要求】</w:t>
                  </w:r>
                </w:p>
                <w:p w14:paraId="10F73E8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-巴中市2025年地下水开采控制控制量保持在1400万m3以内。
-地下水开采量控制在可开采量的允 许范围内，抑制用水过度增长。</w:t>
                  </w:r>
                </w:p>
                <w:p w14:paraId="255CE314">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【能源利用总量及效率要求】</w:t>
                  </w:r>
                </w:p>
                <w:p w14:paraId="44877C3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-推进清洁能源的推广使用，全面推进散煤清洁化整治；禁止新建每小时10蒸吨以下的燃煤锅炉及其他燃煤设施。
-禁止焚烧秸秆和垃圾。</w:t>
                  </w:r>
                </w:p>
                <w:p w14:paraId="16909366">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【禁燃区要求】</w:t>
                  </w:r>
                </w:p>
                <w:p w14:paraId="19C6D0F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570199D5">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【其他资源利用效率要求】</w:t>
                  </w:r>
                </w:p>
                <w:p w14:paraId="61492EDF">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到2025年，巴中市农田有效灌溉系数达到0.56；到 2030 年，巴中市农田有效灌溉率提到40%，农田灌溉用水有效利用系数提高到 0.62 左右。</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3181C598">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不属于工业项目；</w:t>
                  </w:r>
                  <w:r>
                    <w:rPr>
                      <w:rFonts w:hint="eastAsia" w:cs="Times New Roman"/>
                      <w:color w:val="auto"/>
                      <w:szCs w:val="21"/>
                      <w:lang w:val="en-US" w:eastAsia="zh-CN"/>
                    </w:rPr>
                    <w:t>项目不涉及资源开发利用，</w:t>
                  </w:r>
                  <w:r>
                    <w:rPr>
                      <w:rFonts w:hint="eastAsia" w:ascii="Times New Roman" w:hAnsi="Times New Roman" w:cs="Times New Roman"/>
                      <w:color w:val="auto"/>
                      <w:szCs w:val="21"/>
                      <w:lang w:val="en-US" w:eastAsia="zh-CN"/>
                    </w:rPr>
                    <w:t>项目不涉及使用高污染燃料</w:t>
                  </w:r>
                  <w:r>
                    <w:rPr>
                      <w:rFonts w:hint="eastAsia" w:cs="Times New Roman"/>
                      <w:color w:val="auto"/>
                      <w:szCs w:val="21"/>
                      <w:lang w:val="en-US" w:eastAsia="zh-CN"/>
                    </w:rPr>
                    <w:t>，不涉及燃煤锅炉</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272876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bl>
          <w:p w14:paraId="4DFA2B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②县（市、区）</w:t>
            </w:r>
            <w:r>
              <w:rPr>
                <w:rFonts w:hint="default" w:ascii="Times New Roman" w:hAnsi="Times New Roman" w:eastAsia="宋体" w:cs="Times New Roman"/>
                <w:color w:val="auto"/>
                <w:sz w:val="24"/>
                <w:szCs w:val="24"/>
                <w:lang w:val="en-US" w:eastAsia="zh-CN"/>
              </w:rPr>
              <w:t>普适性管控要求</w:t>
            </w:r>
          </w:p>
          <w:p w14:paraId="47372275">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本项目与</w:t>
            </w:r>
            <w:r>
              <w:rPr>
                <w:rFonts w:hint="eastAsia" w:cs="Times New Roman"/>
                <w:color w:val="auto"/>
                <w:kern w:val="0"/>
                <w:sz w:val="24"/>
                <w:lang w:val="en-US" w:eastAsia="zh-CN"/>
              </w:rPr>
              <w:t>恩阳区普适性</w:t>
            </w:r>
            <w:r>
              <w:rPr>
                <w:rFonts w:hint="eastAsia" w:ascii="Times New Roman" w:hAnsi="Times New Roman" w:cs="Times New Roman"/>
                <w:color w:val="auto"/>
                <w:kern w:val="0"/>
                <w:sz w:val="24"/>
                <w:lang w:val="en-US" w:eastAsia="zh-CN"/>
              </w:rPr>
              <w:t>管控要求符合性分析如下表所示。</w:t>
            </w:r>
          </w:p>
          <w:p w14:paraId="03B449E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w:t>
            </w:r>
            <w:r>
              <w:rPr>
                <w:rFonts w:hint="eastAsia" w:cs="Times New Roman"/>
                <w:b/>
                <w:color w:val="auto"/>
                <w:lang w:val="en-US" w:eastAsia="zh-CN"/>
              </w:rPr>
              <w:t>恩阳</w:t>
            </w:r>
            <w:r>
              <w:rPr>
                <w:rFonts w:hint="eastAsia" w:ascii="Times New Roman" w:hAnsi="Times New Roman" w:eastAsia="宋体" w:cs="Times New Roman"/>
                <w:b/>
                <w:color w:val="auto"/>
                <w:lang w:val="en-US" w:eastAsia="zh-CN"/>
              </w:rPr>
              <w:t>区普适性管控要求符合性分析表</w:t>
            </w:r>
          </w:p>
          <w:tbl>
            <w:tblPr>
              <w:tblStyle w:val="23"/>
              <w:tblW w:w="1337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798"/>
              <w:gridCol w:w="1125"/>
              <w:gridCol w:w="995"/>
              <w:gridCol w:w="3757"/>
              <w:gridCol w:w="5878"/>
              <w:gridCol w:w="824"/>
            </w:tblGrid>
            <w:tr w14:paraId="5668F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tcBorders>
                    <w:top w:val="single" w:color="000000" w:sz="2" w:space="0"/>
                    <w:left w:val="single" w:color="000000" w:sz="2" w:space="0"/>
                    <w:bottom w:val="single" w:color="000000" w:sz="2" w:space="0"/>
                    <w:right w:val="single" w:color="000000" w:sz="2" w:space="0"/>
                  </w:tcBorders>
                  <w:noWrap w:val="0"/>
                  <w:vAlign w:val="center"/>
                </w:tcPr>
                <w:p w14:paraId="1B02CD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县区</w:t>
                  </w:r>
                </w:p>
              </w:tc>
              <w:tc>
                <w:tcPr>
                  <w:tcW w:w="1125" w:type="dxa"/>
                  <w:tcBorders>
                    <w:top w:val="single" w:color="000000" w:sz="2" w:space="0"/>
                    <w:left w:val="single" w:color="000000" w:sz="2" w:space="0"/>
                    <w:bottom w:val="single" w:color="000000" w:sz="2" w:space="0"/>
                    <w:right w:val="single" w:color="000000" w:sz="2" w:space="0"/>
                  </w:tcBorders>
                  <w:noWrap w:val="0"/>
                  <w:vAlign w:val="center"/>
                </w:tcPr>
                <w:p w14:paraId="0065FB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56AEF5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2008E6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单元特性管控要求</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28EF1B7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25C164F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3897EA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restart"/>
                  <w:tcBorders>
                    <w:top w:val="single" w:color="000000" w:sz="2" w:space="0"/>
                    <w:left w:val="single" w:color="000000" w:sz="2" w:space="0"/>
                    <w:bottom w:val="single" w:color="000000" w:sz="2" w:space="0"/>
                    <w:right w:val="single" w:color="000000" w:sz="2" w:space="0"/>
                  </w:tcBorders>
                  <w:noWrap w:val="0"/>
                  <w:vAlign w:val="center"/>
                </w:tcPr>
                <w:p w14:paraId="22ED0A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恩阳</w:t>
                  </w:r>
                  <w:r>
                    <w:rPr>
                      <w:rFonts w:hint="default" w:ascii="Times New Roman" w:hAnsi="Times New Roman" w:eastAsia="宋体" w:cs="Times New Roman"/>
                      <w:color w:val="auto"/>
                      <w:sz w:val="21"/>
                      <w:szCs w:val="21"/>
                    </w:rPr>
                    <w:t>区</w:t>
                  </w:r>
                </w:p>
              </w:tc>
              <w:tc>
                <w:tcPr>
                  <w:tcW w:w="1125" w:type="dxa"/>
                  <w:vMerge w:val="restart"/>
                  <w:tcBorders>
                    <w:top w:val="single" w:color="000000" w:sz="2" w:space="0"/>
                    <w:left w:val="single" w:color="000000" w:sz="2" w:space="0"/>
                    <w:bottom w:val="single" w:color="000000" w:sz="2" w:space="0"/>
                    <w:right w:val="single" w:color="000000" w:sz="2" w:space="0"/>
                  </w:tcBorders>
                  <w:noWrap w:val="0"/>
                  <w:vAlign w:val="center"/>
                </w:tcPr>
                <w:p w14:paraId="1F0EBA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恩阳</w:t>
                  </w:r>
                  <w:r>
                    <w:rPr>
                      <w:rFonts w:hint="default" w:ascii="Times New Roman" w:hAnsi="Times New Roman" w:eastAsia="宋体" w:cs="Times New Roman"/>
                      <w:color w:val="auto"/>
                      <w:sz w:val="21"/>
                      <w:szCs w:val="21"/>
                    </w:rPr>
                    <w:t>区</w:t>
                  </w: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79F163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09A06E3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其他空间布局约束要求</w:t>
                  </w:r>
                  <w:r>
                    <w:rPr>
                      <w:rFonts w:hint="default" w:ascii="Times New Roman" w:hAnsi="Times New Roman" w:eastAsia="宋体" w:cs="Times New Roman"/>
                      <w:b/>
                      <w:bCs/>
                      <w:color w:val="auto"/>
                      <w:sz w:val="21"/>
                      <w:szCs w:val="21"/>
                    </w:rPr>
                    <w:t>】</w:t>
                  </w:r>
                </w:p>
                <w:p w14:paraId="5FA7984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-加强流域水污染防治，推进流域水生态环境修复与治理；-培育和引入食品、饮料等行业严格执行行业资源环境绩效指标准入要求；-加强城市精细化管理，提升市民对环境的幸福感、获得感。</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093302FC">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不涉及流域</w:t>
                  </w:r>
                  <w:r>
                    <w:rPr>
                      <w:rFonts w:hint="default" w:ascii="Times New Roman" w:hAnsi="Times New Roman" w:eastAsia="宋体" w:cs="Times New Roman"/>
                      <w:color w:val="auto"/>
                      <w:sz w:val="21"/>
                      <w:szCs w:val="21"/>
                    </w:rPr>
                    <w:t>水生态环境修复与治理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城市精细化管理</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08BBE2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2289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27D5AF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7D4A3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5B6DB5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431E11DD">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5385D7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-加强工业园区内和园区外企业污染排放监管，推进“散乱污”企业整治；-强化扬尘源、燃烧源和移动源等大气污染防治。</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1DA53BC7">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highlight w:val="none"/>
                      <w:lang w:eastAsia="zh-CN"/>
                    </w:rPr>
                    <w:t>上八庙镇</w:t>
                  </w:r>
                  <w:r>
                    <w:rPr>
                      <w:rFonts w:hint="default" w:ascii="Times New Roman" w:hAnsi="Times New Roman" w:eastAsia="宋体" w:cs="Times New Roman"/>
                      <w:color w:val="auto"/>
                      <w:highlight w:val="none"/>
                    </w:rPr>
                    <w:t>污水处理站处理；本项目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default" w:ascii="Times New Roman" w:hAnsi="Times New Roman" w:eastAsia="宋体" w:cs="Times New Roman"/>
                      <w:color w:val="auto"/>
                      <w:highlight w:val="none"/>
                    </w:rPr>
                    <w:t>。</w:t>
                  </w: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。本次环评对钻井期间环境风险提出了防范措施</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33ADFBF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03173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720BAE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6780BC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6C2DB6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0853C0D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16ABD83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34151FA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3E0D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568B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DACFB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162D86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00832D5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7A81374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64816AA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5201D9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③环境管控单元准入清单</w:t>
            </w:r>
          </w:p>
          <w:p w14:paraId="50D7EAF2">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本项目与环境管控单元准入清单符合性分析如下表所示。</w:t>
            </w:r>
          </w:p>
          <w:p w14:paraId="0CE7CBB8">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本项目与环境管控单元准入清单符合性分析表</w:t>
            </w:r>
          </w:p>
          <w:tbl>
            <w:tblPr>
              <w:tblStyle w:val="23"/>
              <w:tblW w:w="1341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040"/>
              <w:gridCol w:w="1008"/>
              <w:gridCol w:w="759"/>
              <w:gridCol w:w="563"/>
              <w:gridCol w:w="524"/>
              <w:gridCol w:w="6412"/>
              <w:gridCol w:w="2189"/>
              <w:gridCol w:w="921"/>
            </w:tblGrid>
            <w:tr w14:paraId="3D8CE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tcBorders>
                    <w:top w:val="single" w:color="000000" w:sz="2" w:space="0"/>
                    <w:left w:val="single" w:color="000000" w:sz="2" w:space="0"/>
                    <w:bottom w:val="single" w:color="000000" w:sz="2" w:space="0"/>
                    <w:right w:val="single" w:color="000000" w:sz="2" w:space="0"/>
                  </w:tcBorders>
                  <w:noWrap w:val="0"/>
                  <w:vAlign w:val="center"/>
                </w:tcPr>
                <w:p w14:paraId="39E383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环境管控单元编码</w:t>
                  </w:r>
                </w:p>
              </w:tc>
              <w:tc>
                <w:tcPr>
                  <w:tcW w:w="1008" w:type="dxa"/>
                  <w:tcBorders>
                    <w:top w:val="single" w:color="000000" w:sz="2" w:space="0"/>
                    <w:left w:val="single" w:color="000000" w:sz="2" w:space="0"/>
                    <w:bottom w:val="single" w:color="000000" w:sz="2" w:space="0"/>
                    <w:right w:val="single" w:color="000000" w:sz="2" w:space="0"/>
                  </w:tcBorders>
                  <w:noWrap w:val="0"/>
                  <w:vAlign w:val="center"/>
                </w:tcPr>
                <w:p w14:paraId="3D5908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环境管控单元名称</w:t>
                  </w:r>
                </w:p>
              </w:tc>
              <w:tc>
                <w:tcPr>
                  <w:tcW w:w="759" w:type="dxa"/>
                  <w:tcBorders>
                    <w:top w:val="single" w:color="000000" w:sz="2" w:space="0"/>
                    <w:left w:val="single" w:color="000000" w:sz="2" w:space="0"/>
                    <w:bottom w:val="single" w:color="000000" w:sz="2" w:space="0"/>
                    <w:right w:val="single" w:color="000000" w:sz="2" w:space="0"/>
                  </w:tcBorders>
                  <w:noWrap w:val="0"/>
                  <w:vAlign w:val="center"/>
                </w:tcPr>
                <w:p w14:paraId="2C65D5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管控单元类型</w:t>
                  </w:r>
                </w:p>
              </w:tc>
              <w:tc>
                <w:tcPr>
                  <w:tcW w:w="563" w:type="dxa"/>
                  <w:tcBorders>
                    <w:top w:val="single" w:color="000000" w:sz="2" w:space="0"/>
                    <w:left w:val="single" w:color="000000" w:sz="2" w:space="0"/>
                    <w:bottom w:val="single" w:color="000000" w:sz="2" w:space="0"/>
                    <w:right w:val="single" w:color="000000" w:sz="2" w:space="0"/>
                  </w:tcBorders>
                  <w:noWrap w:val="0"/>
                  <w:vAlign w:val="center"/>
                </w:tcPr>
                <w:p w14:paraId="38498B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所属县区</w:t>
                  </w: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6D2E16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5A914E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单元特性管控要求</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5341F1E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309EE80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02EAE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restart"/>
                  <w:tcBorders>
                    <w:top w:val="single" w:color="000000" w:sz="2" w:space="0"/>
                    <w:left w:val="single" w:color="000000" w:sz="2" w:space="0"/>
                    <w:bottom w:val="single" w:color="000000" w:sz="2" w:space="0"/>
                    <w:right w:val="single" w:color="000000" w:sz="2" w:space="0"/>
                  </w:tcBorders>
                  <w:noWrap w:val="0"/>
                  <w:vAlign w:val="center"/>
                </w:tcPr>
                <w:p w14:paraId="3CE7C1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ZH51190320005</w:t>
                  </w:r>
                </w:p>
              </w:tc>
              <w:tc>
                <w:tcPr>
                  <w:tcW w:w="1008" w:type="dxa"/>
                  <w:vMerge w:val="restart"/>
                  <w:tcBorders>
                    <w:top w:val="single" w:color="000000" w:sz="2" w:space="0"/>
                    <w:left w:val="single" w:color="000000" w:sz="2" w:space="0"/>
                    <w:bottom w:val="single" w:color="000000" w:sz="2" w:space="0"/>
                    <w:right w:val="single" w:color="000000" w:sz="2" w:space="0"/>
                  </w:tcBorders>
                  <w:noWrap w:val="0"/>
                  <w:vAlign w:val="center"/>
                </w:tcPr>
                <w:p w14:paraId="0DCBE7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恩阳区要素重点管控单元</w:t>
                  </w:r>
                </w:p>
              </w:tc>
              <w:tc>
                <w:tcPr>
                  <w:tcW w:w="759" w:type="dxa"/>
                  <w:vMerge w:val="restart"/>
                  <w:tcBorders>
                    <w:top w:val="single" w:color="000000" w:sz="2" w:space="0"/>
                    <w:left w:val="single" w:color="000000" w:sz="2" w:space="0"/>
                    <w:bottom w:val="single" w:color="000000" w:sz="2" w:space="0"/>
                    <w:right w:val="single" w:color="000000" w:sz="2" w:space="0"/>
                  </w:tcBorders>
                  <w:noWrap w:val="0"/>
                  <w:vAlign w:val="center"/>
                </w:tcPr>
                <w:p w14:paraId="746360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重点管控单元</w:t>
                  </w:r>
                </w:p>
              </w:tc>
              <w:tc>
                <w:tcPr>
                  <w:tcW w:w="563" w:type="dxa"/>
                  <w:vMerge w:val="restart"/>
                  <w:tcBorders>
                    <w:top w:val="single" w:color="000000" w:sz="2" w:space="0"/>
                    <w:left w:val="single" w:color="000000" w:sz="2" w:space="0"/>
                    <w:bottom w:val="single" w:color="000000" w:sz="2" w:space="0"/>
                    <w:right w:val="single" w:color="000000" w:sz="2" w:space="0"/>
                  </w:tcBorders>
                  <w:noWrap w:val="0"/>
                  <w:vAlign w:val="center"/>
                </w:tcPr>
                <w:p w14:paraId="02CA27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48FF65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72B2AE9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25E243D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严格控制开发建设项目布局，鼓励企业入园发展，工业园区外现有钢铁、有色金属、造纸、印染、原料药制造、化工等污染较重的企业应有序搬迁改造或依法关闭。（2）禁止新引入与生态旅游、农林生产、矿产资源开采无关的工业企业；主要河流沿岸两侧一定距离范围内限制矿种，砂石粘土、小型非金属等矿产。（3）矿山开采区应进行必要的防渗处理；落实涉磷矿山渣场和尾矿库的防渗、防风、防洪措施，建设规范的雨水收集池、回水池、渗滤液收集池和应急污水处理系统，并安装总磷自动在线监控装置。（4）控制农村面源污染，开展农田径流污染防治，推广测土配方施肥、生物防治和精准农业等技术，采取灌排分离等措施控制农田氮磷流失，推广使用生物农药或高效、低毒、低残留农药。（5）其他执行要素重点管控单元总体准入要求</w:t>
                  </w:r>
                </w:p>
                <w:p w14:paraId="1211829A">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【限制开发建设活动的要求】</w:t>
                  </w:r>
                </w:p>
                <w:p w14:paraId="3E2058D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7394D21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【允许开发建设活动的要求】</w:t>
                  </w:r>
                </w:p>
                <w:p w14:paraId="6F4CA79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p w14:paraId="7684E75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【不符合空间布局要求活动的退出要求】</w:t>
                  </w:r>
                </w:p>
                <w:p w14:paraId="6475D8E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位于城镇空间外的工业园区外工业企业：具有合法手续的企业，且污染物排放及环境风险满足管理要求的企业，可继续保留，要求污染物排放只降不增，并进一步加强日常环保监管；严控新（扩）建水泥厂、危废焚烧、陶瓷厂等以大气污染为主的企业；不具备合法手续，或污染物排放超标、环境风险不可控的企业，限期进行整改提升，通过环保、安全、工艺装备升级等落实整改措施并达到相关标准实现合法生产，整改后仍不能达到要求的，属地政府应按相关要求责令关停并退出。
（2）其他执行要素重点管控单元普适性管控要求。</w:t>
                  </w:r>
                </w:p>
                <w:p w14:paraId="60670AB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【其他空间布局约束要求】</w:t>
                  </w:r>
                </w:p>
                <w:p w14:paraId="719A300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0AC707F4">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不属于</w:t>
                  </w:r>
                  <w:r>
                    <w:rPr>
                      <w:rFonts w:hint="default" w:ascii="Times New Roman" w:hAnsi="Times New Roman" w:eastAsia="宋体" w:cs="Times New Roman"/>
                      <w:color w:val="auto"/>
                      <w:sz w:val="21"/>
                      <w:szCs w:val="21"/>
                    </w:rPr>
                    <w:t>有色金属、造纸、印染、原料药制造、化工等污染较重的企业。</w:t>
                  </w:r>
                  <w:r>
                    <w:rPr>
                      <w:rFonts w:hint="eastAsia" w:ascii="Times New Roman" w:hAnsi="Times New Roman" w:eastAsia="宋体" w:cs="Times New Roman"/>
                      <w:color w:val="auto"/>
                      <w:sz w:val="21"/>
                      <w:szCs w:val="21"/>
                      <w:lang w:val="en-US" w:eastAsia="zh-CN"/>
                    </w:rPr>
                    <w:t>项目满足</w:t>
                  </w:r>
                  <w:r>
                    <w:rPr>
                      <w:rFonts w:hint="default" w:ascii="Times New Roman" w:hAnsi="Times New Roman" w:eastAsia="宋体" w:cs="Times New Roman"/>
                      <w:color w:val="auto"/>
                      <w:sz w:val="21"/>
                      <w:szCs w:val="21"/>
                    </w:rPr>
                    <w:t>要素重点管控单元</w:t>
                  </w:r>
                  <w:r>
                    <w:rPr>
                      <w:rFonts w:hint="eastAsia" w:cs="Times New Roman"/>
                      <w:color w:val="auto"/>
                      <w:sz w:val="21"/>
                      <w:szCs w:val="21"/>
                      <w:lang w:val="en-US" w:eastAsia="zh-CN"/>
                    </w:rPr>
                    <w:t>总体准入要求</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416AE77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E6A8C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2EB6AE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DEA54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140691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1FAA21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735C2D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030A5506">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【现有源提标升级改造】</w:t>
                  </w:r>
                </w:p>
                <w:p w14:paraId="7E963EA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（1）大气环境布局敏感重点管控区中的大气污染排放源执行国家、省、行业排放标准中规定的大气污染物特别排放限值。
（2）其他执行要素重点管控单元总体准入要求。</w:t>
                  </w:r>
                </w:p>
                <w:p w14:paraId="0C470F2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【新增源等量或倍量替代】</w:t>
                  </w:r>
                </w:p>
                <w:p w14:paraId="696DE5A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1DBB19A2">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【新增源排放标准限值】</w:t>
                  </w:r>
                </w:p>
                <w:p w14:paraId="62C34DC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p w14:paraId="2CDDE7CB">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【污染物排放绩效水平准入要求】</w:t>
                  </w:r>
                </w:p>
                <w:p w14:paraId="506A622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F05721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5924BFF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2189" w:type="dxa"/>
                  <w:vMerge w:val="restart"/>
                  <w:tcBorders>
                    <w:top w:val="single" w:color="000000" w:sz="2" w:space="0"/>
                    <w:left w:val="single" w:color="000000" w:sz="2" w:space="0"/>
                    <w:right w:val="single" w:color="000000" w:sz="2" w:space="0"/>
                  </w:tcBorders>
                  <w:noWrap w:val="0"/>
                  <w:vAlign w:val="center"/>
                </w:tcPr>
                <w:p w14:paraId="4AC2393E">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highlight w:val="none"/>
                      <w:lang w:eastAsia="zh-CN"/>
                    </w:rPr>
                    <w:t>上八庙镇</w:t>
                  </w:r>
                  <w:r>
                    <w:rPr>
                      <w:rFonts w:hint="default" w:ascii="Times New Roman" w:hAnsi="Times New Roman" w:eastAsia="宋体" w:cs="Times New Roman"/>
                      <w:color w:val="auto"/>
                      <w:highlight w:val="none"/>
                    </w:rPr>
                    <w:t>污水处理站处理；本项目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default" w:ascii="Times New Roman" w:hAnsi="Times New Roman" w:eastAsia="宋体" w:cs="Times New Roman"/>
                      <w:color w:val="auto"/>
                      <w:highlight w:val="none"/>
                    </w:rPr>
                    <w:t>。</w:t>
                  </w: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w:t>
                  </w:r>
                </w:p>
                <w:p w14:paraId="7332FBA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本次环评对钻井期间环境风险提出了防范措施。</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74556D9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4DB71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25D62C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0C65F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3B28E1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6F642E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67EA75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5B7564B8">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【严格管控类农用地管控要求】</w:t>
                  </w:r>
                </w:p>
                <w:p w14:paraId="7A8B90E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3A93A18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【安全利用类农用地管控要求】</w:t>
                  </w:r>
                </w:p>
                <w:p w14:paraId="700CFBA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B6F66A5">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【污染地块管控要求】</w:t>
                  </w:r>
                </w:p>
                <w:p w14:paraId="0A9E2C5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299B90D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【企业环境风险防控要求】</w:t>
                  </w:r>
                </w:p>
                <w:p w14:paraId="0FD36EC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（1）开展矿区废弃地、尾矿坝生态治理示范，推进工矿废弃地修复和再利用；（2）其他执行要素重点管控单元总体准入要求。</w:t>
                  </w:r>
                </w:p>
                <w:p w14:paraId="2BAED7D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【其他环境风险防控要求】</w:t>
                  </w:r>
                </w:p>
                <w:p w14:paraId="49FEC20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189" w:type="dxa"/>
                  <w:vMerge w:val="continue"/>
                  <w:tcBorders>
                    <w:left w:val="single" w:color="000000" w:sz="2" w:space="0"/>
                    <w:bottom w:val="single" w:color="000000" w:sz="2" w:space="0"/>
                    <w:right w:val="single" w:color="000000" w:sz="2" w:space="0"/>
                  </w:tcBorders>
                  <w:noWrap w:val="0"/>
                  <w:vAlign w:val="center"/>
                </w:tcPr>
                <w:p w14:paraId="36069E7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40FA7A6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AEA5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461177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51A22A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2610F0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02E535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77C606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7F0604F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【水资源利用效率要求】</w:t>
                  </w:r>
                </w:p>
                <w:p w14:paraId="5210122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75CF00D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【地下水开采要求】</w:t>
                  </w:r>
                </w:p>
                <w:p w14:paraId="069ACD7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61503F1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【能源利用效率要求】</w:t>
                  </w:r>
                </w:p>
                <w:p w14:paraId="65D8AFF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DABAC0D">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【其他资源利用效率要求】</w:t>
                  </w:r>
                </w:p>
                <w:p w14:paraId="74A20BAD">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350574C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不涉及资源开发</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52462B8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2856AC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④要素管控分区管控要求</w:t>
            </w:r>
          </w:p>
          <w:p w14:paraId="29497D03">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本项目与要素管控分区管控要求符合性分析如下表所示。</w:t>
            </w:r>
          </w:p>
          <w:p w14:paraId="7D64F2C7">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本项目与要素管控分区管控要求符合性分析表</w:t>
            </w:r>
          </w:p>
          <w:tbl>
            <w:tblPr>
              <w:tblStyle w:val="23"/>
              <w:tblW w:w="1338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894"/>
              <w:gridCol w:w="838"/>
              <w:gridCol w:w="655"/>
              <w:gridCol w:w="667"/>
              <w:gridCol w:w="655"/>
              <w:gridCol w:w="694"/>
              <w:gridCol w:w="916"/>
              <w:gridCol w:w="5230"/>
              <w:gridCol w:w="1608"/>
              <w:gridCol w:w="1230"/>
            </w:tblGrid>
            <w:tr w14:paraId="78F10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tcBorders>
                    <w:top w:val="single" w:color="000000" w:sz="2" w:space="0"/>
                    <w:left w:val="single" w:color="000000" w:sz="2" w:space="0"/>
                    <w:bottom w:val="single" w:color="000000" w:sz="2" w:space="0"/>
                    <w:right w:val="single" w:color="000000" w:sz="2" w:space="0"/>
                  </w:tcBorders>
                  <w:noWrap w:val="0"/>
                  <w:vAlign w:val="center"/>
                </w:tcPr>
                <w:p w14:paraId="1FC3AB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管控分区编码</w:t>
                  </w:r>
                </w:p>
              </w:tc>
              <w:tc>
                <w:tcPr>
                  <w:tcW w:w="838" w:type="dxa"/>
                  <w:tcBorders>
                    <w:top w:val="single" w:color="000000" w:sz="2" w:space="0"/>
                    <w:left w:val="single" w:color="000000" w:sz="2" w:space="0"/>
                    <w:bottom w:val="single" w:color="000000" w:sz="2" w:space="0"/>
                    <w:right w:val="single" w:color="000000" w:sz="2" w:space="0"/>
                  </w:tcBorders>
                  <w:noWrap w:val="0"/>
                  <w:vAlign w:val="center"/>
                </w:tcPr>
                <w:p w14:paraId="5DEA3E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管控分区名称</w:t>
                  </w:r>
                </w:p>
              </w:tc>
              <w:tc>
                <w:tcPr>
                  <w:tcW w:w="655" w:type="dxa"/>
                  <w:tcBorders>
                    <w:top w:val="single" w:color="000000" w:sz="2" w:space="0"/>
                    <w:left w:val="single" w:color="000000" w:sz="2" w:space="0"/>
                    <w:bottom w:val="single" w:color="000000" w:sz="2" w:space="0"/>
                    <w:right w:val="single" w:color="000000" w:sz="2" w:space="0"/>
                  </w:tcBorders>
                  <w:noWrap w:val="0"/>
                  <w:vAlign w:val="center"/>
                </w:tcPr>
                <w:p w14:paraId="0C8AEA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管控区分类</w:t>
                  </w:r>
                </w:p>
              </w:tc>
              <w:tc>
                <w:tcPr>
                  <w:tcW w:w="667" w:type="dxa"/>
                  <w:tcBorders>
                    <w:top w:val="single" w:color="000000" w:sz="2" w:space="0"/>
                    <w:left w:val="single" w:color="000000" w:sz="2" w:space="0"/>
                    <w:bottom w:val="single" w:color="000000" w:sz="2" w:space="0"/>
                    <w:right w:val="single" w:color="000000" w:sz="2" w:space="0"/>
                  </w:tcBorders>
                  <w:noWrap w:val="0"/>
                  <w:vAlign w:val="center"/>
                </w:tcPr>
                <w:p w14:paraId="36DD5D0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环境</w:t>
                  </w:r>
                </w:p>
                <w:p w14:paraId="64F37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要素</w:t>
                  </w:r>
                </w:p>
              </w:tc>
              <w:tc>
                <w:tcPr>
                  <w:tcW w:w="655" w:type="dxa"/>
                  <w:tcBorders>
                    <w:top w:val="single" w:color="000000" w:sz="2" w:space="0"/>
                    <w:left w:val="single" w:color="000000" w:sz="2" w:space="0"/>
                    <w:bottom w:val="single" w:color="000000" w:sz="2" w:space="0"/>
                    <w:right w:val="single" w:color="000000" w:sz="2" w:space="0"/>
                  </w:tcBorders>
                  <w:noWrap w:val="0"/>
                  <w:vAlign w:val="center"/>
                </w:tcPr>
                <w:p w14:paraId="1A450B7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要素</w:t>
                  </w:r>
                </w:p>
                <w:p w14:paraId="5EBFD0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细类</w:t>
                  </w:r>
                </w:p>
              </w:tc>
              <w:tc>
                <w:tcPr>
                  <w:tcW w:w="694" w:type="dxa"/>
                  <w:tcBorders>
                    <w:top w:val="single" w:color="000000" w:sz="2" w:space="0"/>
                    <w:left w:val="single" w:color="000000" w:sz="2" w:space="0"/>
                    <w:bottom w:val="single" w:color="000000" w:sz="2" w:space="0"/>
                    <w:right w:val="single" w:color="000000" w:sz="2" w:space="0"/>
                  </w:tcBorders>
                  <w:noWrap w:val="0"/>
                  <w:vAlign w:val="center"/>
                </w:tcPr>
                <w:p w14:paraId="2C3CFFC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所属</w:t>
                  </w:r>
                </w:p>
                <w:p w14:paraId="313A72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县区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3B796A2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管控</w:t>
                  </w:r>
                </w:p>
                <w:p w14:paraId="64C3BD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类别</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666A5C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管控分区管控要求</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130465F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73377C0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54307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right w:val="single" w:color="000000" w:sz="2" w:space="0"/>
                  </w:tcBorders>
                  <w:shd w:val="clear" w:color="auto" w:fill="auto"/>
                  <w:noWrap w:val="0"/>
                  <w:vAlign w:val="center"/>
                </w:tcPr>
                <w:p w14:paraId="65B93F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YS5119033510001</w:t>
                  </w:r>
                </w:p>
              </w:tc>
              <w:tc>
                <w:tcPr>
                  <w:tcW w:w="838" w:type="dxa"/>
                  <w:vMerge w:val="restart"/>
                  <w:tcBorders>
                    <w:top w:val="single" w:color="000000" w:sz="2" w:space="0"/>
                    <w:left w:val="single" w:color="000000" w:sz="2" w:space="0"/>
                    <w:right w:val="single" w:color="000000" w:sz="2" w:space="0"/>
                  </w:tcBorders>
                  <w:shd w:val="clear" w:color="auto" w:fill="auto"/>
                  <w:noWrap w:val="0"/>
                  <w:vAlign w:val="center"/>
                </w:tcPr>
                <w:p w14:paraId="764FA7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恩阳区自然资源一般管控区</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2B08DA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right w:val="single" w:color="000000" w:sz="2" w:space="0"/>
                  </w:tcBorders>
                  <w:shd w:val="clear" w:color="auto" w:fill="auto"/>
                  <w:noWrap w:val="0"/>
                  <w:vAlign w:val="center"/>
                </w:tcPr>
                <w:p w14:paraId="7BB67A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自然资源</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318226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自然资源一般管控区</w:t>
                  </w:r>
                </w:p>
              </w:tc>
              <w:tc>
                <w:tcPr>
                  <w:tcW w:w="694" w:type="dxa"/>
                  <w:vMerge w:val="restart"/>
                  <w:tcBorders>
                    <w:top w:val="single" w:color="000000" w:sz="2" w:space="0"/>
                    <w:left w:val="single" w:color="000000" w:sz="2" w:space="0"/>
                    <w:right w:val="single" w:color="000000" w:sz="2" w:space="0"/>
                  </w:tcBorders>
                  <w:shd w:val="clear" w:color="auto" w:fill="auto"/>
                  <w:noWrap w:val="0"/>
                  <w:vAlign w:val="center"/>
                </w:tcPr>
                <w:p w14:paraId="7BB40F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1E06B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8AC367C">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合理开发高效利用水资源，建设节水型社会；优化土地利用布局与结构；优化产业空间布局，构建清洁能源体系。</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8BA0611">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不涉及水资源开发利用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4462F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053ED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7A4AF46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right w:val="single" w:color="000000" w:sz="2" w:space="0"/>
                  </w:tcBorders>
                  <w:noWrap w:val="0"/>
                  <w:vAlign w:val="center"/>
                </w:tcPr>
                <w:p w14:paraId="766AB2C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792A128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right w:val="single" w:color="000000" w:sz="2" w:space="0"/>
                  </w:tcBorders>
                  <w:noWrap w:val="0"/>
                  <w:vAlign w:val="center"/>
                </w:tcPr>
                <w:p w14:paraId="15F12A6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7DFED05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right w:val="single" w:color="000000" w:sz="2" w:space="0"/>
                  </w:tcBorders>
                  <w:noWrap w:val="0"/>
                  <w:vAlign w:val="center"/>
                </w:tcPr>
                <w:p w14:paraId="5DDC93C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4629C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16E75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2DAEF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67D15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36089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3CFB05D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right w:val="single" w:color="000000" w:sz="2" w:space="0"/>
                  </w:tcBorders>
                  <w:noWrap w:val="0"/>
                  <w:vAlign w:val="center"/>
                </w:tcPr>
                <w:p w14:paraId="3E8CCB9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1E096B5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right w:val="single" w:color="000000" w:sz="2" w:space="0"/>
                  </w:tcBorders>
                  <w:noWrap w:val="0"/>
                  <w:vAlign w:val="center"/>
                </w:tcPr>
                <w:p w14:paraId="47FA827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4944F8B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right w:val="single" w:color="000000" w:sz="2" w:space="0"/>
                  </w:tcBorders>
                  <w:noWrap w:val="0"/>
                  <w:vAlign w:val="center"/>
                </w:tcPr>
                <w:p w14:paraId="4A81BA2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53D82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2E365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EE81C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91150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25DC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bottom w:val="single" w:color="000000" w:sz="2" w:space="0"/>
                    <w:right w:val="single" w:color="000000" w:sz="2" w:space="0"/>
                  </w:tcBorders>
                  <w:noWrap w:val="0"/>
                  <w:vAlign w:val="center"/>
                </w:tcPr>
                <w:p w14:paraId="4230664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bottom w:val="single" w:color="000000" w:sz="2" w:space="0"/>
                    <w:right w:val="single" w:color="000000" w:sz="2" w:space="0"/>
                  </w:tcBorders>
                  <w:noWrap w:val="0"/>
                  <w:vAlign w:val="center"/>
                </w:tcPr>
                <w:p w14:paraId="20C0C93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248F33A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bottom w:val="single" w:color="000000" w:sz="2" w:space="0"/>
                    <w:right w:val="single" w:color="000000" w:sz="2" w:space="0"/>
                  </w:tcBorders>
                  <w:noWrap w:val="0"/>
                  <w:vAlign w:val="center"/>
                </w:tcPr>
                <w:p w14:paraId="2EEE0BB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2A23BE7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bottom w:val="single" w:color="000000" w:sz="2" w:space="0"/>
                    <w:right w:val="single" w:color="000000" w:sz="2" w:space="0"/>
                  </w:tcBorders>
                  <w:noWrap w:val="0"/>
                  <w:vAlign w:val="center"/>
                </w:tcPr>
                <w:p w14:paraId="4A9AB31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F55B2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48E9843">
                  <w:pPr>
                    <w:keepNext w:val="0"/>
                    <w:keepLines w:val="0"/>
                    <w:suppressLineNumbers w:val="0"/>
                    <w:spacing w:before="0" w:beforeAutospacing="0" w:after="0" w:afterAutospacing="0"/>
                    <w:ind w:left="0" w:right="0"/>
                    <w:jc w:val="left"/>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【土地资源开发效率要求】</w:t>
                  </w:r>
                </w:p>
                <w:p w14:paraId="546E72FE">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土地资源开发利用量不得超过土地资源利用上线控制性指标。</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6ED84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w:t>
                  </w:r>
                  <w:r>
                    <w:rPr>
                      <w:rFonts w:hint="eastAsia" w:ascii="Times New Roman" w:hAnsi="Times New Roman" w:eastAsia="宋体" w:cs="Times New Roman"/>
                      <w:color w:val="auto"/>
                      <w:highlight w:val="none"/>
                      <w:lang w:val="en-US" w:eastAsia="zh-CN"/>
                    </w:rPr>
                    <w:t>不涉及</w:t>
                  </w:r>
                  <w:r>
                    <w:rPr>
                      <w:rFonts w:hint="eastAsia" w:cs="Times New Roman"/>
                      <w:color w:val="auto"/>
                      <w:highlight w:val="none"/>
                      <w:lang w:val="en-US" w:eastAsia="zh-CN"/>
                    </w:rPr>
                    <w:t>土地</w:t>
                  </w:r>
                  <w:r>
                    <w:rPr>
                      <w:rFonts w:hint="eastAsia" w:ascii="Times New Roman" w:hAnsi="Times New Roman" w:eastAsia="宋体" w:cs="Times New Roman"/>
                      <w:color w:val="auto"/>
                      <w:highlight w:val="none"/>
                      <w:lang w:val="en-US" w:eastAsia="zh-CN"/>
                    </w:rPr>
                    <w:t>资源开发利用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9F0B0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5A309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bottom w:val="single" w:color="000000" w:sz="2" w:space="0"/>
                    <w:right w:val="single" w:color="000000" w:sz="2" w:space="0"/>
                  </w:tcBorders>
                  <w:noWrap w:val="0"/>
                  <w:vAlign w:val="center"/>
                </w:tcPr>
                <w:p w14:paraId="702B8F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YS5119033110001</w:t>
                  </w:r>
                </w:p>
              </w:tc>
              <w:tc>
                <w:tcPr>
                  <w:tcW w:w="838" w:type="dxa"/>
                  <w:vMerge w:val="restart"/>
                  <w:tcBorders>
                    <w:top w:val="single" w:color="000000" w:sz="2" w:space="0"/>
                    <w:left w:val="single" w:color="000000" w:sz="2" w:space="0"/>
                    <w:bottom w:val="single" w:color="000000" w:sz="2" w:space="0"/>
                    <w:right w:val="single" w:color="000000" w:sz="2" w:space="0"/>
                  </w:tcBorders>
                  <w:noWrap w:val="0"/>
                  <w:vAlign w:val="center"/>
                </w:tcPr>
                <w:p w14:paraId="7AD709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恩阳区其他区域</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5E840C3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bottom w:val="single" w:color="000000" w:sz="2" w:space="0"/>
                    <w:right w:val="single" w:color="000000" w:sz="2" w:space="0"/>
                  </w:tcBorders>
                  <w:noWrap w:val="0"/>
                  <w:vAlign w:val="center"/>
                </w:tcPr>
                <w:p w14:paraId="314811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5CB52A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694" w:type="dxa"/>
                  <w:vMerge w:val="restart"/>
                  <w:tcBorders>
                    <w:top w:val="single" w:color="000000" w:sz="2" w:space="0"/>
                    <w:left w:val="single" w:color="000000" w:sz="2" w:space="0"/>
                    <w:bottom w:val="single" w:color="000000" w:sz="2" w:space="0"/>
                    <w:right w:val="single" w:color="000000" w:sz="2" w:space="0"/>
                  </w:tcBorders>
                  <w:noWrap w:val="0"/>
                  <w:vAlign w:val="center"/>
                </w:tcPr>
                <w:p w14:paraId="68DBD2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00932D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6CF52FC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3180C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63BAC4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26DAA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2CB08F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52299BD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1FF4CAE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2A5066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61D6A8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43F4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6F0F98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4B5E73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1EF143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543D82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7A9DB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5ACD85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C23A8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32F14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39D2F0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6CA3DA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1B23C3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5363C3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007988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76CB4B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33BDB2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1C5543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2A5347E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75BB0C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260010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65ECB2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5C243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6FD30EF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5A2FD9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2B91DD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41E103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09C9ED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6D3F6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right w:val="single" w:color="000000" w:sz="2" w:space="0"/>
                  </w:tcBorders>
                  <w:shd w:val="clear" w:color="auto" w:fill="auto"/>
                  <w:noWrap w:val="0"/>
                  <w:vAlign w:val="center"/>
                </w:tcPr>
                <w:p w14:paraId="56D400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YS5119033210001</w:t>
                  </w:r>
                </w:p>
              </w:tc>
              <w:tc>
                <w:tcPr>
                  <w:tcW w:w="838" w:type="dxa"/>
                  <w:vMerge w:val="restart"/>
                  <w:tcBorders>
                    <w:top w:val="single" w:color="000000" w:sz="2" w:space="0"/>
                    <w:left w:val="single" w:color="000000" w:sz="2" w:space="0"/>
                    <w:right w:val="single" w:color="000000" w:sz="2" w:space="0"/>
                  </w:tcBorders>
                  <w:shd w:val="clear" w:color="auto" w:fill="auto"/>
                  <w:noWrap w:val="0"/>
                  <w:vAlign w:val="center"/>
                </w:tcPr>
                <w:p w14:paraId="1AAD99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恩阳河-恩阳区-小元村-控制单元</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2B7934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right w:val="single" w:color="000000" w:sz="2" w:space="0"/>
                  </w:tcBorders>
                  <w:shd w:val="clear" w:color="auto" w:fill="auto"/>
                  <w:noWrap w:val="0"/>
                  <w:vAlign w:val="center"/>
                </w:tcPr>
                <w:p w14:paraId="00760D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686D67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水环境一般管控区</w:t>
                  </w:r>
                </w:p>
              </w:tc>
              <w:tc>
                <w:tcPr>
                  <w:tcW w:w="694" w:type="dxa"/>
                  <w:vMerge w:val="restart"/>
                  <w:tcBorders>
                    <w:top w:val="single" w:color="000000" w:sz="2" w:space="0"/>
                    <w:left w:val="single" w:color="000000" w:sz="2" w:space="0"/>
                    <w:right w:val="single" w:color="000000" w:sz="2" w:space="0"/>
                  </w:tcBorders>
                  <w:shd w:val="clear" w:color="auto" w:fill="auto"/>
                  <w:noWrap w:val="0"/>
                  <w:vAlign w:val="center"/>
                </w:tcPr>
                <w:p w14:paraId="1B2F6A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24CEF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91309CD">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6DA9A55">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不再新建、改扩建开采规模在50万吨年以下的磷矿，不再新建露天磷矿。</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74434EB">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不涉及磷矿开采</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B2482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0ADF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257BB1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right w:val="single" w:color="000000" w:sz="2" w:space="0"/>
                  </w:tcBorders>
                  <w:noWrap w:val="0"/>
                  <w:vAlign w:val="center"/>
                </w:tcPr>
                <w:p w14:paraId="515BCD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53C049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right w:val="single" w:color="000000" w:sz="2" w:space="0"/>
                  </w:tcBorders>
                  <w:noWrap w:val="0"/>
                  <w:vAlign w:val="center"/>
                </w:tcPr>
                <w:p w14:paraId="12E67E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3E0CEE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right w:val="single" w:color="000000" w:sz="2" w:space="0"/>
                  </w:tcBorders>
                  <w:noWrap w:val="0"/>
                  <w:vAlign w:val="center"/>
                </w:tcPr>
                <w:p w14:paraId="170931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FA04C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979CE8B">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【城镇污水污染控制措施要求】</w:t>
                  </w:r>
                </w:p>
                <w:p w14:paraId="65C026BD">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1、持续推进环保基础设施补短板，完善污水收集处理系统。2、保障乡镇污水收集处理设施顺畅运行。3、推进污水直排口排查与整治，落实“一口一策”整改措施。</w:t>
                  </w:r>
                </w:p>
                <w:p w14:paraId="4220212A">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【工业废水污染控制措施要求】</w:t>
                  </w:r>
                </w:p>
                <w:p w14:paraId="7DD47EA4">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1、落实主要污染物排放总量指标控制要求，加强入河排污口登记、审批和监督管理。2、强化流域内工业点源、规模化畜禽养殖场运行监管，避免偷排、漏排。</w:t>
                  </w:r>
                </w:p>
                <w:p w14:paraId="0074975C">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【农业面源水污染控制措施要求】</w:t>
                  </w:r>
                </w:p>
                <w:p w14:paraId="06AB7850">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59B2347">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交由符合环保要求且有处理能力的钻井废水处理公司进行处理；生活污水通过环保厕所收集后转运至</w:t>
                  </w:r>
                  <w:r>
                    <w:rPr>
                      <w:rFonts w:hint="eastAsia" w:cs="Times New Roman"/>
                      <w:color w:val="auto"/>
                      <w:highlight w:val="none"/>
                      <w:lang w:eastAsia="zh-CN"/>
                    </w:rPr>
                    <w:t>上八庙镇</w:t>
                  </w:r>
                  <w:r>
                    <w:rPr>
                      <w:rFonts w:hint="default" w:ascii="Times New Roman" w:hAnsi="Times New Roman" w:eastAsia="宋体" w:cs="Times New Roman"/>
                      <w:color w:val="auto"/>
                      <w:highlight w:val="none"/>
                    </w:rPr>
                    <w:t>污水处理站处理；本项目</w:t>
                  </w:r>
                  <w:r>
                    <w:rPr>
                      <w:rFonts w:hint="eastAsia"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49614D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149A5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337169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right w:val="single" w:color="000000" w:sz="2" w:space="0"/>
                  </w:tcBorders>
                  <w:noWrap w:val="0"/>
                  <w:vAlign w:val="center"/>
                </w:tcPr>
                <w:p w14:paraId="6DF500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2DF63E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right w:val="single" w:color="000000" w:sz="2" w:space="0"/>
                  </w:tcBorders>
                  <w:noWrap w:val="0"/>
                  <w:vAlign w:val="center"/>
                </w:tcPr>
                <w:p w14:paraId="4DAC06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11BD7D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right w:val="single" w:color="000000" w:sz="2" w:space="0"/>
                  </w:tcBorders>
                  <w:noWrap w:val="0"/>
                  <w:vAlign w:val="center"/>
                </w:tcPr>
                <w:p w14:paraId="283421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F3AEC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24CC4F1">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进一步完善工业企业和矿山环境风险防范和管理体系建设，开展企业风险隐患排查与风险评估，增强企业的环境风险意识，守住环境安全底线。落实“一河一策一图”风险管理和应急响应方案，提升风险应急管理水平。</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C2BCD3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不属于工业项目</w:t>
                  </w:r>
                  <w:r>
                    <w:rPr>
                      <w:rFonts w:hint="eastAsia" w:cs="Times New Roman"/>
                      <w:color w:val="auto"/>
                      <w:szCs w:val="21"/>
                      <w:lang w:val="en-US" w:eastAsia="zh-CN"/>
                    </w:rPr>
                    <w:t>。</w:t>
                  </w:r>
                  <w:r>
                    <w:rPr>
                      <w:rFonts w:hint="default"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hint="default"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hint="default" w:ascii="Times New Roman" w:hAnsi="Times New Roman" w:eastAsia="宋体" w:cs="Times New Roman"/>
                      <w:color w:val="auto"/>
                    </w:rPr>
                    <w:t>。本次环评对钻井期间环境风险提出了防范措施</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8290D0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符合</w:t>
                  </w:r>
                </w:p>
              </w:tc>
            </w:tr>
            <w:tr w14:paraId="1B9FF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bottom w:val="single" w:color="000000" w:sz="2" w:space="0"/>
                    <w:right w:val="single" w:color="000000" w:sz="2" w:space="0"/>
                  </w:tcBorders>
                  <w:noWrap w:val="0"/>
                  <w:vAlign w:val="center"/>
                </w:tcPr>
                <w:p w14:paraId="7F5132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bottom w:val="single" w:color="000000" w:sz="2" w:space="0"/>
                    <w:right w:val="single" w:color="000000" w:sz="2" w:space="0"/>
                  </w:tcBorders>
                  <w:noWrap w:val="0"/>
                  <w:vAlign w:val="center"/>
                </w:tcPr>
                <w:p w14:paraId="081F22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4292A3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bottom w:val="single" w:color="000000" w:sz="2" w:space="0"/>
                    <w:right w:val="single" w:color="000000" w:sz="2" w:space="0"/>
                  </w:tcBorders>
                  <w:noWrap w:val="0"/>
                  <w:vAlign w:val="center"/>
                </w:tcPr>
                <w:p w14:paraId="45F597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42CC95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bottom w:val="single" w:color="000000" w:sz="2" w:space="0"/>
                    <w:right w:val="single" w:color="000000" w:sz="2" w:space="0"/>
                  </w:tcBorders>
                  <w:noWrap w:val="0"/>
                  <w:vAlign w:val="center"/>
                </w:tcPr>
                <w:p w14:paraId="400D46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6ADBE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EE92A32">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强化种植业节水；推进农村污水分质资源化利用。</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72CB9B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w:t>
                  </w:r>
                  <w:r>
                    <w:rPr>
                      <w:rFonts w:hint="eastAsia" w:cs="Times New Roman"/>
                      <w:color w:val="auto"/>
                      <w:szCs w:val="21"/>
                      <w:lang w:val="en-US" w:eastAsia="zh-CN"/>
                    </w:rPr>
                    <w:t>种植业，不涉及农村污水利用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D5AE68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F807B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bottom w:val="single" w:color="000000" w:sz="2" w:space="0"/>
                    <w:right w:val="single" w:color="000000" w:sz="2" w:space="0"/>
                  </w:tcBorders>
                  <w:noWrap w:val="0"/>
                  <w:vAlign w:val="center"/>
                </w:tcPr>
                <w:p w14:paraId="6E46DA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YS5119032320001</w:t>
                  </w:r>
                </w:p>
              </w:tc>
              <w:tc>
                <w:tcPr>
                  <w:tcW w:w="838" w:type="dxa"/>
                  <w:vMerge w:val="restart"/>
                  <w:tcBorders>
                    <w:top w:val="single" w:color="000000" w:sz="2" w:space="0"/>
                    <w:left w:val="single" w:color="000000" w:sz="2" w:space="0"/>
                    <w:bottom w:val="single" w:color="000000" w:sz="2" w:space="0"/>
                    <w:right w:val="single" w:color="000000" w:sz="2" w:space="0"/>
                  </w:tcBorders>
                  <w:noWrap w:val="0"/>
                  <w:vAlign w:val="center"/>
                </w:tcPr>
                <w:p w14:paraId="012056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恩阳区大气环境布局敏感重点管控区</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516E51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重点管控区</w:t>
                  </w:r>
                </w:p>
              </w:tc>
              <w:tc>
                <w:tcPr>
                  <w:tcW w:w="667" w:type="dxa"/>
                  <w:vMerge w:val="restart"/>
                  <w:tcBorders>
                    <w:top w:val="single" w:color="000000" w:sz="2" w:space="0"/>
                    <w:left w:val="single" w:color="000000" w:sz="2" w:space="0"/>
                    <w:bottom w:val="single" w:color="000000" w:sz="2" w:space="0"/>
                    <w:right w:val="single" w:color="000000" w:sz="2" w:space="0"/>
                  </w:tcBorders>
                  <w:noWrap w:val="0"/>
                  <w:vAlign w:val="center"/>
                </w:tcPr>
                <w:p w14:paraId="55AE04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7A84C4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大气环境布局敏感重点管控区</w:t>
                  </w:r>
                </w:p>
              </w:tc>
              <w:tc>
                <w:tcPr>
                  <w:tcW w:w="694" w:type="dxa"/>
                  <w:vMerge w:val="restart"/>
                  <w:tcBorders>
                    <w:top w:val="single" w:color="000000" w:sz="2" w:space="0"/>
                    <w:left w:val="single" w:color="000000" w:sz="2" w:space="0"/>
                    <w:bottom w:val="single" w:color="000000" w:sz="2" w:space="0"/>
                    <w:right w:val="single" w:color="000000" w:sz="2" w:space="0"/>
                  </w:tcBorders>
                  <w:noWrap w:val="0"/>
                  <w:vAlign w:val="center"/>
                </w:tcPr>
                <w:p w14:paraId="7EF74D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72F9C0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7BA7FBDF">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2BCBDC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坚决遏制高耗能、高排放、低水平项目盲目发展，严格落实国家和四川省产业规划、产业政策、规划环评，以及产能置换、煤炭消费减量替代、区域污染物削减等要求，坚决叫停不符合要求的高耗能、高排放、低水平项目。</w:t>
                  </w:r>
                </w:p>
                <w:p w14:paraId="4712901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2、严禁新增钢铁、焦化、炼油、电解铝、水泥、平板玻璃（不含光伏玻璃）等产能。</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1A90C94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7D6DCB0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FD02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6365B1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5C6DA8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13D925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65837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2CE694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0346C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4E8796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ED360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12416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A92E02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31DB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8657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B84A3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E4869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29001E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238C5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13C77A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638407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2E8448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13084F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503B66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218D7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41973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754B6F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1F60F2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7FC6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31AF49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5FBED8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56163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04DC20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08F175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54CE391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bl>
          <w:p w14:paraId="019CFC73">
            <w:pPr>
              <w:keepNext w:val="0"/>
              <w:keepLines w:val="0"/>
              <w:numPr>
                <w:ilvl w:val="0"/>
                <w:numId w:val="0"/>
              </w:numPr>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eastAsia" w:ascii="Times New Roman" w:hAnsi="Times New Roman" w:eastAsia="宋体" w:cs="Times New Roman"/>
                <w:color w:val="auto"/>
                <w:sz w:val="24"/>
              </w:rPr>
              <w:t>综上所述，本项目</w:t>
            </w:r>
            <w:r>
              <w:rPr>
                <w:rFonts w:hint="eastAsia" w:ascii="Times New Roman" w:hAnsi="Times New Roman" w:eastAsia="宋体" w:cs="Times New Roman"/>
                <w:color w:val="auto"/>
                <w:sz w:val="24"/>
                <w:lang w:val="en-US" w:eastAsia="zh-CN"/>
              </w:rPr>
              <w:t>为天然气</w:t>
            </w:r>
            <w:r>
              <w:rPr>
                <w:rFonts w:hint="default" w:ascii="Times New Roman" w:hAnsi="Times New Roman" w:eastAsia="宋体" w:cs="Times New Roman"/>
                <w:color w:val="auto"/>
                <w:sz w:val="24"/>
              </w:rPr>
              <w:t>勘探项目</w:t>
            </w:r>
            <w:r>
              <w:rPr>
                <w:rFonts w:hint="eastAsia" w:ascii="Times New Roman" w:hAnsi="Times New Roman" w:eastAsia="宋体" w:cs="Times New Roman"/>
                <w:color w:val="auto"/>
                <w:sz w:val="24"/>
                <w:lang w:val="en-US" w:eastAsia="zh-CN"/>
              </w:rPr>
              <w:t>，</w:t>
            </w:r>
            <w:r>
              <w:rPr>
                <w:rFonts w:hint="eastAsia" w:ascii="Times New Roman" w:hAnsi="Times New Roman" w:cs="Times New Roman"/>
                <w:color w:val="auto"/>
                <w:sz w:val="24"/>
                <w:lang w:val="en-US" w:eastAsia="zh-CN"/>
              </w:rPr>
              <w:t>项目的建设</w:t>
            </w:r>
            <w:r>
              <w:rPr>
                <w:rFonts w:hint="eastAsia" w:ascii="Times New Roman" w:hAnsi="Times New Roman" w:eastAsia="宋体" w:cs="Times New Roman"/>
                <w:color w:val="auto"/>
                <w:sz w:val="24"/>
              </w:rPr>
              <w:t>符合</w:t>
            </w:r>
            <w:r>
              <w:rPr>
                <w:rFonts w:hint="eastAsia" w:ascii="Times New Roman" w:hAnsi="Times New Roman" w:cs="Times New Roman"/>
                <w:color w:val="auto"/>
                <w:sz w:val="24"/>
                <w:lang w:val="en-US" w:eastAsia="zh-CN"/>
              </w:rPr>
              <w:t>区域生态环境分区管控的相关要求。</w:t>
            </w:r>
          </w:p>
          <w:p w14:paraId="29CE6BC6">
            <w:pPr>
              <w:pStyle w:val="21"/>
              <w:keepNext w:val="0"/>
              <w:keepLines w:val="0"/>
              <w:suppressLineNumbers w:val="0"/>
              <w:spacing w:beforeAutospacing="0" w:afterAutospacing="0"/>
              <w:ind w:left="0"/>
              <w:rPr>
                <w:rFonts w:hint="eastAsia"/>
                <w:color w:val="auto"/>
                <w:lang w:val="en-US" w:eastAsia="zh-CN"/>
              </w:rPr>
            </w:pPr>
          </w:p>
        </w:tc>
      </w:tr>
    </w:tbl>
    <w:p w14:paraId="6AB21410">
      <w:pPr>
        <w:spacing w:line="360" w:lineRule="auto"/>
        <w:rPr>
          <w:rFonts w:eastAsia="黑体"/>
          <w:color w:val="auto"/>
          <w:sz w:val="30"/>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p w14:paraId="44D23F08">
      <w:pPr>
        <w:pStyle w:val="19"/>
        <w:jc w:val="center"/>
        <w:outlineLvl w:val="0"/>
        <w:rPr>
          <w:rFonts w:ascii="Times New Roman" w:hAnsi="Times New Roman" w:eastAsia="黑体" w:cs="Times New Roman"/>
          <w:snapToGrid w:val="0"/>
          <w:color w:val="auto"/>
          <w:sz w:val="30"/>
          <w:szCs w:val="30"/>
        </w:rPr>
      </w:pPr>
      <w:bookmarkStart w:id="27" w:name="_Toc17996"/>
      <w:bookmarkStart w:id="28" w:name="_Toc27687"/>
      <w:bookmarkStart w:id="29" w:name="_Toc12833"/>
      <w:bookmarkStart w:id="30" w:name="_Toc4685"/>
      <w:bookmarkStart w:id="31" w:name="_Toc17440"/>
      <w:bookmarkStart w:id="32" w:name="_Toc31349"/>
      <w:r>
        <w:rPr>
          <w:rFonts w:ascii="Times New Roman" w:hAnsi="Times New Roman" w:eastAsia="黑体" w:cs="Times New Roman"/>
          <w:snapToGrid w:val="0"/>
          <w:color w:val="auto"/>
          <w:sz w:val="30"/>
          <w:szCs w:val="30"/>
        </w:rPr>
        <w:t>二、建设内容</w:t>
      </w:r>
      <w:bookmarkEnd w:id="27"/>
      <w:bookmarkEnd w:id="28"/>
      <w:bookmarkEnd w:id="29"/>
      <w:bookmarkEnd w:id="30"/>
      <w:bookmarkEnd w:id="31"/>
      <w:bookmarkEnd w:id="32"/>
    </w:p>
    <w:tbl>
      <w:tblPr>
        <w:tblStyle w:val="23"/>
        <w:tblW w:w="89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7973"/>
      </w:tblGrid>
      <w:tr w14:paraId="52CA1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026" w:type="dxa"/>
            <w:noWrap w:val="0"/>
            <w:vAlign w:val="center"/>
          </w:tcPr>
          <w:p w14:paraId="6E32A2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地理</w:t>
            </w:r>
          </w:p>
          <w:p w14:paraId="26A0E5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位置</w:t>
            </w:r>
          </w:p>
        </w:tc>
        <w:tc>
          <w:tcPr>
            <w:tcW w:w="7973" w:type="dxa"/>
            <w:noWrap w:val="0"/>
            <w:vAlign w:val="center"/>
          </w:tcPr>
          <w:p w14:paraId="5CBFA39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本项目位于四川省巴中市</w:t>
            </w:r>
            <w:r>
              <w:rPr>
                <w:rFonts w:hint="eastAsia" w:cs="Times New Roman"/>
                <w:color w:val="auto"/>
                <w:kern w:val="0"/>
                <w:sz w:val="24"/>
                <w:lang w:eastAsia="zh-CN" w:bidi="ar"/>
              </w:rPr>
              <w:t>恩阳区上八庙镇季台村6组</w:t>
            </w:r>
            <w:r>
              <w:rPr>
                <w:rFonts w:hint="default" w:ascii="Times New Roman" w:hAnsi="Times New Roman" w:eastAsia="宋体" w:cs="Times New Roman"/>
                <w:color w:val="auto"/>
                <w:kern w:val="0"/>
                <w:sz w:val="24"/>
                <w:lang w:bidi="ar"/>
              </w:rPr>
              <w:t>，</w:t>
            </w:r>
            <w:r>
              <w:rPr>
                <w:rFonts w:hint="eastAsia" w:cs="Times New Roman"/>
                <w:color w:val="auto"/>
                <w:kern w:val="0"/>
                <w:sz w:val="24"/>
                <w:lang w:val="en-US" w:eastAsia="zh-CN" w:bidi="ar"/>
              </w:rPr>
              <w:t>上八庙</w:t>
            </w:r>
            <w:r>
              <w:rPr>
                <w:rFonts w:hint="default" w:ascii="Times New Roman" w:hAnsi="Times New Roman" w:eastAsia="宋体" w:cs="Times New Roman"/>
                <w:color w:val="auto"/>
                <w:kern w:val="0"/>
                <w:sz w:val="24"/>
                <w:lang w:val="en-US" w:eastAsia="zh-CN" w:bidi="ar"/>
              </w:rPr>
              <w:t>镇</w:t>
            </w:r>
            <w:r>
              <w:rPr>
                <w:rFonts w:hint="default" w:ascii="Times New Roman" w:hAnsi="Times New Roman" w:eastAsia="宋体" w:cs="Times New Roman"/>
                <w:color w:val="auto"/>
                <w:kern w:val="0"/>
                <w:sz w:val="24"/>
                <w:lang w:bidi="ar"/>
              </w:rPr>
              <w:t>地处</w:t>
            </w:r>
            <w:r>
              <w:rPr>
                <w:rFonts w:hint="eastAsia" w:cs="Times New Roman"/>
                <w:color w:val="auto"/>
                <w:kern w:val="0"/>
                <w:sz w:val="24"/>
                <w:lang w:val="en-US" w:eastAsia="zh-CN" w:bidi="ar"/>
              </w:rPr>
              <w:t>恩阳区西北部</w:t>
            </w:r>
            <w:r>
              <w:rPr>
                <w:rFonts w:hint="default" w:ascii="Times New Roman" w:hAnsi="Times New Roman" w:eastAsia="宋体" w:cs="Times New Roman"/>
                <w:color w:val="auto"/>
                <w:kern w:val="0"/>
                <w:sz w:val="24"/>
                <w:lang w:val="en-US" w:eastAsia="zh-CN" w:bidi="ar"/>
              </w:rPr>
              <w:t>。本项目</w:t>
            </w:r>
            <w:r>
              <w:rPr>
                <w:rFonts w:hint="default" w:ascii="Times New Roman" w:hAnsi="Times New Roman" w:eastAsia="宋体" w:cs="Times New Roman"/>
                <w:color w:val="auto"/>
                <w:kern w:val="0"/>
                <w:sz w:val="24"/>
                <w:lang w:bidi="ar"/>
              </w:rPr>
              <w:t>井</w:t>
            </w:r>
            <w:r>
              <w:rPr>
                <w:rFonts w:hint="eastAsia" w:ascii="Times New Roman" w:hAnsi="Times New Roman" w:eastAsia="宋体" w:cs="Times New Roman"/>
                <w:color w:val="auto"/>
                <w:kern w:val="0"/>
                <w:sz w:val="24"/>
                <w:lang w:val="en-US" w:eastAsia="zh-CN" w:bidi="ar"/>
              </w:rPr>
              <w:t>场</w:t>
            </w:r>
            <w:r>
              <w:rPr>
                <w:rFonts w:hint="default" w:ascii="Times New Roman" w:hAnsi="Times New Roman" w:eastAsia="宋体" w:cs="Times New Roman"/>
                <w:color w:val="auto"/>
                <w:kern w:val="0"/>
                <w:sz w:val="24"/>
                <w:lang w:val="en-US" w:eastAsia="zh-CN" w:bidi="ar"/>
              </w:rPr>
              <w:t>周边最近乡镇为</w:t>
            </w:r>
            <w:r>
              <w:rPr>
                <w:rFonts w:hint="eastAsia" w:cs="Times New Roman"/>
                <w:color w:val="auto"/>
                <w:kern w:val="0"/>
                <w:sz w:val="24"/>
                <w:lang w:val="en-US" w:eastAsia="zh-CN" w:bidi="ar"/>
              </w:rPr>
              <w:t>上八庙</w:t>
            </w:r>
            <w:r>
              <w:rPr>
                <w:rFonts w:hint="default" w:ascii="Times New Roman" w:hAnsi="Times New Roman" w:eastAsia="宋体" w:cs="Times New Roman"/>
                <w:color w:val="auto"/>
                <w:kern w:val="0"/>
                <w:sz w:val="24"/>
                <w:lang w:val="en-US" w:eastAsia="zh-CN" w:bidi="ar"/>
              </w:rPr>
              <w:t>镇，直线距离约</w:t>
            </w:r>
            <w:r>
              <w:rPr>
                <w:rFonts w:hint="eastAsia" w:cs="Times New Roman"/>
                <w:color w:val="auto"/>
                <w:kern w:val="0"/>
                <w:sz w:val="24"/>
                <w:lang w:val="en-US" w:eastAsia="zh-CN" w:bidi="ar"/>
              </w:rPr>
              <w:t>3.45k</w:t>
            </w:r>
            <w:r>
              <w:rPr>
                <w:rFonts w:hint="default" w:ascii="Times New Roman" w:hAnsi="Times New Roman" w:eastAsia="宋体" w:cs="Times New Roman"/>
                <w:color w:val="auto"/>
                <w:kern w:val="0"/>
                <w:sz w:val="24"/>
                <w:lang w:val="en-US" w:eastAsia="zh-CN" w:bidi="ar"/>
              </w:rPr>
              <w:t>m。</w:t>
            </w:r>
            <w:r>
              <w:rPr>
                <w:rFonts w:hint="eastAsia" w:ascii="Times New Roman" w:hAnsi="Times New Roman" w:eastAsia="宋体" w:cs="Times New Roman"/>
                <w:color w:val="auto"/>
                <w:kern w:val="0"/>
                <w:sz w:val="24"/>
                <w:lang w:val="en-US" w:eastAsia="zh-CN" w:bidi="ar"/>
              </w:rPr>
              <w:t>项目区域</w:t>
            </w:r>
            <w:r>
              <w:rPr>
                <w:rFonts w:hint="default" w:ascii="Times New Roman" w:hAnsi="Times New Roman" w:eastAsia="宋体" w:cs="Times New Roman"/>
                <w:color w:val="auto"/>
                <w:kern w:val="0"/>
                <w:sz w:val="24"/>
                <w:lang w:eastAsia="zh-CN" w:bidi="ar"/>
              </w:rPr>
              <w:t>有公路直达井场，交通较为便利</w:t>
            </w:r>
            <w:r>
              <w:rPr>
                <w:rFonts w:hint="default" w:ascii="Times New Roman" w:hAnsi="Times New Roman" w:eastAsia="宋体" w:cs="Times New Roman"/>
                <w:color w:val="auto"/>
                <w:kern w:val="0"/>
                <w:sz w:val="24"/>
                <w:lang w:bidi="ar"/>
              </w:rPr>
              <w:t>。</w:t>
            </w:r>
          </w:p>
          <w:p w14:paraId="4CA40F0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rPr>
            </w:pPr>
            <w:r>
              <w:rPr>
                <w:rFonts w:hint="default" w:ascii="Times New Roman" w:hAnsi="Times New Roman" w:eastAsia="宋体" w:cs="Times New Roman"/>
                <w:color w:val="auto"/>
                <w:kern w:val="0"/>
                <w:sz w:val="24"/>
                <w:lang w:bidi="ar"/>
              </w:rPr>
              <w:t>项目地理位置见附图。</w:t>
            </w:r>
          </w:p>
        </w:tc>
      </w:tr>
      <w:tr w14:paraId="6628AA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6" w:type="dxa"/>
            <w:noWrap w:val="0"/>
            <w:vAlign w:val="center"/>
          </w:tcPr>
          <w:p w14:paraId="2D44F5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项目组成及规模</w:t>
            </w:r>
          </w:p>
        </w:tc>
        <w:tc>
          <w:tcPr>
            <w:tcW w:w="7973" w:type="dxa"/>
            <w:noWrap w:val="0"/>
            <w:vAlign w:val="center"/>
          </w:tcPr>
          <w:p w14:paraId="03C21BA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一、</w:t>
            </w:r>
            <w:r>
              <w:rPr>
                <w:rFonts w:hint="default" w:ascii="Times New Roman" w:hAnsi="Times New Roman" w:cs="Times New Roman"/>
                <w:b/>
                <w:color w:val="auto"/>
                <w:sz w:val="24"/>
              </w:rPr>
              <w:t>项目由来</w:t>
            </w:r>
          </w:p>
          <w:p w14:paraId="189BB3B4">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kern w:val="0"/>
                <w:sz w:val="24"/>
                <w:lang w:bidi="ar"/>
              </w:rPr>
            </w:pPr>
            <w:r>
              <w:rPr>
                <w:rFonts w:hint="default" w:ascii="Times New Roman" w:hAnsi="Times New Roman" w:eastAsia="宋体" w:cs="Times New Roman"/>
                <w:color w:val="auto"/>
                <w:kern w:val="0"/>
                <w:sz w:val="24"/>
                <w:lang w:bidi="ar"/>
              </w:rPr>
              <w:t>为加快四川盆地巴中区块油气勘查，</w:t>
            </w:r>
            <w:r>
              <w:rPr>
                <w:rFonts w:hint="eastAsia" w:ascii="Times New Roman" w:hAnsi="Times New Roman" w:eastAsia="宋体" w:cs="Times New Roman"/>
                <w:color w:val="auto"/>
                <w:kern w:val="0"/>
                <w:sz w:val="24"/>
                <w:lang w:val="en-US" w:eastAsia="zh-CN" w:bidi="ar"/>
              </w:rPr>
              <w:t>根据</w:t>
            </w:r>
            <w:r>
              <w:rPr>
                <w:rFonts w:hint="default" w:ascii="Times New Roman" w:hAnsi="Times New Roman" w:eastAsia="宋体" w:cs="Times New Roman"/>
                <w:color w:val="auto"/>
                <w:kern w:val="0"/>
                <w:sz w:val="24"/>
                <w:lang w:bidi="ar"/>
              </w:rPr>
              <w:t>中国</w:t>
            </w:r>
            <w:r>
              <w:rPr>
                <w:rFonts w:hint="eastAsia" w:ascii="Times New Roman" w:hAnsi="Times New Roman" w:eastAsia="宋体" w:cs="Times New Roman"/>
                <w:color w:val="auto"/>
                <w:kern w:val="0"/>
                <w:sz w:val="24"/>
                <w:lang w:val="en-US" w:eastAsia="zh-CN" w:bidi="ar"/>
              </w:rPr>
              <w:t>石油化工股份有限公司勘探分公司</w:t>
            </w:r>
            <w:r>
              <w:rPr>
                <w:rFonts w:hint="default" w:ascii="Times New Roman" w:hAnsi="Times New Roman" w:eastAsia="宋体" w:cs="Times New Roman"/>
                <w:color w:val="auto"/>
                <w:kern w:val="0"/>
                <w:sz w:val="24"/>
                <w:lang w:bidi="ar"/>
              </w:rPr>
              <w:t>油气勘探管理部</w:t>
            </w:r>
            <w:r>
              <w:rPr>
                <w:rFonts w:hint="eastAsia" w:ascii="Times New Roman" w:hAnsi="Times New Roman" w:eastAsia="宋体" w:cs="Times New Roman"/>
                <w:color w:val="auto"/>
                <w:kern w:val="0"/>
                <w:sz w:val="24"/>
                <w:lang w:val="en-US" w:eastAsia="zh-CN" w:bidi="ar"/>
              </w:rPr>
              <w:t>于</w:t>
            </w:r>
            <w:r>
              <w:rPr>
                <w:rFonts w:hint="eastAsia" w:ascii="Times New Roman" w:hAnsi="Times New Roman" w:cs="Times New Roman"/>
                <w:color w:val="auto"/>
                <w:kern w:val="0"/>
                <w:sz w:val="24"/>
                <w:lang w:val="en-US" w:eastAsia="zh-CN" w:bidi="ar"/>
              </w:rPr>
              <w:t>202</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年</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月</w:t>
            </w:r>
            <w:r>
              <w:rPr>
                <w:rFonts w:hint="eastAsia" w:cs="Times New Roman"/>
                <w:color w:val="auto"/>
                <w:kern w:val="0"/>
                <w:sz w:val="24"/>
                <w:lang w:val="en-US" w:eastAsia="zh-CN" w:bidi="ar"/>
              </w:rPr>
              <w:t>8</w:t>
            </w:r>
            <w:r>
              <w:rPr>
                <w:rFonts w:hint="eastAsia" w:ascii="Times New Roman" w:hAnsi="Times New Roman" w:cs="Times New Roman"/>
                <w:color w:val="auto"/>
                <w:kern w:val="0"/>
                <w:sz w:val="24"/>
                <w:lang w:val="en-US" w:eastAsia="zh-CN" w:bidi="ar"/>
              </w:rPr>
              <w:t>日出具的</w:t>
            </w:r>
            <w:r>
              <w:rPr>
                <w:rFonts w:hint="default" w:ascii="Times New Roman" w:hAnsi="Times New Roman" w:cs="Times New Roman"/>
                <w:color w:val="auto"/>
                <w:kern w:val="0"/>
                <w:sz w:val="24"/>
                <w:lang w:bidi="ar"/>
              </w:rPr>
              <w:t>《关于启动</w:t>
            </w:r>
            <w:r>
              <w:rPr>
                <w:rFonts w:hint="eastAsia" w:cs="Times New Roman"/>
                <w:color w:val="auto"/>
                <w:kern w:val="0"/>
                <w:sz w:val="24"/>
                <w:lang w:val="en-US" w:eastAsia="zh-CN" w:bidi="ar"/>
              </w:rPr>
              <w:t>元陆39</w:t>
            </w:r>
            <w:r>
              <w:rPr>
                <w:rFonts w:hint="eastAsia" w:ascii="Times New Roman" w:hAnsi="Times New Roman" w:cs="Times New Roman"/>
                <w:color w:val="auto"/>
                <w:kern w:val="0"/>
                <w:sz w:val="24"/>
                <w:lang w:val="en-US" w:eastAsia="zh-CN" w:bidi="ar"/>
              </w:rPr>
              <w:t>井</w:t>
            </w:r>
            <w:r>
              <w:rPr>
                <w:rFonts w:hint="eastAsia" w:cs="Times New Roman"/>
                <w:color w:val="auto"/>
                <w:kern w:val="0"/>
                <w:sz w:val="24"/>
                <w:lang w:val="en-US" w:eastAsia="zh-CN" w:bidi="ar"/>
              </w:rPr>
              <w:t>钻探工程</w:t>
            </w:r>
            <w:r>
              <w:rPr>
                <w:rFonts w:hint="eastAsia" w:ascii="Times New Roman" w:hAnsi="Times New Roman" w:cs="Times New Roman"/>
                <w:color w:val="auto"/>
                <w:kern w:val="0"/>
                <w:sz w:val="24"/>
                <w:lang w:val="en-US" w:eastAsia="zh-CN" w:bidi="ar"/>
              </w:rPr>
              <w:t>的通知</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勘探</w:t>
            </w:r>
            <w:r>
              <w:rPr>
                <w:rFonts w:hint="eastAsia" w:ascii="Times New Roman" w:hAnsi="Times New Roman" w:cs="Times New Roman"/>
                <w:color w:val="auto"/>
                <w:kern w:val="0"/>
                <w:sz w:val="24"/>
                <w:lang w:val="en-US" w:eastAsia="zh-CN" w:bidi="ar"/>
              </w:rPr>
              <w:t>勘</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cs="Times New Roman"/>
                <w:color w:val="auto"/>
                <w:kern w:val="0"/>
                <w:sz w:val="24"/>
                <w:lang w:val="en-US" w:eastAsia="zh-CN" w:bidi="ar"/>
              </w:rPr>
              <w:t>8</w:t>
            </w:r>
            <w:r>
              <w:rPr>
                <w:rFonts w:hint="eastAsia" w:ascii="Times New Roman" w:hAnsi="Times New Roman" w:cs="Times New Roman"/>
                <w:color w:val="auto"/>
                <w:kern w:val="0"/>
                <w:sz w:val="24"/>
                <w:lang w:bidi="ar"/>
              </w:rPr>
              <w:t>号</w:t>
            </w:r>
            <w:r>
              <w:rPr>
                <w:rFonts w:hint="default" w:ascii="Times New Roman" w:hAnsi="Times New Roman" w:cs="Times New Roman"/>
                <w:color w:val="auto"/>
                <w:kern w:val="0"/>
                <w:sz w:val="24"/>
                <w:lang w:bidi="ar"/>
              </w:rPr>
              <w:t>），中国石油化工股份有限公司勘探分公司拟在</w:t>
            </w:r>
            <w:r>
              <w:rPr>
                <w:rFonts w:hint="eastAsia" w:ascii="Times New Roman" w:hAnsi="Times New Roman" w:cs="Times New Roman"/>
                <w:color w:val="auto"/>
                <w:sz w:val="24"/>
              </w:rPr>
              <w:t>四川省巴中市</w:t>
            </w:r>
            <w:r>
              <w:rPr>
                <w:rFonts w:hint="eastAsia" w:cs="Times New Roman"/>
                <w:color w:val="auto"/>
                <w:sz w:val="24"/>
                <w:lang w:eastAsia="zh-CN"/>
              </w:rPr>
              <w:t>恩阳区上八庙镇季台村6组</w:t>
            </w:r>
            <w:r>
              <w:rPr>
                <w:rFonts w:hint="default" w:ascii="Times New Roman" w:hAnsi="Times New Roman" w:cs="Times New Roman"/>
                <w:color w:val="auto"/>
                <w:kern w:val="0"/>
                <w:sz w:val="24"/>
                <w:lang w:bidi="ar"/>
              </w:rPr>
              <w:t>部署</w:t>
            </w:r>
            <w:r>
              <w:rPr>
                <w:rFonts w:hint="eastAsia" w:cs="Times New Roman"/>
                <w:color w:val="auto"/>
                <w:kern w:val="0"/>
                <w:sz w:val="24"/>
                <w:lang w:eastAsia="zh-CN" w:bidi="ar"/>
              </w:rPr>
              <w:t>元陆39井钻探工程</w:t>
            </w:r>
            <w:r>
              <w:rPr>
                <w:rFonts w:hint="default" w:ascii="Times New Roman" w:hAnsi="Times New Roman" w:cs="Times New Roman"/>
                <w:color w:val="auto"/>
                <w:kern w:val="0"/>
                <w:sz w:val="24"/>
                <w:lang w:bidi="ar"/>
              </w:rPr>
              <w:t>，以探明</w:t>
            </w:r>
            <w:r>
              <w:rPr>
                <w:rFonts w:hint="eastAsia" w:cs="Times New Roman"/>
                <w:color w:val="auto"/>
                <w:kern w:val="0"/>
                <w:sz w:val="24"/>
                <w:lang w:val="en-US" w:eastAsia="zh-CN" w:bidi="ar"/>
              </w:rPr>
              <w:t>区域</w:t>
            </w:r>
            <w:r>
              <w:rPr>
                <w:rFonts w:hint="eastAsia" w:ascii="Times New Roman" w:hAnsi="Times New Roman" w:cs="Times New Roman"/>
                <w:color w:val="auto"/>
                <w:kern w:val="0"/>
                <w:sz w:val="24"/>
                <w:lang w:val="en-US" w:eastAsia="zh-CN" w:bidi="ar"/>
              </w:rPr>
              <w:t>须家河组四段天然气</w:t>
            </w:r>
            <w:r>
              <w:rPr>
                <w:rFonts w:hint="default" w:ascii="Times New Roman" w:hAnsi="Times New Roman" w:cs="Times New Roman"/>
                <w:color w:val="auto"/>
                <w:kern w:val="0"/>
                <w:sz w:val="24"/>
                <w:lang w:bidi="ar"/>
              </w:rPr>
              <w:t>储量</w:t>
            </w:r>
            <w:r>
              <w:rPr>
                <w:rFonts w:hint="eastAsia" w:ascii="Times New Roman" w:hAnsi="Times New Roman" w:cs="Times New Roman"/>
                <w:color w:val="auto"/>
                <w:kern w:val="0"/>
                <w:sz w:val="24"/>
                <w:lang w:bidi="ar"/>
              </w:rPr>
              <w:t>。</w:t>
            </w:r>
          </w:p>
          <w:p w14:paraId="6B1E1B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eastAsia="zh-CN"/>
              </w:rPr>
              <w:t>元陆39井钻探工程</w:t>
            </w:r>
            <w:r>
              <w:rPr>
                <w:rFonts w:hint="default" w:ascii="Times New Roman" w:hAnsi="Times New Roman" w:cs="Times New Roman"/>
                <w:bCs/>
                <w:color w:val="auto"/>
                <w:sz w:val="24"/>
              </w:rPr>
              <w:t>所在区域的探矿权属中国石油化工股份有限公司所有，已取得《四川省四川盆地巴中区块油气勘查》探矿许可证</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证号</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T1000002020111018000139</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，勘查地理位置包括四川省</w:t>
            </w:r>
            <w:r>
              <w:rPr>
                <w:rFonts w:hint="eastAsia" w:ascii="Times New Roman" w:hAnsi="Times New Roman" w:cs="Times New Roman"/>
                <w:bCs/>
                <w:color w:val="auto"/>
                <w:sz w:val="24"/>
              </w:rPr>
              <w:t>通江、南江、巴中、旺苍、广元</w:t>
            </w:r>
            <w:r>
              <w:rPr>
                <w:rFonts w:hint="default" w:ascii="Times New Roman" w:hAnsi="Times New Roman" w:cs="Times New Roman"/>
                <w:bCs/>
                <w:color w:val="auto"/>
                <w:sz w:val="24"/>
              </w:rPr>
              <w:t>，勘查面积</w:t>
            </w:r>
            <w:r>
              <w:rPr>
                <w:rFonts w:hint="eastAsia" w:ascii="Times New Roman" w:hAnsi="Times New Roman" w:cs="Times New Roman"/>
                <w:bCs/>
                <w:color w:val="auto"/>
                <w:sz w:val="24"/>
              </w:rPr>
              <w:t>4885.2393</w:t>
            </w:r>
            <w:r>
              <w:rPr>
                <w:rFonts w:hint="default" w:ascii="Times New Roman" w:hAnsi="Times New Roman" w:cs="Times New Roman"/>
                <w:bCs/>
                <w:color w:val="auto"/>
                <w:sz w:val="24"/>
              </w:rPr>
              <w:t>km</w:t>
            </w:r>
            <w:r>
              <w:rPr>
                <w:rFonts w:hint="eastAsia" w:ascii="Times New Roman" w:hAnsi="Times New Roman" w:cs="Times New Roman"/>
                <w:bCs/>
                <w:color w:val="auto"/>
                <w:sz w:val="24"/>
                <w:vertAlign w:val="superscript"/>
              </w:rPr>
              <w:t>2</w:t>
            </w:r>
            <w:r>
              <w:rPr>
                <w:rFonts w:hint="eastAsia" w:ascii="Times New Roman" w:hAnsi="Times New Roman" w:cs="Times New Roman"/>
                <w:bCs/>
                <w:color w:val="auto"/>
                <w:sz w:val="24"/>
              </w:rPr>
              <w:t>。</w:t>
            </w:r>
            <w:r>
              <w:rPr>
                <w:rFonts w:hint="eastAsia" w:cs="Times New Roman"/>
                <w:bCs/>
                <w:color w:val="auto"/>
                <w:sz w:val="24"/>
                <w:lang w:val="en-US" w:eastAsia="zh-CN"/>
              </w:rPr>
              <w:t>该探矿许可证已过期，</w:t>
            </w:r>
            <w:r>
              <w:rPr>
                <w:rFonts w:hint="default" w:ascii="Times New Roman" w:hAnsi="Times New Roman" w:cs="Times New Roman"/>
                <w:bCs/>
                <w:color w:val="auto"/>
                <w:sz w:val="24"/>
              </w:rPr>
              <w:t>中国石油化工股份有限公司</w:t>
            </w:r>
            <w:r>
              <w:rPr>
                <w:rFonts w:hint="eastAsia" w:cs="Times New Roman"/>
                <w:bCs/>
                <w:color w:val="auto"/>
                <w:sz w:val="24"/>
                <w:lang w:val="en-US" w:eastAsia="zh-CN"/>
              </w:rPr>
              <w:t>正在办理探矿许可证的续期手续，已于2025年12月31日向中华人民共和国自然资源部提交了相关续期材料，中华人民共和国自然资源部出具了《补正材料接收回执单》（编号：100000502020250604）。</w:t>
            </w:r>
          </w:p>
          <w:p w14:paraId="25E06832">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二、</w:t>
            </w:r>
            <w:r>
              <w:rPr>
                <w:rFonts w:hint="eastAsia" w:ascii="Times New Roman" w:hAnsi="Times New Roman" w:eastAsia="宋体" w:cs="Times New Roman"/>
                <w:b/>
                <w:color w:val="auto"/>
                <w:sz w:val="24"/>
              </w:rPr>
              <w:t>项目区域勘探概况</w:t>
            </w:r>
          </w:p>
          <w:p w14:paraId="00DC608B">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油气层位置预测</w:t>
            </w:r>
          </w:p>
          <w:p w14:paraId="4EB5993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eastAsia" w:ascii="Times New Roman" w:hAnsi="Times New Roman" w:eastAsia="宋体" w:cs="Times New Roman"/>
                <w:color w:val="auto"/>
                <w:kern w:val="0"/>
                <w:sz w:val="24"/>
                <w:lang w:val="en-US" w:eastAsia="zh-CN"/>
              </w:rPr>
              <w:t>根据项目钻井工程设计：结合</w:t>
            </w:r>
            <w:r>
              <w:rPr>
                <w:rFonts w:hint="default" w:ascii="Times New Roman" w:hAnsi="Times New Roman" w:eastAsia="宋体" w:cs="Times New Roman"/>
                <w:color w:val="auto"/>
                <w:kern w:val="0"/>
                <w:sz w:val="24"/>
              </w:rPr>
              <w:t>区域资料、地震资料及工区钻井情况分析，综合预测本井将钻遇须家河组四段下亚段气层：须家河组四段下亚段（T</w:t>
            </w:r>
            <w:r>
              <w:rPr>
                <w:rFonts w:hint="default" w:ascii="Times New Roman" w:hAnsi="Times New Roman" w:eastAsia="宋体" w:cs="Times New Roman"/>
                <w:color w:val="auto"/>
                <w:kern w:val="0"/>
                <w:sz w:val="24"/>
                <w:vertAlign w:val="subscript"/>
              </w:rPr>
              <w:t>3</w:t>
            </w:r>
            <w:r>
              <w:rPr>
                <w:rFonts w:hint="default" w:ascii="Times New Roman" w:hAnsi="Times New Roman" w:eastAsia="宋体" w:cs="Times New Roman"/>
                <w:color w:val="auto"/>
                <w:kern w:val="0"/>
                <w:sz w:val="24"/>
              </w:rPr>
              <w:t>x</w:t>
            </w:r>
            <w:r>
              <w:rPr>
                <w:rFonts w:hint="default" w:ascii="Times New Roman" w:hAnsi="Times New Roman" w:eastAsia="宋体" w:cs="Times New Roman"/>
                <w:color w:val="auto"/>
                <w:kern w:val="0"/>
                <w:sz w:val="24"/>
                <w:vertAlign w:val="superscript"/>
              </w:rPr>
              <w:t>4</w:t>
            </w:r>
            <w:r>
              <w:rPr>
                <w:rFonts w:hint="default" w:ascii="Times New Roman" w:hAnsi="Times New Roman" w:eastAsia="宋体" w:cs="Times New Roman"/>
                <w:color w:val="auto"/>
                <w:kern w:val="0"/>
                <w:sz w:val="24"/>
                <w:vertAlign w:val="subscript"/>
              </w:rPr>
              <w:t>1</w:t>
            </w:r>
            <w:r>
              <w:rPr>
                <w:rFonts w:hint="default" w:ascii="Times New Roman" w:hAnsi="Times New Roman" w:eastAsia="宋体" w:cs="Times New Roman"/>
                <w:color w:val="auto"/>
                <w:kern w:val="0"/>
                <w:sz w:val="24"/>
              </w:rPr>
              <w:t>）：</w:t>
            </w:r>
            <w:r>
              <w:rPr>
                <w:rFonts w:hint="eastAsia" w:cs="Times New Roman"/>
                <w:color w:val="auto"/>
                <w:kern w:val="0"/>
                <w:sz w:val="24"/>
                <w:lang w:val="en-US" w:eastAsia="zh-CN"/>
              </w:rPr>
              <w:t>4829.0</w:t>
            </w:r>
            <w:r>
              <w:rPr>
                <w:rFonts w:hint="eastAsia" w:ascii="Times New Roman" w:hAnsi="Times New Roman" w:eastAsia="宋体" w:cs="Times New Roman"/>
                <w:color w:val="auto"/>
                <w:kern w:val="0"/>
                <w:sz w:val="24"/>
                <w:lang w:val="en-US" w:eastAsia="zh-CN"/>
              </w:rPr>
              <w:t>~</w:t>
            </w:r>
            <w:r>
              <w:rPr>
                <w:rFonts w:hint="eastAsia" w:cs="Times New Roman"/>
                <w:color w:val="auto"/>
                <w:kern w:val="0"/>
                <w:sz w:val="24"/>
                <w:lang w:val="en-US" w:eastAsia="zh-CN"/>
              </w:rPr>
              <w:t>4998.0</w:t>
            </w:r>
            <w:r>
              <w:rPr>
                <w:rFonts w:hint="default" w:ascii="Times New Roman" w:hAnsi="Times New Roman" w:eastAsia="宋体" w:cs="Times New Roman"/>
                <w:color w:val="auto"/>
                <w:kern w:val="0"/>
                <w:sz w:val="24"/>
              </w:rPr>
              <w:t>m，中-细</w:t>
            </w:r>
            <w:r>
              <w:rPr>
                <w:rFonts w:hint="eastAsia" w:cs="Times New Roman"/>
                <w:color w:val="auto"/>
                <w:kern w:val="0"/>
                <w:sz w:val="24"/>
                <w:lang w:val="en-US" w:eastAsia="zh-CN"/>
              </w:rPr>
              <w:t>粒</w:t>
            </w:r>
            <w:r>
              <w:rPr>
                <w:rFonts w:hint="default" w:ascii="Times New Roman" w:hAnsi="Times New Roman" w:eastAsia="宋体" w:cs="Times New Roman"/>
                <w:color w:val="auto"/>
                <w:kern w:val="0"/>
                <w:sz w:val="24"/>
              </w:rPr>
              <w:t>砂岩</w:t>
            </w:r>
            <w:r>
              <w:rPr>
                <w:rFonts w:hint="eastAsia" w:cs="Times New Roman"/>
                <w:color w:val="auto"/>
                <w:kern w:val="0"/>
                <w:sz w:val="24"/>
                <w:lang w:val="en-US" w:eastAsia="zh-CN"/>
              </w:rPr>
              <w:t>气层</w:t>
            </w:r>
            <w:r>
              <w:rPr>
                <w:rFonts w:hint="default" w:ascii="Times New Roman" w:hAnsi="Times New Roman" w:eastAsia="宋体" w:cs="Times New Roman"/>
                <w:color w:val="auto"/>
                <w:kern w:val="0"/>
                <w:sz w:val="24"/>
              </w:rPr>
              <w:t>。</w:t>
            </w:r>
          </w:p>
          <w:p w14:paraId="3F6F766F">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Times New Roman"/>
                <w:b/>
                <w:bCs w:val="0"/>
                <w:color w:val="auto"/>
                <w:sz w:val="24"/>
              </w:rPr>
            </w:pPr>
            <w:r>
              <w:rPr>
                <w:rFonts w:hint="eastAsia"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eastAsia" w:ascii="Times New Roman" w:hAnsi="Times New Roman" w:cs="Times New Roman"/>
                <w:b/>
                <w:bCs w:val="0"/>
                <w:color w:val="auto"/>
                <w:sz w:val="24"/>
              </w:rPr>
              <w:t>邻井测试情况</w:t>
            </w:r>
          </w:p>
          <w:p w14:paraId="015855E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lang w:val="en-GB"/>
              </w:rPr>
            </w:pPr>
            <w:r>
              <w:rPr>
                <w:rFonts w:hint="default" w:ascii="Times New Roman" w:hAnsi="Times New Roman" w:eastAsia="宋体" w:cs="Times New Roman"/>
                <w:color w:val="auto"/>
                <w:kern w:val="0"/>
                <w:sz w:val="24"/>
                <w:lang w:bidi="ar"/>
              </w:rPr>
              <w:t>本项目位于四川省巴中市</w:t>
            </w:r>
            <w:r>
              <w:rPr>
                <w:rFonts w:hint="eastAsia" w:cs="Times New Roman"/>
                <w:color w:val="auto"/>
                <w:kern w:val="0"/>
                <w:sz w:val="24"/>
                <w:lang w:eastAsia="zh-CN" w:bidi="ar"/>
              </w:rPr>
              <w:t>恩阳区上八庙镇季台村6组</w:t>
            </w:r>
            <w:r>
              <w:rPr>
                <w:rFonts w:hint="default" w:ascii="Times New Roman" w:hAnsi="Times New Roman" w:eastAsia="宋体" w:cs="Times New Roman"/>
                <w:color w:val="auto"/>
                <w:kern w:val="0"/>
                <w:sz w:val="24"/>
                <w:lang w:bidi="ar"/>
              </w:rPr>
              <w:t>，</w:t>
            </w:r>
            <w:r>
              <w:rPr>
                <w:rFonts w:hint="eastAsia" w:cs="Times New Roman"/>
                <w:color w:val="auto"/>
                <w:kern w:val="0"/>
                <w:sz w:val="24"/>
                <w:lang w:val="en-US" w:eastAsia="zh-CN" w:bidi="ar"/>
              </w:rPr>
              <w:t>元陆39井邻井陆相主要测试成果如下表所示。</w:t>
            </w:r>
          </w:p>
          <w:p w14:paraId="6135C72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eastAsia" w:cs="Times New Roman"/>
                <w:b/>
                <w:color w:val="auto"/>
                <w:lang w:val="en-US" w:eastAsia="zh-CN"/>
              </w:rPr>
              <w:t>元陆39井</w:t>
            </w:r>
            <w:r>
              <w:rPr>
                <w:rFonts w:hint="default" w:ascii="Times New Roman" w:hAnsi="Times New Roman" w:eastAsia="宋体" w:cs="Times New Roman"/>
                <w:b/>
                <w:color w:val="auto"/>
              </w:rPr>
              <w:t>邻井陆相测试成果表</w:t>
            </w:r>
          </w:p>
          <w:tbl>
            <w:tblPr>
              <w:tblStyle w:val="23"/>
              <w:tblW w:w="7564"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421"/>
              <w:gridCol w:w="415"/>
              <w:gridCol w:w="753"/>
              <w:gridCol w:w="840"/>
              <w:gridCol w:w="796"/>
              <w:gridCol w:w="585"/>
              <w:gridCol w:w="674"/>
              <w:gridCol w:w="725"/>
              <w:gridCol w:w="972"/>
              <w:gridCol w:w="775"/>
              <w:gridCol w:w="608"/>
            </w:tblGrid>
            <w:tr w14:paraId="4CA3668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restart"/>
                  <w:tcBorders>
                    <w:tl2br w:val="nil"/>
                    <w:tr2bl w:val="nil"/>
                  </w:tcBorders>
                  <w:noWrap w:val="0"/>
                  <w:vAlign w:val="center"/>
                </w:tcPr>
                <w:p w14:paraId="047FC2E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层位</w:t>
                  </w:r>
                </w:p>
              </w:tc>
              <w:tc>
                <w:tcPr>
                  <w:tcW w:w="753" w:type="dxa"/>
                  <w:vMerge w:val="restart"/>
                  <w:tcBorders>
                    <w:tl2br w:val="nil"/>
                    <w:tr2bl w:val="nil"/>
                  </w:tcBorders>
                  <w:noWrap w:val="0"/>
                  <w:vAlign w:val="center"/>
                </w:tcPr>
                <w:p w14:paraId="47724B5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井号</w:t>
                  </w:r>
                </w:p>
              </w:tc>
              <w:tc>
                <w:tcPr>
                  <w:tcW w:w="840" w:type="dxa"/>
                  <w:vMerge w:val="restart"/>
                  <w:tcBorders>
                    <w:tl2br w:val="nil"/>
                    <w:tr2bl w:val="nil"/>
                  </w:tcBorders>
                  <w:noWrap/>
                  <w:vAlign w:val="center"/>
                </w:tcPr>
                <w:p w14:paraId="0D67FC6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井段</w:t>
                  </w:r>
                </w:p>
              </w:tc>
              <w:tc>
                <w:tcPr>
                  <w:tcW w:w="796" w:type="dxa"/>
                  <w:vMerge w:val="restart"/>
                  <w:tcBorders>
                    <w:tl2br w:val="nil"/>
                    <w:tr2bl w:val="nil"/>
                  </w:tcBorders>
                  <w:noWrap w:val="0"/>
                  <w:vAlign w:val="center"/>
                </w:tcPr>
                <w:p w14:paraId="3468A345">
                  <w:pPr>
                    <w:keepNext w:val="0"/>
                    <w:keepLines w:val="0"/>
                    <w:widowControl/>
                    <w:suppressLineNumbers w:val="0"/>
                    <w:spacing w:before="0" w:beforeAutospacing="0" w:after="0" w:afterAutospacing="0" w:line="240" w:lineRule="auto"/>
                    <w:ind w:left="-105" w:leftChars="-5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测试</w:t>
                  </w:r>
                </w:p>
                <w:p w14:paraId="51FAA924">
                  <w:pPr>
                    <w:keepNext w:val="0"/>
                    <w:keepLines w:val="0"/>
                    <w:widowControl/>
                    <w:suppressLineNumbers w:val="0"/>
                    <w:spacing w:before="0" w:beforeAutospacing="0" w:after="0" w:afterAutospacing="0" w:line="240" w:lineRule="auto"/>
                    <w:ind w:left="-105" w:leftChars="-5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方式</w:t>
                  </w:r>
                </w:p>
              </w:tc>
              <w:tc>
                <w:tcPr>
                  <w:tcW w:w="585" w:type="dxa"/>
                  <w:vMerge w:val="restart"/>
                  <w:tcBorders>
                    <w:tl2br w:val="nil"/>
                    <w:tr2bl w:val="nil"/>
                  </w:tcBorders>
                  <w:noWrap w:val="0"/>
                  <w:vAlign w:val="center"/>
                </w:tcPr>
                <w:p w14:paraId="62E696A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油嘴</w:t>
                  </w:r>
                  <w:r>
                    <w:rPr>
                      <w:rFonts w:hint="eastAsia" w:ascii="Times New Roman" w:hAnsi="Times New Roman" w:eastAsia="宋体" w:cs="Times New Roman"/>
                      <w:b/>
                      <w:bCs w:val="0"/>
                      <w:color w:val="auto"/>
                      <w:sz w:val="18"/>
                      <w:szCs w:val="18"/>
                      <w:lang w:val="en-US" w:eastAsia="zh-CN"/>
                    </w:rPr>
                    <w:t>/</w:t>
                  </w:r>
                  <w:r>
                    <w:rPr>
                      <w:rFonts w:hint="default" w:ascii="Times New Roman" w:hAnsi="Times New Roman" w:eastAsia="宋体" w:cs="Times New Roman"/>
                      <w:b/>
                      <w:bCs w:val="0"/>
                      <w:color w:val="auto"/>
                      <w:sz w:val="18"/>
                      <w:szCs w:val="18"/>
                    </w:rPr>
                    <w:t>mm</w:t>
                  </w:r>
                </w:p>
              </w:tc>
              <w:tc>
                <w:tcPr>
                  <w:tcW w:w="674" w:type="dxa"/>
                  <w:vMerge w:val="restart"/>
                  <w:tcBorders>
                    <w:tl2br w:val="nil"/>
                    <w:tr2bl w:val="nil"/>
                  </w:tcBorders>
                  <w:noWrap w:val="0"/>
                  <w:vAlign w:val="center"/>
                </w:tcPr>
                <w:p w14:paraId="3397C8D8">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b/>
                      <w:bCs w:val="0"/>
                      <w:color w:val="auto"/>
                      <w:sz w:val="18"/>
                      <w:szCs w:val="18"/>
                      <w:lang w:eastAsia="zh-CN"/>
                    </w:rPr>
                  </w:pPr>
                  <w:r>
                    <w:rPr>
                      <w:rFonts w:hint="default" w:ascii="Times New Roman" w:hAnsi="Times New Roman" w:eastAsia="宋体" w:cs="Times New Roman"/>
                      <w:b/>
                      <w:bCs w:val="0"/>
                      <w:color w:val="auto"/>
                      <w:sz w:val="18"/>
                      <w:szCs w:val="18"/>
                    </w:rPr>
                    <w:t>孔板</w:t>
                  </w:r>
                  <w:r>
                    <w:rPr>
                      <w:rFonts w:hint="eastAsia" w:ascii="Times New Roman" w:hAnsi="Times New Roman" w:eastAsia="宋体" w:cs="Times New Roman"/>
                      <w:b/>
                      <w:bCs w:val="0"/>
                      <w:color w:val="auto"/>
                      <w:sz w:val="18"/>
                      <w:szCs w:val="18"/>
                      <w:lang w:val="en-US" w:eastAsia="zh-CN"/>
                    </w:rPr>
                    <w:t>/</w:t>
                  </w:r>
                  <w:r>
                    <w:rPr>
                      <w:rFonts w:hint="default" w:ascii="Times New Roman" w:hAnsi="Times New Roman" w:eastAsia="宋体" w:cs="Times New Roman"/>
                      <w:b/>
                      <w:bCs w:val="0"/>
                      <w:color w:val="auto"/>
                      <w:sz w:val="18"/>
                      <w:szCs w:val="18"/>
                    </w:rPr>
                    <w:t>mm</w:t>
                  </w:r>
                </w:p>
              </w:tc>
              <w:tc>
                <w:tcPr>
                  <w:tcW w:w="725" w:type="dxa"/>
                  <w:vMerge w:val="restart"/>
                  <w:tcBorders>
                    <w:tl2br w:val="nil"/>
                    <w:tr2bl w:val="nil"/>
                  </w:tcBorders>
                  <w:noWrap w:val="0"/>
                  <w:vAlign w:val="center"/>
                </w:tcPr>
                <w:p w14:paraId="62F52CEB">
                  <w:pPr>
                    <w:keepNext w:val="0"/>
                    <w:keepLines w:val="0"/>
                    <w:widowControl/>
                    <w:suppressLineNumbers w:val="0"/>
                    <w:spacing w:before="0" w:beforeAutospacing="0" w:after="0" w:afterAutospacing="0" w:line="240" w:lineRule="auto"/>
                    <w:ind w:left="0" w:right="0"/>
                    <w:jc w:val="center"/>
                    <w:rPr>
                      <w:rFonts w:hint="eastAsia" w:ascii="Times New Roman" w:hAnsi="Times New Roman" w:eastAsia="宋体" w:cs="Times New Roman"/>
                      <w:b/>
                      <w:bCs w:val="0"/>
                      <w:color w:val="auto"/>
                      <w:sz w:val="18"/>
                      <w:szCs w:val="18"/>
                      <w:lang w:eastAsia="zh-CN"/>
                    </w:rPr>
                  </w:pPr>
                  <w:r>
                    <w:rPr>
                      <w:rFonts w:hint="default" w:ascii="Times New Roman" w:hAnsi="Times New Roman" w:eastAsia="宋体" w:cs="Times New Roman"/>
                      <w:b/>
                      <w:bCs w:val="0"/>
                      <w:color w:val="auto"/>
                      <w:sz w:val="18"/>
                      <w:szCs w:val="18"/>
                    </w:rPr>
                    <w:t>油压</w:t>
                  </w:r>
                  <w:r>
                    <w:rPr>
                      <w:rFonts w:hint="eastAsia" w:ascii="Times New Roman" w:hAnsi="Times New Roman" w:eastAsia="宋体" w:cs="Times New Roman"/>
                      <w:b/>
                      <w:bCs w:val="0"/>
                      <w:color w:val="auto"/>
                      <w:sz w:val="18"/>
                      <w:szCs w:val="18"/>
                      <w:lang w:val="en-US" w:eastAsia="zh-CN"/>
                    </w:rPr>
                    <w:t>/</w:t>
                  </w:r>
                  <w:r>
                    <w:rPr>
                      <w:rFonts w:hint="default" w:ascii="Times New Roman" w:hAnsi="Times New Roman" w:eastAsia="宋体" w:cs="Times New Roman"/>
                      <w:b/>
                      <w:bCs w:val="0"/>
                      <w:color w:val="auto"/>
                      <w:sz w:val="18"/>
                      <w:szCs w:val="18"/>
                    </w:rPr>
                    <w:t>MPa</w:t>
                  </w:r>
                </w:p>
              </w:tc>
              <w:tc>
                <w:tcPr>
                  <w:tcW w:w="972" w:type="dxa"/>
                  <w:vMerge w:val="restart"/>
                  <w:tcBorders>
                    <w:tl2br w:val="nil"/>
                    <w:tr2bl w:val="nil"/>
                  </w:tcBorders>
                  <w:noWrap w:val="0"/>
                  <w:vAlign w:val="center"/>
                </w:tcPr>
                <w:p w14:paraId="49E91F2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lang w:val="en-US" w:eastAsia="zh-CN"/>
                    </w:rPr>
                  </w:pPr>
                  <w:r>
                    <w:rPr>
                      <w:rFonts w:hint="eastAsia" w:cs="Times New Roman"/>
                      <w:b/>
                      <w:bCs w:val="0"/>
                      <w:color w:val="auto"/>
                      <w:sz w:val="18"/>
                      <w:szCs w:val="18"/>
                      <w:lang w:val="en-US" w:eastAsia="zh-CN"/>
                    </w:rPr>
                    <w:t>日</w:t>
                  </w:r>
                  <w:r>
                    <w:rPr>
                      <w:rFonts w:hint="default" w:ascii="Times New Roman" w:hAnsi="Times New Roman" w:eastAsia="宋体" w:cs="Times New Roman"/>
                      <w:b/>
                      <w:bCs w:val="0"/>
                      <w:color w:val="auto"/>
                      <w:sz w:val="18"/>
                      <w:szCs w:val="18"/>
                    </w:rPr>
                    <w:t>产量</w:t>
                  </w:r>
                </w:p>
              </w:tc>
              <w:tc>
                <w:tcPr>
                  <w:tcW w:w="1383" w:type="dxa"/>
                  <w:gridSpan w:val="2"/>
                  <w:tcBorders>
                    <w:tl2br w:val="nil"/>
                    <w:tr2bl w:val="nil"/>
                  </w:tcBorders>
                  <w:noWrap w:val="0"/>
                  <w:vAlign w:val="center"/>
                </w:tcPr>
                <w:p w14:paraId="4155AE9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位于井口</w:t>
                  </w:r>
                </w:p>
              </w:tc>
            </w:tr>
            <w:tr w14:paraId="067038A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3D19ADE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753" w:type="dxa"/>
                  <w:vMerge w:val="continue"/>
                  <w:tcBorders>
                    <w:tl2br w:val="nil"/>
                    <w:tr2bl w:val="nil"/>
                  </w:tcBorders>
                  <w:noWrap w:val="0"/>
                  <w:vAlign w:val="center"/>
                </w:tcPr>
                <w:p w14:paraId="060E5FE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840" w:type="dxa"/>
                  <w:vMerge w:val="continue"/>
                  <w:tcBorders>
                    <w:tl2br w:val="nil"/>
                    <w:tr2bl w:val="nil"/>
                  </w:tcBorders>
                  <w:noWrap/>
                  <w:vAlign w:val="center"/>
                </w:tcPr>
                <w:p w14:paraId="35529E1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796" w:type="dxa"/>
                  <w:vMerge w:val="continue"/>
                  <w:tcBorders>
                    <w:tl2br w:val="nil"/>
                    <w:tr2bl w:val="nil"/>
                  </w:tcBorders>
                  <w:noWrap w:val="0"/>
                  <w:vAlign w:val="center"/>
                </w:tcPr>
                <w:p w14:paraId="1791BDE5">
                  <w:pPr>
                    <w:keepNext w:val="0"/>
                    <w:keepLines w:val="0"/>
                    <w:widowControl/>
                    <w:suppressLineNumbers w:val="0"/>
                    <w:spacing w:before="0" w:beforeAutospacing="0" w:after="0" w:afterAutospacing="0" w:line="240" w:lineRule="auto"/>
                    <w:ind w:left="-105" w:leftChars="-50" w:right="0"/>
                    <w:jc w:val="center"/>
                    <w:rPr>
                      <w:rFonts w:hint="default" w:ascii="Times New Roman" w:hAnsi="Times New Roman" w:eastAsia="宋体" w:cs="Times New Roman"/>
                      <w:b/>
                      <w:bCs w:val="0"/>
                      <w:color w:val="auto"/>
                      <w:sz w:val="18"/>
                      <w:szCs w:val="18"/>
                    </w:rPr>
                  </w:pPr>
                </w:p>
              </w:tc>
              <w:tc>
                <w:tcPr>
                  <w:tcW w:w="585" w:type="dxa"/>
                  <w:vMerge w:val="continue"/>
                  <w:tcBorders>
                    <w:tl2br w:val="nil"/>
                    <w:tr2bl w:val="nil"/>
                  </w:tcBorders>
                  <w:noWrap w:val="0"/>
                  <w:vAlign w:val="center"/>
                </w:tcPr>
                <w:p w14:paraId="68B63F1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674" w:type="dxa"/>
                  <w:vMerge w:val="continue"/>
                  <w:tcBorders>
                    <w:tl2br w:val="nil"/>
                    <w:tr2bl w:val="nil"/>
                  </w:tcBorders>
                  <w:noWrap w:val="0"/>
                  <w:vAlign w:val="center"/>
                </w:tcPr>
                <w:p w14:paraId="683E0FB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725" w:type="dxa"/>
                  <w:vMerge w:val="continue"/>
                  <w:tcBorders>
                    <w:tl2br w:val="nil"/>
                    <w:tr2bl w:val="nil"/>
                  </w:tcBorders>
                  <w:noWrap w:val="0"/>
                  <w:vAlign w:val="center"/>
                </w:tcPr>
                <w:p w14:paraId="34B51FE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972" w:type="dxa"/>
                  <w:vMerge w:val="continue"/>
                  <w:tcBorders>
                    <w:tl2br w:val="nil"/>
                    <w:tr2bl w:val="nil"/>
                  </w:tcBorders>
                  <w:noWrap w:val="0"/>
                  <w:vAlign w:val="center"/>
                </w:tcPr>
                <w:p w14:paraId="2DF21B7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p>
              </w:tc>
              <w:tc>
                <w:tcPr>
                  <w:tcW w:w="775" w:type="dxa"/>
                  <w:tcBorders>
                    <w:tl2br w:val="nil"/>
                    <w:tr2bl w:val="nil"/>
                  </w:tcBorders>
                  <w:noWrap w:val="0"/>
                  <w:vAlign w:val="center"/>
                </w:tcPr>
                <w:p w14:paraId="19BD248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距离（km）</w:t>
                  </w:r>
                </w:p>
              </w:tc>
              <w:tc>
                <w:tcPr>
                  <w:tcW w:w="608" w:type="dxa"/>
                  <w:tcBorders>
                    <w:tl2br w:val="nil"/>
                    <w:tr2bl w:val="nil"/>
                  </w:tcBorders>
                  <w:noWrap w:val="0"/>
                  <w:vAlign w:val="center"/>
                </w:tcPr>
                <w:p w14:paraId="0CD1157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default" w:ascii="Times New Roman" w:hAnsi="Times New Roman" w:eastAsia="宋体" w:cs="Times New Roman"/>
                      <w:b/>
                      <w:bCs w:val="0"/>
                      <w:color w:val="auto"/>
                      <w:sz w:val="18"/>
                      <w:szCs w:val="18"/>
                    </w:rPr>
                    <w:t>方位（°）</w:t>
                  </w:r>
                </w:p>
              </w:tc>
            </w:tr>
            <w:tr w14:paraId="114E6DE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tcBorders>
                    <w:tl2br w:val="nil"/>
                    <w:tr2bl w:val="nil"/>
                  </w:tcBorders>
                  <w:shd w:val="clear" w:color="auto" w:fill="auto"/>
                  <w:noWrap w:val="0"/>
                  <w:vAlign w:val="center"/>
                </w:tcPr>
                <w:p w14:paraId="57A3942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下沙溪庙组</w:t>
                  </w:r>
                </w:p>
              </w:tc>
              <w:tc>
                <w:tcPr>
                  <w:tcW w:w="753" w:type="dxa"/>
                  <w:tcBorders>
                    <w:tl2br w:val="nil"/>
                    <w:tr2bl w:val="nil"/>
                  </w:tcBorders>
                  <w:shd w:val="clear" w:color="auto" w:fill="auto"/>
                  <w:noWrap w:val="0"/>
                  <w:vAlign w:val="center"/>
                </w:tcPr>
                <w:p w14:paraId="06FAD48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元陆4井</w:t>
                  </w:r>
                </w:p>
              </w:tc>
              <w:tc>
                <w:tcPr>
                  <w:tcW w:w="840" w:type="dxa"/>
                  <w:tcBorders>
                    <w:tl2br w:val="nil"/>
                    <w:tr2bl w:val="nil"/>
                  </w:tcBorders>
                  <w:shd w:val="clear" w:color="auto" w:fill="auto"/>
                  <w:noWrap/>
                  <w:vAlign w:val="center"/>
                </w:tcPr>
                <w:p w14:paraId="0021516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3182.0</w:t>
                  </w:r>
                  <w:r>
                    <w:rPr>
                      <w:rFonts w:hint="eastAsia" w:ascii="Times New Roman" w:hAnsi="Times New Roman" w:eastAsia="宋体" w:cs="Times New Roman"/>
                      <w:bCs/>
                      <w:color w:val="auto"/>
                      <w:sz w:val="18"/>
                      <w:szCs w:val="18"/>
                      <w:lang w:val="en-US" w:eastAsia="zh-CN"/>
                    </w:rPr>
                    <w:t>-</w:t>
                  </w:r>
                  <w:r>
                    <w:rPr>
                      <w:rFonts w:hint="default" w:ascii="Times New Roman" w:hAnsi="Times New Roman" w:eastAsia="宋体" w:cs="Times New Roman"/>
                      <w:bCs/>
                      <w:color w:val="auto"/>
                      <w:sz w:val="18"/>
                      <w:szCs w:val="18"/>
                    </w:rPr>
                    <w:t>3195.0</w:t>
                  </w:r>
                </w:p>
              </w:tc>
              <w:tc>
                <w:tcPr>
                  <w:tcW w:w="796" w:type="dxa"/>
                  <w:tcBorders>
                    <w:tl2br w:val="nil"/>
                    <w:tr2bl w:val="nil"/>
                  </w:tcBorders>
                  <w:shd w:val="clear" w:color="auto" w:fill="auto"/>
                  <w:noWrap w:val="0"/>
                  <w:vAlign w:val="center"/>
                </w:tcPr>
                <w:p w14:paraId="09706A9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加砂压裂</w:t>
                  </w:r>
                </w:p>
              </w:tc>
              <w:tc>
                <w:tcPr>
                  <w:tcW w:w="585" w:type="dxa"/>
                  <w:tcBorders>
                    <w:tl2br w:val="nil"/>
                    <w:tr2bl w:val="nil"/>
                  </w:tcBorders>
                  <w:shd w:val="clear" w:color="auto" w:fill="auto"/>
                  <w:noWrap w:val="0"/>
                  <w:vAlign w:val="center"/>
                </w:tcPr>
                <w:p w14:paraId="587C639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敞放</w:t>
                  </w:r>
                </w:p>
              </w:tc>
              <w:tc>
                <w:tcPr>
                  <w:tcW w:w="674" w:type="dxa"/>
                  <w:tcBorders>
                    <w:tl2br w:val="nil"/>
                    <w:tr2bl w:val="nil"/>
                  </w:tcBorders>
                  <w:shd w:val="clear" w:color="auto" w:fill="auto"/>
                  <w:noWrap w:val="0"/>
                  <w:vAlign w:val="center"/>
                </w:tcPr>
                <w:p w14:paraId="433BA7B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3</w:t>
                  </w:r>
                </w:p>
              </w:tc>
              <w:tc>
                <w:tcPr>
                  <w:tcW w:w="725" w:type="dxa"/>
                  <w:tcBorders>
                    <w:tl2br w:val="nil"/>
                    <w:tr2bl w:val="nil"/>
                  </w:tcBorders>
                  <w:shd w:val="clear" w:color="auto" w:fill="auto"/>
                  <w:noWrap w:val="0"/>
                  <w:vAlign w:val="center"/>
                </w:tcPr>
                <w:p w14:paraId="35D699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0.1</w:t>
                  </w:r>
                </w:p>
              </w:tc>
              <w:tc>
                <w:tcPr>
                  <w:tcW w:w="972" w:type="dxa"/>
                  <w:tcBorders>
                    <w:tl2br w:val="nil"/>
                    <w:tr2bl w:val="nil"/>
                  </w:tcBorders>
                  <w:shd w:val="clear" w:color="auto" w:fill="auto"/>
                  <w:noWrap w:val="0"/>
                  <w:vAlign w:val="center"/>
                </w:tcPr>
                <w:p w14:paraId="1592C93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0.0165万方（气）</w:t>
                  </w:r>
                </w:p>
              </w:tc>
              <w:tc>
                <w:tcPr>
                  <w:tcW w:w="775" w:type="dxa"/>
                  <w:tcBorders>
                    <w:tl2br w:val="nil"/>
                    <w:tr2bl w:val="nil"/>
                  </w:tcBorders>
                  <w:shd w:val="clear" w:color="auto" w:fill="auto"/>
                  <w:noWrap w:val="0"/>
                  <w:vAlign w:val="center"/>
                </w:tcPr>
                <w:p w14:paraId="75EC824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12.33</w:t>
                  </w:r>
                </w:p>
              </w:tc>
              <w:tc>
                <w:tcPr>
                  <w:tcW w:w="608" w:type="dxa"/>
                  <w:tcBorders>
                    <w:tl2br w:val="nil"/>
                    <w:tr2bl w:val="nil"/>
                  </w:tcBorders>
                  <w:shd w:val="clear" w:color="auto" w:fill="auto"/>
                  <w:noWrap w:val="0"/>
                  <w:vAlign w:val="center"/>
                </w:tcPr>
                <w:p w14:paraId="5062DBE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rPr>
                    <w:t>209</w:t>
                  </w:r>
                </w:p>
              </w:tc>
            </w:tr>
            <w:tr w14:paraId="36560E3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restart"/>
                  <w:tcBorders>
                    <w:tl2br w:val="nil"/>
                    <w:tr2bl w:val="nil"/>
                  </w:tcBorders>
                  <w:noWrap w:val="0"/>
                  <w:vAlign w:val="center"/>
                </w:tcPr>
                <w:p w14:paraId="5C1F822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凉高</w:t>
                  </w:r>
                </w:p>
                <w:p w14:paraId="3058F99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山组</w:t>
                  </w:r>
                </w:p>
              </w:tc>
              <w:tc>
                <w:tcPr>
                  <w:tcW w:w="753" w:type="dxa"/>
                  <w:tcBorders>
                    <w:tl2br w:val="nil"/>
                    <w:tr2bl w:val="nil"/>
                  </w:tcBorders>
                  <w:noWrap w:val="0"/>
                  <w:vAlign w:val="center"/>
                </w:tcPr>
                <w:p w14:paraId="7E51AAB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元陆1</w:t>
                  </w:r>
                  <w:r>
                    <w:rPr>
                      <w:rFonts w:hint="default" w:ascii="Times New Roman" w:hAnsi="Times New Roman" w:eastAsia="宋体" w:cs="Times New Roman"/>
                      <w:bCs/>
                      <w:color w:val="auto"/>
                      <w:sz w:val="18"/>
                      <w:szCs w:val="18"/>
                    </w:rPr>
                    <w:t>71</w:t>
                  </w:r>
                  <w:r>
                    <w:rPr>
                      <w:rFonts w:hint="eastAsia" w:ascii="Times New Roman" w:hAnsi="Times New Roman" w:eastAsia="宋体" w:cs="Times New Roman"/>
                      <w:bCs/>
                      <w:color w:val="auto"/>
                      <w:sz w:val="18"/>
                      <w:szCs w:val="18"/>
                    </w:rPr>
                    <w:t>井</w:t>
                  </w:r>
                </w:p>
              </w:tc>
              <w:tc>
                <w:tcPr>
                  <w:tcW w:w="840" w:type="dxa"/>
                  <w:tcBorders>
                    <w:tl2br w:val="nil"/>
                    <w:tr2bl w:val="nil"/>
                  </w:tcBorders>
                  <w:noWrap/>
                  <w:vAlign w:val="center"/>
                </w:tcPr>
                <w:p w14:paraId="6EAECA0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646.0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3674.0</w:t>
                  </w:r>
                </w:p>
              </w:tc>
              <w:tc>
                <w:tcPr>
                  <w:tcW w:w="796" w:type="dxa"/>
                  <w:tcBorders>
                    <w:tl2br w:val="nil"/>
                    <w:tr2bl w:val="nil"/>
                  </w:tcBorders>
                  <w:noWrap w:val="0"/>
                  <w:vAlign w:val="center"/>
                </w:tcPr>
                <w:p w14:paraId="4774CC0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6F2650D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8</w:t>
                  </w:r>
                </w:p>
              </w:tc>
              <w:tc>
                <w:tcPr>
                  <w:tcW w:w="674" w:type="dxa"/>
                  <w:tcBorders>
                    <w:tl2br w:val="nil"/>
                    <w:tr2bl w:val="nil"/>
                  </w:tcBorders>
                  <w:noWrap w:val="0"/>
                  <w:vAlign w:val="center"/>
                </w:tcPr>
                <w:p w14:paraId="1F3F59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12</w:t>
                  </w:r>
                </w:p>
              </w:tc>
              <w:tc>
                <w:tcPr>
                  <w:tcW w:w="725" w:type="dxa"/>
                  <w:tcBorders>
                    <w:tl2br w:val="nil"/>
                    <w:tr2bl w:val="nil"/>
                  </w:tcBorders>
                  <w:noWrap w:val="0"/>
                  <w:vAlign w:val="center"/>
                </w:tcPr>
                <w:p w14:paraId="6DA1B53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1.35</w:t>
                  </w:r>
                </w:p>
              </w:tc>
              <w:tc>
                <w:tcPr>
                  <w:tcW w:w="972" w:type="dxa"/>
                  <w:tcBorders>
                    <w:tl2br w:val="nil"/>
                    <w:tr2bl w:val="nil"/>
                  </w:tcBorders>
                  <w:noWrap w:val="0"/>
                  <w:vAlign w:val="center"/>
                </w:tcPr>
                <w:p w14:paraId="60586BD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1.31万方（气）、1.75</w:t>
                  </w:r>
                  <w:r>
                    <w:rPr>
                      <w:rFonts w:hint="default" w:ascii="Times New Roman" w:hAnsi="Times New Roman" w:eastAsia="宋体" w:cs="Times New Roman"/>
                      <w:bCs/>
                      <w:color w:val="auto"/>
                      <w:sz w:val="18"/>
                      <w:szCs w:val="18"/>
                    </w:rPr>
                    <w:t>t</w:t>
                  </w:r>
                  <w:r>
                    <w:rPr>
                      <w:rFonts w:hint="eastAsia"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7AECD54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31.31</w:t>
                  </w:r>
                </w:p>
              </w:tc>
              <w:tc>
                <w:tcPr>
                  <w:tcW w:w="608" w:type="dxa"/>
                  <w:tcBorders>
                    <w:tl2br w:val="nil"/>
                    <w:tr2bl w:val="nil"/>
                  </w:tcBorders>
                  <w:noWrap w:val="0"/>
                  <w:vAlign w:val="center"/>
                </w:tcPr>
                <w:p w14:paraId="4D8334D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103</w:t>
                  </w:r>
                </w:p>
              </w:tc>
            </w:tr>
            <w:tr w14:paraId="7EA3490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3AE2445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3812D73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元陆1</w:t>
                  </w:r>
                  <w:r>
                    <w:rPr>
                      <w:rFonts w:hint="default" w:ascii="Times New Roman" w:hAnsi="Times New Roman" w:eastAsia="宋体" w:cs="Times New Roman"/>
                      <w:bCs/>
                      <w:color w:val="auto"/>
                      <w:sz w:val="18"/>
                      <w:szCs w:val="18"/>
                    </w:rPr>
                    <w:t>73</w:t>
                  </w:r>
                  <w:r>
                    <w:rPr>
                      <w:rFonts w:hint="eastAsia" w:ascii="Times New Roman" w:hAnsi="Times New Roman" w:eastAsia="宋体" w:cs="Times New Roman"/>
                      <w:bCs/>
                      <w:color w:val="auto"/>
                      <w:sz w:val="18"/>
                      <w:szCs w:val="18"/>
                    </w:rPr>
                    <w:t>井</w:t>
                  </w:r>
                </w:p>
              </w:tc>
              <w:tc>
                <w:tcPr>
                  <w:tcW w:w="840" w:type="dxa"/>
                  <w:tcBorders>
                    <w:tl2br w:val="nil"/>
                    <w:tr2bl w:val="nil"/>
                  </w:tcBorders>
                  <w:noWrap/>
                  <w:vAlign w:val="center"/>
                </w:tcPr>
                <w:p w14:paraId="591792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742.0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3769.0</w:t>
                  </w:r>
                </w:p>
              </w:tc>
              <w:tc>
                <w:tcPr>
                  <w:tcW w:w="796" w:type="dxa"/>
                  <w:tcBorders>
                    <w:tl2br w:val="nil"/>
                    <w:tr2bl w:val="nil"/>
                  </w:tcBorders>
                  <w:noWrap w:val="0"/>
                  <w:vAlign w:val="center"/>
                </w:tcPr>
                <w:p w14:paraId="4CB1AF1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射孔、</w:t>
                  </w:r>
                  <w:r>
                    <w:rPr>
                      <w:rFonts w:hint="default" w:ascii="Times New Roman" w:hAnsi="Times New Roman" w:eastAsia="宋体" w:cs="Times New Roman"/>
                      <w:bCs/>
                      <w:color w:val="auto"/>
                      <w:sz w:val="18"/>
                      <w:szCs w:val="18"/>
                    </w:rPr>
                    <w:t>酸压</w:t>
                  </w:r>
                </w:p>
              </w:tc>
              <w:tc>
                <w:tcPr>
                  <w:tcW w:w="585" w:type="dxa"/>
                  <w:tcBorders>
                    <w:tl2br w:val="nil"/>
                    <w:tr2bl w:val="nil"/>
                  </w:tcBorders>
                  <w:noWrap w:val="0"/>
                  <w:vAlign w:val="center"/>
                </w:tcPr>
                <w:p w14:paraId="7A85336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敞放</w:t>
                  </w:r>
                </w:p>
              </w:tc>
              <w:tc>
                <w:tcPr>
                  <w:tcW w:w="674" w:type="dxa"/>
                  <w:tcBorders>
                    <w:tl2br w:val="nil"/>
                    <w:tr2bl w:val="nil"/>
                  </w:tcBorders>
                  <w:noWrap w:val="0"/>
                  <w:vAlign w:val="center"/>
                </w:tcPr>
                <w:p w14:paraId="509C830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19</w:t>
                  </w:r>
                </w:p>
              </w:tc>
              <w:tc>
                <w:tcPr>
                  <w:tcW w:w="725" w:type="dxa"/>
                  <w:tcBorders>
                    <w:tl2br w:val="nil"/>
                    <w:tr2bl w:val="nil"/>
                  </w:tcBorders>
                  <w:noWrap w:val="0"/>
                  <w:vAlign w:val="center"/>
                </w:tcPr>
                <w:p w14:paraId="08D7076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w:t>
                  </w:r>
                </w:p>
              </w:tc>
              <w:tc>
                <w:tcPr>
                  <w:tcW w:w="972" w:type="dxa"/>
                  <w:tcBorders>
                    <w:tl2br w:val="nil"/>
                    <w:tr2bl w:val="nil"/>
                  </w:tcBorders>
                  <w:noWrap w:val="0"/>
                  <w:vAlign w:val="center"/>
                </w:tcPr>
                <w:p w14:paraId="7738955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0.1086万方（气）</w:t>
                  </w:r>
                </w:p>
              </w:tc>
              <w:tc>
                <w:tcPr>
                  <w:tcW w:w="775" w:type="dxa"/>
                  <w:tcBorders>
                    <w:tl2br w:val="nil"/>
                    <w:tr2bl w:val="nil"/>
                  </w:tcBorders>
                  <w:noWrap w:val="0"/>
                  <w:vAlign w:val="center"/>
                </w:tcPr>
                <w:p w14:paraId="268B98A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18.64</w:t>
                  </w:r>
                </w:p>
              </w:tc>
              <w:tc>
                <w:tcPr>
                  <w:tcW w:w="608" w:type="dxa"/>
                  <w:tcBorders>
                    <w:tl2br w:val="nil"/>
                    <w:tr2bl w:val="nil"/>
                  </w:tcBorders>
                  <w:noWrap w:val="0"/>
                  <w:vAlign w:val="center"/>
                </w:tcPr>
                <w:p w14:paraId="48CC8E0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117</w:t>
                  </w:r>
                </w:p>
              </w:tc>
            </w:tr>
            <w:tr w14:paraId="0542874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26D6B1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64ADECE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元陆1</w:t>
                  </w:r>
                  <w:r>
                    <w:rPr>
                      <w:rFonts w:hint="default" w:ascii="Times New Roman" w:hAnsi="Times New Roman" w:eastAsia="宋体" w:cs="Times New Roman"/>
                      <w:bCs/>
                      <w:color w:val="auto"/>
                      <w:sz w:val="18"/>
                      <w:szCs w:val="18"/>
                    </w:rPr>
                    <w:t>75</w:t>
                  </w:r>
                  <w:r>
                    <w:rPr>
                      <w:rFonts w:hint="eastAsia" w:ascii="Times New Roman" w:hAnsi="Times New Roman" w:eastAsia="宋体" w:cs="Times New Roman"/>
                      <w:bCs/>
                      <w:color w:val="auto"/>
                      <w:sz w:val="18"/>
                      <w:szCs w:val="18"/>
                    </w:rPr>
                    <w:t>井</w:t>
                  </w:r>
                </w:p>
              </w:tc>
              <w:tc>
                <w:tcPr>
                  <w:tcW w:w="840" w:type="dxa"/>
                  <w:tcBorders>
                    <w:tl2br w:val="nil"/>
                    <w:tr2bl w:val="nil"/>
                  </w:tcBorders>
                  <w:noWrap/>
                  <w:vAlign w:val="center"/>
                </w:tcPr>
                <w:p w14:paraId="5CADEAC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740.0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3907.7</w:t>
                  </w:r>
                </w:p>
              </w:tc>
              <w:tc>
                <w:tcPr>
                  <w:tcW w:w="796" w:type="dxa"/>
                  <w:tcBorders>
                    <w:tl2br w:val="nil"/>
                    <w:tr2bl w:val="nil"/>
                  </w:tcBorders>
                  <w:noWrap w:val="0"/>
                  <w:vAlign w:val="center"/>
                </w:tcPr>
                <w:p w14:paraId="1F46C7E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186C01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敞放</w:t>
                  </w:r>
                </w:p>
              </w:tc>
              <w:tc>
                <w:tcPr>
                  <w:tcW w:w="674" w:type="dxa"/>
                  <w:tcBorders>
                    <w:tl2br w:val="nil"/>
                    <w:tr2bl w:val="nil"/>
                  </w:tcBorders>
                  <w:noWrap w:val="0"/>
                  <w:vAlign w:val="center"/>
                </w:tcPr>
                <w:p w14:paraId="39AD4BB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12</w:t>
                  </w:r>
                </w:p>
              </w:tc>
              <w:tc>
                <w:tcPr>
                  <w:tcW w:w="725" w:type="dxa"/>
                  <w:tcBorders>
                    <w:tl2br w:val="nil"/>
                    <w:tr2bl w:val="nil"/>
                  </w:tcBorders>
                  <w:noWrap w:val="0"/>
                  <w:vAlign w:val="center"/>
                </w:tcPr>
                <w:p w14:paraId="607698C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1.8</w:t>
                  </w:r>
                </w:p>
              </w:tc>
              <w:tc>
                <w:tcPr>
                  <w:tcW w:w="972" w:type="dxa"/>
                  <w:tcBorders>
                    <w:tl2br w:val="nil"/>
                    <w:tr2bl w:val="nil"/>
                  </w:tcBorders>
                  <w:noWrap w:val="0"/>
                  <w:vAlign w:val="center"/>
                </w:tcPr>
                <w:p w14:paraId="4F1E854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1.1675万方</w:t>
                  </w:r>
                  <w:r>
                    <w:rPr>
                      <w:rFonts w:hint="default" w:ascii="Times New Roman" w:hAnsi="Times New Roman" w:eastAsia="宋体" w:cs="Times New Roman"/>
                      <w:bCs/>
                      <w:color w:val="auto"/>
                      <w:sz w:val="18"/>
                      <w:szCs w:val="18"/>
                    </w:rPr>
                    <w:t>（气）、</w:t>
                  </w:r>
                  <w:r>
                    <w:rPr>
                      <w:rFonts w:hint="eastAsia" w:ascii="Times New Roman" w:hAnsi="Times New Roman" w:eastAsia="宋体" w:cs="Times New Roman"/>
                      <w:bCs/>
                      <w:color w:val="auto"/>
                      <w:sz w:val="18"/>
                      <w:szCs w:val="18"/>
                    </w:rPr>
                    <w:t>0.8</w:t>
                  </w:r>
                  <w:r>
                    <w:rPr>
                      <w:rFonts w:hint="eastAsia" w:cs="Times New Roman"/>
                      <w:bCs/>
                      <w:color w:val="auto"/>
                      <w:sz w:val="18"/>
                      <w:szCs w:val="18"/>
                      <w:lang w:val="en-US" w:eastAsia="zh-CN"/>
                    </w:rPr>
                    <w:t>方</w:t>
                  </w:r>
                  <w:r>
                    <w:rPr>
                      <w:rFonts w:hint="default"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65707ED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28.21</w:t>
                  </w:r>
                </w:p>
              </w:tc>
              <w:tc>
                <w:tcPr>
                  <w:tcW w:w="608" w:type="dxa"/>
                  <w:tcBorders>
                    <w:tl2br w:val="nil"/>
                    <w:tr2bl w:val="nil"/>
                  </w:tcBorders>
                  <w:noWrap w:val="0"/>
                  <w:vAlign w:val="center"/>
                </w:tcPr>
                <w:p w14:paraId="20C63B1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114</w:t>
                  </w:r>
                </w:p>
              </w:tc>
            </w:tr>
            <w:tr w14:paraId="1E55C91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0C54EB1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5AF231D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元陆1</w:t>
                  </w:r>
                  <w:r>
                    <w:rPr>
                      <w:rFonts w:hint="default" w:ascii="Times New Roman" w:hAnsi="Times New Roman" w:eastAsia="宋体" w:cs="Times New Roman"/>
                      <w:bCs/>
                      <w:color w:val="auto"/>
                      <w:sz w:val="18"/>
                      <w:szCs w:val="18"/>
                    </w:rPr>
                    <w:t>78</w:t>
                  </w:r>
                  <w:r>
                    <w:rPr>
                      <w:rFonts w:hint="eastAsia" w:ascii="Times New Roman" w:hAnsi="Times New Roman" w:eastAsia="宋体" w:cs="Times New Roman"/>
                      <w:bCs/>
                      <w:color w:val="auto"/>
                      <w:sz w:val="18"/>
                      <w:szCs w:val="18"/>
                    </w:rPr>
                    <w:t>井</w:t>
                  </w:r>
                </w:p>
              </w:tc>
              <w:tc>
                <w:tcPr>
                  <w:tcW w:w="840" w:type="dxa"/>
                  <w:tcBorders>
                    <w:tl2br w:val="nil"/>
                    <w:tr2bl w:val="nil"/>
                  </w:tcBorders>
                  <w:noWrap/>
                  <w:vAlign w:val="center"/>
                </w:tcPr>
                <w:p w14:paraId="3527E60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918.0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3934.0</w:t>
                  </w:r>
                </w:p>
              </w:tc>
              <w:tc>
                <w:tcPr>
                  <w:tcW w:w="796" w:type="dxa"/>
                  <w:tcBorders>
                    <w:tl2br w:val="nil"/>
                    <w:tr2bl w:val="nil"/>
                  </w:tcBorders>
                  <w:noWrap w:val="0"/>
                  <w:vAlign w:val="center"/>
                </w:tcPr>
                <w:p w14:paraId="0D479D9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5A56070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6</w:t>
                  </w:r>
                </w:p>
              </w:tc>
              <w:tc>
                <w:tcPr>
                  <w:tcW w:w="674" w:type="dxa"/>
                  <w:tcBorders>
                    <w:tl2br w:val="nil"/>
                    <w:tr2bl w:val="nil"/>
                  </w:tcBorders>
                  <w:noWrap w:val="0"/>
                  <w:vAlign w:val="center"/>
                </w:tcPr>
                <w:p w14:paraId="0DAA808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4</w:t>
                  </w:r>
                </w:p>
              </w:tc>
              <w:tc>
                <w:tcPr>
                  <w:tcW w:w="725" w:type="dxa"/>
                  <w:tcBorders>
                    <w:tl2br w:val="nil"/>
                    <w:tr2bl w:val="nil"/>
                  </w:tcBorders>
                  <w:noWrap w:val="0"/>
                  <w:vAlign w:val="center"/>
                </w:tcPr>
                <w:p w14:paraId="278F73E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w:t>
                  </w:r>
                  <w:r>
                    <w:rPr>
                      <w:rFonts w:hint="default" w:ascii="Times New Roman" w:hAnsi="Times New Roman" w:eastAsia="宋体" w:cs="Times New Roman"/>
                      <w:bCs/>
                      <w:color w:val="auto"/>
                      <w:sz w:val="18"/>
                      <w:szCs w:val="18"/>
                    </w:rPr>
                    <w:t>9.2</w:t>
                  </w:r>
                </w:p>
              </w:tc>
              <w:tc>
                <w:tcPr>
                  <w:tcW w:w="972" w:type="dxa"/>
                  <w:tcBorders>
                    <w:tl2br w:val="nil"/>
                    <w:tr2bl w:val="nil"/>
                  </w:tcBorders>
                  <w:noWrap w:val="0"/>
                  <w:vAlign w:val="center"/>
                </w:tcPr>
                <w:p w14:paraId="0AE0900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w:t>
                  </w:r>
                  <w:r>
                    <w:rPr>
                      <w:rFonts w:hint="default" w:ascii="Times New Roman" w:hAnsi="Times New Roman" w:eastAsia="宋体" w:cs="Times New Roman"/>
                      <w:bCs/>
                      <w:color w:val="auto"/>
                      <w:sz w:val="18"/>
                      <w:szCs w:val="18"/>
                    </w:rPr>
                    <w:t>0.8</w:t>
                  </w:r>
                  <w:r>
                    <w:rPr>
                      <w:rFonts w:hint="eastAsia" w:ascii="Times New Roman" w:hAnsi="Times New Roman" w:eastAsia="宋体" w:cs="Times New Roman"/>
                      <w:bCs/>
                      <w:color w:val="auto"/>
                      <w:sz w:val="18"/>
                      <w:szCs w:val="18"/>
                    </w:rPr>
                    <w:t>万方（气）</w:t>
                  </w:r>
                </w:p>
              </w:tc>
              <w:tc>
                <w:tcPr>
                  <w:tcW w:w="775" w:type="dxa"/>
                  <w:tcBorders>
                    <w:tl2br w:val="nil"/>
                    <w:tr2bl w:val="nil"/>
                  </w:tcBorders>
                  <w:noWrap w:val="0"/>
                  <w:vAlign w:val="center"/>
                </w:tcPr>
                <w:p w14:paraId="52791F5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25.45</w:t>
                  </w:r>
                </w:p>
              </w:tc>
              <w:tc>
                <w:tcPr>
                  <w:tcW w:w="608" w:type="dxa"/>
                  <w:tcBorders>
                    <w:tl2br w:val="nil"/>
                    <w:tr2bl w:val="nil"/>
                  </w:tcBorders>
                  <w:noWrap w:val="0"/>
                  <w:vAlign w:val="center"/>
                </w:tcPr>
                <w:p w14:paraId="26CC6C0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100</w:t>
                  </w:r>
                </w:p>
              </w:tc>
            </w:tr>
            <w:tr w14:paraId="784026B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8F8E14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556B0D3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巴中1HF井</w:t>
                  </w:r>
                </w:p>
              </w:tc>
              <w:tc>
                <w:tcPr>
                  <w:tcW w:w="840" w:type="dxa"/>
                  <w:tcBorders>
                    <w:tl2br w:val="nil"/>
                    <w:tr2bl w:val="nil"/>
                  </w:tcBorders>
                  <w:noWrap/>
                  <w:vAlign w:val="center"/>
                </w:tcPr>
                <w:p w14:paraId="7DBF35A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w:t>
                  </w:r>
                  <w:r>
                    <w:rPr>
                      <w:rFonts w:hint="default" w:ascii="Times New Roman" w:hAnsi="Times New Roman" w:eastAsia="宋体" w:cs="Times New Roman"/>
                      <w:bCs/>
                      <w:color w:val="auto"/>
                      <w:sz w:val="18"/>
                      <w:szCs w:val="18"/>
                    </w:rPr>
                    <w:t>030.0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5219.0</w:t>
                  </w:r>
                </w:p>
              </w:tc>
              <w:tc>
                <w:tcPr>
                  <w:tcW w:w="796" w:type="dxa"/>
                  <w:tcBorders>
                    <w:tl2br w:val="nil"/>
                    <w:tr2bl w:val="nil"/>
                  </w:tcBorders>
                  <w:noWrap w:val="0"/>
                  <w:vAlign w:val="center"/>
                </w:tcPr>
                <w:p w14:paraId="4DF30B8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612BF5E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8</w:t>
                  </w:r>
                </w:p>
              </w:tc>
              <w:tc>
                <w:tcPr>
                  <w:tcW w:w="674" w:type="dxa"/>
                  <w:tcBorders>
                    <w:tl2br w:val="nil"/>
                    <w:tr2bl w:val="nil"/>
                  </w:tcBorders>
                  <w:noWrap w:val="0"/>
                  <w:vAlign w:val="center"/>
                </w:tcPr>
                <w:p w14:paraId="466E597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0</w:t>
                  </w:r>
                </w:p>
              </w:tc>
              <w:tc>
                <w:tcPr>
                  <w:tcW w:w="725" w:type="dxa"/>
                  <w:tcBorders>
                    <w:tl2br w:val="nil"/>
                    <w:tr2bl w:val="nil"/>
                  </w:tcBorders>
                  <w:noWrap w:val="0"/>
                  <w:vAlign w:val="center"/>
                </w:tcPr>
                <w:p w14:paraId="2409FF1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w:t>
                  </w:r>
                  <w:r>
                    <w:rPr>
                      <w:rFonts w:hint="default" w:ascii="Times New Roman" w:hAnsi="Times New Roman" w:eastAsia="宋体" w:cs="Times New Roman"/>
                      <w:bCs/>
                      <w:color w:val="auto"/>
                      <w:sz w:val="18"/>
                      <w:szCs w:val="18"/>
                    </w:rPr>
                    <w:t>3.97</w:t>
                  </w:r>
                </w:p>
              </w:tc>
              <w:tc>
                <w:tcPr>
                  <w:tcW w:w="972" w:type="dxa"/>
                  <w:tcBorders>
                    <w:tl2br w:val="nil"/>
                    <w:tr2bl w:val="nil"/>
                  </w:tcBorders>
                  <w:noWrap w:val="0"/>
                  <w:vAlign w:val="center"/>
                </w:tcPr>
                <w:p w14:paraId="204E464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5.7655</w:t>
                  </w:r>
                  <w:r>
                    <w:rPr>
                      <w:rFonts w:hint="eastAsia" w:ascii="Times New Roman" w:hAnsi="Times New Roman" w:eastAsia="宋体" w:cs="Times New Roman"/>
                      <w:bCs/>
                      <w:color w:val="auto"/>
                      <w:sz w:val="18"/>
                      <w:szCs w:val="18"/>
                    </w:rPr>
                    <w:t>（气）、</w:t>
                  </w:r>
                  <w:r>
                    <w:rPr>
                      <w:rFonts w:hint="default" w:ascii="Times New Roman" w:hAnsi="Times New Roman" w:eastAsia="宋体" w:cs="Times New Roman"/>
                      <w:bCs/>
                      <w:color w:val="auto"/>
                      <w:sz w:val="18"/>
                      <w:szCs w:val="18"/>
                    </w:rPr>
                    <w:t>126</w:t>
                  </w:r>
                  <w:r>
                    <w:rPr>
                      <w:rFonts w:hint="eastAsia" w:cs="Times New Roman"/>
                      <w:bCs/>
                      <w:color w:val="auto"/>
                      <w:sz w:val="18"/>
                      <w:szCs w:val="18"/>
                      <w:lang w:val="en-US" w:eastAsia="zh-CN"/>
                    </w:rPr>
                    <w:t>方</w:t>
                  </w:r>
                  <w:r>
                    <w:rPr>
                      <w:rFonts w:hint="eastAsia"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0BC8C83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28.21</w:t>
                  </w:r>
                </w:p>
              </w:tc>
              <w:tc>
                <w:tcPr>
                  <w:tcW w:w="608" w:type="dxa"/>
                  <w:tcBorders>
                    <w:tl2br w:val="nil"/>
                    <w:tr2bl w:val="nil"/>
                  </w:tcBorders>
                  <w:noWrap w:val="0"/>
                  <w:vAlign w:val="center"/>
                </w:tcPr>
                <w:p w14:paraId="337B518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114</w:t>
                  </w:r>
                </w:p>
              </w:tc>
            </w:tr>
            <w:tr w14:paraId="5DBA280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34E2EF8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09D1827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巴中1</w:t>
                  </w:r>
                  <w:r>
                    <w:rPr>
                      <w:rFonts w:hint="default" w:ascii="Times New Roman" w:hAnsi="Times New Roman" w:eastAsia="宋体" w:cs="Times New Roman"/>
                      <w:bCs/>
                      <w:color w:val="auto"/>
                      <w:sz w:val="18"/>
                      <w:szCs w:val="18"/>
                    </w:rPr>
                    <w:t>01</w:t>
                  </w:r>
                  <w:r>
                    <w:rPr>
                      <w:rFonts w:hint="eastAsia" w:ascii="Times New Roman" w:hAnsi="Times New Roman" w:eastAsia="宋体" w:cs="Times New Roman"/>
                      <w:bCs/>
                      <w:color w:val="auto"/>
                      <w:sz w:val="18"/>
                      <w:szCs w:val="18"/>
                    </w:rPr>
                    <w:t>HF井</w:t>
                  </w:r>
                </w:p>
              </w:tc>
              <w:tc>
                <w:tcPr>
                  <w:tcW w:w="840" w:type="dxa"/>
                  <w:tcBorders>
                    <w:tl2br w:val="nil"/>
                    <w:tr2bl w:val="nil"/>
                  </w:tcBorders>
                  <w:noWrap/>
                  <w:vAlign w:val="center"/>
                </w:tcPr>
                <w:p w14:paraId="04FD5B4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4117.0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5820.0</w:t>
                  </w:r>
                </w:p>
              </w:tc>
              <w:tc>
                <w:tcPr>
                  <w:tcW w:w="796" w:type="dxa"/>
                  <w:tcBorders>
                    <w:tl2br w:val="nil"/>
                    <w:tr2bl w:val="nil"/>
                  </w:tcBorders>
                  <w:noWrap w:val="0"/>
                  <w:vAlign w:val="center"/>
                </w:tcPr>
                <w:p w14:paraId="270A348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709000B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8</w:t>
                  </w:r>
                </w:p>
              </w:tc>
              <w:tc>
                <w:tcPr>
                  <w:tcW w:w="674" w:type="dxa"/>
                  <w:tcBorders>
                    <w:tl2br w:val="nil"/>
                    <w:tr2bl w:val="nil"/>
                  </w:tcBorders>
                  <w:noWrap w:val="0"/>
                  <w:vAlign w:val="center"/>
                </w:tcPr>
                <w:p w14:paraId="6FBDC08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5</w:t>
                  </w:r>
                </w:p>
              </w:tc>
              <w:tc>
                <w:tcPr>
                  <w:tcW w:w="725" w:type="dxa"/>
                  <w:tcBorders>
                    <w:tl2br w:val="nil"/>
                    <w:tr2bl w:val="nil"/>
                  </w:tcBorders>
                  <w:noWrap w:val="0"/>
                  <w:vAlign w:val="center"/>
                </w:tcPr>
                <w:p w14:paraId="5371BBC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3.11</w:t>
                  </w:r>
                </w:p>
              </w:tc>
              <w:tc>
                <w:tcPr>
                  <w:tcW w:w="972" w:type="dxa"/>
                  <w:tcBorders>
                    <w:tl2br w:val="nil"/>
                    <w:tr2bl w:val="nil"/>
                  </w:tcBorders>
                  <w:noWrap w:val="0"/>
                  <w:vAlign w:val="center"/>
                </w:tcPr>
                <w:p w14:paraId="75F273D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25.38</w:t>
                  </w:r>
                  <w:r>
                    <w:rPr>
                      <w:rFonts w:hint="eastAsia" w:ascii="Times New Roman" w:hAnsi="Times New Roman" w:eastAsia="宋体" w:cs="Times New Roman"/>
                      <w:bCs/>
                      <w:color w:val="auto"/>
                      <w:sz w:val="18"/>
                      <w:szCs w:val="18"/>
                    </w:rPr>
                    <w:t>万方（气）、</w:t>
                  </w:r>
                  <w:r>
                    <w:rPr>
                      <w:rFonts w:hint="default" w:ascii="Times New Roman" w:hAnsi="Times New Roman" w:eastAsia="宋体" w:cs="Times New Roman"/>
                      <w:bCs/>
                      <w:color w:val="auto"/>
                      <w:sz w:val="18"/>
                      <w:szCs w:val="18"/>
                    </w:rPr>
                    <w:t>14.2</w:t>
                  </w:r>
                  <w:r>
                    <w:rPr>
                      <w:rFonts w:hint="eastAsia" w:cs="Times New Roman"/>
                      <w:bCs/>
                      <w:color w:val="auto"/>
                      <w:sz w:val="18"/>
                      <w:szCs w:val="18"/>
                      <w:lang w:val="en-US" w:eastAsia="zh-CN"/>
                    </w:rPr>
                    <w:t>方</w:t>
                  </w:r>
                  <w:r>
                    <w:rPr>
                      <w:rFonts w:hint="eastAsia"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3B37075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35.74</w:t>
                  </w:r>
                </w:p>
              </w:tc>
              <w:tc>
                <w:tcPr>
                  <w:tcW w:w="608" w:type="dxa"/>
                  <w:tcBorders>
                    <w:tl2br w:val="nil"/>
                    <w:tr2bl w:val="nil"/>
                  </w:tcBorders>
                  <w:noWrap w:val="0"/>
                  <w:vAlign w:val="center"/>
                </w:tcPr>
                <w:p w14:paraId="3F3F04A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93</w:t>
                  </w:r>
                </w:p>
              </w:tc>
            </w:tr>
            <w:tr w14:paraId="21EF5A0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556047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7620EEC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巴页2HF井</w:t>
                  </w:r>
                </w:p>
              </w:tc>
              <w:tc>
                <w:tcPr>
                  <w:tcW w:w="840" w:type="dxa"/>
                  <w:tcBorders>
                    <w:tl2br w:val="nil"/>
                    <w:tr2bl w:val="nil"/>
                  </w:tcBorders>
                  <w:noWrap/>
                  <w:vAlign w:val="center"/>
                </w:tcPr>
                <w:p w14:paraId="386E4E2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4160.0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6140.20</w:t>
                  </w:r>
                </w:p>
              </w:tc>
              <w:tc>
                <w:tcPr>
                  <w:tcW w:w="796" w:type="dxa"/>
                  <w:tcBorders>
                    <w:tl2br w:val="nil"/>
                    <w:tr2bl w:val="nil"/>
                  </w:tcBorders>
                  <w:noWrap w:val="0"/>
                  <w:vAlign w:val="center"/>
                </w:tcPr>
                <w:p w14:paraId="1248431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2C903E0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w:t>
                  </w:r>
                  <w:r>
                    <w:rPr>
                      <w:rFonts w:hint="default" w:ascii="Times New Roman" w:hAnsi="Times New Roman" w:eastAsia="宋体" w:cs="Times New Roman"/>
                      <w:bCs/>
                      <w:color w:val="auto"/>
                      <w:sz w:val="18"/>
                      <w:szCs w:val="18"/>
                    </w:rPr>
                    <w:t>.5</w:t>
                  </w:r>
                </w:p>
              </w:tc>
              <w:tc>
                <w:tcPr>
                  <w:tcW w:w="674" w:type="dxa"/>
                  <w:tcBorders>
                    <w:tl2br w:val="nil"/>
                    <w:tr2bl w:val="nil"/>
                  </w:tcBorders>
                  <w:noWrap w:val="0"/>
                  <w:vAlign w:val="center"/>
                </w:tcPr>
                <w:p w14:paraId="1A64CDE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w:t>
                  </w:r>
                  <w:r>
                    <w:rPr>
                      <w:rFonts w:hint="default" w:ascii="Times New Roman" w:hAnsi="Times New Roman" w:eastAsia="宋体" w:cs="Times New Roman"/>
                      <w:bCs/>
                      <w:color w:val="auto"/>
                      <w:sz w:val="18"/>
                      <w:szCs w:val="18"/>
                    </w:rPr>
                    <w:t>6</w:t>
                  </w:r>
                </w:p>
              </w:tc>
              <w:tc>
                <w:tcPr>
                  <w:tcW w:w="725" w:type="dxa"/>
                  <w:tcBorders>
                    <w:tl2br w:val="nil"/>
                    <w:tr2bl w:val="nil"/>
                  </w:tcBorders>
                  <w:noWrap w:val="0"/>
                  <w:vAlign w:val="center"/>
                </w:tcPr>
                <w:p w14:paraId="33D17B2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w:t>
                  </w:r>
                  <w:r>
                    <w:rPr>
                      <w:rFonts w:hint="default" w:ascii="Times New Roman" w:hAnsi="Times New Roman" w:eastAsia="宋体" w:cs="Times New Roman"/>
                      <w:bCs/>
                      <w:color w:val="auto"/>
                      <w:sz w:val="18"/>
                      <w:szCs w:val="18"/>
                    </w:rPr>
                    <w:t>1.55</w:t>
                  </w:r>
                </w:p>
              </w:tc>
              <w:tc>
                <w:tcPr>
                  <w:tcW w:w="972" w:type="dxa"/>
                  <w:tcBorders>
                    <w:tl2br w:val="nil"/>
                    <w:tr2bl w:val="nil"/>
                  </w:tcBorders>
                  <w:noWrap w:val="0"/>
                  <w:vAlign w:val="center"/>
                </w:tcPr>
                <w:p w14:paraId="3166131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1.8017</w:t>
                  </w:r>
                  <w:r>
                    <w:rPr>
                      <w:rFonts w:hint="eastAsia" w:ascii="Times New Roman" w:hAnsi="Times New Roman" w:eastAsia="宋体" w:cs="Times New Roman"/>
                      <w:bCs/>
                      <w:color w:val="auto"/>
                      <w:sz w:val="18"/>
                      <w:szCs w:val="18"/>
                    </w:rPr>
                    <w:t>万方（气）、</w:t>
                  </w:r>
                  <w:r>
                    <w:rPr>
                      <w:rFonts w:hint="default" w:ascii="Times New Roman" w:hAnsi="Times New Roman" w:eastAsia="宋体" w:cs="Times New Roman"/>
                      <w:bCs/>
                      <w:color w:val="auto"/>
                      <w:sz w:val="18"/>
                      <w:szCs w:val="18"/>
                    </w:rPr>
                    <w:t>18.24</w:t>
                  </w:r>
                  <w:r>
                    <w:rPr>
                      <w:rFonts w:hint="eastAsia" w:cs="Times New Roman"/>
                      <w:bCs/>
                      <w:color w:val="auto"/>
                      <w:sz w:val="18"/>
                      <w:szCs w:val="18"/>
                      <w:lang w:val="en-US" w:eastAsia="zh-CN"/>
                    </w:rPr>
                    <w:t>方</w:t>
                  </w:r>
                  <w:r>
                    <w:rPr>
                      <w:rFonts w:hint="eastAsia"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6953247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w:t>
                  </w:r>
                  <w:r>
                    <w:rPr>
                      <w:rFonts w:hint="default" w:ascii="Times New Roman" w:hAnsi="Times New Roman" w:eastAsia="宋体" w:cs="Times New Roman"/>
                      <w:bCs/>
                      <w:color w:val="auto"/>
                      <w:sz w:val="18"/>
                      <w:szCs w:val="18"/>
                    </w:rPr>
                    <w:t>1.82</w:t>
                  </w:r>
                </w:p>
              </w:tc>
              <w:tc>
                <w:tcPr>
                  <w:tcW w:w="608" w:type="dxa"/>
                  <w:tcBorders>
                    <w:tl2br w:val="nil"/>
                    <w:tr2bl w:val="nil"/>
                  </w:tcBorders>
                  <w:noWrap w:val="0"/>
                  <w:vAlign w:val="center"/>
                </w:tcPr>
                <w:p w14:paraId="3E58952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248</w:t>
                  </w:r>
                </w:p>
              </w:tc>
            </w:tr>
            <w:tr w14:paraId="3139D33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E69266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331094B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巴中</w:t>
                  </w:r>
                  <w:r>
                    <w:rPr>
                      <w:rFonts w:hint="default" w:ascii="Times New Roman" w:hAnsi="Times New Roman" w:eastAsia="宋体" w:cs="Times New Roman"/>
                      <w:bCs/>
                      <w:color w:val="auto"/>
                      <w:sz w:val="18"/>
                      <w:szCs w:val="18"/>
                    </w:rPr>
                    <w:t>2</w:t>
                  </w:r>
                  <w:r>
                    <w:rPr>
                      <w:rFonts w:hint="eastAsia" w:ascii="Times New Roman" w:hAnsi="Times New Roman" w:eastAsia="宋体" w:cs="Times New Roman"/>
                      <w:bCs/>
                      <w:color w:val="auto"/>
                      <w:sz w:val="18"/>
                      <w:szCs w:val="18"/>
                    </w:rPr>
                    <w:t>HF井</w:t>
                  </w:r>
                </w:p>
              </w:tc>
              <w:tc>
                <w:tcPr>
                  <w:tcW w:w="840" w:type="dxa"/>
                  <w:tcBorders>
                    <w:tl2br w:val="nil"/>
                    <w:tr2bl w:val="nil"/>
                  </w:tcBorders>
                  <w:noWrap/>
                  <w:vAlign w:val="center"/>
                </w:tcPr>
                <w:p w14:paraId="625243B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4050.0</w:t>
                  </w:r>
                  <w:r>
                    <w:rPr>
                      <w:rFonts w:hint="eastAsia" w:cs="Times New Roman"/>
                      <w:bCs/>
                      <w:color w:val="auto"/>
                      <w:sz w:val="18"/>
                      <w:szCs w:val="18"/>
                      <w:lang w:val="en-US" w:eastAsia="zh-CN"/>
                    </w:rPr>
                    <w:t>-</w:t>
                  </w:r>
                  <w:r>
                    <w:rPr>
                      <w:rFonts w:hint="default" w:ascii="Times New Roman" w:hAnsi="Times New Roman" w:eastAsia="宋体" w:cs="Times New Roman"/>
                      <w:bCs/>
                      <w:color w:val="auto"/>
                      <w:sz w:val="18"/>
                      <w:szCs w:val="18"/>
                    </w:rPr>
                    <w:t>5526.0</w:t>
                  </w:r>
                </w:p>
              </w:tc>
              <w:tc>
                <w:tcPr>
                  <w:tcW w:w="796" w:type="dxa"/>
                  <w:tcBorders>
                    <w:tl2br w:val="nil"/>
                    <w:tr2bl w:val="nil"/>
                  </w:tcBorders>
                  <w:noWrap w:val="0"/>
                  <w:vAlign w:val="center"/>
                </w:tcPr>
                <w:p w14:paraId="53028E4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3AF408B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6</w:t>
                  </w:r>
                </w:p>
              </w:tc>
              <w:tc>
                <w:tcPr>
                  <w:tcW w:w="674" w:type="dxa"/>
                  <w:tcBorders>
                    <w:tl2br w:val="nil"/>
                    <w:tr2bl w:val="nil"/>
                  </w:tcBorders>
                  <w:noWrap w:val="0"/>
                  <w:vAlign w:val="center"/>
                </w:tcPr>
                <w:p w14:paraId="0DAE1E2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w:t>
                  </w:r>
                  <w:r>
                    <w:rPr>
                      <w:rFonts w:hint="default" w:ascii="Times New Roman" w:hAnsi="Times New Roman" w:eastAsia="宋体" w:cs="Times New Roman"/>
                      <w:bCs/>
                      <w:color w:val="auto"/>
                      <w:sz w:val="18"/>
                      <w:szCs w:val="18"/>
                    </w:rPr>
                    <w:t>0</w:t>
                  </w:r>
                </w:p>
              </w:tc>
              <w:tc>
                <w:tcPr>
                  <w:tcW w:w="725" w:type="dxa"/>
                  <w:tcBorders>
                    <w:tl2br w:val="nil"/>
                    <w:tr2bl w:val="nil"/>
                  </w:tcBorders>
                  <w:noWrap w:val="0"/>
                  <w:vAlign w:val="center"/>
                </w:tcPr>
                <w:p w14:paraId="2163801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w:t>
                  </w:r>
                  <w:r>
                    <w:rPr>
                      <w:rFonts w:hint="default" w:ascii="Times New Roman" w:hAnsi="Times New Roman" w:eastAsia="宋体" w:cs="Times New Roman"/>
                      <w:bCs/>
                      <w:color w:val="auto"/>
                      <w:sz w:val="18"/>
                      <w:szCs w:val="18"/>
                    </w:rPr>
                    <w:t>.77</w:t>
                  </w:r>
                </w:p>
              </w:tc>
              <w:tc>
                <w:tcPr>
                  <w:tcW w:w="972" w:type="dxa"/>
                  <w:tcBorders>
                    <w:tl2br w:val="nil"/>
                    <w:tr2bl w:val="nil"/>
                  </w:tcBorders>
                  <w:noWrap w:val="0"/>
                  <w:vAlign w:val="center"/>
                </w:tcPr>
                <w:p w14:paraId="7255666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0.86</w:t>
                  </w:r>
                  <w:r>
                    <w:rPr>
                      <w:rFonts w:hint="eastAsia" w:ascii="Times New Roman" w:hAnsi="Times New Roman" w:eastAsia="宋体" w:cs="Times New Roman"/>
                      <w:bCs/>
                      <w:color w:val="auto"/>
                      <w:sz w:val="18"/>
                      <w:szCs w:val="18"/>
                    </w:rPr>
                    <w:t>万方（气）、</w:t>
                  </w:r>
                  <w:r>
                    <w:rPr>
                      <w:rFonts w:hint="default" w:ascii="Times New Roman" w:hAnsi="Times New Roman" w:eastAsia="宋体" w:cs="Times New Roman"/>
                      <w:bCs/>
                      <w:color w:val="auto"/>
                      <w:sz w:val="18"/>
                      <w:szCs w:val="18"/>
                    </w:rPr>
                    <w:t>14.28</w:t>
                  </w:r>
                  <w:r>
                    <w:rPr>
                      <w:rFonts w:hint="eastAsia" w:cs="Times New Roman"/>
                      <w:bCs/>
                      <w:color w:val="auto"/>
                      <w:sz w:val="18"/>
                      <w:szCs w:val="18"/>
                      <w:lang w:val="en-US" w:eastAsia="zh-CN"/>
                    </w:rPr>
                    <w:t>方</w:t>
                  </w:r>
                  <w:r>
                    <w:rPr>
                      <w:rFonts w:hint="eastAsia" w:ascii="Times New Roman" w:hAnsi="Times New Roman" w:eastAsia="宋体" w:cs="Times New Roman"/>
                      <w:bCs/>
                      <w:color w:val="auto"/>
                      <w:sz w:val="18"/>
                      <w:szCs w:val="18"/>
                    </w:rPr>
                    <w:t>（油）</w:t>
                  </w:r>
                </w:p>
              </w:tc>
              <w:tc>
                <w:tcPr>
                  <w:tcW w:w="775" w:type="dxa"/>
                  <w:tcBorders>
                    <w:tl2br w:val="nil"/>
                    <w:tr2bl w:val="nil"/>
                  </w:tcBorders>
                  <w:noWrap w:val="0"/>
                  <w:vAlign w:val="center"/>
                </w:tcPr>
                <w:p w14:paraId="09EAD32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11.82</w:t>
                  </w:r>
                </w:p>
              </w:tc>
              <w:tc>
                <w:tcPr>
                  <w:tcW w:w="608" w:type="dxa"/>
                  <w:tcBorders>
                    <w:tl2br w:val="nil"/>
                    <w:tr2bl w:val="nil"/>
                  </w:tcBorders>
                  <w:noWrap w:val="0"/>
                  <w:vAlign w:val="center"/>
                </w:tcPr>
                <w:p w14:paraId="59D0F49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248</w:t>
                  </w:r>
                </w:p>
              </w:tc>
            </w:tr>
            <w:tr w14:paraId="3D878ED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restart"/>
                  <w:tcBorders>
                    <w:tl2br w:val="nil"/>
                    <w:tr2bl w:val="nil"/>
                  </w:tcBorders>
                  <w:noWrap w:val="0"/>
                  <w:vAlign w:val="center"/>
                </w:tcPr>
                <w:p w14:paraId="6D28420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自流井组</w:t>
                  </w:r>
                </w:p>
              </w:tc>
              <w:tc>
                <w:tcPr>
                  <w:tcW w:w="415" w:type="dxa"/>
                  <w:vMerge w:val="restart"/>
                  <w:tcBorders>
                    <w:tl2br w:val="nil"/>
                    <w:tr2bl w:val="nil"/>
                  </w:tcBorders>
                  <w:noWrap w:val="0"/>
                  <w:vAlign w:val="center"/>
                </w:tcPr>
                <w:p w14:paraId="06CA2AC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大安寨段</w:t>
                  </w:r>
                </w:p>
              </w:tc>
              <w:tc>
                <w:tcPr>
                  <w:tcW w:w="753" w:type="dxa"/>
                  <w:tcBorders>
                    <w:tl2br w:val="nil"/>
                    <w:tr2bl w:val="nil"/>
                  </w:tcBorders>
                  <w:noWrap w:val="0"/>
                  <w:vAlign w:val="center"/>
                </w:tcPr>
                <w:p w14:paraId="0854DE9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元陆</w:t>
                  </w:r>
                  <w:r>
                    <w:rPr>
                      <w:rFonts w:hint="default" w:hAnsi="宋体"/>
                      <w:bCs/>
                      <w:color w:val="auto"/>
                      <w:sz w:val="18"/>
                      <w:szCs w:val="18"/>
                    </w:rPr>
                    <w:t>30</w:t>
                  </w:r>
                  <w:r>
                    <w:rPr>
                      <w:rFonts w:hint="eastAsia" w:hAnsi="宋体"/>
                      <w:bCs/>
                      <w:color w:val="auto"/>
                      <w:sz w:val="18"/>
                      <w:szCs w:val="18"/>
                    </w:rPr>
                    <w:t>井</w:t>
                  </w:r>
                </w:p>
              </w:tc>
              <w:tc>
                <w:tcPr>
                  <w:tcW w:w="840" w:type="dxa"/>
                  <w:tcBorders>
                    <w:tl2br w:val="nil"/>
                    <w:tr2bl w:val="nil"/>
                  </w:tcBorders>
                  <w:noWrap/>
                  <w:vAlign w:val="center"/>
                </w:tcPr>
                <w:p w14:paraId="56399A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3</w:t>
                  </w:r>
                  <w:r>
                    <w:rPr>
                      <w:rFonts w:hint="default" w:hAnsi="宋体"/>
                      <w:bCs/>
                      <w:color w:val="auto"/>
                      <w:sz w:val="18"/>
                      <w:szCs w:val="18"/>
                    </w:rPr>
                    <w:t>975.0</w:t>
                  </w:r>
                  <w:r>
                    <w:rPr>
                      <w:rFonts w:hint="eastAsia" w:hAnsi="宋体"/>
                      <w:bCs/>
                      <w:color w:val="auto"/>
                      <w:sz w:val="18"/>
                      <w:szCs w:val="18"/>
                      <w:lang w:val="en-US" w:eastAsia="zh-CN"/>
                    </w:rPr>
                    <w:t>-</w:t>
                  </w:r>
                  <w:r>
                    <w:rPr>
                      <w:rFonts w:hint="default" w:hAnsi="宋体"/>
                      <w:bCs/>
                      <w:color w:val="auto"/>
                      <w:sz w:val="18"/>
                      <w:szCs w:val="18"/>
                    </w:rPr>
                    <w:t>4003.0</w:t>
                  </w:r>
                </w:p>
              </w:tc>
              <w:tc>
                <w:tcPr>
                  <w:tcW w:w="796" w:type="dxa"/>
                  <w:tcBorders>
                    <w:tl2br w:val="nil"/>
                    <w:tr2bl w:val="nil"/>
                  </w:tcBorders>
                  <w:noWrap w:val="0"/>
                  <w:vAlign w:val="center"/>
                </w:tcPr>
                <w:p w14:paraId="140DA3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酸压</w:t>
                  </w:r>
                </w:p>
              </w:tc>
              <w:tc>
                <w:tcPr>
                  <w:tcW w:w="585" w:type="dxa"/>
                  <w:tcBorders>
                    <w:tl2br w:val="nil"/>
                    <w:tr2bl w:val="nil"/>
                  </w:tcBorders>
                  <w:noWrap w:val="0"/>
                  <w:vAlign w:val="center"/>
                </w:tcPr>
                <w:p w14:paraId="414FA26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4</w:t>
                  </w:r>
                </w:p>
              </w:tc>
              <w:tc>
                <w:tcPr>
                  <w:tcW w:w="674" w:type="dxa"/>
                  <w:tcBorders>
                    <w:tl2br w:val="nil"/>
                    <w:tr2bl w:val="nil"/>
                  </w:tcBorders>
                  <w:noWrap w:val="0"/>
                  <w:vAlign w:val="center"/>
                </w:tcPr>
                <w:p w14:paraId="48FD5A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2</w:t>
                  </w:r>
                  <w:r>
                    <w:rPr>
                      <w:rFonts w:hint="default" w:hAnsi="宋体"/>
                      <w:bCs/>
                      <w:color w:val="auto"/>
                      <w:sz w:val="18"/>
                      <w:szCs w:val="18"/>
                    </w:rPr>
                    <w:t>8</w:t>
                  </w:r>
                </w:p>
              </w:tc>
              <w:tc>
                <w:tcPr>
                  <w:tcW w:w="725" w:type="dxa"/>
                  <w:tcBorders>
                    <w:tl2br w:val="nil"/>
                    <w:tr2bl w:val="nil"/>
                  </w:tcBorders>
                  <w:noWrap w:val="0"/>
                  <w:vAlign w:val="center"/>
                </w:tcPr>
                <w:p w14:paraId="2C88A7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1</w:t>
                  </w:r>
                  <w:r>
                    <w:rPr>
                      <w:rFonts w:hint="default" w:hAnsi="宋体"/>
                      <w:bCs/>
                      <w:color w:val="auto"/>
                      <w:sz w:val="18"/>
                      <w:szCs w:val="18"/>
                    </w:rPr>
                    <w:t>1.7</w:t>
                  </w:r>
                </w:p>
              </w:tc>
              <w:tc>
                <w:tcPr>
                  <w:tcW w:w="972" w:type="dxa"/>
                  <w:tcBorders>
                    <w:tl2br w:val="nil"/>
                    <w:tr2bl w:val="nil"/>
                  </w:tcBorders>
                  <w:noWrap w:val="0"/>
                  <w:vAlign w:val="center"/>
                </w:tcPr>
                <w:p w14:paraId="43BFEA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3</w:t>
                  </w:r>
                  <w:r>
                    <w:rPr>
                      <w:rFonts w:hint="default" w:hAnsi="宋体"/>
                      <w:bCs/>
                      <w:color w:val="auto"/>
                      <w:sz w:val="18"/>
                      <w:szCs w:val="18"/>
                    </w:rPr>
                    <w:t>.321</w:t>
                  </w:r>
                  <w:r>
                    <w:rPr>
                      <w:rFonts w:hint="eastAsia" w:hAnsi="宋体"/>
                      <w:bCs/>
                      <w:color w:val="auto"/>
                      <w:sz w:val="18"/>
                      <w:szCs w:val="18"/>
                    </w:rPr>
                    <w:t>万方（气）</w:t>
                  </w:r>
                </w:p>
              </w:tc>
              <w:tc>
                <w:tcPr>
                  <w:tcW w:w="775" w:type="dxa"/>
                  <w:tcBorders>
                    <w:tl2br w:val="nil"/>
                    <w:tr2bl w:val="nil"/>
                  </w:tcBorders>
                  <w:noWrap w:val="0"/>
                  <w:vAlign w:val="center"/>
                </w:tcPr>
                <w:p w14:paraId="56E6F5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default" w:hAnsi="宋体"/>
                      <w:bCs/>
                      <w:color w:val="auto"/>
                      <w:sz w:val="18"/>
                      <w:szCs w:val="18"/>
                    </w:rPr>
                    <w:t>21.86</w:t>
                  </w:r>
                </w:p>
              </w:tc>
              <w:tc>
                <w:tcPr>
                  <w:tcW w:w="608" w:type="dxa"/>
                  <w:tcBorders>
                    <w:tl2br w:val="nil"/>
                    <w:tr2bl w:val="nil"/>
                  </w:tcBorders>
                  <w:noWrap w:val="0"/>
                  <w:vAlign w:val="center"/>
                </w:tcPr>
                <w:p w14:paraId="04136A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278</w:t>
                  </w:r>
                </w:p>
              </w:tc>
            </w:tr>
            <w:tr w14:paraId="1C23E2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6E7BF3F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vMerge w:val="continue"/>
                  <w:tcBorders>
                    <w:tl2br w:val="nil"/>
                    <w:tr2bl w:val="nil"/>
                  </w:tcBorders>
                  <w:noWrap w:val="0"/>
                  <w:vAlign w:val="center"/>
                </w:tcPr>
                <w:p w14:paraId="5B15886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2AC965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元陆</w:t>
                  </w:r>
                  <w:r>
                    <w:rPr>
                      <w:rFonts w:hint="default" w:hAnsi="宋体"/>
                      <w:bCs/>
                      <w:color w:val="auto"/>
                      <w:sz w:val="18"/>
                      <w:szCs w:val="18"/>
                    </w:rPr>
                    <w:t>31</w:t>
                  </w:r>
                  <w:r>
                    <w:rPr>
                      <w:rFonts w:hint="eastAsia" w:hAnsi="宋体"/>
                      <w:bCs/>
                      <w:color w:val="auto"/>
                      <w:sz w:val="18"/>
                      <w:szCs w:val="18"/>
                    </w:rPr>
                    <w:t>井</w:t>
                  </w:r>
                </w:p>
              </w:tc>
              <w:tc>
                <w:tcPr>
                  <w:tcW w:w="840" w:type="dxa"/>
                  <w:tcBorders>
                    <w:tl2br w:val="nil"/>
                    <w:tr2bl w:val="nil"/>
                  </w:tcBorders>
                  <w:noWrap/>
                  <w:vAlign w:val="center"/>
                </w:tcPr>
                <w:p w14:paraId="54625D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4</w:t>
                  </w:r>
                  <w:r>
                    <w:rPr>
                      <w:rFonts w:hint="default" w:hAnsi="宋体"/>
                      <w:bCs/>
                      <w:color w:val="auto"/>
                      <w:sz w:val="18"/>
                      <w:szCs w:val="18"/>
                    </w:rPr>
                    <w:t>262.0</w:t>
                  </w:r>
                  <w:r>
                    <w:rPr>
                      <w:rFonts w:hint="eastAsia" w:hAnsi="宋体"/>
                      <w:bCs/>
                      <w:color w:val="auto"/>
                      <w:sz w:val="18"/>
                      <w:szCs w:val="18"/>
                      <w:lang w:val="en-US" w:eastAsia="zh-CN"/>
                    </w:rPr>
                    <w:t>-</w:t>
                  </w:r>
                  <w:r>
                    <w:rPr>
                      <w:rFonts w:hint="default" w:hAnsi="宋体"/>
                      <w:bCs/>
                      <w:color w:val="auto"/>
                      <w:sz w:val="18"/>
                      <w:szCs w:val="18"/>
                    </w:rPr>
                    <w:t>4316.0</w:t>
                  </w:r>
                </w:p>
              </w:tc>
              <w:tc>
                <w:tcPr>
                  <w:tcW w:w="796" w:type="dxa"/>
                  <w:tcBorders>
                    <w:tl2br w:val="nil"/>
                    <w:tr2bl w:val="nil"/>
                  </w:tcBorders>
                  <w:noWrap w:val="0"/>
                  <w:vAlign w:val="center"/>
                </w:tcPr>
                <w:p w14:paraId="519E4E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酸压</w:t>
                  </w:r>
                </w:p>
              </w:tc>
              <w:tc>
                <w:tcPr>
                  <w:tcW w:w="585" w:type="dxa"/>
                  <w:tcBorders>
                    <w:tl2br w:val="nil"/>
                    <w:tr2bl w:val="nil"/>
                  </w:tcBorders>
                  <w:noWrap w:val="0"/>
                  <w:vAlign w:val="center"/>
                </w:tcPr>
                <w:p w14:paraId="6C8628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default" w:hAnsi="宋体"/>
                      <w:bCs/>
                      <w:color w:val="auto"/>
                      <w:sz w:val="18"/>
                      <w:szCs w:val="18"/>
                    </w:rPr>
                    <w:t>敞放</w:t>
                  </w:r>
                </w:p>
              </w:tc>
              <w:tc>
                <w:tcPr>
                  <w:tcW w:w="674" w:type="dxa"/>
                  <w:tcBorders>
                    <w:tl2br w:val="nil"/>
                    <w:tr2bl w:val="nil"/>
                  </w:tcBorders>
                  <w:noWrap w:val="0"/>
                  <w:vAlign w:val="center"/>
                </w:tcPr>
                <w:p w14:paraId="2BF296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1</w:t>
                  </w:r>
                  <w:r>
                    <w:rPr>
                      <w:rFonts w:hint="default" w:hAnsi="宋体"/>
                      <w:bCs/>
                      <w:color w:val="auto"/>
                      <w:sz w:val="18"/>
                      <w:szCs w:val="18"/>
                    </w:rPr>
                    <w:t>2</w:t>
                  </w:r>
                </w:p>
              </w:tc>
              <w:tc>
                <w:tcPr>
                  <w:tcW w:w="725" w:type="dxa"/>
                  <w:tcBorders>
                    <w:tl2br w:val="nil"/>
                    <w:tr2bl w:val="nil"/>
                  </w:tcBorders>
                  <w:noWrap w:val="0"/>
                  <w:vAlign w:val="center"/>
                </w:tcPr>
                <w:p w14:paraId="68D6868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0</w:t>
                  </w:r>
                  <w:r>
                    <w:rPr>
                      <w:rFonts w:hint="default" w:hAnsi="宋体"/>
                      <w:bCs/>
                      <w:color w:val="auto"/>
                      <w:sz w:val="18"/>
                      <w:szCs w:val="18"/>
                    </w:rPr>
                    <w:t>.96</w:t>
                  </w:r>
                </w:p>
              </w:tc>
              <w:tc>
                <w:tcPr>
                  <w:tcW w:w="972" w:type="dxa"/>
                  <w:tcBorders>
                    <w:tl2br w:val="nil"/>
                    <w:tr2bl w:val="nil"/>
                  </w:tcBorders>
                  <w:noWrap w:val="0"/>
                  <w:vAlign w:val="center"/>
                </w:tcPr>
                <w:p w14:paraId="3C4BA1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0</w:t>
                  </w:r>
                  <w:r>
                    <w:rPr>
                      <w:rFonts w:hint="default" w:hAnsi="宋体"/>
                      <w:bCs/>
                      <w:color w:val="auto"/>
                      <w:sz w:val="18"/>
                      <w:szCs w:val="18"/>
                    </w:rPr>
                    <w:t>.22</w:t>
                  </w:r>
                  <w:r>
                    <w:rPr>
                      <w:rFonts w:hint="eastAsia" w:hAnsi="宋体"/>
                      <w:bCs/>
                      <w:color w:val="auto"/>
                      <w:sz w:val="18"/>
                      <w:szCs w:val="18"/>
                    </w:rPr>
                    <w:t>万方（气）</w:t>
                  </w:r>
                </w:p>
              </w:tc>
              <w:tc>
                <w:tcPr>
                  <w:tcW w:w="775" w:type="dxa"/>
                  <w:tcBorders>
                    <w:tl2br w:val="nil"/>
                    <w:tr2bl w:val="nil"/>
                  </w:tcBorders>
                  <w:noWrap w:val="0"/>
                  <w:vAlign w:val="center"/>
                </w:tcPr>
                <w:p w14:paraId="6AB716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default" w:hAnsi="宋体"/>
                      <w:bCs/>
                      <w:color w:val="auto"/>
                      <w:sz w:val="18"/>
                      <w:szCs w:val="18"/>
                    </w:rPr>
                    <w:t>11.58</w:t>
                  </w:r>
                </w:p>
              </w:tc>
              <w:tc>
                <w:tcPr>
                  <w:tcW w:w="608" w:type="dxa"/>
                  <w:tcBorders>
                    <w:tl2br w:val="nil"/>
                    <w:tr2bl w:val="nil"/>
                  </w:tcBorders>
                  <w:noWrap w:val="0"/>
                  <w:vAlign w:val="center"/>
                </w:tcPr>
                <w:p w14:paraId="4286F9A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color w:val="auto"/>
                      <w:sz w:val="18"/>
                      <w:szCs w:val="18"/>
                    </w:rPr>
                  </w:pPr>
                  <w:r>
                    <w:rPr>
                      <w:rFonts w:hint="eastAsia" w:hAnsi="宋体"/>
                      <w:bCs/>
                      <w:color w:val="auto"/>
                      <w:sz w:val="18"/>
                      <w:szCs w:val="18"/>
                    </w:rPr>
                    <w:t>285</w:t>
                  </w:r>
                </w:p>
              </w:tc>
            </w:tr>
            <w:tr w14:paraId="2774D7A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1961BDA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tcBorders>
                    <w:tl2br w:val="nil"/>
                    <w:tr2bl w:val="nil"/>
                  </w:tcBorders>
                  <w:noWrap w:val="0"/>
                  <w:vAlign w:val="center"/>
                </w:tcPr>
                <w:p w14:paraId="198BA5D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lang w:val="en-US" w:eastAsia="zh-CN"/>
                    </w:rPr>
                  </w:pPr>
                  <w:r>
                    <w:rPr>
                      <w:rFonts w:hint="eastAsia" w:cs="Times New Roman"/>
                      <w:bCs/>
                      <w:color w:val="auto"/>
                      <w:sz w:val="18"/>
                      <w:szCs w:val="18"/>
                      <w:lang w:val="en-US" w:eastAsia="zh-CN"/>
                    </w:rPr>
                    <w:t>东岳庙段</w:t>
                  </w:r>
                </w:p>
              </w:tc>
              <w:tc>
                <w:tcPr>
                  <w:tcW w:w="753" w:type="dxa"/>
                  <w:tcBorders>
                    <w:tl2br w:val="nil"/>
                    <w:tr2bl w:val="nil"/>
                  </w:tcBorders>
                  <w:noWrap w:val="0"/>
                  <w:vAlign w:val="center"/>
                </w:tcPr>
                <w:p w14:paraId="28C10116">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元陆4井</w:t>
                  </w:r>
                </w:p>
              </w:tc>
              <w:tc>
                <w:tcPr>
                  <w:tcW w:w="840" w:type="dxa"/>
                  <w:tcBorders>
                    <w:tl2br w:val="nil"/>
                    <w:tr2bl w:val="nil"/>
                  </w:tcBorders>
                  <w:noWrap/>
                  <w:vAlign w:val="center"/>
                </w:tcPr>
                <w:p w14:paraId="4709585A">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3993.0</w:t>
                  </w:r>
                  <w:r>
                    <w:rPr>
                      <w:rFonts w:hint="eastAsia" w:hAnsi="宋体"/>
                      <w:bCs/>
                      <w:color w:val="auto"/>
                      <w:sz w:val="18"/>
                      <w:szCs w:val="18"/>
                      <w:lang w:val="en-US" w:eastAsia="zh-CN"/>
                    </w:rPr>
                    <w:t>-</w:t>
                  </w:r>
                  <w:r>
                    <w:rPr>
                      <w:rFonts w:hint="eastAsia" w:hAnsi="宋体"/>
                      <w:bCs/>
                      <w:color w:val="auto"/>
                      <w:sz w:val="18"/>
                      <w:szCs w:val="18"/>
                    </w:rPr>
                    <w:t>4015.0</w:t>
                  </w:r>
                </w:p>
              </w:tc>
              <w:tc>
                <w:tcPr>
                  <w:tcW w:w="796" w:type="dxa"/>
                  <w:tcBorders>
                    <w:tl2br w:val="nil"/>
                    <w:tr2bl w:val="nil"/>
                  </w:tcBorders>
                  <w:noWrap w:val="0"/>
                  <w:vAlign w:val="center"/>
                </w:tcPr>
                <w:p w14:paraId="3A657240">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射孔</w:t>
                  </w:r>
                </w:p>
              </w:tc>
              <w:tc>
                <w:tcPr>
                  <w:tcW w:w="585" w:type="dxa"/>
                  <w:tcBorders>
                    <w:tl2br w:val="nil"/>
                    <w:tr2bl w:val="nil"/>
                  </w:tcBorders>
                  <w:noWrap w:val="0"/>
                  <w:vAlign w:val="center"/>
                </w:tcPr>
                <w:p w14:paraId="198CDF6B">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敞放</w:t>
                  </w:r>
                </w:p>
              </w:tc>
              <w:tc>
                <w:tcPr>
                  <w:tcW w:w="674" w:type="dxa"/>
                  <w:tcBorders>
                    <w:tl2br w:val="nil"/>
                    <w:tr2bl w:val="nil"/>
                  </w:tcBorders>
                  <w:noWrap w:val="0"/>
                  <w:vAlign w:val="center"/>
                </w:tcPr>
                <w:p w14:paraId="7637F336">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3</w:t>
                  </w:r>
                </w:p>
              </w:tc>
              <w:tc>
                <w:tcPr>
                  <w:tcW w:w="725" w:type="dxa"/>
                  <w:tcBorders>
                    <w:tl2br w:val="nil"/>
                    <w:tr2bl w:val="nil"/>
                  </w:tcBorders>
                  <w:noWrap w:val="0"/>
                  <w:vAlign w:val="center"/>
                </w:tcPr>
                <w:p w14:paraId="1CD7EE34">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0.1</w:t>
                  </w:r>
                </w:p>
              </w:tc>
              <w:tc>
                <w:tcPr>
                  <w:tcW w:w="972" w:type="dxa"/>
                  <w:tcBorders>
                    <w:tl2br w:val="nil"/>
                    <w:tr2bl w:val="nil"/>
                  </w:tcBorders>
                  <w:noWrap w:val="0"/>
                  <w:vAlign w:val="center"/>
                </w:tcPr>
                <w:p w14:paraId="4278F044">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0.0169万方（气）</w:t>
                  </w:r>
                </w:p>
              </w:tc>
              <w:tc>
                <w:tcPr>
                  <w:tcW w:w="775" w:type="dxa"/>
                  <w:tcBorders>
                    <w:tl2br w:val="nil"/>
                    <w:tr2bl w:val="nil"/>
                  </w:tcBorders>
                  <w:noWrap w:val="0"/>
                  <w:vAlign w:val="center"/>
                </w:tcPr>
                <w:p w14:paraId="4359417F">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12.33</w:t>
                  </w:r>
                </w:p>
              </w:tc>
              <w:tc>
                <w:tcPr>
                  <w:tcW w:w="608" w:type="dxa"/>
                  <w:tcBorders>
                    <w:tl2br w:val="nil"/>
                    <w:tr2bl w:val="nil"/>
                  </w:tcBorders>
                  <w:noWrap w:val="0"/>
                  <w:vAlign w:val="center"/>
                </w:tcPr>
                <w:p w14:paraId="1C6116BA">
                  <w:pPr>
                    <w:keepNext w:val="0"/>
                    <w:keepLines w:val="0"/>
                    <w:widowControl/>
                    <w:suppressLineNumbers w:val="0"/>
                    <w:spacing w:before="0" w:beforeAutospacing="0" w:after="0" w:afterAutospacing="0"/>
                    <w:ind w:left="0" w:right="0"/>
                    <w:jc w:val="center"/>
                    <w:rPr>
                      <w:rFonts w:hint="eastAsia" w:hAnsi="宋体"/>
                      <w:bCs/>
                      <w:color w:val="auto"/>
                      <w:sz w:val="18"/>
                      <w:szCs w:val="18"/>
                    </w:rPr>
                  </w:pPr>
                  <w:r>
                    <w:rPr>
                      <w:rFonts w:hint="eastAsia" w:hAnsi="宋体"/>
                      <w:bCs/>
                      <w:color w:val="auto"/>
                      <w:sz w:val="18"/>
                      <w:szCs w:val="18"/>
                    </w:rPr>
                    <w:t>209</w:t>
                  </w:r>
                </w:p>
              </w:tc>
            </w:tr>
            <w:tr w14:paraId="2760CF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6BBB448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vMerge w:val="restart"/>
                  <w:tcBorders>
                    <w:tl2br w:val="nil"/>
                    <w:tr2bl w:val="nil"/>
                  </w:tcBorders>
                  <w:noWrap w:val="0"/>
                  <w:vAlign w:val="center"/>
                </w:tcPr>
                <w:p w14:paraId="7B9932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Cs/>
                      <w:color w:val="auto"/>
                      <w:sz w:val="18"/>
                      <w:szCs w:val="18"/>
                    </w:rPr>
                    <w:t>珍珠冲段下亚段</w:t>
                  </w:r>
                </w:p>
              </w:tc>
              <w:tc>
                <w:tcPr>
                  <w:tcW w:w="753" w:type="dxa"/>
                  <w:tcBorders>
                    <w:tl2br w:val="nil"/>
                    <w:tr2bl w:val="nil"/>
                  </w:tcBorders>
                  <w:noWrap w:val="0"/>
                  <w:vAlign w:val="center"/>
                </w:tcPr>
                <w:p w14:paraId="6EB39736">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元陆5井</w:t>
                  </w:r>
                </w:p>
              </w:tc>
              <w:tc>
                <w:tcPr>
                  <w:tcW w:w="840" w:type="dxa"/>
                  <w:tcBorders>
                    <w:tl2br w:val="nil"/>
                    <w:tr2bl w:val="nil"/>
                  </w:tcBorders>
                  <w:noWrap/>
                  <w:vAlign w:val="center"/>
                </w:tcPr>
                <w:p w14:paraId="1A7F8135">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4084.0</w:t>
                  </w:r>
                  <w:r>
                    <w:rPr>
                      <w:rFonts w:hint="eastAsia" w:hAnsi="宋体"/>
                      <w:bCs/>
                      <w:color w:val="auto"/>
                      <w:sz w:val="18"/>
                      <w:szCs w:val="18"/>
                      <w:lang w:val="en-US" w:eastAsia="zh-CN"/>
                    </w:rPr>
                    <w:t>-</w:t>
                  </w:r>
                  <w:r>
                    <w:rPr>
                      <w:rFonts w:hint="eastAsia" w:hAnsi="宋体"/>
                      <w:bCs/>
                      <w:color w:val="auto"/>
                      <w:sz w:val="18"/>
                      <w:szCs w:val="18"/>
                    </w:rPr>
                    <w:t>4120.0</w:t>
                  </w:r>
                </w:p>
              </w:tc>
              <w:tc>
                <w:tcPr>
                  <w:tcW w:w="796" w:type="dxa"/>
                  <w:tcBorders>
                    <w:tl2br w:val="nil"/>
                    <w:tr2bl w:val="nil"/>
                  </w:tcBorders>
                  <w:noWrap w:val="0"/>
                  <w:vAlign w:val="center"/>
                </w:tcPr>
                <w:p w14:paraId="3EE5F777">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射孔后替喷</w:t>
                  </w:r>
                </w:p>
              </w:tc>
              <w:tc>
                <w:tcPr>
                  <w:tcW w:w="585" w:type="dxa"/>
                  <w:tcBorders>
                    <w:tl2br w:val="nil"/>
                    <w:tr2bl w:val="nil"/>
                  </w:tcBorders>
                  <w:noWrap w:val="0"/>
                  <w:vAlign w:val="center"/>
                </w:tcPr>
                <w:p w14:paraId="11105FC8">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14-16</w:t>
                  </w:r>
                </w:p>
              </w:tc>
              <w:tc>
                <w:tcPr>
                  <w:tcW w:w="674" w:type="dxa"/>
                  <w:tcBorders>
                    <w:tl2br w:val="nil"/>
                    <w:tr2bl w:val="nil"/>
                  </w:tcBorders>
                  <w:noWrap w:val="0"/>
                  <w:vAlign w:val="center"/>
                </w:tcPr>
                <w:p w14:paraId="7AE4DA81">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35</w:t>
                  </w:r>
                </w:p>
              </w:tc>
              <w:tc>
                <w:tcPr>
                  <w:tcW w:w="725" w:type="dxa"/>
                  <w:tcBorders>
                    <w:tl2br w:val="nil"/>
                    <w:tr2bl w:val="nil"/>
                  </w:tcBorders>
                  <w:noWrap w:val="0"/>
                  <w:vAlign w:val="center"/>
                </w:tcPr>
                <w:p w14:paraId="434A9DAE">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43.56</w:t>
                  </w:r>
                </w:p>
              </w:tc>
              <w:tc>
                <w:tcPr>
                  <w:tcW w:w="972" w:type="dxa"/>
                  <w:tcBorders>
                    <w:tl2br w:val="nil"/>
                    <w:tr2bl w:val="nil"/>
                  </w:tcBorders>
                  <w:noWrap w:val="0"/>
                  <w:vAlign w:val="center"/>
                </w:tcPr>
                <w:p w14:paraId="0FEEA546">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150.3928万方（气）</w:t>
                  </w:r>
                </w:p>
              </w:tc>
              <w:tc>
                <w:tcPr>
                  <w:tcW w:w="775" w:type="dxa"/>
                  <w:tcBorders>
                    <w:tl2br w:val="nil"/>
                    <w:tr2bl w:val="nil"/>
                  </w:tcBorders>
                  <w:noWrap w:val="0"/>
                  <w:vAlign w:val="center"/>
                </w:tcPr>
                <w:p w14:paraId="01AA0BFA">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23.36</w:t>
                  </w:r>
                </w:p>
              </w:tc>
              <w:tc>
                <w:tcPr>
                  <w:tcW w:w="608" w:type="dxa"/>
                  <w:tcBorders>
                    <w:tl2br w:val="nil"/>
                    <w:tr2bl w:val="nil"/>
                  </w:tcBorders>
                  <w:noWrap w:val="0"/>
                  <w:vAlign w:val="center"/>
                </w:tcPr>
                <w:p w14:paraId="2707E260">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247</w:t>
                  </w:r>
                </w:p>
              </w:tc>
            </w:tr>
            <w:tr w14:paraId="677C05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448E8F8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vMerge w:val="continue"/>
                  <w:tcBorders>
                    <w:tl2br w:val="nil"/>
                    <w:tr2bl w:val="nil"/>
                  </w:tcBorders>
                  <w:noWrap w:val="0"/>
                  <w:vAlign w:val="center"/>
                </w:tcPr>
                <w:p w14:paraId="694870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1DC14C25">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元陆16井</w:t>
                  </w:r>
                </w:p>
              </w:tc>
              <w:tc>
                <w:tcPr>
                  <w:tcW w:w="840" w:type="dxa"/>
                  <w:tcBorders>
                    <w:tl2br w:val="nil"/>
                    <w:tr2bl w:val="nil"/>
                  </w:tcBorders>
                  <w:noWrap/>
                  <w:vAlign w:val="center"/>
                </w:tcPr>
                <w:p w14:paraId="0442E86D">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4225.0</w:t>
                  </w:r>
                  <w:r>
                    <w:rPr>
                      <w:rFonts w:hint="eastAsia" w:hAnsi="宋体"/>
                      <w:bCs/>
                      <w:color w:val="auto"/>
                      <w:sz w:val="18"/>
                      <w:szCs w:val="18"/>
                      <w:lang w:val="en-US" w:eastAsia="zh-CN"/>
                    </w:rPr>
                    <w:t>-</w:t>
                  </w:r>
                  <w:r>
                    <w:rPr>
                      <w:rFonts w:hint="eastAsia" w:hAnsi="宋体"/>
                      <w:bCs/>
                      <w:color w:val="auto"/>
                      <w:sz w:val="18"/>
                      <w:szCs w:val="18"/>
                    </w:rPr>
                    <w:t>4256.0</w:t>
                  </w:r>
                </w:p>
              </w:tc>
              <w:tc>
                <w:tcPr>
                  <w:tcW w:w="796" w:type="dxa"/>
                  <w:tcBorders>
                    <w:tl2br w:val="nil"/>
                    <w:tr2bl w:val="nil"/>
                  </w:tcBorders>
                  <w:noWrap w:val="0"/>
                  <w:vAlign w:val="center"/>
                </w:tcPr>
                <w:p w14:paraId="1C863E51">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加砂压裂</w:t>
                  </w:r>
                </w:p>
              </w:tc>
              <w:tc>
                <w:tcPr>
                  <w:tcW w:w="585" w:type="dxa"/>
                  <w:tcBorders>
                    <w:tl2br w:val="nil"/>
                    <w:tr2bl w:val="nil"/>
                  </w:tcBorders>
                  <w:noWrap w:val="0"/>
                  <w:vAlign w:val="center"/>
                </w:tcPr>
                <w:p w14:paraId="6219C4F9">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10-13</w:t>
                  </w:r>
                </w:p>
              </w:tc>
              <w:tc>
                <w:tcPr>
                  <w:tcW w:w="674" w:type="dxa"/>
                  <w:tcBorders>
                    <w:tl2br w:val="nil"/>
                    <w:tr2bl w:val="nil"/>
                  </w:tcBorders>
                  <w:noWrap w:val="0"/>
                  <w:vAlign w:val="center"/>
                </w:tcPr>
                <w:p w14:paraId="0DE8E51E">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35</w:t>
                  </w:r>
                </w:p>
              </w:tc>
              <w:tc>
                <w:tcPr>
                  <w:tcW w:w="725" w:type="dxa"/>
                  <w:tcBorders>
                    <w:tl2br w:val="nil"/>
                    <w:tr2bl w:val="nil"/>
                  </w:tcBorders>
                  <w:noWrap w:val="0"/>
                  <w:vAlign w:val="center"/>
                </w:tcPr>
                <w:p w14:paraId="3F8B0B8B">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36.5</w:t>
                  </w:r>
                </w:p>
              </w:tc>
              <w:tc>
                <w:tcPr>
                  <w:tcW w:w="972" w:type="dxa"/>
                  <w:tcBorders>
                    <w:tl2br w:val="nil"/>
                    <w:tr2bl w:val="nil"/>
                  </w:tcBorders>
                  <w:noWrap w:val="0"/>
                  <w:vAlign w:val="center"/>
                </w:tcPr>
                <w:p w14:paraId="0F4EBEF3">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57.0532万方（气）</w:t>
                  </w:r>
                </w:p>
              </w:tc>
              <w:tc>
                <w:tcPr>
                  <w:tcW w:w="775" w:type="dxa"/>
                  <w:tcBorders>
                    <w:tl2br w:val="nil"/>
                    <w:tr2bl w:val="nil"/>
                  </w:tcBorders>
                  <w:noWrap w:val="0"/>
                  <w:vAlign w:val="center"/>
                </w:tcPr>
                <w:p w14:paraId="714CF3BA">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8.69</w:t>
                  </w:r>
                </w:p>
              </w:tc>
              <w:tc>
                <w:tcPr>
                  <w:tcW w:w="608" w:type="dxa"/>
                  <w:tcBorders>
                    <w:tl2br w:val="nil"/>
                    <w:tr2bl w:val="nil"/>
                  </w:tcBorders>
                  <w:noWrap w:val="0"/>
                  <w:vAlign w:val="center"/>
                </w:tcPr>
                <w:p w14:paraId="48A827DE">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227</w:t>
                  </w:r>
                </w:p>
              </w:tc>
            </w:tr>
            <w:tr w14:paraId="400F5AF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30065FA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vMerge w:val="continue"/>
                  <w:tcBorders>
                    <w:tl2br w:val="nil"/>
                    <w:tr2bl w:val="nil"/>
                  </w:tcBorders>
                  <w:noWrap w:val="0"/>
                  <w:vAlign w:val="center"/>
                </w:tcPr>
                <w:p w14:paraId="364624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3E569AD3">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元陆3井</w:t>
                  </w:r>
                </w:p>
              </w:tc>
              <w:tc>
                <w:tcPr>
                  <w:tcW w:w="840" w:type="dxa"/>
                  <w:tcBorders>
                    <w:tl2br w:val="nil"/>
                    <w:tr2bl w:val="nil"/>
                  </w:tcBorders>
                  <w:noWrap/>
                  <w:vAlign w:val="center"/>
                </w:tcPr>
                <w:p w14:paraId="463FB090">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4535.0</w:t>
                  </w:r>
                  <w:r>
                    <w:rPr>
                      <w:rFonts w:hint="eastAsia" w:hAnsi="宋体"/>
                      <w:bCs/>
                      <w:color w:val="auto"/>
                      <w:sz w:val="18"/>
                      <w:szCs w:val="18"/>
                      <w:lang w:val="en-US" w:eastAsia="zh-CN"/>
                    </w:rPr>
                    <w:t>-</w:t>
                  </w:r>
                  <w:r>
                    <w:rPr>
                      <w:rFonts w:hint="eastAsia" w:hAnsi="宋体"/>
                      <w:bCs/>
                      <w:color w:val="auto"/>
                      <w:sz w:val="18"/>
                      <w:szCs w:val="18"/>
                    </w:rPr>
                    <w:t>4557.0</w:t>
                  </w:r>
                </w:p>
              </w:tc>
              <w:tc>
                <w:tcPr>
                  <w:tcW w:w="796" w:type="dxa"/>
                  <w:tcBorders>
                    <w:tl2br w:val="nil"/>
                    <w:tr2bl w:val="nil"/>
                  </w:tcBorders>
                  <w:noWrap w:val="0"/>
                  <w:vAlign w:val="center"/>
                </w:tcPr>
                <w:p w14:paraId="3FA96469">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酸压</w:t>
                  </w:r>
                </w:p>
              </w:tc>
              <w:tc>
                <w:tcPr>
                  <w:tcW w:w="585" w:type="dxa"/>
                  <w:tcBorders>
                    <w:tl2br w:val="nil"/>
                    <w:tr2bl w:val="nil"/>
                  </w:tcBorders>
                  <w:noWrap w:val="0"/>
                  <w:vAlign w:val="center"/>
                </w:tcPr>
                <w:p w14:paraId="660E5634">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12</w:t>
                  </w:r>
                </w:p>
              </w:tc>
              <w:tc>
                <w:tcPr>
                  <w:tcW w:w="674" w:type="dxa"/>
                  <w:tcBorders>
                    <w:tl2br w:val="nil"/>
                    <w:tr2bl w:val="nil"/>
                  </w:tcBorders>
                  <w:noWrap w:val="0"/>
                  <w:vAlign w:val="center"/>
                </w:tcPr>
                <w:p w14:paraId="7A4F4183">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22</w:t>
                  </w:r>
                </w:p>
              </w:tc>
              <w:tc>
                <w:tcPr>
                  <w:tcW w:w="725" w:type="dxa"/>
                  <w:tcBorders>
                    <w:tl2br w:val="nil"/>
                    <w:tr2bl w:val="nil"/>
                  </w:tcBorders>
                  <w:noWrap w:val="0"/>
                  <w:vAlign w:val="center"/>
                </w:tcPr>
                <w:p w14:paraId="095D2DBC">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13.7</w:t>
                  </w:r>
                </w:p>
              </w:tc>
              <w:tc>
                <w:tcPr>
                  <w:tcW w:w="972" w:type="dxa"/>
                  <w:tcBorders>
                    <w:tl2br w:val="nil"/>
                    <w:tr2bl w:val="nil"/>
                  </w:tcBorders>
                  <w:noWrap w:val="0"/>
                  <w:vAlign w:val="center"/>
                </w:tcPr>
                <w:p w14:paraId="3FDAF3F5">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30.057万方（气）</w:t>
                  </w:r>
                </w:p>
              </w:tc>
              <w:tc>
                <w:tcPr>
                  <w:tcW w:w="775" w:type="dxa"/>
                  <w:tcBorders>
                    <w:tl2br w:val="nil"/>
                    <w:tr2bl w:val="nil"/>
                  </w:tcBorders>
                  <w:noWrap w:val="0"/>
                  <w:vAlign w:val="center"/>
                </w:tcPr>
                <w:p w14:paraId="0DB22DC1">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9.97</w:t>
                  </w:r>
                </w:p>
              </w:tc>
              <w:tc>
                <w:tcPr>
                  <w:tcW w:w="608" w:type="dxa"/>
                  <w:tcBorders>
                    <w:tl2br w:val="nil"/>
                    <w:tr2bl w:val="nil"/>
                  </w:tcBorders>
                  <w:noWrap w:val="0"/>
                  <w:vAlign w:val="center"/>
                </w:tcPr>
                <w:p w14:paraId="0BC51576">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328</w:t>
                  </w:r>
                </w:p>
              </w:tc>
            </w:tr>
            <w:tr w14:paraId="1006CC8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1" w:type="dxa"/>
                  <w:vMerge w:val="continue"/>
                  <w:tcBorders>
                    <w:tl2br w:val="nil"/>
                    <w:tr2bl w:val="nil"/>
                  </w:tcBorders>
                  <w:noWrap w:val="0"/>
                  <w:vAlign w:val="center"/>
                </w:tcPr>
                <w:p w14:paraId="36C767E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415" w:type="dxa"/>
                  <w:vMerge w:val="continue"/>
                  <w:tcBorders>
                    <w:tl2br w:val="nil"/>
                    <w:tr2bl w:val="nil"/>
                  </w:tcBorders>
                  <w:noWrap w:val="0"/>
                  <w:vAlign w:val="center"/>
                </w:tcPr>
                <w:p w14:paraId="5EE4B7B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70FC04C7">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元坝3井</w:t>
                  </w:r>
                </w:p>
              </w:tc>
              <w:tc>
                <w:tcPr>
                  <w:tcW w:w="840" w:type="dxa"/>
                  <w:tcBorders>
                    <w:tl2br w:val="nil"/>
                    <w:tr2bl w:val="nil"/>
                  </w:tcBorders>
                  <w:noWrap/>
                  <w:vAlign w:val="center"/>
                </w:tcPr>
                <w:p w14:paraId="12AE0331">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4167.0</w:t>
                  </w:r>
                  <w:r>
                    <w:rPr>
                      <w:rFonts w:hint="eastAsia" w:hAnsi="宋体"/>
                      <w:bCs/>
                      <w:color w:val="auto"/>
                      <w:sz w:val="18"/>
                      <w:szCs w:val="18"/>
                      <w:lang w:val="en-US" w:eastAsia="zh-CN"/>
                    </w:rPr>
                    <w:t>-</w:t>
                  </w:r>
                  <w:r>
                    <w:rPr>
                      <w:rFonts w:hint="eastAsia" w:hAnsi="宋体"/>
                      <w:bCs/>
                      <w:color w:val="auto"/>
                      <w:sz w:val="18"/>
                      <w:szCs w:val="18"/>
                    </w:rPr>
                    <w:t>4228.0</w:t>
                  </w:r>
                </w:p>
              </w:tc>
              <w:tc>
                <w:tcPr>
                  <w:tcW w:w="796" w:type="dxa"/>
                  <w:tcBorders>
                    <w:tl2br w:val="nil"/>
                    <w:tr2bl w:val="nil"/>
                  </w:tcBorders>
                  <w:noWrap w:val="0"/>
                  <w:vAlign w:val="center"/>
                </w:tcPr>
                <w:p w14:paraId="64EC46E7">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压裂测试联作</w:t>
                  </w:r>
                </w:p>
              </w:tc>
              <w:tc>
                <w:tcPr>
                  <w:tcW w:w="585" w:type="dxa"/>
                  <w:tcBorders>
                    <w:tl2br w:val="nil"/>
                    <w:tr2bl w:val="nil"/>
                  </w:tcBorders>
                  <w:noWrap w:val="0"/>
                  <w:vAlign w:val="center"/>
                </w:tcPr>
                <w:p w14:paraId="7898F12D">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8</w:t>
                  </w:r>
                </w:p>
              </w:tc>
              <w:tc>
                <w:tcPr>
                  <w:tcW w:w="674" w:type="dxa"/>
                  <w:tcBorders>
                    <w:tl2br w:val="nil"/>
                    <w:tr2bl w:val="nil"/>
                  </w:tcBorders>
                  <w:noWrap w:val="0"/>
                  <w:vAlign w:val="center"/>
                </w:tcPr>
                <w:p w14:paraId="30F34D9B">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26</w:t>
                  </w:r>
                </w:p>
              </w:tc>
              <w:tc>
                <w:tcPr>
                  <w:tcW w:w="725" w:type="dxa"/>
                  <w:tcBorders>
                    <w:tl2br w:val="nil"/>
                    <w:tr2bl w:val="nil"/>
                  </w:tcBorders>
                  <w:noWrap w:val="0"/>
                  <w:vAlign w:val="center"/>
                </w:tcPr>
                <w:p w14:paraId="45BDDB36">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21.03</w:t>
                  </w:r>
                </w:p>
              </w:tc>
              <w:tc>
                <w:tcPr>
                  <w:tcW w:w="972" w:type="dxa"/>
                  <w:tcBorders>
                    <w:tl2br w:val="nil"/>
                    <w:tr2bl w:val="nil"/>
                  </w:tcBorders>
                  <w:noWrap w:val="0"/>
                  <w:vAlign w:val="center"/>
                </w:tcPr>
                <w:p w14:paraId="2A4CEFBD">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18.1万方（气）</w:t>
                  </w:r>
                </w:p>
              </w:tc>
              <w:tc>
                <w:tcPr>
                  <w:tcW w:w="775" w:type="dxa"/>
                  <w:tcBorders>
                    <w:tl2br w:val="nil"/>
                    <w:tr2bl w:val="nil"/>
                  </w:tcBorders>
                  <w:noWrap w:val="0"/>
                  <w:vAlign w:val="center"/>
                </w:tcPr>
                <w:p w14:paraId="051207B9">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22.53</w:t>
                  </w:r>
                </w:p>
              </w:tc>
              <w:tc>
                <w:tcPr>
                  <w:tcW w:w="608" w:type="dxa"/>
                  <w:tcBorders>
                    <w:tl2br w:val="nil"/>
                    <w:tr2bl w:val="nil"/>
                  </w:tcBorders>
                  <w:noWrap w:val="0"/>
                  <w:vAlign w:val="center"/>
                </w:tcPr>
                <w:p w14:paraId="4BE4A4F3">
                  <w:pPr>
                    <w:keepNext w:val="0"/>
                    <w:keepLines w:val="0"/>
                    <w:widowControl/>
                    <w:suppressLineNumbers w:val="0"/>
                    <w:spacing w:before="0" w:beforeAutospacing="0" w:after="0" w:afterAutospacing="0"/>
                    <w:ind w:left="0" w:right="0"/>
                    <w:jc w:val="center"/>
                    <w:rPr>
                      <w:rFonts w:hint="default" w:hAnsi="宋体"/>
                      <w:bCs/>
                      <w:color w:val="auto"/>
                      <w:sz w:val="18"/>
                      <w:szCs w:val="18"/>
                    </w:rPr>
                  </w:pPr>
                  <w:r>
                    <w:rPr>
                      <w:rFonts w:hint="eastAsia" w:hAnsi="宋体"/>
                      <w:bCs/>
                      <w:color w:val="auto"/>
                      <w:sz w:val="18"/>
                      <w:szCs w:val="18"/>
                    </w:rPr>
                    <w:t>247</w:t>
                  </w:r>
                </w:p>
              </w:tc>
            </w:tr>
            <w:tr w14:paraId="4307D5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restart"/>
                  <w:tcBorders>
                    <w:tl2br w:val="nil"/>
                    <w:tr2bl w:val="nil"/>
                  </w:tcBorders>
                  <w:noWrap w:val="0"/>
                  <w:vAlign w:val="center"/>
                </w:tcPr>
                <w:p w14:paraId="2C03739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default" w:ascii="Times New Roman" w:hAnsi="Times New Roman" w:eastAsia="宋体" w:cs="Times New Roman"/>
                      <w:b/>
                      <w:bCs w:val="0"/>
                      <w:color w:val="auto"/>
                      <w:sz w:val="18"/>
                      <w:szCs w:val="18"/>
                    </w:rPr>
                    <w:t>须四下亚段</w:t>
                  </w:r>
                </w:p>
              </w:tc>
              <w:tc>
                <w:tcPr>
                  <w:tcW w:w="753" w:type="dxa"/>
                  <w:tcBorders>
                    <w:tl2br w:val="nil"/>
                    <w:tr2bl w:val="nil"/>
                  </w:tcBorders>
                  <w:noWrap w:val="0"/>
                  <w:vAlign w:val="center"/>
                </w:tcPr>
                <w:p w14:paraId="3F0390E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元陆4井</w:t>
                  </w:r>
                </w:p>
              </w:tc>
              <w:tc>
                <w:tcPr>
                  <w:tcW w:w="840" w:type="dxa"/>
                  <w:tcBorders>
                    <w:tl2br w:val="nil"/>
                    <w:tr2bl w:val="nil"/>
                  </w:tcBorders>
                  <w:noWrap/>
                  <w:vAlign w:val="center"/>
                </w:tcPr>
                <w:p w14:paraId="2790E3C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4396.0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4405.0</w:t>
                  </w:r>
                </w:p>
              </w:tc>
              <w:tc>
                <w:tcPr>
                  <w:tcW w:w="796" w:type="dxa"/>
                  <w:tcBorders>
                    <w:tl2br w:val="nil"/>
                    <w:tr2bl w:val="nil"/>
                  </w:tcBorders>
                  <w:noWrap w:val="0"/>
                  <w:vAlign w:val="center"/>
                </w:tcPr>
                <w:p w14:paraId="0E628FC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130843A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敞放</w:t>
                  </w:r>
                </w:p>
              </w:tc>
              <w:tc>
                <w:tcPr>
                  <w:tcW w:w="674" w:type="dxa"/>
                  <w:tcBorders>
                    <w:tl2br w:val="nil"/>
                    <w:tr2bl w:val="nil"/>
                  </w:tcBorders>
                  <w:noWrap w:val="0"/>
                  <w:vAlign w:val="center"/>
                </w:tcPr>
                <w:p w14:paraId="0877A80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10</w:t>
                  </w:r>
                </w:p>
              </w:tc>
              <w:tc>
                <w:tcPr>
                  <w:tcW w:w="725" w:type="dxa"/>
                  <w:tcBorders>
                    <w:tl2br w:val="nil"/>
                    <w:tr2bl w:val="nil"/>
                  </w:tcBorders>
                  <w:noWrap w:val="0"/>
                  <w:vAlign w:val="center"/>
                </w:tcPr>
                <w:p w14:paraId="7343F57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1.26</w:t>
                  </w:r>
                </w:p>
              </w:tc>
              <w:tc>
                <w:tcPr>
                  <w:tcW w:w="972" w:type="dxa"/>
                  <w:tcBorders>
                    <w:tl2br w:val="nil"/>
                    <w:tr2bl w:val="nil"/>
                  </w:tcBorders>
                  <w:noWrap w:val="0"/>
                  <w:vAlign w:val="center"/>
                </w:tcPr>
                <w:p w14:paraId="39AFD39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2.2891万方（气）</w:t>
                  </w:r>
                </w:p>
              </w:tc>
              <w:tc>
                <w:tcPr>
                  <w:tcW w:w="775" w:type="dxa"/>
                  <w:tcBorders>
                    <w:tl2br w:val="nil"/>
                    <w:tr2bl w:val="nil"/>
                  </w:tcBorders>
                  <w:noWrap w:val="0"/>
                  <w:vAlign w:val="center"/>
                </w:tcPr>
                <w:p w14:paraId="5438948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12.33</w:t>
                  </w:r>
                </w:p>
              </w:tc>
              <w:tc>
                <w:tcPr>
                  <w:tcW w:w="608" w:type="dxa"/>
                  <w:tcBorders>
                    <w:tl2br w:val="nil"/>
                    <w:tr2bl w:val="nil"/>
                  </w:tcBorders>
                  <w:noWrap w:val="0"/>
                  <w:vAlign w:val="center"/>
                </w:tcPr>
                <w:p w14:paraId="774E806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209</w:t>
                  </w:r>
                </w:p>
              </w:tc>
            </w:tr>
            <w:tr w14:paraId="4757A2B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4A24854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0B7AFAF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元坝4井</w:t>
                  </w:r>
                </w:p>
              </w:tc>
              <w:tc>
                <w:tcPr>
                  <w:tcW w:w="840" w:type="dxa"/>
                  <w:tcBorders>
                    <w:tl2br w:val="nil"/>
                    <w:tr2bl w:val="nil"/>
                  </w:tcBorders>
                  <w:noWrap/>
                  <w:vAlign w:val="center"/>
                </w:tcPr>
                <w:p w14:paraId="588D3BD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4666.0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4695.0</w:t>
                  </w:r>
                </w:p>
              </w:tc>
              <w:tc>
                <w:tcPr>
                  <w:tcW w:w="796" w:type="dxa"/>
                  <w:tcBorders>
                    <w:tl2br w:val="nil"/>
                    <w:tr2bl w:val="nil"/>
                  </w:tcBorders>
                  <w:noWrap w:val="0"/>
                  <w:vAlign w:val="center"/>
                </w:tcPr>
                <w:p w14:paraId="2CD4856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531123D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w:t>
                  </w:r>
                </w:p>
              </w:tc>
              <w:tc>
                <w:tcPr>
                  <w:tcW w:w="674" w:type="dxa"/>
                  <w:tcBorders>
                    <w:tl2br w:val="nil"/>
                    <w:tr2bl w:val="nil"/>
                  </w:tcBorders>
                  <w:noWrap w:val="0"/>
                  <w:vAlign w:val="center"/>
                </w:tcPr>
                <w:p w14:paraId="11ED5D9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25.4</w:t>
                  </w:r>
                </w:p>
              </w:tc>
              <w:tc>
                <w:tcPr>
                  <w:tcW w:w="725" w:type="dxa"/>
                  <w:tcBorders>
                    <w:tl2br w:val="nil"/>
                    <w:tr2bl w:val="nil"/>
                  </w:tcBorders>
                  <w:noWrap w:val="0"/>
                  <w:vAlign w:val="center"/>
                </w:tcPr>
                <w:p w14:paraId="71E1128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0</w:t>
                  </w:r>
                </w:p>
              </w:tc>
              <w:tc>
                <w:tcPr>
                  <w:tcW w:w="972" w:type="dxa"/>
                  <w:tcBorders>
                    <w:tl2br w:val="nil"/>
                    <w:tr2bl w:val="nil"/>
                  </w:tcBorders>
                  <w:noWrap w:val="0"/>
                  <w:vAlign w:val="center"/>
                </w:tcPr>
                <w:p w14:paraId="16AC107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2.217万方（气）</w:t>
                  </w:r>
                </w:p>
              </w:tc>
              <w:tc>
                <w:tcPr>
                  <w:tcW w:w="775" w:type="dxa"/>
                  <w:tcBorders>
                    <w:tl2br w:val="nil"/>
                    <w:tr2bl w:val="nil"/>
                  </w:tcBorders>
                  <w:noWrap w:val="0"/>
                  <w:vAlign w:val="center"/>
                </w:tcPr>
                <w:p w14:paraId="723057B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11.42</w:t>
                  </w:r>
                </w:p>
              </w:tc>
              <w:tc>
                <w:tcPr>
                  <w:tcW w:w="608" w:type="dxa"/>
                  <w:tcBorders>
                    <w:tl2br w:val="nil"/>
                    <w:tr2bl w:val="nil"/>
                  </w:tcBorders>
                  <w:noWrap w:val="0"/>
                  <w:vAlign w:val="center"/>
                </w:tcPr>
                <w:p w14:paraId="5CDA6B6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264</w:t>
                  </w:r>
                </w:p>
              </w:tc>
            </w:tr>
            <w:tr w14:paraId="0663ED0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58719C4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21694A9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元坝3井</w:t>
                  </w:r>
                </w:p>
              </w:tc>
              <w:tc>
                <w:tcPr>
                  <w:tcW w:w="840" w:type="dxa"/>
                  <w:tcBorders>
                    <w:tl2br w:val="nil"/>
                    <w:tr2bl w:val="nil"/>
                  </w:tcBorders>
                  <w:noWrap/>
                  <w:vAlign w:val="center"/>
                </w:tcPr>
                <w:p w14:paraId="3117E5E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4372.0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4410.0</w:t>
                  </w:r>
                </w:p>
              </w:tc>
              <w:tc>
                <w:tcPr>
                  <w:tcW w:w="796" w:type="dxa"/>
                  <w:tcBorders>
                    <w:tl2br w:val="nil"/>
                    <w:tr2bl w:val="nil"/>
                  </w:tcBorders>
                  <w:noWrap w:val="0"/>
                  <w:vAlign w:val="center"/>
                </w:tcPr>
                <w:p w14:paraId="26114C7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射孔</w:t>
                  </w:r>
                </w:p>
              </w:tc>
              <w:tc>
                <w:tcPr>
                  <w:tcW w:w="585" w:type="dxa"/>
                  <w:tcBorders>
                    <w:tl2br w:val="nil"/>
                    <w:tr2bl w:val="nil"/>
                  </w:tcBorders>
                  <w:noWrap w:val="0"/>
                  <w:vAlign w:val="center"/>
                </w:tcPr>
                <w:p w14:paraId="413092B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5</w:t>
                  </w:r>
                </w:p>
              </w:tc>
              <w:tc>
                <w:tcPr>
                  <w:tcW w:w="674" w:type="dxa"/>
                  <w:tcBorders>
                    <w:tl2br w:val="nil"/>
                    <w:tr2bl w:val="nil"/>
                  </w:tcBorders>
                  <w:noWrap w:val="0"/>
                  <w:vAlign w:val="center"/>
                </w:tcPr>
                <w:p w14:paraId="6D8B4F6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28</w:t>
                  </w:r>
                </w:p>
              </w:tc>
              <w:tc>
                <w:tcPr>
                  <w:tcW w:w="725" w:type="dxa"/>
                  <w:tcBorders>
                    <w:tl2br w:val="nil"/>
                    <w:tr2bl w:val="nil"/>
                  </w:tcBorders>
                  <w:noWrap w:val="0"/>
                  <w:vAlign w:val="center"/>
                </w:tcPr>
                <w:p w14:paraId="51A24DB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43.64</w:t>
                  </w:r>
                </w:p>
              </w:tc>
              <w:tc>
                <w:tcPr>
                  <w:tcW w:w="972" w:type="dxa"/>
                  <w:tcBorders>
                    <w:tl2br w:val="nil"/>
                    <w:tr2bl w:val="nil"/>
                  </w:tcBorders>
                  <w:noWrap w:val="0"/>
                  <w:vAlign w:val="center"/>
                </w:tcPr>
                <w:p w14:paraId="6D9E6CC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22.83万方（气）</w:t>
                  </w:r>
                </w:p>
              </w:tc>
              <w:tc>
                <w:tcPr>
                  <w:tcW w:w="775" w:type="dxa"/>
                  <w:tcBorders>
                    <w:tl2br w:val="nil"/>
                    <w:tr2bl w:val="nil"/>
                  </w:tcBorders>
                  <w:noWrap w:val="0"/>
                  <w:vAlign w:val="center"/>
                </w:tcPr>
                <w:p w14:paraId="41E9F30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22.53</w:t>
                  </w:r>
                </w:p>
              </w:tc>
              <w:tc>
                <w:tcPr>
                  <w:tcW w:w="608" w:type="dxa"/>
                  <w:tcBorders>
                    <w:tl2br w:val="nil"/>
                    <w:tr2bl w:val="nil"/>
                  </w:tcBorders>
                  <w:noWrap w:val="0"/>
                  <w:vAlign w:val="center"/>
                </w:tcPr>
                <w:p w14:paraId="749032E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247</w:t>
                  </w:r>
                </w:p>
              </w:tc>
            </w:tr>
            <w:tr w14:paraId="5485B7B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1B83007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0BD3D7C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元陆3井</w:t>
                  </w:r>
                </w:p>
              </w:tc>
              <w:tc>
                <w:tcPr>
                  <w:tcW w:w="840" w:type="dxa"/>
                  <w:tcBorders>
                    <w:tl2br w:val="nil"/>
                    <w:tr2bl w:val="nil"/>
                  </w:tcBorders>
                  <w:noWrap/>
                  <w:vAlign w:val="center"/>
                </w:tcPr>
                <w:p w14:paraId="3731E59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4710.0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4717.0</w:t>
                  </w:r>
                </w:p>
              </w:tc>
              <w:tc>
                <w:tcPr>
                  <w:tcW w:w="796" w:type="dxa"/>
                  <w:tcBorders>
                    <w:tl2br w:val="nil"/>
                    <w:tr2bl w:val="nil"/>
                  </w:tcBorders>
                  <w:noWrap w:val="0"/>
                  <w:vAlign w:val="center"/>
                </w:tcPr>
                <w:p w14:paraId="077FB2B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4525B04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6</w:t>
                  </w:r>
                </w:p>
              </w:tc>
              <w:tc>
                <w:tcPr>
                  <w:tcW w:w="674" w:type="dxa"/>
                  <w:tcBorders>
                    <w:tl2br w:val="nil"/>
                    <w:tr2bl w:val="nil"/>
                  </w:tcBorders>
                  <w:noWrap w:val="0"/>
                  <w:vAlign w:val="center"/>
                </w:tcPr>
                <w:p w14:paraId="0BD698F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20</w:t>
                  </w:r>
                </w:p>
              </w:tc>
              <w:tc>
                <w:tcPr>
                  <w:tcW w:w="725" w:type="dxa"/>
                  <w:tcBorders>
                    <w:tl2br w:val="nil"/>
                    <w:tr2bl w:val="nil"/>
                  </w:tcBorders>
                  <w:noWrap w:val="0"/>
                  <w:vAlign w:val="center"/>
                </w:tcPr>
                <w:p w14:paraId="1E1E3AF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21.1</w:t>
                  </w:r>
                </w:p>
              </w:tc>
              <w:tc>
                <w:tcPr>
                  <w:tcW w:w="972" w:type="dxa"/>
                  <w:tcBorders>
                    <w:tl2br w:val="nil"/>
                    <w:tr2bl w:val="nil"/>
                  </w:tcBorders>
                  <w:noWrap w:val="0"/>
                  <w:vAlign w:val="center"/>
                </w:tcPr>
                <w:p w14:paraId="40EB5ED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14.79万方（气）</w:t>
                  </w:r>
                </w:p>
              </w:tc>
              <w:tc>
                <w:tcPr>
                  <w:tcW w:w="775" w:type="dxa"/>
                  <w:tcBorders>
                    <w:tl2br w:val="nil"/>
                    <w:tr2bl w:val="nil"/>
                  </w:tcBorders>
                  <w:noWrap w:val="0"/>
                  <w:vAlign w:val="center"/>
                </w:tcPr>
                <w:p w14:paraId="0FA16B5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9.97</w:t>
                  </w:r>
                </w:p>
              </w:tc>
              <w:tc>
                <w:tcPr>
                  <w:tcW w:w="608" w:type="dxa"/>
                  <w:tcBorders>
                    <w:tl2br w:val="nil"/>
                    <w:tr2bl w:val="nil"/>
                  </w:tcBorders>
                  <w:noWrap w:val="0"/>
                  <w:vAlign w:val="center"/>
                </w:tcPr>
                <w:p w14:paraId="0917B90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328</w:t>
                  </w:r>
                </w:p>
              </w:tc>
            </w:tr>
            <w:tr w14:paraId="0622211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137860A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29972BF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元陆28井</w:t>
                  </w:r>
                </w:p>
              </w:tc>
              <w:tc>
                <w:tcPr>
                  <w:tcW w:w="840" w:type="dxa"/>
                  <w:tcBorders>
                    <w:tl2br w:val="nil"/>
                    <w:tr2bl w:val="nil"/>
                  </w:tcBorders>
                  <w:noWrap/>
                  <w:vAlign w:val="center"/>
                </w:tcPr>
                <w:p w14:paraId="7AE89B0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4760.0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4793.0</w:t>
                  </w:r>
                </w:p>
              </w:tc>
              <w:tc>
                <w:tcPr>
                  <w:tcW w:w="796" w:type="dxa"/>
                  <w:tcBorders>
                    <w:tl2br w:val="nil"/>
                    <w:tr2bl w:val="nil"/>
                  </w:tcBorders>
                  <w:noWrap w:val="0"/>
                  <w:vAlign w:val="center"/>
                </w:tcPr>
                <w:p w14:paraId="0070AB4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酸压</w:t>
                  </w:r>
                </w:p>
              </w:tc>
              <w:tc>
                <w:tcPr>
                  <w:tcW w:w="585" w:type="dxa"/>
                  <w:tcBorders>
                    <w:tl2br w:val="nil"/>
                    <w:tr2bl w:val="nil"/>
                  </w:tcBorders>
                  <w:noWrap w:val="0"/>
                  <w:vAlign w:val="center"/>
                </w:tcPr>
                <w:p w14:paraId="3EBA4E9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11-14</w:t>
                  </w:r>
                </w:p>
              </w:tc>
              <w:tc>
                <w:tcPr>
                  <w:tcW w:w="674" w:type="dxa"/>
                  <w:tcBorders>
                    <w:tl2br w:val="nil"/>
                    <w:tr2bl w:val="nil"/>
                  </w:tcBorders>
                  <w:noWrap w:val="0"/>
                  <w:vAlign w:val="center"/>
                </w:tcPr>
                <w:p w14:paraId="349CBC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30</w:t>
                  </w:r>
                </w:p>
              </w:tc>
              <w:tc>
                <w:tcPr>
                  <w:tcW w:w="725" w:type="dxa"/>
                  <w:tcBorders>
                    <w:tl2br w:val="nil"/>
                    <w:tr2bl w:val="nil"/>
                  </w:tcBorders>
                  <w:noWrap w:val="0"/>
                  <w:vAlign w:val="center"/>
                </w:tcPr>
                <w:p w14:paraId="1AD31C6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46.89</w:t>
                  </w:r>
                </w:p>
              </w:tc>
              <w:tc>
                <w:tcPr>
                  <w:tcW w:w="972" w:type="dxa"/>
                  <w:tcBorders>
                    <w:tl2br w:val="nil"/>
                    <w:tr2bl w:val="nil"/>
                  </w:tcBorders>
                  <w:noWrap w:val="0"/>
                  <w:vAlign w:val="center"/>
                </w:tcPr>
                <w:p w14:paraId="7F1DB8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102.36万方（气）</w:t>
                  </w:r>
                </w:p>
              </w:tc>
              <w:tc>
                <w:tcPr>
                  <w:tcW w:w="775" w:type="dxa"/>
                  <w:tcBorders>
                    <w:tl2br w:val="nil"/>
                    <w:tr2bl w:val="nil"/>
                  </w:tcBorders>
                  <w:noWrap w:val="0"/>
                  <w:vAlign w:val="center"/>
                </w:tcPr>
                <w:p w14:paraId="29EF3CF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16.35</w:t>
                  </w:r>
                </w:p>
              </w:tc>
              <w:tc>
                <w:tcPr>
                  <w:tcW w:w="608" w:type="dxa"/>
                  <w:tcBorders>
                    <w:tl2br w:val="nil"/>
                    <w:tr2bl w:val="nil"/>
                  </w:tcBorders>
                  <w:noWrap w:val="0"/>
                  <w:vAlign w:val="center"/>
                </w:tcPr>
                <w:p w14:paraId="698632A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330</w:t>
                  </w:r>
                </w:p>
              </w:tc>
            </w:tr>
            <w:tr w14:paraId="150A08B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40E7356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2F73131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元陆33井</w:t>
                  </w:r>
                </w:p>
              </w:tc>
              <w:tc>
                <w:tcPr>
                  <w:tcW w:w="840" w:type="dxa"/>
                  <w:tcBorders>
                    <w:tl2br w:val="nil"/>
                    <w:tr2bl w:val="nil"/>
                  </w:tcBorders>
                  <w:noWrap/>
                  <w:vAlign w:val="center"/>
                </w:tcPr>
                <w:p w14:paraId="3DE84A4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4450.0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4506.0</w:t>
                  </w:r>
                </w:p>
              </w:tc>
              <w:tc>
                <w:tcPr>
                  <w:tcW w:w="796" w:type="dxa"/>
                  <w:tcBorders>
                    <w:tl2br w:val="nil"/>
                    <w:tr2bl w:val="nil"/>
                  </w:tcBorders>
                  <w:noWrap w:val="0"/>
                  <w:vAlign w:val="center"/>
                </w:tcPr>
                <w:p w14:paraId="4175FBD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射孔</w:t>
                  </w:r>
                </w:p>
              </w:tc>
              <w:tc>
                <w:tcPr>
                  <w:tcW w:w="585" w:type="dxa"/>
                  <w:tcBorders>
                    <w:tl2br w:val="nil"/>
                    <w:tr2bl w:val="nil"/>
                  </w:tcBorders>
                  <w:noWrap w:val="0"/>
                  <w:vAlign w:val="center"/>
                </w:tcPr>
                <w:p w14:paraId="245D596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15</w:t>
                  </w:r>
                </w:p>
              </w:tc>
              <w:tc>
                <w:tcPr>
                  <w:tcW w:w="674" w:type="dxa"/>
                  <w:tcBorders>
                    <w:tl2br w:val="nil"/>
                    <w:tr2bl w:val="nil"/>
                  </w:tcBorders>
                  <w:noWrap w:val="0"/>
                  <w:vAlign w:val="center"/>
                </w:tcPr>
                <w:p w14:paraId="578AA8D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41+50</w:t>
                  </w:r>
                </w:p>
              </w:tc>
              <w:tc>
                <w:tcPr>
                  <w:tcW w:w="725" w:type="dxa"/>
                  <w:tcBorders>
                    <w:tl2br w:val="nil"/>
                    <w:tr2bl w:val="nil"/>
                  </w:tcBorders>
                  <w:noWrap w:val="0"/>
                  <w:vAlign w:val="center"/>
                </w:tcPr>
                <w:p w14:paraId="67F95A1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39.52</w:t>
                  </w:r>
                </w:p>
              </w:tc>
              <w:tc>
                <w:tcPr>
                  <w:tcW w:w="972" w:type="dxa"/>
                  <w:tcBorders>
                    <w:tl2br w:val="nil"/>
                    <w:tr2bl w:val="nil"/>
                  </w:tcBorders>
                  <w:noWrap w:val="0"/>
                  <w:vAlign w:val="center"/>
                </w:tcPr>
                <w:p w14:paraId="3CC4820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107.13万方（气）</w:t>
                  </w:r>
                </w:p>
              </w:tc>
              <w:tc>
                <w:tcPr>
                  <w:tcW w:w="775" w:type="dxa"/>
                  <w:tcBorders>
                    <w:tl2br w:val="nil"/>
                    <w:tr2bl w:val="nil"/>
                  </w:tcBorders>
                  <w:noWrap w:val="0"/>
                  <w:vAlign w:val="center"/>
                </w:tcPr>
                <w:p w14:paraId="19A1F10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8.99</w:t>
                  </w:r>
                </w:p>
              </w:tc>
              <w:tc>
                <w:tcPr>
                  <w:tcW w:w="608" w:type="dxa"/>
                  <w:tcBorders>
                    <w:tl2br w:val="nil"/>
                    <w:tr2bl w:val="nil"/>
                  </w:tcBorders>
                  <w:noWrap w:val="0"/>
                  <w:vAlign w:val="center"/>
                </w:tcPr>
                <w:p w14:paraId="2863DA1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18</w:t>
                  </w:r>
                </w:p>
              </w:tc>
            </w:tr>
            <w:tr w14:paraId="2AE5FA8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250A527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559CA01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元陆173井</w:t>
                  </w:r>
                </w:p>
              </w:tc>
              <w:tc>
                <w:tcPr>
                  <w:tcW w:w="840" w:type="dxa"/>
                  <w:tcBorders>
                    <w:tl2br w:val="nil"/>
                    <w:tr2bl w:val="nil"/>
                  </w:tcBorders>
                  <w:noWrap/>
                  <w:vAlign w:val="center"/>
                </w:tcPr>
                <w:p w14:paraId="181BCE0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4544.0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4605.0</w:t>
                  </w:r>
                </w:p>
              </w:tc>
              <w:tc>
                <w:tcPr>
                  <w:tcW w:w="796" w:type="dxa"/>
                  <w:tcBorders>
                    <w:tl2br w:val="nil"/>
                    <w:tr2bl w:val="nil"/>
                  </w:tcBorders>
                  <w:noWrap w:val="0"/>
                  <w:vAlign w:val="center"/>
                </w:tcPr>
                <w:p w14:paraId="1AC85FE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0BD25DC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5</w:t>
                  </w:r>
                </w:p>
              </w:tc>
              <w:tc>
                <w:tcPr>
                  <w:tcW w:w="674" w:type="dxa"/>
                  <w:tcBorders>
                    <w:tl2br w:val="nil"/>
                    <w:tr2bl w:val="nil"/>
                  </w:tcBorders>
                  <w:noWrap w:val="0"/>
                  <w:vAlign w:val="center"/>
                </w:tcPr>
                <w:p w14:paraId="65FB102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w:t>
                  </w:r>
                </w:p>
              </w:tc>
              <w:tc>
                <w:tcPr>
                  <w:tcW w:w="725" w:type="dxa"/>
                  <w:tcBorders>
                    <w:tl2br w:val="nil"/>
                    <w:tr2bl w:val="nil"/>
                  </w:tcBorders>
                  <w:noWrap w:val="0"/>
                  <w:vAlign w:val="center"/>
                </w:tcPr>
                <w:p w14:paraId="5396893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30</w:t>
                  </w:r>
                </w:p>
              </w:tc>
              <w:tc>
                <w:tcPr>
                  <w:tcW w:w="972" w:type="dxa"/>
                  <w:tcBorders>
                    <w:tl2br w:val="nil"/>
                    <w:tr2bl w:val="nil"/>
                  </w:tcBorders>
                  <w:noWrap w:val="0"/>
                  <w:vAlign w:val="center"/>
                </w:tcPr>
                <w:p w14:paraId="761A1A3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初试12.73万方（气）</w:t>
                  </w:r>
                </w:p>
              </w:tc>
              <w:tc>
                <w:tcPr>
                  <w:tcW w:w="775" w:type="dxa"/>
                  <w:tcBorders>
                    <w:tl2br w:val="nil"/>
                    <w:tr2bl w:val="nil"/>
                  </w:tcBorders>
                  <w:noWrap w:val="0"/>
                  <w:vAlign w:val="center"/>
                </w:tcPr>
                <w:p w14:paraId="2196D68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18.64</w:t>
                  </w:r>
                </w:p>
              </w:tc>
              <w:tc>
                <w:tcPr>
                  <w:tcW w:w="608" w:type="dxa"/>
                  <w:tcBorders>
                    <w:tl2br w:val="nil"/>
                    <w:tr2bl w:val="nil"/>
                  </w:tcBorders>
                  <w:noWrap w:val="0"/>
                  <w:vAlign w:val="center"/>
                </w:tcPr>
                <w:p w14:paraId="2319086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117</w:t>
                  </w:r>
                </w:p>
              </w:tc>
            </w:tr>
            <w:tr w14:paraId="4B5352F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8A729A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5D7DD05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元陆177X井</w:t>
                  </w:r>
                </w:p>
              </w:tc>
              <w:tc>
                <w:tcPr>
                  <w:tcW w:w="840" w:type="dxa"/>
                  <w:tcBorders>
                    <w:tl2br w:val="nil"/>
                    <w:tr2bl w:val="nil"/>
                  </w:tcBorders>
                  <w:noWrap/>
                  <w:vAlign w:val="center"/>
                </w:tcPr>
                <w:p w14:paraId="7B5FAE1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4863.0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5014.0</w:t>
                  </w:r>
                </w:p>
              </w:tc>
              <w:tc>
                <w:tcPr>
                  <w:tcW w:w="796" w:type="dxa"/>
                  <w:tcBorders>
                    <w:tl2br w:val="nil"/>
                    <w:tr2bl w:val="nil"/>
                  </w:tcBorders>
                  <w:noWrap w:val="0"/>
                  <w:vAlign w:val="center"/>
                </w:tcPr>
                <w:p w14:paraId="03B39FF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1C6F482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10</w:t>
                  </w:r>
                </w:p>
              </w:tc>
              <w:tc>
                <w:tcPr>
                  <w:tcW w:w="674" w:type="dxa"/>
                  <w:tcBorders>
                    <w:tl2br w:val="nil"/>
                    <w:tr2bl w:val="nil"/>
                  </w:tcBorders>
                  <w:noWrap w:val="0"/>
                  <w:vAlign w:val="center"/>
                </w:tcPr>
                <w:p w14:paraId="16CAACE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35</w:t>
                  </w:r>
                </w:p>
              </w:tc>
              <w:tc>
                <w:tcPr>
                  <w:tcW w:w="725" w:type="dxa"/>
                  <w:tcBorders>
                    <w:tl2br w:val="nil"/>
                    <w:tr2bl w:val="nil"/>
                  </w:tcBorders>
                  <w:noWrap w:val="0"/>
                  <w:vAlign w:val="center"/>
                </w:tcPr>
                <w:p w14:paraId="083DE7F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29.45</w:t>
                  </w:r>
                </w:p>
              </w:tc>
              <w:tc>
                <w:tcPr>
                  <w:tcW w:w="972" w:type="dxa"/>
                  <w:tcBorders>
                    <w:tl2br w:val="nil"/>
                    <w:tr2bl w:val="nil"/>
                  </w:tcBorders>
                  <w:noWrap w:val="0"/>
                  <w:vAlign w:val="center"/>
                </w:tcPr>
                <w:p w14:paraId="20D8A1E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21.13万方（气）</w:t>
                  </w:r>
                </w:p>
              </w:tc>
              <w:tc>
                <w:tcPr>
                  <w:tcW w:w="775" w:type="dxa"/>
                  <w:tcBorders>
                    <w:tl2br w:val="nil"/>
                    <w:tr2bl w:val="nil"/>
                  </w:tcBorders>
                  <w:noWrap w:val="0"/>
                  <w:vAlign w:val="center"/>
                </w:tcPr>
                <w:p w14:paraId="7C53363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22.35</w:t>
                  </w:r>
                </w:p>
              </w:tc>
              <w:tc>
                <w:tcPr>
                  <w:tcW w:w="608" w:type="dxa"/>
                  <w:tcBorders>
                    <w:tl2br w:val="nil"/>
                    <w:tr2bl w:val="nil"/>
                  </w:tcBorders>
                  <w:noWrap w:val="0"/>
                  <w:vAlign w:val="center"/>
                </w:tcPr>
                <w:p w14:paraId="4C2D37A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122</w:t>
                  </w:r>
                </w:p>
              </w:tc>
            </w:tr>
            <w:tr w14:paraId="3A1CF5B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2FE994E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1A4BF67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元陆35HF井</w:t>
                  </w:r>
                </w:p>
              </w:tc>
              <w:tc>
                <w:tcPr>
                  <w:tcW w:w="840" w:type="dxa"/>
                  <w:tcBorders>
                    <w:tl2br w:val="nil"/>
                    <w:tr2bl w:val="nil"/>
                  </w:tcBorders>
                  <w:noWrap/>
                  <w:vAlign w:val="center"/>
                </w:tcPr>
                <w:p w14:paraId="2FC9B63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5000.0</w:t>
                  </w:r>
                  <w:r>
                    <w:rPr>
                      <w:rFonts w:hint="eastAsia" w:cs="Times New Roman"/>
                      <w:b/>
                      <w:bCs w:val="0"/>
                      <w:color w:val="auto"/>
                      <w:sz w:val="18"/>
                      <w:szCs w:val="18"/>
                      <w:lang w:val="en-US" w:eastAsia="zh-CN"/>
                    </w:rPr>
                    <w:t>-</w:t>
                  </w:r>
                  <w:r>
                    <w:rPr>
                      <w:rFonts w:hint="eastAsia" w:ascii="Times New Roman" w:hAnsi="Times New Roman" w:eastAsia="宋体" w:cs="Times New Roman"/>
                      <w:b/>
                      <w:bCs w:val="0"/>
                      <w:color w:val="auto"/>
                      <w:sz w:val="18"/>
                      <w:szCs w:val="18"/>
                    </w:rPr>
                    <w:t>5930.0</w:t>
                  </w:r>
                </w:p>
              </w:tc>
              <w:tc>
                <w:tcPr>
                  <w:tcW w:w="796" w:type="dxa"/>
                  <w:tcBorders>
                    <w:tl2br w:val="nil"/>
                    <w:tr2bl w:val="nil"/>
                  </w:tcBorders>
                  <w:noWrap w:val="0"/>
                  <w:vAlign w:val="center"/>
                </w:tcPr>
                <w:p w14:paraId="4A6A6EA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加砂压裂</w:t>
                  </w:r>
                </w:p>
              </w:tc>
              <w:tc>
                <w:tcPr>
                  <w:tcW w:w="585" w:type="dxa"/>
                  <w:tcBorders>
                    <w:tl2br w:val="nil"/>
                    <w:tr2bl w:val="nil"/>
                  </w:tcBorders>
                  <w:noWrap w:val="0"/>
                  <w:vAlign w:val="center"/>
                </w:tcPr>
                <w:p w14:paraId="6F42A5E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13</w:t>
                  </w:r>
                </w:p>
              </w:tc>
              <w:tc>
                <w:tcPr>
                  <w:tcW w:w="674" w:type="dxa"/>
                  <w:tcBorders>
                    <w:tl2br w:val="nil"/>
                    <w:tr2bl w:val="nil"/>
                  </w:tcBorders>
                  <w:noWrap w:val="0"/>
                  <w:vAlign w:val="center"/>
                </w:tcPr>
                <w:p w14:paraId="4818CE6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34</w:t>
                  </w:r>
                </w:p>
              </w:tc>
              <w:tc>
                <w:tcPr>
                  <w:tcW w:w="725" w:type="dxa"/>
                  <w:tcBorders>
                    <w:tl2br w:val="nil"/>
                    <w:tr2bl w:val="nil"/>
                  </w:tcBorders>
                  <w:noWrap w:val="0"/>
                  <w:vAlign w:val="center"/>
                </w:tcPr>
                <w:p w14:paraId="30C4DD5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25.62</w:t>
                  </w:r>
                </w:p>
              </w:tc>
              <w:tc>
                <w:tcPr>
                  <w:tcW w:w="972" w:type="dxa"/>
                  <w:tcBorders>
                    <w:tl2br w:val="nil"/>
                    <w:tr2bl w:val="nil"/>
                  </w:tcBorders>
                  <w:noWrap w:val="0"/>
                  <w:vAlign w:val="center"/>
                </w:tcPr>
                <w:p w14:paraId="0D1868F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23.32万方（气）</w:t>
                  </w:r>
                </w:p>
              </w:tc>
              <w:tc>
                <w:tcPr>
                  <w:tcW w:w="775" w:type="dxa"/>
                  <w:tcBorders>
                    <w:tl2br w:val="nil"/>
                    <w:tr2bl w:val="nil"/>
                  </w:tcBorders>
                  <w:noWrap w:val="0"/>
                  <w:vAlign w:val="center"/>
                </w:tcPr>
                <w:p w14:paraId="354CF98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22.21</w:t>
                  </w:r>
                </w:p>
              </w:tc>
              <w:tc>
                <w:tcPr>
                  <w:tcW w:w="608" w:type="dxa"/>
                  <w:tcBorders>
                    <w:tl2br w:val="nil"/>
                    <w:tr2bl w:val="nil"/>
                  </w:tcBorders>
                  <w:noWrap w:val="0"/>
                  <w:vAlign w:val="center"/>
                </w:tcPr>
                <w:p w14:paraId="395D08A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sz w:val="18"/>
                      <w:szCs w:val="18"/>
                    </w:rPr>
                  </w:pPr>
                  <w:r>
                    <w:rPr>
                      <w:rFonts w:hint="eastAsia" w:ascii="Times New Roman" w:hAnsi="Times New Roman" w:eastAsia="宋体" w:cs="Times New Roman"/>
                      <w:b/>
                      <w:bCs w:val="0"/>
                      <w:color w:val="auto"/>
                      <w:sz w:val="18"/>
                      <w:szCs w:val="18"/>
                    </w:rPr>
                    <w:t>113</w:t>
                  </w:r>
                </w:p>
              </w:tc>
            </w:tr>
            <w:tr w14:paraId="4D902DD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tcBorders>
                    <w:tl2br w:val="nil"/>
                    <w:tr2bl w:val="nil"/>
                  </w:tcBorders>
                  <w:noWrap w:val="0"/>
                  <w:vAlign w:val="center"/>
                </w:tcPr>
                <w:p w14:paraId="4F629FF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须三段-须四段</w:t>
                  </w:r>
                </w:p>
              </w:tc>
              <w:tc>
                <w:tcPr>
                  <w:tcW w:w="753" w:type="dxa"/>
                  <w:tcBorders>
                    <w:tl2br w:val="nil"/>
                    <w:tr2bl w:val="nil"/>
                  </w:tcBorders>
                  <w:noWrap w:val="0"/>
                  <w:vAlign w:val="center"/>
                </w:tcPr>
                <w:p w14:paraId="3A19218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仁和1井</w:t>
                  </w:r>
                </w:p>
              </w:tc>
              <w:tc>
                <w:tcPr>
                  <w:tcW w:w="840" w:type="dxa"/>
                  <w:tcBorders>
                    <w:tl2br w:val="nil"/>
                    <w:tr2bl w:val="nil"/>
                  </w:tcBorders>
                  <w:noWrap/>
                  <w:vAlign w:val="center"/>
                </w:tcPr>
                <w:p w14:paraId="48A0BCF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3653.0</w:t>
                  </w:r>
                  <w:r>
                    <w:rPr>
                      <w:rFonts w:hint="eastAsia" w:cs="Times New Roman"/>
                      <w:bCs/>
                      <w:color w:val="auto"/>
                      <w:sz w:val="18"/>
                      <w:szCs w:val="18"/>
                      <w:lang w:val="en-US" w:eastAsia="zh-CN"/>
                    </w:rPr>
                    <w:t>-</w:t>
                  </w:r>
                  <w:r>
                    <w:rPr>
                      <w:rFonts w:hint="eastAsia" w:ascii="Times New Roman" w:hAnsi="Times New Roman" w:eastAsia="宋体" w:cs="Times New Roman"/>
                      <w:bCs/>
                      <w:color w:val="auto"/>
                      <w:sz w:val="18"/>
                      <w:szCs w:val="18"/>
                    </w:rPr>
                    <w:t>3726.0</w:t>
                  </w:r>
                </w:p>
              </w:tc>
              <w:tc>
                <w:tcPr>
                  <w:tcW w:w="796" w:type="dxa"/>
                  <w:tcBorders>
                    <w:tl2br w:val="nil"/>
                    <w:tr2bl w:val="nil"/>
                  </w:tcBorders>
                  <w:noWrap w:val="0"/>
                  <w:vAlign w:val="center"/>
                </w:tcPr>
                <w:p w14:paraId="44DF106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0335B93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敞放</w:t>
                  </w:r>
                </w:p>
              </w:tc>
              <w:tc>
                <w:tcPr>
                  <w:tcW w:w="674" w:type="dxa"/>
                  <w:tcBorders>
                    <w:tl2br w:val="nil"/>
                    <w:tr2bl w:val="nil"/>
                  </w:tcBorders>
                  <w:noWrap w:val="0"/>
                  <w:vAlign w:val="center"/>
                </w:tcPr>
                <w:p w14:paraId="7550BB3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34</w:t>
                  </w:r>
                </w:p>
              </w:tc>
              <w:tc>
                <w:tcPr>
                  <w:tcW w:w="725" w:type="dxa"/>
                  <w:tcBorders>
                    <w:tl2br w:val="nil"/>
                    <w:tr2bl w:val="nil"/>
                  </w:tcBorders>
                  <w:noWrap w:val="0"/>
                  <w:vAlign w:val="center"/>
                </w:tcPr>
                <w:p w14:paraId="3369102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0.0</w:t>
                  </w:r>
                </w:p>
              </w:tc>
              <w:tc>
                <w:tcPr>
                  <w:tcW w:w="972" w:type="dxa"/>
                  <w:tcBorders>
                    <w:tl2br w:val="nil"/>
                    <w:tr2bl w:val="nil"/>
                  </w:tcBorders>
                  <w:noWrap w:val="0"/>
                  <w:vAlign w:val="center"/>
                </w:tcPr>
                <w:p w14:paraId="71A10D6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0.0831万方（气）</w:t>
                  </w:r>
                </w:p>
              </w:tc>
              <w:tc>
                <w:tcPr>
                  <w:tcW w:w="775" w:type="dxa"/>
                  <w:tcBorders>
                    <w:tl2br w:val="nil"/>
                    <w:tr2bl w:val="nil"/>
                  </w:tcBorders>
                  <w:noWrap w:val="0"/>
                  <w:vAlign w:val="center"/>
                </w:tcPr>
                <w:p w14:paraId="36959E3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35.67</w:t>
                  </w:r>
                </w:p>
              </w:tc>
              <w:tc>
                <w:tcPr>
                  <w:tcW w:w="608" w:type="dxa"/>
                  <w:tcBorders>
                    <w:tl2br w:val="nil"/>
                    <w:tr2bl w:val="nil"/>
                  </w:tcBorders>
                  <w:noWrap w:val="0"/>
                  <w:vAlign w:val="center"/>
                </w:tcPr>
                <w:p w14:paraId="2F7F814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55</w:t>
                  </w:r>
                </w:p>
              </w:tc>
            </w:tr>
            <w:tr w14:paraId="7B8023A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tcBorders>
                    <w:tl2br w:val="nil"/>
                    <w:tr2bl w:val="nil"/>
                  </w:tcBorders>
                  <w:noWrap w:val="0"/>
                  <w:vAlign w:val="center"/>
                </w:tcPr>
                <w:p w14:paraId="6781CD7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须二段-须四下亚段</w:t>
                  </w:r>
                </w:p>
              </w:tc>
              <w:tc>
                <w:tcPr>
                  <w:tcW w:w="753" w:type="dxa"/>
                  <w:tcBorders>
                    <w:tl2br w:val="nil"/>
                    <w:tr2bl w:val="nil"/>
                  </w:tcBorders>
                  <w:noWrap w:val="0"/>
                  <w:vAlign w:val="center"/>
                </w:tcPr>
                <w:p w14:paraId="34F96C0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巴探1井</w:t>
                  </w:r>
                </w:p>
              </w:tc>
              <w:tc>
                <w:tcPr>
                  <w:tcW w:w="840" w:type="dxa"/>
                  <w:tcBorders>
                    <w:tl2br w:val="nil"/>
                    <w:tr2bl w:val="nil"/>
                  </w:tcBorders>
                  <w:noWrap/>
                  <w:vAlign w:val="center"/>
                </w:tcPr>
                <w:p w14:paraId="48D043A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4453.5</w:t>
                  </w:r>
                  <w:r>
                    <w:rPr>
                      <w:rFonts w:hint="eastAsia" w:cs="Times New Roman"/>
                      <w:bCs/>
                      <w:color w:val="auto"/>
                      <w:sz w:val="18"/>
                      <w:szCs w:val="18"/>
                      <w:lang w:val="en-US" w:eastAsia="zh-CN"/>
                    </w:rPr>
                    <w:t>-</w:t>
                  </w:r>
                  <w:r>
                    <w:rPr>
                      <w:rFonts w:hint="eastAsia" w:ascii="Times New Roman" w:hAnsi="Times New Roman" w:eastAsia="宋体" w:cs="Times New Roman"/>
                      <w:bCs/>
                      <w:color w:val="auto"/>
                      <w:sz w:val="18"/>
                      <w:szCs w:val="18"/>
                    </w:rPr>
                    <w:t>4649.0</w:t>
                  </w:r>
                </w:p>
              </w:tc>
              <w:tc>
                <w:tcPr>
                  <w:tcW w:w="796" w:type="dxa"/>
                  <w:tcBorders>
                    <w:tl2br w:val="nil"/>
                    <w:tr2bl w:val="nil"/>
                  </w:tcBorders>
                  <w:noWrap w:val="0"/>
                  <w:vAlign w:val="center"/>
                </w:tcPr>
                <w:p w14:paraId="53A7062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52CD4C8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6</w:t>
                  </w:r>
                </w:p>
              </w:tc>
              <w:tc>
                <w:tcPr>
                  <w:tcW w:w="674" w:type="dxa"/>
                  <w:tcBorders>
                    <w:tl2br w:val="nil"/>
                    <w:tr2bl w:val="nil"/>
                  </w:tcBorders>
                  <w:noWrap w:val="0"/>
                  <w:vAlign w:val="center"/>
                </w:tcPr>
                <w:p w14:paraId="0D13543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23</w:t>
                  </w:r>
                </w:p>
              </w:tc>
              <w:tc>
                <w:tcPr>
                  <w:tcW w:w="725" w:type="dxa"/>
                  <w:tcBorders>
                    <w:tl2br w:val="nil"/>
                    <w:tr2bl w:val="nil"/>
                  </w:tcBorders>
                  <w:noWrap w:val="0"/>
                  <w:vAlign w:val="center"/>
                </w:tcPr>
                <w:p w14:paraId="5519C0B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13.8</w:t>
                  </w:r>
                </w:p>
              </w:tc>
              <w:tc>
                <w:tcPr>
                  <w:tcW w:w="972" w:type="dxa"/>
                  <w:tcBorders>
                    <w:tl2br w:val="nil"/>
                    <w:tr2bl w:val="nil"/>
                  </w:tcBorders>
                  <w:noWrap w:val="0"/>
                  <w:vAlign w:val="center"/>
                </w:tcPr>
                <w:p w14:paraId="17CF137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9.36万方（气）</w:t>
                  </w:r>
                </w:p>
              </w:tc>
              <w:tc>
                <w:tcPr>
                  <w:tcW w:w="775" w:type="dxa"/>
                  <w:tcBorders>
                    <w:tl2br w:val="nil"/>
                    <w:tr2bl w:val="nil"/>
                  </w:tcBorders>
                  <w:noWrap w:val="0"/>
                  <w:vAlign w:val="center"/>
                </w:tcPr>
                <w:p w14:paraId="49C94DD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7.71</w:t>
                  </w:r>
                </w:p>
              </w:tc>
              <w:tc>
                <w:tcPr>
                  <w:tcW w:w="608" w:type="dxa"/>
                  <w:tcBorders>
                    <w:tl2br w:val="nil"/>
                    <w:tr2bl w:val="nil"/>
                  </w:tcBorders>
                  <w:noWrap w:val="0"/>
                  <w:vAlign w:val="center"/>
                </w:tcPr>
                <w:p w14:paraId="3784B47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41</w:t>
                  </w:r>
                </w:p>
              </w:tc>
            </w:tr>
            <w:tr w14:paraId="4DEB715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restart"/>
                  <w:tcBorders>
                    <w:tl2br w:val="nil"/>
                    <w:tr2bl w:val="nil"/>
                  </w:tcBorders>
                  <w:noWrap w:val="0"/>
                  <w:vAlign w:val="center"/>
                </w:tcPr>
                <w:p w14:paraId="680B77E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须二下亚段</w:t>
                  </w:r>
                </w:p>
              </w:tc>
              <w:tc>
                <w:tcPr>
                  <w:tcW w:w="753" w:type="dxa"/>
                  <w:tcBorders>
                    <w:tl2br w:val="nil"/>
                    <w:tr2bl w:val="nil"/>
                  </w:tcBorders>
                  <w:noWrap w:val="0"/>
                  <w:vAlign w:val="center"/>
                </w:tcPr>
                <w:p w14:paraId="38C1BA8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元陆1井</w:t>
                  </w:r>
                </w:p>
              </w:tc>
              <w:tc>
                <w:tcPr>
                  <w:tcW w:w="840" w:type="dxa"/>
                  <w:tcBorders>
                    <w:tl2br w:val="nil"/>
                    <w:tr2bl w:val="nil"/>
                  </w:tcBorders>
                  <w:noWrap/>
                  <w:vAlign w:val="center"/>
                </w:tcPr>
                <w:p w14:paraId="0DCED5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4627.0</w:t>
                  </w:r>
                  <w:r>
                    <w:rPr>
                      <w:rFonts w:hint="eastAsia" w:cs="Times New Roman"/>
                      <w:bCs/>
                      <w:color w:val="auto"/>
                      <w:sz w:val="18"/>
                      <w:szCs w:val="18"/>
                      <w:lang w:val="en-US" w:eastAsia="zh-CN"/>
                    </w:rPr>
                    <w:t>-</w:t>
                  </w:r>
                  <w:r>
                    <w:rPr>
                      <w:rFonts w:hint="eastAsia" w:ascii="Times New Roman" w:hAnsi="Times New Roman" w:eastAsia="宋体" w:cs="Times New Roman"/>
                      <w:bCs/>
                      <w:color w:val="auto"/>
                      <w:sz w:val="18"/>
                      <w:szCs w:val="18"/>
                    </w:rPr>
                    <w:t>4650.0</w:t>
                  </w:r>
                </w:p>
              </w:tc>
              <w:tc>
                <w:tcPr>
                  <w:tcW w:w="796" w:type="dxa"/>
                  <w:tcBorders>
                    <w:tl2br w:val="nil"/>
                    <w:tr2bl w:val="nil"/>
                  </w:tcBorders>
                  <w:noWrap w:val="0"/>
                  <w:vAlign w:val="center"/>
                </w:tcPr>
                <w:p w14:paraId="5BC0388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6FA9BEE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敞放</w:t>
                  </w:r>
                </w:p>
              </w:tc>
              <w:tc>
                <w:tcPr>
                  <w:tcW w:w="674" w:type="dxa"/>
                  <w:tcBorders>
                    <w:tl2br w:val="nil"/>
                    <w:tr2bl w:val="nil"/>
                  </w:tcBorders>
                  <w:noWrap w:val="0"/>
                  <w:vAlign w:val="center"/>
                </w:tcPr>
                <w:p w14:paraId="39F9BB9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10</w:t>
                  </w:r>
                </w:p>
              </w:tc>
              <w:tc>
                <w:tcPr>
                  <w:tcW w:w="725" w:type="dxa"/>
                  <w:tcBorders>
                    <w:tl2br w:val="nil"/>
                    <w:tr2bl w:val="nil"/>
                  </w:tcBorders>
                  <w:noWrap w:val="0"/>
                  <w:vAlign w:val="center"/>
                </w:tcPr>
                <w:p w14:paraId="7CE1ADC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2.139</w:t>
                  </w:r>
                </w:p>
              </w:tc>
              <w:tc>
                <w:tcPr>
                  <w:tcW w:w="972" w:type="dxa"/>
                  <w:tcBorders>
                    <w:tl2br w:val="nil"/>
                    <w:tr2bl w:val="nil"/>
                  </w:tcBorders>
                  <w:noWrap w:val="0"/>
                  <w:vAlign w:val="center"/>
                </w:tcPr>
                <w:p w14:paraId="402A73E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2.2万方（气）</w:t>
                  </w:r>
                </w:p>
              </w:tc>
              <w:tc>
                <w:tcPr>
                  <w:tcW w:w="775" w:type="dxa"/>
                  <w:tcBorders>
                    <w:tl2br w:val="nil"/>
                    <w:tr2bl w:val="nil"/>
                  </w:tcBorders>
                  <w:noWrap w:val="0"/>
                  <w:vAlign w:val="center"/>
                </w:tcPr>
                <w:p w14:paraId="58B1D3A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19.91</w:t>
                  </w:r>
                </w:p>
              </w:tc>
              <w:tc>
                <w:tcPr>
                  <w:tcW w:w="608" w:type="dxa"/>
                  <w:tcBorders>
                    <w:tl2br w:val="nil"/>
                    <w:tr2bl w:val="nil"/>
                  </w:tcBorders>
                  <w:noWrap w:val="0"/>
                  <w:vAlign w:val="center"/>
                </w:tcPr>
                <w:p w14:paraId="5B7477D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276</w:t>
                  </w:r>
                </w:p>
              </w:tc>
            </w:tr>
            <w:tr w14:paraId="0A626AF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66D31FE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1065BD2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元坝4井</w:t>
                  </w:r>
                </w:p>
              </w:tc>
              <w:tc>
                <w:tcPr>
                  <w:tcW w:w="840" w:type="dxa"/>
                  <w:tcBorders>
                    <w:tl2br w:val="nil"/>
                    <w:tr2bl w:val="nil"/>
                  </w:tcBorders>
                  <w:noWrap/>
                  <w:vAlign w:val="center"/>
                </w:tcPr>
                <w:p w14:paraId="2AB8491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4825.0</w:t>
                  </w:r>
                  <w:r>
                    <w:rPr>
                      <w:rFonts w:hint="eastAsia" w:cs="Times New Roman"/>
                      <w:bCs/>
                      <w:color w:val="auto"/>
                      <w:sz w:val="18"/>
                      <w:szCs w:val="18"/>
                      <w:lang w:val="en-US" w:eastAsia="zh-CN"/>
                    </w:rPr>
                    <w:t>-</w:t>
                  </w:r>
                  <w:r>
                    <w:rPr>
                      <w:rFonts w:hint="eastAsia" w:ascii="Times New Roman" w:hAnsi="Times New Roman" w:eastAsia="宋体" w:cs="Times New Roman"/>
                      <w:bCs/>
                      <w:color w:val="auto"/>
                      <w:sz w:val="18"/>
                      <w:szCs w:val="18"/>
                    </w:rPr>
                    <w:t>4837.0</w:t>
                  </w:r>
                </w:p>
              </w:tc>
              <w:tc>
                <w:tcPr>
                  <w:tcW w:w="796" w:type="dxa"/>
                  <w:tcBorders>
                    <w:tl2br w:val="nil"/>
                    <w:tr2bl w:val="nil"/>
                  </w:tcBorders>
                  <w:noWrap w:val="0"/>
                  <w:vAlign w:val="center"/>
                </w:tcPr>
                <w:p w14:paraId="1C0447D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加砂压裂</w:t>
                  </w:r>
                </w:p>
              </w:tc>
              <w:tc>
                <w:tcPr>
                  <w:tcW w:w="585" w:type="dxa"/>
                  <w:tcBorders>
                    <w:tl2br w:val="nil"/>
                    <w:tr2bl w:val="nil"/>
                  </w:tcBorders>
                  <w:noWrap w:val="0"/>
                  <w:vAlign w:val="center"/>
                </w:tcPr>
                <w:p w14:paraId="60A9405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w:t>
                  </w:r>
                </w:p>
              </w:tc>
              <w:tc>
                <w:tcPr>
                  <w:tcW w:w="674" w:type="dxa"/>
                  <w:tcBorders>
                    <w:tl2br w:val="nil"/>
                    <w:tr2bl w:val="nil"/>
                  </w:tcBorders>
                  <w:noWrap w:val="0"/>
                  <w:vAlign w:val="center"/>
                </w:tcPr>
                <w:p w14:paraId="177E01B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16</w:t>
                  </w:r>
                </w:p>
              </w:tc>
              <w:tc>
                <w:tcPr>
                  <w:tcW w:w="725" w:type="dxa"/>
                  <w:tcBorders>
                    <w:tl2br w:val="nil"/>
                    <w:tr2bl w:val="nil"/>
                  </w:tcBorders>
                  <w:noWrap w:val="0"/>
                  <w:vAlign w:val="center"/>
                </w:tcPr>
                <w:p w14:paraId="4C4A80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0.56</w:t>
                  </w:r>
                </w:p>
              </w:tc>
              <w:tc>
                <w:tcPr>
                  <w:tcW w:w="972" w:type="dxa"/>
                  <w:tcBorders>
                    <w:tl2br w:val="nil"/>
                    <w:tr2bl w:val="nil"/>
                  </w:tcBorders>
                  <w:noWrap w:val="0"/>
                  <w:vAlign w:val="center"/>
                </w:tcPr>
                <w:p w14:paraId="17B0328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2.1197万方（气）</w:t>
                  </w:r>
                </w:p>
              </w:tc>
              <w:tc>
                <w:tcPr>
                  <w:tcW w:w="775" w:type="dxa"/>
                  <w:tcBorders>
                    <w:tl2br w:val="nil"/>
                    <w:tr2bl w:val="nil"/>
                  </w:tcBorders>
                  <w:noWrap w:val="0"/>
                  <w:vAlign w:val="center"/>
                </w:tcPr>
                <w:p w14:paraId="500115A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11.42</w:t>
                  </w:r>
                </w:p>
              </w:tc>
              <w:tc>
                <w:tcPr>
                  <w:tcW w:w="608" w:type="dxa"/>
                  <w:tcBorders>
                    <w:tl2br w:val="nil"/>
                    <w:tr2bl w:val="nil"/>
                  </w:tcBorders>
                  <w:noWrap w:val="0"/>
                  <w:vAlign w:val="center"/>
                </w:tcPr>
                <w:p w14:paraId="4EF20E3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264</w:t>
                  </w:r>
                </w:p>
              </w:tc>
            </w:tr>
            <w:tr w14:paraId="3B62288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gridSpan w:val="2"/>
                  <w:vMerge w:val="continue"/>
                  <w:tcBorders>
                    <w:tl2br w:val="nil"/>
                    <w:tr2bl w:val="nil"/>
                  </w:tcBorders>
                  <w:noWrap w:val="0"/>
                  <w:vAlign w:val="center"/>
                </w:tcPr>
                <w:p w14:paraId="0821C99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p>
              </w:tc>
              <w:tc>
                <w:tcPr>
                  <w:tcW w:w="753" w:type="dxa"/>
                  <w:tcBorders>
                    <w:tl2br w:val="nil"/>
                    <w:tr2bl w:val="nil"/>
                  </w:tcBorders>
                  <w:noWrap w:val="0"/>
                  <w:vAlign w:val="center"/>
                </w:tcPr>
                <w:p w14:paraId="2CC4CCE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元陆30井</w:t>
                  </w:r>
                </w:p>
              </w:tc>
              <w:tc>
                <w:tcPr>
                  <w:tcW w:w="840" w:type="dxa"/>
                  <w:tcBorders>
                    <w:tl2br w:val="nil"/>
                    <w:tr2bl w:val="nil"/>
                  </w:tcBorders>
                  <w:noWrap/>
                  <w:vAlign w:val="center"/>
                </w:tcPr>
                <w:p w14:paraId="7FE86A4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4917.0</w:t>
                  </w:r>
                  <w:r>
                    <w:rPr>
                      <w:rFonts w:hint="eastAsia" w:cs="Times New Roman"/>
                      <w:bCs/>
                      <w:color w:val="auto"/>
                      <w:sz w:val="18"/>
                      <w:szCs w:val="18"/>
                      <w:lang w:val="en-US" w:eastAsia="zh-CN"/>
                    </w:rPr>
                    <w:t>-</w:t>
                  </w:r>
                  <w:r>
                    <w:rPr>
                      <w:rFonts w:hint="eastAsia" w:ascii="Times New Roman" w:hAnsi="Times New Roman" w:eastAsia="宋体" w:cs="Times New Roman"/>
                      <w:bCs/>
                      <w:color w:val="auto"/>
                      <w:sz w:val="18"/>
                      <w:szCs w:val="18"/>
                    </w:rPr>
                    <w:t>4958.0</w:t>
                  </w:r>
                </w:p>
              </w:tc>
              <w:tc>
                <w:tcPr>
                  <w:tcW w:w="796" w:type="dxa"/>
                  <w:tcBorders>
                    <w:tl2br w:val="nil"/>
                    <w:tr2bl w:val="nil"/>
                  </w:tcBorders>
                  <w:noWrap w:val="0"/>
                  <w:vAlign w:val="center"/>
                </w:tcPr>
                <w:p w14:paraId="1525561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酸压</w:t>
                  </w:r>
                </w:p>
              </w:tc>
              <w:tc>
                <w:tcPr>
                  <w:tcW w:w="585" w:type="dxa"/>
                  <w:tcBorders>
                    <w:tl2br w:val="nil"/>
                    <w:tr2bl w:val="nil"/>
                  </w:tcBorders>
                  <w:noWrap w:val="0"/>
                  <w:vAlign w:val="center"/>
                </w:tcPr>
                <w:p w14:paraId="1EFB07F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敞放</w:t>
                  </w:r>
                </w:p>
              </w:tc>
              <w:tc>
                <w:tcPr>
                  <w:tcW w:w="674" w:type="dxa"/>
                  <w:tcBorders>
                    <w:tl2br w:val="nil"/>
                    <w:tr2bl w:val="nil"/>
                  </w:tcBorders>
                  <w:noWrap w:val="0"/>
                  <w:vAlign w:val="center"/>
                </w:tcPr>
                <w:p w14:paraId="7CC59C6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23</w:t>
                  </w:r>
                </w:p>
              </w:tc>
              <w:tc>
                <w:tcPr>
                  <w:tcW w:w="725" w:type="dxa"/>
                  <w:tcBorders>
                    <w:tl2br w:val="nil"/>
                    <w:tr2bl w:val="nil"/>
                  </w:tcBorders>
                  <w:noWrap w:val="0"/>
                  <w:vAlign w:val="center"/>
                </w:tcPr>
                <w:p w14:paraId="19F0F04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0.51</w:t>
                  </w:r>
                </w:p>
              </w:tc>
              <w:tc>
                <w:tcPr>
                  <w:tcW w:w="972" w:type="dxa"/>
                  <w:tcBorders>
                    <w:tl2br w:val="nil"/>
                    <w:tr2bl w:val="nil"/>
                  </w:tcBorders>
                  <w:noWrap w:val="0"/>
                  <w:vAlign w:val="center"/>
                </w:tcPr>
                <w:p w14:paraId="41B3188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2.335万方（气）</w:t>
                  </w:r>
                </w:p>
              </w:tc>
              <w:tc>
                <w:tcPr>
                  <w:tcW w:w="775" w:type="dxa"/>
                  <w:tcBorders>
                    <w:tl2br w:val="nil"/>
                    <w:tr2bl w:val="nil"/>
                  </w:tcBorders>
                  <w:noWrap w:val="0"/>
                  <w:vAlign w:val="center"/>
                </w:tcPr>
                <w:p w14:paraId="66588CA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21.86</w:t>
                  </w:r>
                </w:p>
              </w:tc>
              <w:tc>
                <w:tcPr>
                  <w:tcW w:w="608" w:type="dxa"/>
                  <w:tcBorders>
                    <w:tl2br w:val="nil"/>
                    <w:tr2bl w:val="nil"/>
                  </w:tcBorders>
                  <w:noWrap w:val="0"/>
                  <w:vAlign w:val="center"/>
                </w:tcPr>
                <w:p w14:paraId="012CB8E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278</w:t>
                  </w:r>
                </w:p>
              </w:tc>
            </w:tr>
          </w:tbl>
          <w:p w14:paraId="25B32C71">
            <w:pPr>
              <w:keepNext w:val="0"/>
              <w:keepLines w:val="0"/>
              <w:widowControl w:val="0"/>
              <w:suppressLineNumbers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highlight w:val="none"/>
                <w:lang w:val="en-US" w:eastAsia="zh-CN"/>
              </w:rPr>
              <w:t>本项目为勘探井，不进行开采作业，区域尚未规划开采区块。</w:t>
            </w:r>
          </w:p>
          <w:p w14:paraId="16363DEB">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三、</w:t>
            </w:r>
            <w:r>
              <w:rPr>
                <w:rFonts w:hint="default" w:ascii="Times New Roman" w:hAnsi="Times New Roman" w:eastAsia="宋体" w:cs="Times New Roman"/>
                <w:b/>
                <w:color w:val="auto"/>
                <w:sz w:val="24"/>
              </w:rPr>
              <w:t>项目组成及规模</w:t>
            </w:r>
          </w:p>
          <w:p w14:paraId="5908126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1、基本情况</w:t>
            </w:r>
          </w:p>
          <w:p w14:paraId="686CEA68">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项目名称：</w:t>
            </w:r>
            <w:r>
              <w:rPr>
                <w:rFonts w:hint="eastAsia" w:cs="Times New Roman"/>
                <w:color w:val="auto"/>
                <w:sz w:val="24"/>
                <w:lang w:eastAsia="zh-CN"/>
              </w:rPr>
              <w:t>元陆39井钻探工程</w:t>
            </w:r>
          </w:p>
          <w:p w14:paraId="42AC025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建设单位：</w:t>
            </w:r>
            <w:r>
              <w:rPr>
                <w:rFonts w:hint="default" w:ascii="Times New Roman" w:hAnsi="Times New Roman" w:eastAsia="宋体" w:cs="Times New Roman"/>
                <w:color w:val="auto"/>
                <w:sz w:val="24"/>
              </w:rPr>
              <w:t>中国石油化工股份有限公司勘探分公司</w:t>
            </w:r>
          </w:p>
          <w:p w14:paraId="11DBA7B2">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color w:val="auto"/>
                <w:sz w:val="24"/>
                <w:lang w:eastAsia="zh-CN"/>
              </w:rPr>
            </w:pPr>
            <w:r>
              <w:rPr>
                <w:rFonts w:hint="default" w:ascii="Times New Roman" w:hAnsi="Times New Roman" w:eastAsia="宋体" w:cs="Times New Roman"/>
                <w:b/>
                <w:bCs/>
                <w:color w:val="auto"/>
                <w:sz w:val="24"/>
              </w:rPr>
              <w:t>建设地点：</w:t>
            </w:r>
            <w:r>
              <w:rPr>
                <w:rFonts w:hint="default" w:ascii="Times New Roman" w:hAnsi="Times New Roman" w:eastAsia="宋体" w:cs="Times New Roman"/>
                <w:color w:val="auto"/>
                <w:sz w:val="24"/>
              </w:rPr>
              <w:t>四川省巴中市</w:t>
            </w:r>
            <w:r>
              <w:rPr>
                <w:rFonts w:hint="eastAsia" w:cs="Times New Roman"/>
                <w:color w:val="auto"/>
                <w:sz w:val="24"/>
                <w:lang w:eastAsia="zh-CN"/>
              </w:rPr>
              <w:t>恩阳区上八庙镇季台村6组</w:t>
            </w:r>
          </w:p>
          <w:p w14:paraId="4723C4C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项目投资：</w:t>
            </w:r>
            <w:r>
              <w:rPr>
                <w:rFonts w:hint="eastAsia" w:cs="Times New Roman"/>
                <w:b w:val="0"/>
                <w:bCs w:val="0"/>
                <w:color w:val="auto"/>
                <w:sz w:val="24"/>
                <w:lang w:val="en-US" w:eastAsia="zh-CN"/>
              </w:rPr>
              <w:t>5500</w:t>
            </w:r>
            <w:r>
              <w:rPr>
                <w:rFonts w:hint="default" w:ascii="Times New Roman" w:hAnsi="Times New Roman" w:eastAsia="宋体" w:cs="Times New Roman"/>
                <w:color w:val="auto"/>
                <w:sz w:val="24"/>
              </w:rPr>
              <w:t>万元</w:t>
            </w:r>
          </w:p>
          <w:p w14:paraId="03D35BC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建设性质：</w:t>
            </w:r>
            <w:r>
              <w:rPr>
                <w:rFonts w:hint="default" w:ascii="Times New Roman" w:hAnsi="Times New Roman" w:eastAsia="宋体" w:cs="Times New Roman"/>
                <w:color w:val="auto"/>
                <w:sz w:val="24"/>
              </w:rPr>
              <w:t>新建</w:t>
            </w:r>
          </w:p>
          <w:p w14:paraId="2D35527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井号：</w:t>
            </w:r>
            <w:r>
              <w:rPr>
                <w:rFonts w:hint="eastAsia" w:cs="Times New Roman"/>
                <w:color w:val="auto"/>
                <w:sz w:val="24"/>
                <w:lang w:val="en-US" w:eastAsia="zh-CN"/>
              </w:rPr>
              <w:t>元陆39</w:t>
            </w:r>
            <w:r>
              <w:rPr>
                <w:rFonts w:hint="default" w:ascii="Times New Roman" w:hAnsi="Times New Roman" w:eastAsia="宋体" w:cs="Times New Roman"/>
                <w:color w:val="auto"/>
                <w:sz w:val="24"/>
              </w:rPr>
              <w:t>井</w:t>
            </w:r>
          </w:p>
          <w:p w14:paraId="6B81B64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井别：</w:t>
            </w:r>
            <w:r>
              <w:rPr>
                <w:rFonts w:hint="default" w:ascii="Times New Roman" w:hAnsi="Times New Roman" w:eastAsia="宋体" w:cs="Times New Roman"/>
                <w:color w:val="auto"/>
                <w:sz w:val="24"/>
              </w:rPr>
              <w:t>预探井</w:t>
            </w:r>
          </w:p>
          <w:p w14:paraId="404C05A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bCs/>
                <w:color w:val="auto"/>
                <w:sz w:val="24"/>
              </w:rPr>
              <w:t>井型：</w:t>
            </w:r>
            <w:r>
              <w:rPr>
                <w:rFonts w:hint="eastAsia" w:cs="Times New Roman"/>
                <w:color w:val="auto"/>
                <w:sz w:val="24"/>
                <w:lang w:val="en-US" w:eastAsia="zh-CN"/>
              </w:rPr>
              <w:t>定向井</w:t>
            </w:r>
          </w:p>
          <w:p w14:paraId="35F3A9A9">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设计井深：</w:t>
            </w:r>
            <w:r>
              <w:rPr>
                <w:rFonts w:hint="default" w:ascii="Times New Roman" w:hAnsi="Times New Roman" w:eastAsia="宋体" w:cs="Times New Roman"/>
                <w:color w:val="auto"/>
                <w:sz w:val="24"/>
              </w:rPr>
              <w:t>斜深</w:t>
            </w:r>
            <w:r>
              <w:rPr>
                <w:rFonts w:hint="eastAsia" w:ascii="Times New Roman" w:hAnsi="Times New Roman" w:eastAsia="宋体" w:cs="Times New Roman"/>
                <w:color w:val="auto"/>
                <w:sz w:val="24"/>
              </w:rPr>
              <w:t>4998.00</w:t>
            </w:r>
            <w:r>
              <w:rPr>
                <w:rFonts w:hint="default" w:ascii="Times New Roman" w:hAnsi="Times New Roman" w:eastAsia="宋体" w:cs="Times New Roman"/>
                <w:color w:val="auto"/>
                <w:sz w:val="24"/>
              </w:rPr>
              <w:t>m，垂深</w:t>
            </w:r>
            <w:r>
              <w:rPr>
                <w:rFonts w:hint="eastAsia" w:ascii="Times New Roman" w:hAnsi="Times New Roman" w:eastAsia="宋体" w:cs="Times New Roman"/>
                <w:color w:val="auto"/>
                <w:sz w:val="24"/>
              </w:rPr>
              <w:t>4797.00</w:t>
            </w:r>
            <w:r>
              <w:rPr>
                <w:rFonts w:hint="default" w:ascii="Times New Roman" w:hAnsi="Times New Roman" w:eastAsia="宋体" w:cs="Times New Roman"/>
                <w:color w:val="auto"/>
                <w:sz w:val="24"/>
              </w:rPr>
              <w:t>m</w:t>
            </w:r>
          </w:p>
          <w:p w14:paraId="2379A6D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钻井液体系：</w:t>
            </w:r>
            <w:r>
              <w:rPr>
                <w:rFonts w:hint="default" w:ascii="Times New Roman" w:hAnsi="Times New Roman" w:eastAsia="宋体" w:cs="Times New Roman"/>
                <w:color w:val="auto"/>
                <w:sz w:val="24"/>
              </w:rPr>
              <w:t>导管</w:t>
            </w:r>
            <w:r>
              <w:rPr>
                <w:rFonts w:hint="eastAsia" w:cs="Times New Roman"/>
                <w:color w:val="auto"/>
                <w:sz w:val="24"/>
                <w:lang w:val="en-US" w:eastAsia="zh-CN"/>
              </w:rPr>
              <w:t>段使用旋挖机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一开</w:t>
            </w:r>
            <w:r>
              <w:rPr>
                <w:rFonts w:hint="eastAsia" w:cs="Times New Roman"/>
                <w:color w:val="auto"/>
                <w:sz w:val="24"/>
                <w:lang w:val="en-US" w:eastAsia="zh-CN"/>
              </w:rPr>
              <w:t>使用</w:t>
            </w:r>
            <w:r>
              <w:rPr>
                <w:rFonts w:hint="eastAsia"/>
                <w:color w:val="auto"/>
                <w:sz w:val="24"/>
              </w:rPr>
              <w:t>聚合物</w:t>
            </w:r>
            <w:r>
              <w:rPr>
                <w:rFonts w:hint="default"/>
                <w:color w:val="auto"/>
                <w:sz w:val="24"/>
              </w:rPr>
              <w:t>钻井液</w:t>
            </w:r>
            <w:r>
              <w:rPr>
                <w:rFonts w:hint="eastAsia"/>
                <w:color w:val="auto"/>
                <w:sz w:val="24"/>
              </w:rPr>
              <w:t>体系</w:t>
            </w:r>
            <w:r>
              <w:rPr>
                <w:rFonts w:hint="eastAsia"/>
                <w:color w:val="auto"/>
                <w:sz w:val="24"/>
                <w:lang w:eastAsia="zh-CN"/>
              </w:rPr>
              <w:t>，</w:t>
            </w:r>
            <w:r>
              <w:rPr>
                <w:rFonts w:hint="default" w:ascii="Times New Roman" w:hAnsi="Times New Roman" w:eastAsia="宋体" w:cs="Times New Roman"/>
                <w:color w:val="auto"/>
                <w:sz w:val="24"/>
              </w:rPr>
              <w:t>二开</w:t>
            </w:r>
            <w:r>
              <w:rPr>
                <w:rFonts w:hint="eastAsia" w:cs="Times New Roman"/>
                <w:color w:val="auto"/>
                <w:sz w:val="24"/>
                <w:lang w:val="en-US" w:eastAsia="zh-CN"/>
              </w:rPr>
              <w:t>使用</w:t>
            </w:r>
            <w:r>
              <w:rPr>
                <w:rFonts w:hint="eastAsia"/>
                <w:color w:val="auto"/>
                <w:sz w:val="24"/>
              </w:rPr>
              <w:t>聚磺封堵</w:t>
            </w:r>
            <w:r>
              <w:rPr>
                <w:rFonts w:hint="default"/>
                <w:color w:val="auto"/>
                <w:sz w:val="24"/>
              </w:rPr>
              <w:t>防塌钻井液</w:t>
            </w:r>
            <w:r>
              <w:rPr>
                <w:rFonts w:hint="eastAsia"/>
                <w:color w:val="auto"/>
                <w:sz w:val="24"/>
                <w:lang w:val="en-US" w:eastAsia="zh-CN"/>
              </w:rPr>
              <w:t>体系</w:t>
            </w:r>
            <w:r>
              <w:rPr>
                <w:rFonts w:hint="default" w:ascii="Times New Roman" w:hAnsi="Times New Roman" w:eastAsia="宋体" w:cs="Times New Roman"/>
                <w:color w:val="auto"/>
                <w:sz w:val="24"/>
              </w:rPr>
              <w:t>、三开</w:t>
            </w:r>
            <w:r>
              <w:rPr>
                <w:rFonts w:hint="eastAsia" w:cs="Times New Roman"/>
                <w:color w:val="auto"/>
                <w:sz w:val="24"/>
                <w:lang w:val="en-US" w:eastAsia="zh-CN"/>
              </w:rPr>
              <w:t>使用</w:t>
            </w:r>
            <w:r>
              <w:rPr>
                <w:rFonts w:hint="eastAsia"/>
                <w:color w:val="auto"/>
                <w:sz w:val="24"/>
              </w:rPr>
              <w:t>聚磺</w:t>
            </w:r>
            <w:r>
              <w:rPr>
                <w:rFonts w:hint="default"/>
                <w:color w:val="auto"/>
                <w:sz w:val="24"/>
              </w:rPr>
              <w:t>润滑封堵防塌钻井液</w:t>
            </w:r>
            <w:r>
              <w:rPr>
                <w:rFonts w:hint="eastAsia"/>
                <w:color w:val="auto"/>
                <w:sz w:val="24"/>
                <w:lang w:val="en-US" w:eastAsia="zh-CN"/>
              </w:rPr>
              <w:t>体系</w:t>
            </w:r>
            <w:r>
              <w:rPr>
                <w:rFonts w:hint="eastAsia" w:ascii="Times New Roman" w:hAnsi="Times New Roman" w:eastAsia="宋体" w:cs="Times New Roman"/>
                <w:color w:val="auto"/>
                <w:sz w:val="24"/>
                <w:lang w:eastAsia="zh-CN"/>
              </w:rPr>
              <w:t>。</w:t>
            </w:r>
          </w:p>
          <w:p w14:paraId="3B0076D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完钻层位：</w:t>
            </w:r>
            <w:r>
              <w:rPr>
                <w:rFonts w:hint="default"/>
                <w:color w:val="auto"/>
                <w:sz w:val="24"/>
              </w:rPr>
              <w:t>须家河组</w:t>
            </w:r>
            <w:r>
              <w:rPr>
                <w:rFonts w:hint="eastAsia"/>
                <w:color w:val="auto"/>
                <w:sz w:val="24"/>
              </w:rPr>
              <w:t>四段下亚段</w:t>
            </w:r>
          </w:p>
          <w:p w14:paraId="59E3E5B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sz w:val="24"/>
              </w:rPr>
            </w:pPr>
            <w:r>
              <w:rPr>
                <w:rFonts w:hint="default" w:ascii="Times New Roman" w:hAnsi="Times New Roman" w:eastAsia="宋体" w:cs="Times New Roman"/>
                <w:b/>
                <w:bCs w:val="0"/>
                <w:color w:val="auto"/>
                <w:sz w:val="24"/>
                <w:lang w:bidi="ar"/>
              </w:rPr>
              <w:t>完井方式：</w:t>
            </w:r>
            <w:r>
              <w:rPr>
                <w:rFonts w:hint="eastAsia" w:ascii="Times New Roman" w:hAnsi="Times New Roman" w:eastAsia="宋体" w:cs="Times New Roman"/>
                <w:bCs/>
                <w:color w:val="auto"/>
                <w:sz w:val="24"/>
                <w:lang w:val="en-US" w:eastAsia="zh-CN" w:bidi="ar"/>
              </w:rPr>
              <w:t>套管</w:t>
            </w:r>
            <w:r>
              <w:rPr>
                <w:rFonts w:hint="default" w:ascii="Times New Roman" w:hAnsi="Times New Roman" w:eastAsia="宋体" w:cs="Times New Roman"/>
                <w:bCs/>
                <w:color w:val="auto"/>
                <w:sz w:val="24"/>
                <w:lang w:bidi="ar"/>
              </w:rPr>
              <w:t>完井</w:t>
            </w:r>
          </w:p>
          <w:p w14:paraId="23B17F6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目的层：</w:t>
            </w:r>
            <w:r>
              <w:rPr>
                <w:rFonts w:hint="default"/>
                <w:bCs/>
                <w:color w:val="auto"/>
                <w:sz w:val="24"/>
                <w:lang w:val="en-GB"/>
              </w:rPr>
              <w:t>上</w:t>
            </w:r>
            <w:r>
              <w:rPr>
                <w:rFonts w:hint="eastAsia"/>
                <w:bCs/>
                <w:color w:val="auto"/>
                <w:sz w:val="24"/>
                <w:lang w:val="en-GB"/>
              </w:rPr>
              <w:t>三叠统须家河组四段下亚段</w:t>
            </w:r>
            <w:r>
              <w:rPr>
                <w:rFonts w:hint="eastAsia" w:ascii="Times New Roman" w:hAnsi="Times New Roman" w:cs="Times New Roman"/>
                <w:color w:val="auto"/>
                <w:sz w:val="24"/>
              </w:rPr>
              <w:t>砂岩储层</w:t>
            </w:r>
          </w:p>
          <w:p w14:paraId="0B983F0A">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Cs/>
                <w:color w:val="auto"/>
                <w:sz w:val="24"/>
                <w:lang w:val="en-GB"/>
              </w:rPr>
            </w:pPr>
            <w:r>
              <w:rPr>
                <w:rFonts w:hint="default" w:ascii="Times New Roman" w:hAnsi="Times New Roman" w:eastAsia="宋体" w:cs="Times New Roman"/>
                <w:b/>
                <w:bCs/>
                <w:color w:val="auto"/>
                <w:sz w:val="24"/>
              </w:rPr>
              <w:t>天然气气质组分：</w:t>
            </w:r>
            <w:r>
              <w:rPr>
                <w:rFonts w:hint="eastAsia" w:ascii="Times New Roman" w:hAnsi="Times New Roman" w:eastAsia="宋体" w:cs="Times New Roman"/>
                <w:bCs/>
                <w:color w:val="auto"/>
                <w:sz w:val="24"/>
                <w:lang w:val="en-GB"/>
              </w:rPr>
              <w:t>勘探研究表明，川东北陆相气藏测试一般都不含硫化氢。截</w:t>
            </w:r>
            <w:r>
              <w:rPr>
                <w:rFonts w:hint="eastAsia" w:cs="Times New Roman"/>
                <w:bCs/>
                <w:color w:val="auto"/>
                <w:sz w:val="24"/>
                <w:lang w:val="en-GB" w:eastAsia="zh-CN"/>
              </w:rPr>
              <w:t>至</w:t>
            </w:r>
            <w:r>
              <w:rPr>
                <w:rFonts w:hint="eastAsia" w:ascii="Times New Roman" w:hAnsi="Times New Roman" w:eastAsia="宋体" w:cs="Times New Roman"/>
                <w:bCs/>
                <w:color w:val="auto"/>
                <w:sz w:val="24"/>
                <w:lang w:val="en-GB"/>
              </w:rPr>
              <w:t>目前，巴中断褶带内陆相产气井均不含硫化氢，巴中地区陆相层系气层为陆相气源，须家河组及以上地层均不含硫化氢</w:t>
            </w:r>
            <w:r>
              <w:rPr>
                <w:rFonts w:hint="eastAsia" w:cs="Times New Roman"/>
                <w:bCs/>
                <w:color w:val="auto"/>
                <w:sz w:val="24"/>
                <w:lang w:val="en-GB" w:eastAsia="zh-CN"/>
              </w:rPr>
              <w:t>。</w:t>
            </w:r>
            <w:r>
              <w:rPr>
                <w:rFonts w:hint="eastAsia" w:ascii="Times New Roman" w:hAnsi="Times New Roman" w:eastAsia="宋体" w:cs="Times New Roman"/>
                <w:bCs/>
                <w:color w:val="auto"/>
                <w:kern w:val="0"/>
                <w:sz w:val="24"/>
                <w:lang w:val="en-US" w:eastAsia="zh-CN"/>
              </w:rPr>
              <w:t>本项目目的层为</w:t>
            </w:r>
            <w:r>
              <w:rPr>
                <w:rFonts w:hint="eastAsia" w:ascii="Times New Roman" w:hAnsi="Times New Roman" w:eastAsia="宋体" w:cs="Times New Roman"/>
                <w:bCs/>
                <w:color w:val="auto"/>
                <w:kern w:val="0"/>
                <w:sz w:val="24"/>
                <w:lang w:val="en-GB"/>
              </w:rPr>
              <w:t>上三叠统须家河组四段下亚段砂岩储层</w:t>
            </w:r>
            <w:r>
              <w:rPr>
                <w:rFonts w:hint="eastAsia" w:ascii="Times New Roman" w:hAnsi="Times New Roman" w:eastAsia="宋体" w:cs="Times New Roman"/>
                <w:bCs/>
                <w:color w:val="auto"/>
                <w:sz w:val="24"/>
                <w:lang w:val="en-GB" w:eastAsia="zh-CN"/>
              </w:rPr>
              <w:t>，</w:t>
            </w:r>
            <w:r>
              <w:rPr>
                <w:rFonts w:hint="eastAsia" w:ascii="Times New Roman" w:hAnsi="Times New Roman" w:eastAsia="宋体" w:cs="Times New Roman"/>
                <w:bCs/>
                <w:color w:val="auto"/>
                <w:sz w:val="24"/>
                <w:lang w:val="en-US" w:eastAsia="zh-CN"/>
              </w:rPr>
              <w:t>结合项目钻井工程等相关设计资料，</w:t>
            </w:r>
            <w:r>
              <w:rPr>
                <w:rFonts w:hint="eastAsia" w:ascii="Times New Roman" w:hAnsi="Times New Roman" w:eastAsia="宋体" w:cs="Times New Roman"/>
                <w:bCs/>
                <w:color w:val="auto"/>
                <w:sz w:val="24"/>
                <w:lang w:val="en-GB"/>
              </w:rPr>
              <w:t>综合预测</w:t>
            </w:r>
            <w:r>
              <w:rPr>
                <w:rFonts w:hint="eastAsia" w:cs="Times New Roman"/>
                <w:bCs/>
                <w:color w:val="auto"/>
                <w:sz w:val="24"/>
                <w:lang w:val="en-US" w:eastAsia="zh-CN"/>
              </w:rPr>
              <w:t>元陆39</w:t>
            </w:r>
            <w:r>
              <w:rPr>
                <w:rFonts w:hint="eastAsia" w:ascii="Times New Roman" w:hAnsi="Times New Roman" w:eastAsia="宋体" w:cs="Times New Roman"/>
                <w:bCs/>
                <w:color w:val="auto"/>
                <w:sz w:val="24"/>
                <w:lang w:val="en-GB"/>
              </w:rPr>
              <w:t>井</w:t>
            </w:r>
            <w:r>
              <w:rPr>
                <w:rFonts w:hint="eastAsia" w:cs="Times New Roman"/>
                <w:bCs/>
                <w:color w:val="auto"/>
                <w:sz w:val="24"/>
                <w:lang w:val="en-US" w:eastAsia="zh-CN"/>
              </w:rPr>
              <w:t>陆相地层</w:t>
            </w:r>
            <w:r>
              <w:rPr>
                <w:rFonts w:hint="eastAsia" w:ascii="Times New Roman" w:hAnsi="Times New Roman" w:eastAsia="宋体" w:cs="Times New Roman"/>
                <w:bCs/>
                <w:color w:val="auto"/>
                <w:sz w:val="24"/>
                <w:lang w:val="en-US" w:eastAsia="zh-CN"/>
              </w:rPr>
              <w:t>天然气</w:t>
            </w:r>
            <w:r>
              <w:rPr>
                <w:rFonts w:hint="eastAsia" w:ascii="Times New Roman" w:hAnsi="Times New Roman" w:eastAsia="宋体" w:cs="Times New Roman"/>
                <w:bCs/>
                <w:color w:val="auto"/>
                <w:sz w:val="24"/>
                <w:lang w:val="en-GB"/>
              </w:rPr>
              <w:t>不含硫化氢。</w:t>
            </w:r>
          </w:p>
          <w:p w14:paraId="762B0F0F">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邻区陆相地层测试天然气组份分析表</w:t>
            </w:r>
          </w:p>
          <w:tbl>
            <w:tblPr>
              <w:tblStyle w:val="23"/>
              <w:tblW w:w="4925"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1552"/>
              <w:gridCol w:w="1667"/>
              <w:gridCol w:w="1330"/>
              <w:gridCol w:w="1570"/>
            </w:tblGrid>
            <w:tr w14:paraId="702C7AA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0ACE524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bookmarkStart w:id="33" w:name="_Hlk214096167"/>
                  <w:r>
                    <w:rPr>
                      <w:rFonts w:hint="default" w:ascii="Times New Roman" w:hAnsi="Times New Roman" w:eastAsia="宋体" w:cs="Times New Roman"/>
                      <w:b/>
                      <w:bCs/>
                      <w:color w:val="auto"/>
                      <w:kern w:val="0"/>
                      <w:sz w:val="21"/>
                      <w:szCs w:val="21"/>
                    </w:rPr>
                    <w:t>层位</w:t>
                  </w:r>
                </w:p>
              </w:tc>
              <w:tc>
                <w:tcPr>
                  <w:tcW w:w="1016" w:type="pct"/>
                  <w:vMerge w:val="restart"/>
                  <w:tcBorders>
                    <w:tl2br w:val="nil"/>
                    <w:tr2bl w:val="nil"/>
                  </w:tcBorders>
                  <w:noWrap w:val="0"/>
                  <w:vAlign w:val="center"/>
                </w:tcPr>
                <w:p w14:paraId="5E8F06C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井号</w:t>
                  </w:r>
                </w:p>
              </w:tc>
              <w:tc>
                <w:tcPr>
                  <w:tcW w:w="1091" w:type="pct"/>
                  <w:vMerge w:val="restart"/>
                  <w:tcBorders>
                    <w:tl2br w:val="nil"/>
                    <w:tr2bl w:val="nil"/>
                  </w:tcBorders>
                  <w:noWrap w:val="0"/>
                  <w:vAlign w:val="center"/>
                </w:tcPr>
                <w:p w14:paraId="01174FC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井段（m）</w:t>
                  </w:r>
                </w:p>
              </w:tc>
              <w:tc>
                <w:tcPr>
                  <w:tcW w:w="1898" w:type="pct"/>
                  <w:gridSpan w:val="2"/>
                  <w:tcBorders>
                    <w:tl2br w:val="nil"/>
                    <w:tr2bl w:val="nil"/>
                  </w:tcBorders>
                  <w:noWrap w:val="0"/>
                  <w:vAlign w:val="center"/>
                </w:tcPr>
                <w:p w14:paraId="724A6D0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天然气组份（%）</w:t>
                  </w:r>
                </w:p>
              </w:tc>
            </w:tr>
            <w:tr w14:paraId="186FB92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034D6E2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kern w:val="0"/>
                      <w:sz w:val="21"/>
                      <w:szCs w:val="21"/>
                    </w:rPr>
                  </w:pPr>
                </w:p>
              </w:tc>
              <w:tc>
                <w:tcPr>
                  <w:tcW w:w="1016" w:type="pct"/>
                  <w:vMerge w:val="continue"/>
                  <w:tcBorders>
                    <w:tl2br w:val="nil"/>
                    <w:tr2bl w:val="nil"/>
                  </w:tcBorders>
                  <w:noWrap w:val="0"/>
                  <w:vAlign w:val="center"/>
                </w:tcPr>
                <w:p w14:paraId="446602E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kern w:val="0"/>
                      <w:sz w:val="21"/>
                      <w:szCs w:val="21"/>
                    </w:rPr>
                  </w:pPr>
                </w:p>
              </w:tc>
              <w:tc>
                <w:tcPr>
                  <w:tcW w:w="1091" w:type="pct"/>
                  <w:vMerge w:val="continue"/>
                  <w:tcBorders>
                    <w:tl2br w:val="nil"/>
                    <w:tr2bl w:val="nil"/>
                  </w:tcBorders>
                  <w:noWrap w:val="0"/>
                  <w:vAlign w:val="center"/>
                </w:tcPr>
                <w:p w14:paraId="54D7785F">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kern w:val="0"/>
                      <w:sz w:val="21"/>
                      <w:szCs w:val="21"/>
                    </w:rPr>
                  </w:pPr>
                </w:p>
              </w:tc>
              <w:tc>
                <w:tcPr>
                  <w:tcW w:w="870" w:type="pct"/>
                  <w:tcBorders>
                    <w:tl2br w:val="nil"/>
                    <w:tr2bl w:val="nil"/>
                  </w:tcBorders>
                  <w:noWrap w:val="0"/>
                  <w:vAlign w:val="center"/>
                </w:tcPr>
                <w:p w14:paraId="78049FB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甲烷</w:t>
                  </w:r>
                </w:p>
              </w:tc>
              <w:tc>
                <w:tcPr>
                  <w:tcW w:w="1027" w:type="pct"/>
                  <w:tcBorders>
                    <w:tl2br w:val="nil"/>
                    <w:tr2bl w:val="nil"/>
                  </w:tcBorders>
                  <w:noWrap w:val="0"/>
                  <w:vAlign w:val="center"/>
                </w:tcPr>
                <w:p w14:paraId="1C32B4B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H</w:t>
                  </w:r>
                  <w:r>
                    <w:rPr>
                      <w:rFonts w:hint="default" w:ascii="Times New Roman" w:hAnsi="Times New Roman" w:eastAsia="宋体" w:cs="Times New Roman"/>
                      <w:b/>
                      <w:bCs/>
                      <w:color w:val="auto"/>
                      <w:kern w:val="0"/>
                      <w:sz w:val="21"/>
                      <w:szCs w:val="21"/>
                      <w:vertAlign w:val="subscript"/>
                    </w:rPr>
                    <w:t>2</w:t>
                  </w:r>
                  <w:r>
                    <w:rPr>
                      <w:rFonts w:hint="default" w:ascii="Times New Roman" w:hAnsi="Times New Roman" w:eastAsia="宋体" w:cs="Times New Roman"/>
                      <w:b/>
                      <w:bCs/>
                      <w:color w:val="auto"/>
                      <w:kern w:val="0"/>
                      <w:sz w:val="21"/>
                      <w:szCs w:val="21"/>
                    </w:rPr>
                    <w:t>S</w:t>
                  </w:r>
                </w:p>
              </w:tc>
            </w:tr>
            <w:tr w14:paraId="5E10192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64C743E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凉高山组</w:t>
                  </w:r>
                </w:p>
              </w:tc>
              <w:tc>
                <w:tcPr>
                  <w:tcW w:w="1016" w:type="pct"/>
                  <w:tcBorders>
                    <w:tl2br w:val="nil"/>
                    <w:tr2bl w:val="nil"/>
                  </w:tcBorders>
                  <w:noWrap w:val="0"/>
                  <w:vAlign w:val="center"/>
                </w:tcPr>
                <w:p w14:paraId="0FB42F7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元陆173井</w:t>
                  </w:r>
                </w:p>
              </w:tc>
              <w:tc>
                <w:tcPr>
                  <w:tcW w:w="1091" w:type="pct"/>
                  <w:tcBorders>
                    <w:tl2br w:val="nil"/>
                    <w:tr2bl w:val="nil"/>
                  </w:tcBorders>
                  <w:noWrap w:val="0"/>
                  <w:vAlign w:val="center"/>
                </w:tcPr>
                <w:p w14:paraId="19A5798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3742.0-3769.0</w:t>
                  </w:r>
                </w:p>
              </w:tc>
              <w:tc>
                <w:tcPr>
                  <w:tcW w:w="870" w:type="pct"/>
                  <w:tcBorders>
                    <w:tl2br w:val="nil"/>
                    <w:tr2bl w:val="nil"/>
                  </w:tcBorders>
                  <w:noWrap w:val="0"/>
                  <w:vAlign w:val="center"/>
                </w:tcPr>
                <w:p w14:paraId="0702C83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68.33</w:t>
                  </w:r>
                </w:p>
              </w:tc>
              <w:tc>
                <w:tcPr>
                  <w:tcW w:w="1027" w:type="pct"/>
                  <w:tcBorders>
                    <w:tl2br w:val="nil"/>
                    <w:tr2bl w:val="nil"/>
                  </w:tcBorders>
                  <w:noWrap w:val="0"/>
                  <w:vAlign w:val="center"/>
                </w:tcPr>
                <w:p w14:paraId="6E20626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1FA5D30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72FD4EE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2E9EAF5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元陆175井</w:t>
                  </w:r>
                </w:p>
              </w:tc>
              <w:tc>
                <w:tcPr>
                  <w:tcW w:w="1091" w:type="pct"/>
                  <w:tcBorders>
                    <w:tl2br w:val="nil"/>
                    <w:tr2bl w:val="nil"/>
                  </w:tcBorders>
                  <w:noWrap w:val="0"/>
                  <w:vAlign w:val="center"/>
                </w:tcPr>
                <w:p w14:paraId="69E52B2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3740.0-3907.7</w:t>
                  </w:r>
                </w:p>
              </w:tc>
              <w:tc>
                <w:tcPr>
                  <w:tcW w:w="870" w:type="pct"/>
                  <w:tcBorders>
                    <w:tl2br w:val="nil"/>
                    <w:tr2bl w:val="nil"/>
                  </w:tcBorders>
                  <w:noWrap w:val="0"/>
                  <w:vAlign w:val="center"/>
                </w:tcPr>
                <w:p w14:paraId="6107877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79.30</w:t>
                  </w:r>
                </w:p>
              </w:tc>
              <w:tc>
                <w:tcPr>
                  <w:tcW w:w="1027" w:type="pct"/>
                  <w:tcBorders>
                    <w:tl2br w:val="nil"/>
                    <w:tr2bl w:val="nil"/>
                  </w:tcBorders>
                  <w:noWrap w:val="0"/>
                  <w:vAlign w:val="center"/>
                </w:tcPr>
                <w:p w14:paraId="14BDC9B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71DFCF2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7CBDBBC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大安寨段</w:t>
                  </w:r>
                </w:p>
              </w:tc>
              <w:tc>
                <w:tcPr>
                  <w:tcW w:w="1016" w:type="pct"/>
                  <w:tcBorders>
                    <w:tl2br w:val="nil"/>
                    <w:tr2bl w:val="nil"/>
                  </w:tcBorders>
                  <w:noWrap w:val="0"/>
                  <w:vAlign w:val="center"/>
                </w:tcPr>
                <w:p w14:paraId="0871F3B3">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元坝11井</w:t>
                  </w:r>
                </w:p>
              </w:tc>
              <w:tc>
                <w:tcPr>
                  <w:tcW w:w="1091" w:type="pct"/>
                  <w:tcBorders>
                    <w:tl2br w:val="nil"/>
                    <w:tr2bl w:val="nil"/>
                  </w:tcBorders>
                  <w:noWrap w:val="0"/>
                  <w:vAlign w:val="center"/>
                </w:tcPr>
                <w:p w14:paraId="260D889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4636.0-4670.0</w:t>
                  </w:r>
                </w:p>
              </w:tc>
              <w:tc>
                <w:tcPr>
                  <w:tcW w:w="870" w:type="pct"/>
                  <w:tcBorders>
                    <w:tl2br w:val="nil"/>
                    <w:tr2bl w:val="nil"/>
                  </w:tcBorders>
                  <w:noWrap w:val="0"/>
                  <w:vAlign w:val="center"/>
                </w:tcPr>
                <w:p w14:paraId="58A4375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87.41</w:t>
                  </w:r>
                </w:p>
              </w:tc>
              <w:tc>
                <w:tcPr>
                  <w:tcW w:w="1027" w:type="pct"/>
                  <w:tcBorders>
                    <w:tl2br w:val="nil"/>
                    <w:tr2bl w:val="nil"/>
                  </w:tcBorders>
                  <w:noWrap w:val="0"/>
                  <w:vAlign w:val="center"/>
                </w:tcPr>
                <w:p w14:paraId="5EF6F04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28D075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35EDB14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411C565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元坝101井</w:t>
                  </w:r>
                </w:p>
              </w:tc>
              <w:tc>
                <w:tcPr>
                  <w:tcW w:w="1091" w:type="pct"/>
                  <w:tcBorders>
                    <w:tl2br w:val="nil"/>
                    <w:tr2bl w:val="nil"/>
                  </w:tcBorders>
                  <w:noWrap w:val="0"/>
                  <w:vAlign w:val="center"/>
                </w:tcPr>
                <w:p w14:paraId="379B341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4207.0-4238.0</w:t>
                  </w:r>
                </w:p>
              </w:tc>
              <w:tc>
                <w:tcPr>
                  <w:tcW w:w="870" w:type="pct"/>
                  <w:tcBorders>
                    <w:tl2br w:val="nil"/>
                    <w:tr2bl w:val="nil"/>
                  </w:tcBorders>
                  <w:noWrap w:val="0"/>
                  <w:vAlign w:val="center"/>
                </w:tcPr>
                <w:p w14:paraId="3A0812A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94.56</w:t>
                  </w:r>
                </w:p>
              </w:tc>
              <w:tc>
                <w:tcPr>
                  <w:tcW w:w="1027" w:type="pct"/>
                  <w:tcBorders>
                    <w:tl2br w:val="nil"/>
                    <w:tr2bl w:val="nil"/>
                  </w:tcBorders>
                  <w:noWrap w:val="0"/>
                  <w:vAlign w:val="center"/>
                </w:tcPr>
                <w:p w14:paraId="6CE894B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7E2B1FE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5457AA7A">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5A13A2C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元坝102井</w:t>
                  </w:r>
                </w:p>
              </w:tc>
              <w:tc>
                <w:tcPr>
                  <w:tcW w:w="1091" w:type="pct"/>
                  <w:tcBorders>
                    <w:tl2br w:val="nil"/>
                    <w:tr2bl w:val="nil"/>
                  </w:tcBorders>
                  <w:noWrap w:val="0"/>
                  <w:vAlign w:val="center"/>
                </w:tcPr>
                <w:p w14:paraId="7E34AB8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3912.03935.0</w:t>
                  </w:r>
                </w:p>
              </w:tc>
              <w:tc>
                <w:tcPr>
                  <w:tcW w:w="870" w:type="pct"/>
                  <w:tcBorders>
                    <w:tl2br w:val="nil"/>
                    <w:tr2bl w:val="nil"/>
                  </w:tcBorders>
                  <w:noWrap w:val="0"/>
                  <w:vAlign w:val="center"/>
                </w:tcPr>
                <w:p w14:paraId="7B6F82B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91.16</w:t>
                  </w:r>
                </w:p>
              </w:tc>
              <w:tc>
                <w:tcPr>
                  <w:tcW w:w="1027" w:type="pct"/>
                  <w:tcBorders>
                    <w:tl2br w:val="nil"/>
                    <w:tr2bl w:val="nil"/>
                  </w:tcBorders>
                  <w:noWrap w:val="0"/>
                  <w:vAlign w:val="center"/>
                </w:tcPr>
                <w:p w14:paraId="3E19D133">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2DE7DFC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32E78FF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3EA4B63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元陆171井</w:t>
                  </w:r>
                </w:p>
              </w:tc>
              <w:tc>
                <w:tcPr>
                  <w:tcW w:w="1091" w:type="pct"/>
                  <w:tcBorders>
                    <w:tl2br w:val="nil"/>
                    <w:tr2bl w:val="nil"/>
                  </w:tcBorders>
                  <w:noWrap w:val="0"/>
                  <w:vAlign w:val="center"/>
                </w:tcPr>
                <w:p w14:paraId="3499037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3877.0-3938.0</w:t>
                  </w:r>
                </w:p>
              </w:tc>
              <w:tc>
                <w:tcPr>
                  <w:tcW w:w="870" w:type="pct"/>
                  <w:tcBorders>
                    <w:tl2br w:val="nil"/>
                    <w:tr2bl w:val="nil"/>
                  </w:tcBorders>
                  <w:noWrap w:val="0"/>
                  <w:vAlign w:val="center"/>
                </w:tcPr>
                <w:p w14:paraId="5C61B31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91.68</w:t>
                  </w:r>
                </w:p>
              </w:tc>
              <w:tc>
                <w:tcPr>
                  <w:tcW w:w="1027" w:type="pct"/>
                  <w:tcBorders>
                    <w:tl2br w:val="nil"/>
                    <w:tr2bl w:val="nil"/>
                  </w:tcBorders>
                  <w:noWrap w:val="0"/>
                  <w:vAlign w:val="center"/>
                </w:tcPr>
                <w:p w14:paraId="53817DC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314681A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598CDE2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30DE498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元陆176井</w:t>
                  </w:r>
                </w:p>
              </w:tc>
              <w:tc>
                <w:tcPr>
                  <w:tcW w:w="1091" w:type="pct"/>
                  <w:tcBorders>
                    <w:tl2br w:val="nil"/>
                    <w:tr2bl w:val="nil"/>
                  </w:tcBorders>
                  <w:noWrap w:val="0"/>
                  <w:vAlign w:val="center"/>
                </w:tcPr>
                <w:p w14:paraId="0A7A04B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4129.0-4184.0</w:t>
                  </w:r>
                </w:p>
              </w:tc>
              <w:tc>
                <w:tcPr>
                  <w:tcW w:w="870" w:type="pct"/>
                  <w:tcBorders>
                    <w:tl2br w:val="nil"/>
                    <w:tr2bl w:val="nil"/>
                  </w:tcBorders>
                  <w:noWrap w:val="0"/>
                  <w:vAlign w:val="center"/>
                </w:tcPr>
                <w:p w14:paraId="6AA9922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97.20</w:t>
                  </w:r>
                </w:p>
              </w:tc>
              <w:tc>
                <w:tcPr>
                  <w:tcW w:w="1027" w:type="pct"/>
                  <w:tcBorders>
                    <w:tl2br w:val="nil"/>
                    <w:tr2bl w:val="nil"/>
                  </w:tcBorders>
                  <w:noWrap w:val="0"/>
                  <w:vAlign w:val="center"/>
                </w:tcPr>
                <w:p w14:paraId="15E104E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39B183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0B7322D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东岳庙段</w:t>
                  </w:r>
                </w:p>
              </w:tc>
              <w:tc>
                <w:tcPr>
                  <w:tcW w:w="1016" w:type="pct"/>
                  <w:tcBorders>
                    <w:tl2br w:val="nil"/>
                    <w:tr2bl w:val="nil"/>
                  </w:tcBorders>
                  <w:noWrap w:val="0"/>
                  <w:vAlign w:val="center"/>
                </w:tcPr>
                <w:p w14:paraId="7AA64AA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元坝2井</w:t>
                  </w:r>
                </w:p>
              </w:tc>
              <w:tc>
                <w:tcPr>
                  <w:tcW w:w="1091" w:type="pct"/>
                  <w:tcBorders>
                    <w:tl2br w:val="nil"/>
                    <w:tr2bl w:val="nil"/>
                  </w:tcBorders>
                  <w:noWrap w:val="0"/>
                  <w:vAlign w:val="center"/>
                </w:tcPr>
                <w:p w14:paraId="03B5E69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3887.0-3957.0</w:t>
                  </w:r>
                </w:p>
              </w:tc>
              <w:tc>
                <w:tcPr>
                  <w:tcW w:w="870" w:type="pct"/>
                  <w:tcBorders>
                    <w:tl2br w:val="nil"/>
                    <w:tr2bl w:val="nil"/>
                  </w:tcBorders>
                  <w:noWrap w:val="0"/>
                  <w:vAlign w:val="center"/>
                </w:tcPr>
                <w:p w14:paraId="537EE07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95.01</w:t>
                  </w:r>
                </w:p>
              </w:tc>
              <w:tc>
                <w:tcPr>
                  <w:tcW w:w="1027" w:type="pct"/>
                  <w:tcBorders>
                    <w:tl2br w:val="nil"/>
                    <w:tr2bl w:val="nil"/>
                  </w:tcBorders>
                  <w:noWrap w:val="0"/>
                  <w:vAlign w:val="center"/>
                </w:tcPr>
                <w:p w14:paraId="1576C23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0A40872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3BDCEE70">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noWrap w:val="0"/>
                  <w:vAlign w:val="center"/>
                </w:tcPr>
                <w:p w14:paraId="7A34D94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元坝9井</w:t>
                  </w:r>
                </w:p>
              </w:tc>
              <w:tc>
                <w:tcPr>
                  <w:tcW w:w="1091" w:type="pct"/>
                  <w:tcBorders>
                    <w:tl2br w:val="nil"/>
                    <w:tr2bl w:val="nil"/>
                  </w:tcBorders>
                  <w:noWrap w:val="0"/>
                  <w:vAlign w:val="center"/>
                </w:tcPr>
                <w:p w14:paraId="5BF6470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4035.0-4110.0</w:t>
                  </w:r>
                </w:p>
              </w:tc>
              <w:tc>
                <w:tcPr>
                  <w:tcW w:w="870" w:type="pct"/>
                  <w:tcBorders>
                    <w:tl2br w:val="nil"/>
                    <w:tr2bl w:val="nil"/>
                  </w:tcBorders>
                  <w:noWrap w:val="0"/>
                  <w:vAlign w:val="center"/>
                </w:tcPr>
                <w:p w14:paraId="1398F17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94.76</w:t>
                  </w:r>
                </w:p>
              </w:tc>
              <w:tc>
                <w:tcPr>
                  <w:tcW w:w="1027" w:type="pct"/>
                  <w:tcBorders>
                    <w:tl2br w:val="nil"/>
                    <w:tr2bl w:val="nil"/>
                  </w:tcBorders>
                  <w:noWrap w:val="0"/>
                  <w:vAlign w:val="center"/>
                </w:tcPr>
                <w:p w14:paraId="2F432C2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68389E9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7ECD6CE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珍珠冲段</w:t>
                  </w:r>
                </w:p>
                <w:p w14:paraId="75AC3888">
                  <w:pPr>
                    <w:keepNext w:val="0"/>
                    <w:keepLines w:val="0"/>
                    <w:widowControl/>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下亚断</w:t>
                  </w:r>
                </w:p>
              </w:tc>
              <w:tc>
                <w:tcPr>
                  <w:tcW w:w="1016" w:type="pct"/>
                  <w:tcBorders>
                    <w:tl2br w:val="nil"/>
                    <w:tr2bl w:val="nil"/>
                  </w:tcBorders>
                  <w:noWrap w:val="0"/>
                  <w:vAlign w:val="center"/>
                </w:tcPr>
                <w:p w14:paraId="2510A3B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元坝2井</w:t>
                  </w:r>
                </w:p>
              </w:tc>
              <w:tc>
                <w:tcPr>
                  <w:tcW w:w="1091" w:type="pct"/>
                  <w:tcBorders>
                    <w:tl2br w:val="nil"/>
                    <w:tr2bl w:val="nil"/>
                  </w:tcBorders>
                  <w:noWrap w:val="0"/>
                  <w:vAlign w:val="center"/>
                </w:tcPr>
                <w:p w14:paraId="42ECBC9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4086.0</w:t>
                  </w:r>
                  <w:r>
                    <w:rPr>
                      <w:rFonts w:hint="eastAsia"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rPr>
                    <w:t>4118.0</w:t>
                  </w:r>
                </w:p>
              </w:tc>
              <w:tc>
                <w:tcPr>
                  <w:tcW w:w="870" w:type="pct"/>
                  <w:tcBorders>
                    <w:tl2br w:val="nil"/>
                    <w:tr2bl w:val="nil"/>
                  </w:tcBorders>
                  <w:noWrap w:val="0"/>
                  <w:vAlign w:val="center"/>
                </w:tcPr>
                <w:p w14:paraId="6C4A6B3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92.67</w:t>
                  </w:r>
                </w:p>
              </w:tc>
              <w:tc>
                <w:tcPr>
                  <w:tcW w:w="1027" w:type="pct"/>
                  <w:tcBorders>
                    <w:tl2br w:val="nil"/>
                    <w:tr2bl w:val="nil"/>
                  </w:tcBorders>
                  <w:noWrap w:val="0"/>
                  <w:vAlign w:val="center"/>
                </w:tcPr>
                <w:p w14:paraId="13D20CB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033A644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31B8B1F1">
                  <w:pPr>
                    <w:keepNext w:val="0"/>
                    <w:keepLines w:val="0"/>
                    <w:widowControl/>
                    <w:suppressLineNumbers w:val="0"/>
                    <w:adjustRightInd w:val="0"/>
                    <w:snapToGrid w:val="0"/>
                    <w:spacing w:before="0" w:beforeAutospacing="0" w:after="0" w:afterAutospacing="0" w:line="240" w:lineRule="auto"/>
                    <w:ind w:left="0" w:right="0"/>
                    <w:jc w:val="center"/>
                    <w:rPr>
                      <w:rFonts w:hint="eastAsia" w:cs="Times New Roman"/>
                      <w:color w:val="auto"/>
                      <w:kern w:val="0"/>
                      <w:sz w:val="21"/>
                      <w:szCs w:val="21"/>
                      <w:lang w:val="en-US" w:eastAsia="zh-CN"/>
                    </w:rPr>
                  </w:pPr>
                </w:p>
              </w:tc>
              <w:tc>
                <w:tcPr>
                  <w:tcW w:w="1016" w:type="pct"/>
                  <w:tcBorders>
                    <w:tl2br w:val="nil"/>
                    <w:tr2bl w:val="nil"/>
                  </w:tcBorders>
                  <w:noWrap w:val="0"/>
                  <w:vAlign w:val="center"/>
                </w:tcPr>
                <w:p w14:paraId="19B2ED67">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元坝3井</w:t>
                  </w:r>
                </w:p>
              </w:tc>
              <w:tc>
                <w:tcPr>
                  <w:tcW w:w="1091" w:type="pct"/>
                  <w:tcBorders>
                    <w:tl2br w:val="nil"/>
                    <w:tr2bl w:val="nil"/>
                  </w:tcBorders>
                  <w:noWrap w:val="0"/>
                  <w:vAlign w:val="center"/>
                </w:tcPr>
                <w:p w14:paraId="31A590E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4167.0</w:t>
                  </w:r>
                  <w:r>
                    <w:rPr>
                      <w:rFonts w:hint="eastAsia"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rPr>
                    <w:t>4228.0</w:t>
                  </w:r>
                </w:p>
              </w:tc>
              <w:tc>
                <w:tcPr>
                  <w:tcW w:w="870" w:type="pct"/>
                  <w:tcBorders>
                    <w:tl2br w:val="nil"/>
                    <w:tr2bl w:val="nil"/>
                  </w:tcBorders>
                  <w:noWrap w:val="0"/>
                  <w:vAlign w:val="center"/>
                </w:tcPr>
                <w:p w14:paraId="2CE1C75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96.22</w:t>
                  </w:r>
                </w:p>
              </w:tc>
              <w:tc>
                <w:tcPr>
                  <w:tcW w:w="1027" w:type="pct"/>
                  <w:tcBorders>
                    <w:tl2br w:val="nil"/>
                    <w:tr2bl w:val="nil"/>
                  </w:tcBorders>
                  <w:noWrap w:val="0"/>
                  <w:vAlign w:val="center"/>
                </w:tcPr>
                <w:p w14:paraId="2FCF869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30AB920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354E5BDB">
                  <w:pPr>
                    <w:keepNext w:val="0"/>
                    <w:keepLines w:val="0"/>
                    <w:widowControl/>
                    <w:suppressLineNumbers w:val="0"/>
                    <w:adjustRightInd w:val="0"/>
                    <w:snapToGrid w:val="0"/>
                    <w:spacing w:before="0" w:beforeAutospacing="0" w:after="0" w:afterAutospacing="0" w:line="240" w:lineRule="auto"/>
                    <w:ind w:left="0" w:right="0"/>
                    <w:jc w:val="center"/>
                    <w:rPr>
                      <w:rFonts w:hint="eastAsia" w:cs="Times New Roman"/>
                      <w:color w:val="auto"/>
                      <w:kern w:val="0"/>
                      <w:sz w:val="21"/>
                      <w:szCs w:val="21"/>
                      <w:lang w:val="en-US" w:eastAsia="zh-CN"/>
                    </w:rPr>
                  </w:pPr>
                </w:p>
              </w:tc>
              <w:tc>
                <w:tcPr>
                  <w:tcW w:w="1016" w:type="pct"/>
                  <w:tcBorders>
                    <w:tl2br w:val="nil"/>
                    <w:tr2bl w:val="nil"/>
                  </w:tcBorders>
                  <w:noWrap w:val="0"/>
                  <w:vAlign w:val="center"/>
                </w:tcPr>
                <w:p w14:paraId="6C9AB25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元陆3井</w:t>
                  </w:r>
                </w:p>
              </w:tc>
              <w:tc>
                <w:tcPr>
                  <w:tcW w:w="1091" w:type="pct"/>
                  <w:tcBorders>
                    <w:tl2br w:val="nil"/>
                    <w:tr2bl w:val="nil"/>
                  </w:tcBorders>
                  <w:noWrap w:val="0"/>
                  <w:vAlign w:val="center"/>
                </w:tcPr>
                <w:p w14:paraId="763AB37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4535.0</w:t>
                  </w:r>
                  <w:r>
                    <w:rPr>
                      <w:rFonts w:hint="eastAsia"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rPr>
                    <w:t>4557.0</w:t>
                  </w:r>
                </w:p>
              </w:tc>
              <w:tc>
                <w:tcPr>
                  <w:tcW w:w="870" w:type="pct"/>
                  <w:tcBorders>
                    <w:tl2br w:val="nil"/>
                    <w:tr2bl w:val="nil"/>
                  </w:tcBorders>
                  <w:noWrap w:val="0"/>
                  <w:vAlign w:val="center"/>
                </w:tcPr>
                <w:p w14:paraId="3455695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97.0771</w:t>
                  </w:r>
                </w:p>
              </w:tc>
              <w:tc>
                <w:tcPr>
                  <w:tcW w:w="1027" w:type="pct"/>
                  <w:tcBorders>
                    <w:tl2br w:val="nil"/>
                    <w:tr2bl w:val="nil"/>
                  </w:tcBorders>
                  <w:noWrap w:val="0"/>
                  <w:vAlign w:val="center"/>
                </w:tcPr>
                <w:p w14:paraId="09B30FC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79877FD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6AAE34B8">
                  <w:pPr>
                    <w:keepNext w:val="0"/>
                    <w:keepLines w:val="0"/>
                    <w:widowControl/>
                    <w:suppressLineNumbers w:val="0"/>
                    <w:adjustRightInd w:val="0"/>
                    <w:snapToGrid w:val="0"/>
                    <w:spacing w:before="0" w:beforeAutospacing="0" w:after="0" w:afterAutospacing="0" w:line="240" w:lineRule="auto"/>
                    <w:ind w:left="0" w:right="0"/>
                    <w:jc w:val="center"/>
                    <w:rPr>
                      <w:rFonts w:hint="eastAsia" w:cs="Times New Roman"/>
                      <w:color w:val="auto"/>
                      <w:kern w:val="0"/>
                      <w:sz w:val="21"/>
                      <w:szCs w:val="21"/>
                      <w:lang w:val="en-US" w:eastAsia="zh-CN"/>
                    </w:rPr>
                  </w:pPr>
                </w:p>
              </w:tc>
              <w:tc>
                <w:tcPr>
                  <w:tcW w:w="1016" w:type="pct"/>
                  <w:tcBorders>
                    <w:tl2br w:val="nil"/>
                    <w:tr2bl w:val="nil"/>
                  </w:tcBorders>
                  <w:noWrap w:val="0"/>
                  <w:vAlign w:val="center"/>
                </w:tcPr>
                <w:p w14:paraId="425A9B4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元陆</w:t>
                  </w:r>
                  <w:r>
                    <w:rPr>
                      <w:rFonts w:hint="default" w:ascii="Times New Roman" w:hAnsi="Times New Roman" w:eastAsia="宋体" w:cs="Times New Roman"/>
                      <w:color w:val="auto"/>
                      <w:kern w:val="0"/>
                      <w:sz w:val="21"/>
                      <w:szCs w:val="21"/>
                    </w:rPr>
                    <w:t>5</w:t>
                  </w:r>
                  <w:r>
                    <w:rPr>
                      <w:rFonts w:hint="eastAsia" w:ascii="Times New Roman" w:hAnsi="Times New Roman" w:eastAsia="宋体" w:cs="Times New Roman"/>
                      <w:color w:val="auto"/>
                      <w:kern w:val="0"/>
                      <w:sz w:val="21"/>
                      <w:szCs w:val="21"/>
                    </w:rPr>
                    <w:t>井</w:t>
                  </w:r>
                </w:p>
              </w:tc>
              <w:tc>
                <w:tcPr>
                  <w:tcW w:w="1091" w:type="pct"/>
                  <w:tcBorders>
                    <w:tl2br w:val="nil"/>
                    <w:tr2bl w:val="nil"/>
                  </w:tcBorders>
                  <w:noWrap w:val="0"/>
                  <w:vAlign w:val="center"/>
                </w:tcPr>
                <w:p w14:paraId="30A0C8A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4084.0-4120.0</w:t>
                  </w:r>
                </w:p>
              </w:tc>
              <w:tc>
                <w:tcPr>
                  <w:tcW w:w="870" w:type="pct"/>
                  <w:tcBorders>
                    <w:tl2br w:val="nil"/>
                    <w:tr2bl w:val="nil"/>
                  </w:tcBorders>
                  <w:noWrap w:val="0"/>
                  <w:vAlign w:val="center"/>
                </w:tcPr>
                <w:p w14:paraId="65048EB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97.47</w:t>
                  </w:r>
                </w:p>
              </w:tc>
              <w:tc>
                <w:tcPr>
                  <w:tcW w:w="1027" w:type="pct"/>
                  <w:tcBorders>
                    <w:tl2br w:val="nil"/>
                    <w:tr2bl w:val="nil"/>
                  </w:tcBorders>
                  <w:noWrap w:val="0"/>
                  <w:vAlign w:val="center"/>
                </w:tcPr>
                <w:p w14:paraId="7147CE2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0</w:t>
                  </w:r>
                </w:p>
              </w:tc>
            </w:tr>
            <w:tr w14:paraId="61CA4C5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tcBorders>
                    <w:tl2br w:val="nil"/>
                    <w:tr2bl w:val="nil"/>
                  </w:tcBorders>
                  <w:noWrap w:val="0"/>
                  <w:vAlign w:val="center"/>
                </w:tcPr>
                <w:p w14:paraId="4A221FB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须二段-</w:t>
                  </w:r>
                </w:p>
                <w:p w14:paraId="3F507608">
                  <w:pPr>
                    <w:keepNext w:val="0"/>
                    <w:keepLines w:val="0"/>
                    <w:widowControl/>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rPr>
                    <w:t>须四下亚段</w:t>
                  </w:r>
                </w:p>
              </w:tc>
              <w:tc>
                <w:tcPr>
                  <w:tcW w:w="1016" w:type="pct"/>
                  <w:tcBorders>
                    <w:tl2br w:val="nil"/>
                    <w:tr2bl w:val="nil"/>
                  </w:tcBorders>
                  <w:noWrap w:val="0"/>
                  <w:vAlign w:val="center"/>
                </w:tcPr>
                <w:p w14:paraId="7D8B7528">
                  <w:pPr>
                    <w:keepNext w:val="0"/>
                    <w:keepLines w:val="0"/>
                    <w:widowControl/>
                    <w:suppressLineNumbers w:val="0"/>
                    <w:adjustRightInd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巴探</w:t>
                  </w:r>
                  <w:r>
                    <w:rPr>
                      <w:rFonts w:hint="default"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井</w:t>
                  </w:r>
                </w:p>
              </w:tc>
              <w:tc>
                <w:tcPr>
                  <w:tcW w:w="1091" w:type="pct"/>
                  <w:tcBorders>
                    <w:tl2br w:val="nil"/>
                    <w:tr2bl w:val="nil"/>
                  </w:tcBorders>
                  <w:noWrap w:val="0"/>
                  <w:vAlign w:val="center"/>
                </w:tcPr>
                <w:p w14:paraId="303C76D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4</w:t>
                  </w:r>
                  <w:r>
                    <w:rPr>
                      <w:rFonts w:hint="default" w:ascii="Times New Roman" w:hAnsi="Times New Roman" w:eastAsia="宋体" w:cs="Times New Roman"/>
                      <w:color w:val="auto"/>
                      <w:kern w:val="0"/>
                      <w:sz w:val="21"/>
                      <w:szCs w:val="21"/>
                    </w:rPr>
                    <w:t>453.5-4659.0</w:t>
                  </w:r>
                </w:p>
              </w:tc>
              <w:tc>
                <w:tcPr>
                  <w:tcW w:w="870" w:type="pct"/>
                  <w:tcBorders>
                    <w:tl2br w:val="nil"/>
                    <w:tr2bl w:val="nil"/>
                  </w:tcBorders>
                  <w:noWrap w:val="0"/>
                  <w:vAlign w:val="center"/>
                </w:tcPr>
                <w:p w14:paraId="5A40EA3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9</w:t>
                  </w:r>
                  <w:r>
                    <w:rPr>
                      <w:rFonts w:hint="default" w:ascii="Times New Roman" w:hAnsi="Times New Roman" w:eastAsia="宋体" w:cs="Times New Roman"/>
                      <w:color w:val="auto"/>
                      <w:kern w:val="0"/>
                      <w:sz w:val="21"/>
                      <w:szCs w:val="21"/>
                    </w:rPr>
                    <w:t>8.06</w:t>
                  </w:r>
                </w:p>
              </w:tc>
              <w:tc>
                <w:tcPr>
                  <w:tcW w:w="1027" w:type="pct"/>
                  <w:tcBorders>
                    <w:tl2br w:val="nil"/>
                    <w:tr2bl w:val="nil"/>
                  </w:tcBorders>
                  <w:noWrap w:val="0"/>
                  <w:vAlign w:val="center"/>
                </w:tcPr>
                <w:p w14:paraId="5933FAF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0</w:t>
                  </w:r>
                </w:p>
              </w:tc>
            </w:tr>
            <w:tr w14:paraId="0E3198D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restart"/>
                  <w:tcBorders>
                    <w:tl2br w:val="nil"/>
                    <w:tr2bl w:val="nil"/>
                  </w:tcBorders>
                  <w:noWrap w:val="0"/>
                  <w:vAlign w:val="center"/>
                </w:tcPr>
                <w:p w14:paraId="7EE0665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须四</w:t>
                  </w:r>
                  <w:r>
                    <w:rPr>
                      <w:rFonts w:hint="eastAsia" w:cs="Times New Roman"/>
                      <w:b/>
                      <w:bCs/>
                      <w:color w:val="auto"/>
                      <w:kern w:val="0"/>
                      <w:sz w:val="21"/>
                      <w:szCs w:val="21"/>
                      <w:lang w:val="en-US" w:eastAsia="zh-CN"/>
                    </w:rPr>
                    <w:t>下</w:t>
                  </w:r>
                  <w:r>
                    <w:rPr>
                      <w:rFonts w:hint="default" w:ascii="Times New Roman" w:hAnsi="Times New Roman" w:eastAsia="宋体" w:cs="Times New Roman"/>
                      <w:b/>
                      <w:bCs/>
                      <w:color w:val="auto"/>
                      <w:kern w:val="0"/>
                      <w:sz w:val="21"/>
                      <w:szCs w:val="21"/>
                    </w:rPr>
                    <w:t>亚段</w:t>
                  </w:r>
                </w:p>
              </w:tc>
              <w:tc>
                <w:tcPr>
                  <w:tcW w:w="1016" w:type="pct"/>
                  <w:tcBorders>
                    <w:tl2br w:val="nil"/>
                    <w:tr2bl w:val="nil"/>
                  </w:tcBorders>
                  <w:shd w:val="clear" w:color="auto" w:fill="auto"/>
                  <w:noWrap w:val="0"/>
                  <w:vAlign w:val="center"/>
                </w:tcPr>
                <w:p w14:paraId="3DC3372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元陆33井</w:t>
                  </w:r>
                </w:p>
              </w:tc>
              <w:tc>
                <w:tcPr>
                  <w:tcW w:w="1091" w:type="pct"/>
                  <w:tcBorders>
                    <w:tl2br w:val="nil"/>
                    <w:tr2bl w:val="nil"/>
                  </w:tcBorders>
                  <w:shd w:val="clear" w:color="auto" w:fill="auto"/>
                  <w:noWrap w:val="0"/>
                  <w:vAlign w:val="center"/>
                </w:tcPr>
                <w:p w14:paraId="538309F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4450.0-4506.0</w:t>
                  </w:r>
                </w:p>
              </w:tc>
              <w:tc>
                <w:tcPr>
                  <w:tcW w:w="870" w:type="pct"/>
                  <w:tcBorders>
                    <w:tl2br w:val="nil"/>
                    <w:tr2bl w:val="nil"/>
                  </w:tcBorders>
                  <w:shd w:val="clear" w:color="auto" w:fill="auto"/>
                  <w:noWrap w:val="0"/>
                  <w:vAlign w:val="center"/>
                </w:tcPr>
                <w:p w14:paraId="22640CA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98.98</w:t>
                  </w:r>
                </w:p>
              </w:tc>
              <w:tc>
                <w:tcPr>
                  <w:tcW w:w="1027" w:type="pct"/>
                  <w:tcBorders>
                    <w:tl2br w:val="nil"/>
                    <w:tr2bl w:val="nil"/>
                  </w:tcBorders>
                  <w:shd w:val="clear" w:color="auto" w:fill="auto"/>
                  <w:noWrap w:val="0"/>
                  <w:vAlign w:val="center"/>
                </w:tcPr>
                <w:p w14:paraId="06F6590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568C009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103C229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274BAA0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元陆35HF井</w:t>
                  </w:r>
                </w:p>
              </w:tc>
              <w:tc>
                <w:tcPr>
                  <w:tcW w:w="1091" w:type="pct"/>
                  <w:tcBorders>
                    <w:tl2br w:val="nil"/>
                    <w:tr2bl w:val="nil"/>
                  </w:tcBorders>
                  <w:shd w:val="clear" w:color="auto" w:fill="auto"/>
                  <w:noWrap w:val="0"/>
                  <w:vAlign w:val="center"/>
                </w:tcPr>
                <w:p w14:paraId="515D3AD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5000.0-5930.0</w:t>
                  </w:r>
                </w:p>
              </w:tc>
              <w:tc>
                <w:tcPr>
                  <w:tcW w:w="870" w:type="pct"/>
                  <w:tcBorders>
                    <w:tl2br w:val="nil"/>
                    <w:tr2bl w:val="nil"/>
                  </w:tcBorders>
                  <w:shd w:val="clear" w:color="auto" w:fill="auto"/>
                  <w:noWrap w:val="0"/>
                  <w:vAlign w:val="center"/>
                </w:tcPr>
                <w:p w14:paraId="5C0C1A5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96.44</w:t>
                  </w:r>
                </w:p>
              </w:tc>
              <w:tc>
                <w:tcPr>
                  <w:tcW w:w="1027" w:type="pct"/>
                  <w:tcBorders>
                    <w:tl2br w:val="nil"/>
                    <w:tr2bl w:val="nil"/>
                  </w:tcBorders>
                  <w:shd w:val="clear" w:color="auto" w:fill="auto"/>
                  <w:noWrap w:val="0"/>
                  <w:vAlign w:val="center"/>
                </w:tcPr>
                <w:p w14:paraId="54C8125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7AEB9AA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6B13C46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469B09C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仁和1井</w:t>
                  </w:r>
                </w:p>
              </w:tc>
              <w:tc>
                <w:tcPr>
                  <w:tcW w:w="1091" w:type="pct"/>
                  <w:tcBorders>
                    <w:tl2br w:val="nil"/>
                    <w:tr2bl w:val="nil"/>
                  </w:tcBorders>
                  <w:shd w:val="clear" w:color="auto" w:fill="auto"/>
                  <w:noWrap w:val="0"/>
                  <w:vAlign w:val="center"/>
                </w:tcPr>
                <w:p w14:paraId="3A4AFA9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3653.0-3726.0</w:t>
                  </w:r>
                </w:p>
              </w:tc>
              <w:tc>
                <w:tcPr>
                  <w:tcW w:w="870" w:type="pct"/>
                  <w:tcBorders>
                    <w:tl2br w:val="nil"/>
                    <w:tr2bl w:val="nil"/>
                  </w:tcBorders>
                  <w:shd w:val="clear" w:color="auto" w:fill="auto"/>
                  <w:noWrap w:val="0"/>
                  <w:vAlign w:val="center"/>
                </w:tcPr>
                <w:p w14:paraId="6B829BD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96.19</w:t>
                  </w:r>
                </w:p>
              </w:tc>
              <w:tc>
                <w:tcPr>
                  <w:tcW w:w="1027" w:type="pct"/>
                  <w:tcBorders>
                    <w:tl2br w:val="nil"/>
                    <w:tr2bl w:val="nil"/>
                  </w:tcBorders>
                  <w:shd w:val="clear" w:color="auto" w:fill="auto"/>
                  <w:noWrap w:val="0"/>
                  <w:vAlign w:val="center"/>
                </w:tcPr>
                <w:p w14:paraId="5E82571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02CE8AF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0F739B67">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09763CA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元坝3井</w:t>
                  </w:r>
                </w:p>
              </w:tc>
              <w:tc>
                <w:tcPr>
                  <w:tcW w:w="1091" w:type="pct"/>
                  <w:tcBorders>
                    <w:tl2br w:val="nil"/>
                    <w:tr2bl w:val="nil"/>
                  </w:tcBorders>
                  <w:shd w:val="clear" w:color="auto" w:fill="auto"/>
                  <w:noWrap w:val="0"/>
                  <w:vAlign w:val="center"/>
                </w:tcPr>
                <w:p w14:paraId="5B902D5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4372.0-4410.0</w:t>
                  </w:r>
                </w:p>
              </w:tc>
              <w:tc>
                <w:tcPr>
                  <w:tcW w:w="870" w:type="pct"/>
                  <w:tcBorders>
                    <w:tl2br w:val="nil"/>
                    <w:tr2bl w:val="nil"/>
                  </w:tcBorders>
                  <w:shd w:val="clear" w:color="auto" w:fill="auto"/>
                  <w:noWrap w:val="0"/>
                  <w:vAlign w:val="center"/>
                </w:tcPr>
                <w:p w14:paraId="1047513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97.39</w:t>
                  </w:r>
                </w:p>
              </w:tc>
              <w:tc>
                <w:tcPr>
                  <w:tcW w:w="1027" w:type="pct"/>
                  <w:tcBorders>
                    <w:tl2br w:val="nil"/>
                    <w:tr2bl w:val="nil"/>
                  </w:tcBorders>
                  <w:shd w:val="clear" w:color="auto" w:fill="auto"/>
                  <w:noWrap w:val="0"/>
                  <w:vAlign w:val="center"/>
                </w:tcPr>
                <w:p w14:paraId="27A57C03">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3FB694A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7289766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010920B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元坝4井</w:t>
                  </w:r>
                </w:p>
              </w:tc>
              <w:tc>
                <w:tcPr>
                  <w:tcW w:w="1091" w:type="pct"/>
                  <w:tcBorders>
                    <w:tl2br w:val="nil"/>
                    <w:tr2bl w:val="nil"/>
                  </w:tcBorders>
                  <w:shd w:val="clear" w:color="auto" w:fill="auto"/>
                  <w:noWrap w:val="0"/>
                  <w:vAlign w:val="center"/>
                </w:tcPr>
                <w:p w14:paraId="183F142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4666.0-4695.0</w:t>
                  </w:r>
                </w:p>
              </w:tc>
              <w:tc>
                <w:tcPr>
                  <w:tcW w:w="870" w:type="pct"/>
                  <w:tcBorders>
                    <w:tl2br w:val="nil"/>
                    <w:tr2bl w:val="nil"/>
                  </w:tcBorders>
                  <w:shd w:val="clear" w:color="auto" w:fill="auto"/>
                  <w:noWrap w:val="0"/>
                  <w:vAlign w:val="center"/>
                </w:tcPr>
                <w:p w14:paraId="3DA21B3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97.61</w:t>
                  </w:r>
                </w:p>
              </w:tc>
              <w:tc>
                <w:tcPr>
                  <w:tcW w:w="1027" w:type="pct"/>
                  <w:tcBorders>
                    <w:tl2br w:val="nil"/>
                    <w:tr2bl w:val="nil"/>
                  </w:tcBorders>
                  <w:shd w:val="clear" w:color="auto" w:fill="auto"/>
                  <w:noWrap w:val="0"/>
                  <w:vAlign w:val="center"/>
                </w:tcPr>
                <w:p w14:paraId="16C4FD3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7259926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06A7051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rPr>
                  </w:pPr>
                </w:p>
              </w:tc>
              <w:tc>
                <w:tcPr>
                  <w:tcW w:w="1016" w:type="pct"/>
                  <w:tcBorders>
                    <w:tl2br w:val="nil"/>
                    <w:tr2bl w:val="nil"/>
                  </w:tcBorders>
                  <w:shd w:val="clear" w:color="auto" w:fill="auto"/>
                  <w:noWrap w:val="0"/>
                  <w:vAlign w:val="center"/>
                </w:tcPr>
                <w:p w14:paraId="703E26E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元陆3井</w:t>
                  </w:r>
                </w:p>
              </w:tc>
              <w:tc>
                <w:tcPr>
                  <w:tcW w:w="1091" w:type="pct"/>
                  <w:tcBorders>
                    <w:tl2br w:val="nil"/>
                    <w:tr2bl w:val="nil"/>
                  </w:tcBorders>
                  <w:shd w:val="clear" w:color="auto" w:fill="auto"/>
                  <w:noWrap w:val="0"/>
                  <w:vAlign w:val="center"/>
                </w:tcPr>
                <w:p w14:paraId="40989FB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4710.0-4717.0</w:t>
                  </w:r>
                </w:p>
              </w:tc>
              <w:tc>
                <w:tcPr>
                  <w:tcW w:w="870" w:type="pct"/>
                  <w:tcBorders>
                    <w:tl2br w:val="nil"/>
                    <w:tr2bl w:val="nil"/>
                  </w:tcBorders>
                  <w:shd w:val="clear" w:color="auto" w:fill="auto"/>
                  <w:noWrap w:val="0"/>
                  <w:vAlign w:val="center"/>
                </w:tcPr>
                <w:p w14:paraId="75AC5D1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98.6331</w:t>
                  </w:r>
                </w:p>
              </w:tc>
              <w:tc>
                <w:tcPr>
                  <w:tcW w:w="1027" w:type="pct"/>
                  <w:tcBorders>
                    <w:tl2br w:val="nil"/>
                    <w:tr2bl w:val="nil"/>
                  </w:tcBorders>
                  <w:shd w:val="clear" w:color="auto" w:fill="auto"/>
                  <w:noWrap w:val="0"/>
                  <w:vAlign w:val="center"/>
                </w:tcPr>
                <w:p w14:paraId="5525BC9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64C7A2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51F48556">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kern w:val="0"/>
                      <w:sz w:val="21"/>
                      <w:szCs w:val="21"/>
                    </w:rPr>
                  </w:pPr>
                </w:p>
              </w:tc>
              <w:tc>
                <w:tcPr>
                  <w:tcW w:w="1016" w:type="pct"/>
                  <w:tcBorders>
                    <w:tl2br w:val="nil"/>
                    <w:tr2bl w:val="nil"/>
                  </w:tcBorders>
                  <w:shd w:val="clear" w:color="auto" w:fill="auto"/>
                  <w:noWrap w:val="0"/>
                  <w:vAlign w:val="center"/>
                </w:tcPr>
                <w:p w14:paraId="5719C51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元陆4井</w:t>
                  </w:r>
                </w:p>
              </w:tc>
              <w:tc>
                <w:tcPr>
                  <w:tcW w:w="1091" w:type="pct"/>
                  <w:tcBorders>
                    <w:tl2br w:val="nil"/>
                    <w:tr2bl w:val="nil"/>
                  </w:tcBorders>
                  <w:shd w:val="clear" w:color="auto" w:fill="auto"/>
                  <w:noWrap w:val="0"/>
                  <w:vAlign w:val="center"/>
                </w:tcPr>
                <w:p w14:paraId="14F830F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4396.0-4405.0</w:t>
                  </w:r>
                </w:p>
              </w:tc>
              <w:tc>
                <w:tcPr>
                  <w:tcW w:w="870" w:type="pct"/>
                  <w:tcBorders>
                    <w:tl2br w:val="nil"/>
                    <w:tr2bl w:val="nil"/>
                  </w:tcBorders>
                  <w:shd w:val="clear" w:color="auto" w:fill="auto"/>
                  <w:noWrap w:val="0"/>
                  <w:vAlign w:val="center"/>
                </w:tcPr>
                <w:p w14:paraId="631086A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94.93</w:t>
                  </w:r>
                </w:p>
              </w:tc>
              <w:tc>
                <w:tcPr>
                  <w:tcW w:w="1027" w:type="pct"/>
                  <w:tcBorders>
                    <w:tl2br w:val="nil"/>
                    <w:tr2bl w:val="nil"/>
                  </w:tcBorders>
                  <w:shd w:val="clear" w:color="auto" w:fill="auto"/>
                  <w:noWrap w:val="0"/>
                  <w:vAlign w:val="center"/>
                </w:tcPr>
                <w:p w14:paraId="0843050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7828A9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23DE6154">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b/>
                      <w:bCs/>
                      <w:color w:val="auto"/>
                      <w:kern w:val="0"/>
                      <w:sz w:val="21"/>
                      <w:szCs w:val="21"/>
                    </w:rPr>
                  </w:pPr>
                </w:p>
              </w:tc>
              <w:tc>
                <w:tcPr>
                  <w:tcW w:w="1016" w:type="pct"/>
                  <w:tcBorders>
                    <w:tl2br w:val="nil"/>
                    <w:tr2bl w:val="nil"/>
                  </w:tcBorders>
                  <w:shd w:val="clear" w:color="auto" w:fill="auto"/>
                  <w:noWrap w:val="0"/>
                  <w:vAlign w:val="center"/>
                </w:tcPr>
                <w:p w14:paraId="2696D1A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元陆28井</w:t>
                  </w:r>
                </w:p>
              </w:tc>
              <w:tc>
                <w:tcPr>
                  <w:tcW w:w="1091" w:type="pct"/>
                  <w:tcBorders>
                    <w:tl2br w:val="nil"/>
                    <w:tr2bl w:val="nil"/>
                  </w:tcBorders>
                  <w:shd w:val="clear" w:color="auto" w:fill="auto"/>
                  <w:noWrap w:val="0"/>
                  <w:vAlign w:val="center"/>
                </w:tcPr>
                <w:p w14:paraId="5A25EDF7">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4760.0-4793.0</w:t>
                  </w:r>
                </w:p>
              </w:tc>
              <w:tc>
                <w:tcPr>
                  <w:tcW w:w="870" w:type="pct"/>
                  <w:tcBorders>
                    <w:tl2br w:val="nil"/>
                    <w:tr2bl w:val="nil"/>
                  </w:tcBorders>
                  <w:shd w:val="clear" w:color="auto" w:fill="auto"/>
                  <w:noWrap w:val="0"/>
                  <w:vAlign w:val="center"/>
                </w:tcPr>
                <w:p w14:paraId="3FC5C3B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97.66</w:t>
                  </w:r>
                </w:p>
              </w:tc>
              <w:tc>
                <w:tcPr>
                  <w:tcW w:w="1027" w:type="pct"/>
                  <w:tcBorders>
                    <w:tl2br w:val="nil"/>
                    <w:tr2bl w:val="nil"/>
                  </w:tcBorders>
                  <w:shd w:val="clear" w:color="auto" w:fill="auto"/>
                  <w:noWrap w:val="0"/>
                  <w:vAlign w:val="center"/>
                </w:tcPr>
                <w:p w14:paraId="4E82F79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6E421E4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178B5C0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1C19CAC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元陆17井</w:t>
                  </w:r>
                </w:p>
              </w:tc>
              <w:tc>
                <w:tcPr>
                  <w:tcW w:w="1091" w:type="pct"/>
                  <w:tcBorders>
                    <w:tl2br w:val="nil"/>
                    <w:tr2bl w:val="nil"/>
                  </w:tcBorders>
                  <w:shd w:val="clear" w:color="auto" w:fill="auto"/>
                  <w:noWrap w:val="0"/>
                  <w:vAlign w:val="center"/>
                </w:tcPr>
                <w:p w14:paraId="7995EAC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4535.0-4564.0</w:t>
                  </w:r>
                </w:p>
              </w:tc>
              <w:tc>
                <w:tcPr>
                  <w:tcW w:w="870" w:type="pct"/>
                  <w:tcBorders>
                    <w:tl2br w:val="nil"/>
                    <w:tr2bl w:val="nil"/>
                  </w:tcBorders>
                  <w:shd w:val="clear" w:color="auto" w:fill="auto"/>
                  <w:noWrap w:val="0"/>
                  <w:vAlign w:val="center"/>
                </w:tcPr>
                <w:p w14:paraId="1B26014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98.58</w:t>
                  </w:r>
                </w:p>
              </w:tc>
              <w:tc>
                <w:tcPr>
                  <w:tcW w:w="1027" w:type="pct"/>
                  <w:tcBorders>
                    <w:tl2br w:val="nil"/>
                    <w:tr2bl w:val="nil"/>
                  </w:tcBorders>
                  <w:shd w:val="clear" w:color="auto" w:fill="auto"/>
                  <w:noWrap w:val="0"/>
                  <w:vAlign w:val="center"/>
                </w:tcPr>
                <w:p w14:paraId="2669FAE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64C4664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185EB6E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75AC552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元陆171井</w:t>
                  </w:r>
                </w:p>
              </w:tc>
              <w:tc>
                <w:tcPr>
                  <w:tcW w:w="1091" w:type="pct"/>
                  <w:tcBorders>
                    <w:tl2br w:val="nil"/>
                    <w:tr2bl w:val="nil"/>
                  </w:tcBorders>
                  <w:shd w:val="clear" w:color="auto" w:fill="auto"/>
                  <w:noWrap w:val="0"/>
                  <w:vAlign w:val="center"/>
                </w:tcPr>
                <w:p w14:paraId="1EC5085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4529.0-4599.0</w:t>
                  </w:r>
                </w:p>
              </w:tc>
              <w:tc>
                <w:tcPr>
                  <w:tcW w:w="870" w:type="pct"/>
                  <w:tcBorders>
                    <w:tl2br w:val="nil"/>
                    <w:tr2bl w:val="nil"/>
                  </w:tcBorders>
                  <w:shd w:val="clear" w:color="auto" w:fill="auto"/>
                  <w:noWrap w:val="0"/>
                  <w:vAlign w:val="center"/>
                </w:tcPr>
                <w:p w14:paraId="2BDEAB1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97.66</w:t>
                  </w:r>
                </w:p>
              </w:tc>
              <w:tc>
                <w:tcPr>
                  <w:tcW w:w="1027" w:type="pct"/>
                  <w:tcBorders>
                    <w:tl2br w:val="nil"/>
                    <w:tr2bl w:val="nil"/>
                  </w:tcBorders>
                  <w:shd w:val="clear" w:color="auto" w:fill="auto"/>
                  <w:noWrap w:val="0"/>
                  <w:vAlign w:val="center"/>
                </w:tcPr>
                <w:p w14:paraId="32B0953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65969C6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21B3775F">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343F770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元陆172井</w:t>
                  </w:r>
                </w:p>
              </w:tc>
              <w:tc>
                <w:tcPr>
                  <w:tcW w:w="1091" w:type="pct"/>
                  <w:tcBorders>
                    <w:tl2br w:val="nil"/>
                    <w:tr2bl w:val="nil"/>
                  </w:tcBorders>
                  <w:shd w:val="clear" w:color="auto" w:fill="auto"/>
                  <w:noWrap w:val="0"/>
                  <w:vAlign w:val="center"/>
                </w:tcPr>
                <w:p w14:paraId="07EC22F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5037.0-5093.0</w:t>
                  </w:r>
                </w:p>
              </w:tc>
              <w:tc>
                <w:tcPr>
                  <w:tcW w:w="870" w:type="pct"/>
                  <w:tcBorders>
                    <w:tl2br w:val="nil"/>
                    <w:tr2bl w:val="nil"/>
                  </w:tcBorders>
                  <w:shd w:val="clear" w:color="auto" w:fill="auto"/>
                  <w:noWrap w:val="0"/>
                  <w:vAlign w:val="center"/>
                </w:tcPr>
                <w:p w14:paraId="51FA1F8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97.98</w:t>
                  </w:r>
                </w:p>
              </w:tc>
              <w:tc>
                <w:tcPr>
                  <w:tcW w:w="1027" w:type="pct"/>
                  <w:tcBorders>
                    <w:tl2br w:val="nil"/>
                    <w:tr2bl w:val="nil"/>
                  </w:tcBorders>
                  <w:shd w:val="clear" w:color="auto" w:fill="auto"/>
                  <w:noWrap w:val="0"/>
                  <w:vAlign w:val="center"/>
                </w:tcPr>
                <w:p w14:paraId="330F195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0A2F0DF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2D84D1D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7DBC23E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元陆173井</w:t>
                  </w:r>
                </w:p>
              </w:tc>
              <w:tc>
                <w:tcPr>
                  <w:tcW w:w="1091" w:type="pct"/>
                  <w:tcBorders>
                    <w:tl2br w:val="nil"/>
                    <w:tr2bl w:val="nil"/>
                  </w:tcBorders>
                  <w:shd w:val="clear" w:color="auto" w:fill="auto"/>
                  <w:noWrap w:val="0"/>
                  <w:vAlign w:val="center"/>
                </w:tcPr>
                <w:p w14:paraId="0CCDC32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4544.0-4605.0</w:t>
                  </w:r>
                </w:p>
              </w:tc>
              <w:tc>
                <w:tcPr>
                  <w:tcW w:w="870" w:type="pct"/>
                  <w:tcBorders>
                    <w:tl2br w:val="nil"/>
                    <w:tr2bl w:val="nil"/>
                  </w:tcBorders>
                  <w:shd w:val="clear" w:color="auto" w:fill="auto"/>
                  <w:noWrap w:val="0"/>
                  <w:vAlign w:val="center"/>
                </w:tcPr>
                <w:p w14:paraId="7406ADF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97.48</w:t>
                  </w:r>
                </w:p>
              </w:tc>
              <w:tc>
                <w:tcPr>
                  <w:tcW w:w="1027" w:type="pct"/>
                  <w:tcBorders>
                    <w:tl2br w:val="nil"/>
                    <w:tr2bl w:val="nil"/>
                  </w:tcBorders>
                  <w:shd w:val="clear" w:color="auto" w:fill="auto"/>
                  <w:noWrap w:val="0"/>
                  <w:vAlign w:val="center"/>
                </w:tcPr>
                <w:p w14:paraId="3193AB59">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5AC3325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6ECDA20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3BC88FE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元陆175井</w:t>
                  </w:r>
                </w:p>
              </w:tc>
              <w:tc>
                <w:tcPr>
                  <w:tcW w:w="1091" w:type="pct"/>
                  <w:tcBorders>
                    <w:tl2br w:val="nil"/>
                    <w:tr2bl w:val="nil"/>
                  </w:tcBorders>
                  <w:shd w:val="clear" w:color="auto" w:fill="auto"/>
                  <w:noWrap w:val="0"/>
                  <w:vAlign w:val="center"/>
                </w:tcPr>
                <w:p w14:paraId="58010EB3">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4590.0-4643.0</w:t>
                  </w:r>
                </w:p>
              </w:tc>
              <w:tc>
                <w:tcPr>
                  <w:tcW w:w="870" w:type="pct"/>
                  <w:tcBorders>
                    <w:tl2br w:val="nil"/>
                    <w:tr2bl w:val="nil"/>
                  </w:tcBorders>
                  <w:shd w:val="clear" w:color="auto" w:fill="auto"/>
                  <w:noWrap w:val="0"/>
                  <w:vAlign w:val="center"/>
                </w:tcPr>
                <w:p w14:paraId="6FF1D10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96.80</w:t>
                  </w:r>
                </w:p>
              </w:tc>
              <w:tc>
                <w:tcPr>
                  <w:tcW w:w="1027" w:type="pct"/>
                  <w:tcBorders>
                    <w:tl2br w:val="nil"/>
                    <w:tr2bl w:val="nil"/>
                  </w:tcBorders>
                  <w:shd w:val="clear" w:color="auto" w:fill="auto"/>
                  <w:noWrap w:val="0"/>
                  <w:vAlign w:val="center"/>
                </w:tcPr>
                <w:p w14:paraId="4DBA274E">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6DD7D4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Borders>
                    <w:tl2br w:val="nil"/>
                    <w:tr2bl w:val="nil"/>
                  </w:tcBorders>
                  <w:noWrap w:val="0"/>
                  <w:vAlign w:val="center"/>
                </w:tcPr>
                <w:p w14:paraId="13B90E7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1016" w:type="pct"/>
                  <w:tcBorders>
                    <w:tl2br w:val="nil"/>
                    <w:tr2bl w:val="nil"/>
                  </w:tcBorders>
                  <w:shd w:val="clear" w:color="auto" w:fill="auto"/>
                  <w:noWrap w:val="0"/>
                  <w:vAlign w:val="center"/>
                </w:tcPr>
                <w:p w14:paraId="0CDAECE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元陆176井</w:t>
                  </w:r>
                </w:p>
              </w:tc>
              <w:tc>
                <w:tcPr>
                  <w:tcW w:w="1091" w:type="pct"/>
                  <w:tcBorders>
                    <w:tl2br w:val="nil"/>
                    <w:tr2bl w:val="nil"/>
                  </w:tcBorders>
                  <w:shd w:val="clear" w:color="auto" w:fill="auto"/>
                  <w:noWrap w:val="0"/>
                  <w:vAlign w:val="center"/>
                </w:tcPr>
                <w:p w14:paraId="442AD1DD">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4723.0-4757.0</w:t>
                  </w:r>
                </w:p>
              </w:tc>
              <w:tc>
                <w:tcPr>
                  <w:tcW w:w="870" w:type="pct"/>
                  <w:tcBorders>
                    <w:tl2br w:val="nil"/>
                    <w:tr2bl w:val="nil"/>
                  </w:tcBorders>
                  <w:shd w:val="clear" w:color="auto" w:fill="auto"/>
                  <w:noWrap w:val="0"/>
                  <w:vAlign w:val="center"/>
                </w:tcPr>
                <w:p w14:paraId="6165CFE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97.50</w:t>
                  </w:r>
                </w:p>
              </w:tc>
              <w:tc>
                <w:tcPr>
                  <w:tcW w:w="1027" w:type="pct"/>
                  <w:tcBorders>
                    <w:tl2br w:val="nil"/>
                    <w:tr2bl w:val="nil"/>
                  </w:tcBorders>
                  <w:shd w:val="clear" w:color="auto" w:fill="auto"/>
                  <w:noWrap w:val="0"/>
                  <w:vAlign w:val="center"/>
                </w:tcPr>
                <w:p w14:paraId="0D884AB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bookmarkEnd w:id="33"/>
            <w:tr w14:paraId="5ABBD37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Pr>
                <w:p w14:paraId="74350F48">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0" w:type="auto"/>
                  <w:shd w:val="clear" w:color="auto" w:fill="auto"/>
                  <w:vAlign w:val="center"/>
                </w:tcPr>
                <w:p w14:paraId="06CBF2FC">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元陆177X井</w:t>
                  </w:r>
                </w:p>
              </w:tc>
              <w:tc>
                <w:tcPr>
                  <w:tcW w:w="0" w:type="auto"/>
                  <w:shd w:val="clear" w:color="auto" w:fill="auto"/>
                  <w:vAlign w:val="center"/>
                </w:tcPr>
                <w:p w14:paraId="2AAC1A38">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4863.0-5014.0</w:t>
                  </w:r>
                </w:p>
              </w:tc>
              <w:tc>
                <w:tcPr>
                  <w:tcW w:w="0" w:type="auto"/>
                  <w:shd w:val="clear" w:color="auto" w:fill="auto"/>
                  <w:vAlign w:val="center"/>
                </w:tcPr>
                <w:p w14:paraId="3540416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97.40</w:t>
                  </w:r>
                </w:p>
              </w:tc>
              <w:tc>
                <w:tcPr>
                  <w:tcW w:w="0" w:type="auto"/>
                  <w:shd w:val="clear" w:color="auto" w:fill="auto"/>
                  <w:vAlign w:val="center"/>
                </w:tcPr>
                <w:p w14:paraId="0EBFE774">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r w14:paraId="7632F11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pct"/>
                  <w:vMerge w:val="continue"/>
                </w:tcPr>
                <w:p w14:paraId="1FEC2CA1">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宋体" w:cs="Times New Roman"/>
                      <w:color w:val="auto"/>
                      <w:kern w:val="0"/>
                      <w:sz w:val="21"/>
                      <w:szCs w:val="21"/>
                    </w:rPr>
                  </w:pPr>
                </w:p>
              </w:tc>
              <w:tc>
                <w:tcPr>
                  <w:tcW w:w="0" w:type="auto"/>
                  <w:shd w:val="clear" w:color="auto" w:fill="auto"/>
                  <w:vAlign w:val="center"/>
                </w:tcPr>
                <w:p w14:paraId="5BC70EC2">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元陆178井</w:t>
                  </w:r>
                </w:p>
              </w:tc>
              <w:tc>
                <w:tcPr>
                  <w:tcW w:w="0" w:type="auto"/>
                  <w:shd w:val="clear" w:color="auto" w:fill="auto"/>
                  <w:vAlign w:val="center"/>
                </w:tcPr>
                <w:p w14:paraId="7E7D491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4845.0-4915.0</w:t>
                  </w:r>
                </w:p>
              </w:tc>
              <w:tc>
                <w:tcPr>
                  <w:tcW w:w="0" w:type="auto"/>
                  <w:shd w:val="clear" w:color="auto" w:fill="auto"/>
                  <w:vAlign w:val="center"/>
                </w:tcPr>
                <w:p w14:paraId="13226A7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97.57</w:t>
                  </w:r>
                </w:p>
              </w:tc>
              <w:tc>
                <w:tcPr>
                  <w:tcW w:w="0" w:type="auto"/>
                  <w:shd w:val="clear" w:color="auto" w:fill="auto"/>
                  <w:vAlign w:val="center"/>
                </w:tcPr>
                <w:p w14:paraId="23B977BF">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rPr>
                    <w:t>0</w:t>
                  </w:r>
                </w:p>
              </w:tc>
            </w:tr>
          </w:tbl>
          <w:p w14:paraId="170403E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2、项目组成</w:t>
            </w:r>
          </w:p>
          <w:p w14:paraId="2D2F3BC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kern w:val="0"/>
                <w:sz w:val="24"/>
                <w:szCs w:val="21"/>
              </w:rPr>
              <w:t>本项目仅为天然气勘探井的钻前施工、钻井施工</w:t>
            </w:r>
            <w:r>
              <w:rPr>
                <w:rFonts w:hint="default" w:ascii="Times New Roman" w:hAnsi="Times New Roman" w:cs="Times New Roman"/>
                <w:color w:val="auto"/>
                <w:sz w:val="24"/>
              </w:rPr>
              <w:t>。</w:t>
            </w:r>
          </w:p>
          <w:p w14:paraId="6876565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（1）钻前工程</w:t>
            </w:r>
          </w:p>
          <w:p w14:paraId="49C2EAD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钻前工程内容包括新建</w:t>
            </w:r>
            <w:r>
              <w:rPr>
                <w:rFonts w:hint="eastAsia" w:cs="Times New Roman"/>
                <w:color w:val="auto"/>
                <w:sz w:val="24"/>
                <w:lang w:val="en-US" w:eastAsia="zh-CN"/>
              </w:rPr>
              <w:t>井场一座</w:t>
            </w:r>
            <w:r>
              <w:rPr>
                <w:rFonts w:hint="eastAsia" w:ascii="Times New Roman" w:hAnsi="Times New Roman" w:cs="Times New Roman"/>
                <w:color w:val="auto"/>
                <w:sz w:val="24"/>
              </w:rPr>
              <w:t>，</w:t>
            </w:r>
            <w:r>
              <w:rPr>
                <w:rFonts w:hint="default" w:ascii="Times New Roman" w:hAnsi="Times New Roman" w:cs="Times New Roman"/>
                <w:color w:val="auto"/>
                <w:sz w:val="24"/>
              </w:rPr>
              <w:t>主要</w:t>
            </w:r>
            <w:r>
              <w:rPr>
                <w:rFonts w:hint="eastAsia" w:cs="Times New Roman"/>
                <w:color w:val="auto"/>
                <w:sz w:val="24"/>
                <w:lang w:val="en-US" w:eastAsia="zh-CN"/>
              </w:rPr>
              <w:t>设</w:t>
            </w:r>
            <w:r>
              <w:rPr>
                <w:rFonts w:hint="default" w:ascii="Times New Roman" w:hAnsi="Times New Roman" w:cs="Times New Roman"/>
                <w:color w:val="auto"/>
                <w:sz w:val="24"/>
              </w:rPr>
              <w:t>方井1座，井架基础、泥浆泵基础</w:t>
            </w:r>
            <w:r>
              <w:rPr>
                <w:rFonts w:hint="eastAsia" w:ascii="Times New Roman" w:hAnsi="Times New Roman" w:cs="Times New Roman"/>
                <w:color w:val="auto"/>
                <w:sz w:val="24"/>
              </w:rPr>
              <w:t>（泵房基础）</w:t>
            </w:r>
            <w:r>
              <w:rPr>
                <w:rFonts w:hint="default" w:ascii="Times New Roman" w:hAnsi="Times New Roman" w:cs="Times New Roman"/>
                <w:color w:val="auto"/>
                <w:sz w:val="24"/>
              </w:rPr>
              <w:t>、循环罐基础、储备罐基础</w:t>
            </w:r>
            <w:r>
              <w:rPr>
                <w:rFonts w:hint="eastAsia" w:ascii="Times New Roman" w:hAnsi="Times New Roman" w:cs="Times New Roman"/>
                <w:color w:val="auto"/>
                <w:sz w:val="24"/>
              </w:rPr>
              <w:t>（泥浆储备</w:t>
            </w:r>
            <w:r>
              <w:rPr>
                <w:rFonts w:hint="eastAsia" w:cs="Times New Roman"/>
                <w:color w:val="auto"/>
                <w:sz w:val="24"/>
                <w:lang w:eastAsia="zh-CN"/>
              </w:rPr>
              <w:t>）</w:t>
            </w:r>
            <w:r>
              <w:rPr>
                <w:rFonts w:hint="default" w:ascii="Times New Roman" w:hAnsi="Times New Roman" w:cs="Times New Roman"/>
                <w:color w:val="auto"/>
                <w:sz w:val="24"/>
              </w:rPr>
              <w:t>、泥浆不落地基础（环保装置区）、</w:t>
            </w:r>
            <w:r>
              <w:rPr>
                <w:rFonts w:hint="eastAsia" w:ascii="Times New Roman" w:hAnsi="Times New Roman" w:cs="Times New Roman"/>
                <w:color w:val="auto"/>
                <w:sz w:val="24"/>
              </w:rPr>
              <w:t>机房基础（</w:t>
            </w:r>
            <w:r>
              <w:rPr>
                <w:rFonts w:hint="default" w:ascii="Times New Roman" w:hAnsi="Times New Roman" w:cs="Times New Roman"/>
                <w:color w:val="auto"/>
                <w:sz w:val="24"/>
              </w:rPr>
              <w:t>发电机房及</w:t>
            </w:r>
            <w:r>
              <w:rPr>
                <w:rFonts w:hint="eastAsia" w:cs="Times New Roman"/>
                <w:color w:val="auto"/>
                <w:sz w:val="24"/>
                <w:lang w:val="en-US" w:eastAsia="zh-CN"/>
              </w:rPr>
              <w:t>高低压配电房基础</w:t>
            </w:r>
            <w:r>
              <w:rPr>
                <w:rFonts w:hint="eastAsia" w:ascii="Times New Roman" w:hAnsi="Times New Roman" w:cs="Times New Roman"/>
                <w:color w:val="auto"/>
                <w:sz w:val="24"/>
              </w:rPr>
              <w:t>）</w:t>
            </w:r>
            <w:r>
              <w:rPr>
                <w:rFonts w:hint="default" w:ascii="Times New Roman" w:hAnsi="Times New Roman" w:cs="Times New Roman"/>
                <w:color w:val="auto"/>
                <w:sz w:val="24"/>
              </w:rPr>
              <w:t>、</w:t>
            </w:r>
            <w:r>
              <w:rPr>
                <w:rFonts w:hint="eastAsia" w:cs="Times New Roman"/>
                <w:color w:val="auto"/>
                <w:sz w:val="24"/>
                <w:lang w:val="en-US" w:eastAsia="zh-CN"/>
              </w:rPr>
              <w:t>油罐区基础、放喷池、</w:t>
            </w:r>
            <w:r>
              <w:rPr>
                <w:rFonts w:hint="default" w:ascii="Times New Roman" w:hAnsi="Times New Roman" w:cs="Times New Roman"/>
                <w:color w:val="auto"/>
                <w:sz w:val="24"/>
              </w:rPr>
              <w:t>清水池</w:t>
            </w:r>
            <w:r>
              <w:rPr>
                <w:rFonts w:hint="eastAsia" w:ascii="Times New Roman" w:hAnsi="Times New Roman" w:cs="Times New Roman"/>
                <w:color w:val="auto"/>
                <w:sz w:val="24"/>
              </w:rPr>
              <w:t>、污水池（</w:t>
            </w:r>
            <w:r>
              <w:rPr>
                <w:rFonts w:hint="default" w:ascii="Times New Roman" w:hAnsi="Times New Roman" w:cs="Times New Roman"/>
                <w:color w:val="auto"/>
                <w:sz w:val="24"/>
              </w:rPr>
              <w:t>多功能网格池组</w:t>
            </w:r>
            <w:r>
              <w:rPr>
                <w:rFonts w:hint="eastAsia" w:ascii="Times New Roman" w:hAnsi="Times New Roman" w:cs="Times New Roman"/>
                <w:color w:val="auto"/>
                <w:sz w:val="24"/>
              </w:rPr>
              <w:t>）</w:t>
            </w:r>
            <w:r>
              <w:rPr>
                <w:rFonts w:hint="default" w:ascii="Times New Roman" w:hAnsi="Times New Roman" w:cs="Times New Roman"/>
                <w:color w:val="auto"/>
                <w:sz w:val="24"/>
              </w:rPr>
              <w:t>等</w:t>
            </w:r>
            <w:r>
              <w:rPr>
                <w:rFonts w:hint="eastAsia" w:cs="Times New Roman"/>
                <w:color w:val="auto"/>
                <w:sz w:val="24"/>
                <w:lang w:eastAsia="zh-CN"/>
              </w:rPr>
              <w:t>。</w:t>
            </w:r>
            <w:r>
              <w:rPr>
                <w:rFonts w:hint="default" w:ascii="Times New Roman" w:hAnsi="Times New Roman" w:eastAsia="宋体" w:cs="Times New Roman"/>
                <w:color w:val="auto"/>
                <w:sz w:val="24"/>
              </w:rPr>
              <w:t>新建生活营地</w:t>
            </w:r>
            <w:r>
              <w:rPr>
                <w:rFonts w:hint="eastAsia" w:ascii="Times New Roman" w:hAnsi="Times New Roman" w:eastAsia="宋体" w:cs="Times New Roman"/>
                <w:color w:val="auto"/>
                <w:sz w:val="24"/>
              </w:rPr>
              <w:t>1个</w:t>
            </w:r>
            <w:r>
              <w:rPr>
                <w:rFonts w:hint="eastAsia" w:cs="Times New Roman"/>
                <w:color w:val="auto"/>
                <w:sz w:val="24"/>
                <w:lang w:eastAsia="zh-CN"/>
              </w:rPr>
              <w:t>，</w:t>
            </w:r>
            <w:r>
              <w:rPr>
                <w:rFonts w:hint="eastAsia" w:cs="Times New Roman"/>
                <w:color w:val="auto"/>
                <w:sz w:val="24"/>
                <w:lang w:val="en-US" w:eastAsia="zh-CN"/>
              </w:rPr>
              <w:t>井场北侧及东侧</w:t>
            </w:r>
            <w:r>
              <w:rPr>
                <w:rFonts w:hint="default" w:ascii="Times New Roman" w:hAnsi="Times New Roman" w:cs="Times New Roman"/>
                <w:color w:val="auto"/>
                <w:sz w:val="24"/>
              </w:rPr>
              <w:t>设置</w:t>
            </w:r>
            <w:r>
              <w:rPr>
                <w:rFonts w:hint="eastAsia" w:ascii="Times New Roman" w:hAnsi="Times New Roman" w:cs="Times New Roman"/>
                <w:color w:val="auto"/>
                <w:sz w:val="24"/>
              </w:rPr>
              <w:t>截水沟</w:t>
            </w:r>
            <w:r>
              <w:rPr>
                <w:rFonts w:hint="default" w:ascii="Times New Roman" w:hAnsi="Times New Roman" w:cs="Times New Roman"/>
                <w:color w:val="auto"/>
                <w:sz w:val="24"/>
              </w:rPr>
              <w:t>，井场内设置排污沟</w:t>
            </w:r>
            <w:r>
              <w:rPr>
                <w:rFonts w:hint="eastAsia" w:cs="Times New Roman"/>
                <w:color w:val="auto"/>
                <w:sz w:val="24"/>
                <w:lang w:eastAsia="zh-CN"/>
              </w:rPr>
              <w:t>。</w:t>
            </w:r>
            <w:r>
              <w:rPr>
                <w:rFonts w:hint="eastAsia" w:cs="Times New Roman"/>
                <w:color w:val="auto"/>
                <w:sz w:val="24"/>
                <w:lang w:val="en-US" w:eastAsia="zh-CN"/>
              </w:rPr>
              <w:t>同时</w:t>
            </w:r>
            <w:r>
              <w:rPr>
                <w:rFonts w:hint="default" w:ascii="Times New Roman" w:hAnsi="Times New Roman" w:cs="Times New Roman"/>
                <w:color w:val="auto"/>
                <w:sz w:val="24"/>
              </w:rPr>
              <w:t>设置进场道路，</w:t>
            </w:r>
            <w:r>
              <w:rPr>
                <w:rFonts w:hint="eastAsia" w:ascii="Times New Roman" w:hAnsi="Times New Roman" w:cs="Times New Roman"/>
                <w:color w:val="auto"/>
                <w:sz w:val="24"/>
                <w:lang w:val="en-US" w:eastAsia="zh-CN"/>
              </w:rPr>
              <w:t>临时</w:t>
            </w:r>
            <w:r>
              <w:rPr>
                <w:rFonts w:hint="eastAsia" w:ascii="Times New Roman" w:hAnsi="Times New Roman" w:cs="Times New Roman"/>
                <w:color w:val="auto"/>
                <w:sz w:val="24"/>
              </w:rPr>
              <w:t>堆场</w:t>
            </w:r>
            <w:r>
              <w:rPr>
                <w:rFonts w:hint="eastAsia" w:cs="Times New Roman"/>
                <w:color w:val="auto"/>
                <w:sz w:val="24"/>
                <w:lang w:val="en-US" w:eastAsia="zh-CN"/>
              </w:rPr>
              <w:t>等</w:t>
            </w:r>
            <w:r>
              <w:rPr>
                <w:rFonts w:hint="default" w:ascii="Times New Roman" w:hAnsi="Times New Roman" w:cs="Times New Roman"/>
                <w:color w:val="auto"/>
                <w:sz w:val="24"/>
              </w:rPr>
              <w:t>。</w:t>
            </w:r>
          </w:p>
          <w:p w14:paraId="15A573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本项目钻前工程主要工程内容及工程量见下表。</w:t>
            </w:r>
          </w:p>
          <w:p w14:paraId="0A2B2CE8">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钻前工程主要建设内容</w:t>
            </w:r>
          </w:p>
          <w:tbl>
            <w:tblPr>
              <w:tblStyle w:val="23"/>
              <w:tblW w:w="498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869"/>
              <w:gridCol w:w="5128"/>
            </w:tblGrid>
            <w:tr w14:paraId="5383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680" w:type="pct"/>
                  <w:gridSpan w:val="2"/>
                  <w:noWrap w:val="0"/>
                  <w:vAlign w:val="center"/>
                </w:tcPr>
                <w:p w14:paraId="375F6AE4">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名称</w:t>
                  </w:r>
                </w:p>
              </w:tc>
              <w:tc>
                <w:tcPr>
                  <w:tcW w:w="3319" w:type="pct"/>
                  <w:noWrap w:val="0"/>
                  <w:vAlign w:val="center"/>
                </w:tcPr>
                <w:p w14:paraId="5975A781">
                  <w:pPr>
                    <w:pStyle w:val="50"/>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建设内容</w:t>
                  </w:r>
                </w:p>
              </w:tc>
            </w:tr>
            <w:tr w14:paraId="4957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3429F66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道路工程</w:t>
                  </w:r>
                </w:p>
              </w:tc>
              <w:tc>
                <w:tcPr>
                  <w:tcW w:w="3319" w:type="pct"/>
                  <w:noWrap w:val="0"/>
                  <w:vAlign w:val="center"/>
                </w:tcPr>
                <w:p w14:paraId="07076B14">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color w:val="auto"/>
                      <w:szCs w:val="21"/>
                      <w:lang w:bidi="ar"/>
                    </w:rPr>
                    <w:t>按照四级公路要求</w:t>
                  </w:r>
                  <w:r>
                    <w:rPr>
                      <w:rFonts w:hint="eastAsia" w:eastAsia="宋体"/>
                      <w:color w:val="auto"/>
                      <w:szCs w:val="21"/>
                      <w:lang w:val="en-US" w:eastAsia="zh-CN" w:bidi="ar"/>
                    </w:rPr>
                    <w:t>对现有进场农村公路（</w:t>
                  </w:r>
                  <w:r>
                    <w:rPr>
                      <w:rFonts w:hint="eastAsia" w:ascii="Times New Roman" w:hAnsi="Times New Roman" w:eastAsia="宋体" w:cs="Times New Roman"/>
                      <w:color w:val="auto"/>
                      <w:szCs w:val="21"/>
                      <w:lang w:val="en-US" w:eastAsia="zh-CN" w:bidi="ar"/>
                    </w:rPr>
                    <w:t>长约</w:t>
                  </w:r>
                  <w:r>
                    <w:rPr>
                      <w:rFonts w:hint="default" w:ascii="Times New Roman" w:hAnsi="Times New Roman" w:eastAsia="宋体" w:cs="Times New Roman"/>
                      <w:color w:val="auto"/>
                      <w:szCs w:val="21"/>
                      <w:lang w:val="en-US" w:eastAsia="zh-CN" w:bidi="ar"/>
                    </w:rPr>
                    <w:t>5.5km</w:t>
                  </w:r>
                  <w:r>
                    <w:rPr>
                      <w:rFonts w:hint="eastAsia" w:ascii="Times New Roman" w:hAnsi="Times New Roman" w:eastAsia="宋体" w:cs="Times New Roman"/>
                      <w:color w:val="auto"/>
                      <w:szCs w:val="21"/>
                      <w:lang w:val="en-US" w:eastAsia="zh-CN" w:bidi="ar"/>
                    </w:rPr>
                    <w:t>、宽3.5m）进行改</w:t>
                  </w:r>
                  <w:r>
                    <w:rPr>
                      <w:rFonts w:hint="default" w:ascii="Times New Roman" w:hAnsi="Times New Roman" w:eastAsia="宋体" w:cs="Times New Roman"/>
                      <w:color w:val="auto"/>
                      <w:szCs w:val="21"/>
                      <w:lang w:val="en-US" w:eastAsia="zh-CN" w:bidi="ar"/>
                    </w:rPr>
                    <w:t>建，</w:t>
                  </w:r>
                  <w:r>
                    <w:rPr>
                      <w:rFonts w:hint="eastAsia" w:ascii="Times New Roman" w:hAnsi="Times New Roman" w:eastAsia="宋体" w:cs="Times New Roman"/>
                      <w:color w:val="auto"/>
                      <w:szCs w:val="21"/>
                      <w:lang w:val="en-US" w:eastAsia="zh-CN" w:bidi="ar"/>
                    </w:rPr>
                    <w:t>破损路面修补3250m</w:t>
                  </w:r>
                  <w:r>
                    <w:rPr>
                      <w:rFonts w:hint="eastAsia" w:ascii="Times New Roman" w:hAnsi="Times New Roman" w:eastAsia="宋体" w:cs="Times New Roman"/>
                      <w:color w:val="auto"/>
                      <w:szCs w:val="21"/>
                      <w:vertAlign w:val="superscript"/>
                      <w:lang w:val="en-US" w:eastAsia="zh-CN" w:bidi="ar"/>
                    </w:rPr>
                    <w:t>2</w:t>
                  </w:r>
                  <w:r>
                    <w:rPr>
                      <w:rFonts w:hint="eastAsia" w:ascii="Times New Roman" w:hAnsi="Times New Roman" w:eastAsia="宋体" w:cs="Times New Roman"/>
                      <w:color w:val="auto"/>
                      <w:szCs w:val="21"/>
                      <w:lang w:val="en-US" w:eastAsia="zh-CN" w:bidi="ar"/>
                    </w:rPr>
                    <w:t>，对8处弯道进行加宽处理（各弯道处最大宽度加宽到4.5~9.8m）；</w:t>
                  </w:r>
                  <w:r>
                    <w:rPr>
                      <w:rFonts w:hint="default" w:ascii="Times New Roman" w:hAnsi="Times New Roman" w:eastAsia="宋体" w:cs="Times New Roman"/>
                      <w:color w:val="auto"/>
                      <w:szCs w:val="21"/>
                      <w:lang w:val="en-US" w:eastAsia="zh-CN" w:bidi="ar"/>
                    </w:rPr>
                    <w:t>新建进场道路约64m</w:t>
                  </w:r>
                  <w:r>
                    <w:rPr>
                      <w:rFonts w:hint="eastAsia" w:ascii="Times New Roman" w:hAnsi="Times New Roman" w:eastAsia="宋体" w:cs="Times New Roman"/>
                      <w:color w:val="auto"/>
                      <w:szCs w:val="21"/>
                      <w:lang w:val="en-US" w:eastAsia="zh-CN" w:bidi="ar"/>
                    </w:rPr>
                    <w:t>、宽4.0m，</w:t>
                  </w:r>
                  <w:r>
                    <w:rPr>
                      <w:rFonts w:hint="default" w:ascii="Times New Roman" w:hAnsi="Times New Roman" w:eastAsia="宋体" w:cs="Times New Roman"/>
                      <w:color w:val="auto"/>
                      <w:szCs w:val="21"/>
                      <w:lang w:val="en-US" w:eastAsia="zh-CN" w:bidi="ar"/>
                    </w:rPr>
                    <w:t>外部道路依托已建道路</w:t>
                  </w:r>
                  <w:r>
                    <w:rPr>
                      <w:rFonts w:hint="eastAsia" w:ascii="Times New Roman" w:hAnsi="Times New Roman" w:eastAsia="宋体" w:cs="Times New Roman"/>
                      <w:color w:val="auto"/>
                      <w:szCs w:val="21"/>
                      <w:lang w:val="en-US" w:eastAsia="zh-CN" w:bidi="ar"/>
                    </w:rPr>
                    <w:t>。道路结构均为200mm沙砾石+200mm厚C25混凝土层</w:t>
                  </w:r>
                </w:p>
              </w:tc>
            </w:tr>
            <w:tr w14:paraId="28FD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49F7267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涵洞</w:t>
                  </w:r>
                </w:p>
              </w:tc>
              <w:tc>
                <w:tcPr>
                  <w:tcW w:w="3319" w:type="pct"/>
                  <w:noWrap w:val="0"/>
                  <w:vAlign w:val="center"/>
                </w:tcPr>
                <w:p w14:paraId="7BD0217F">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维修道路涵洞1处，长约8m，</w:t>
                  </w:r>
                  <w:r>
                    <w:rPr>
                      <w:rFonts w:hint="default" w:ascii="Times New Roman" w:hAnsi="Times New Roman" w:cs="Times New Roman"/>
                      <w:color w:val="auto"/>
                      <w:lang w:val="en-US" w:eastAsia="zh-CN"/>
                    </w:rPr>
                    <w:t>采用</w:t>
                  </w:r>
                  <w:r>
                    <w:rPr>
                      <w:rFonts w:hint="default" w:ascii="Times New Roman" w:hAnsi="Times New Roman" w:cs="Times New Roman"/>
                      <w:color w:val="auto"/>
                    </w:rPr>
                    <w:t>钢筋混凝土圆管涵</w:t>
                  </w:r>
                </w:p>
              </w:tc>
            </w:tr>
            <w:tr w14:paraId="2244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63327E5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平整井场</w:t>
                  </w:r>
                </w:p>
              </w:tc>
              <w:tc>
                <w:tcPr>
                  <w:tcW w:w="3319" w:type="pct"/>
                  <w:noWrap w:val="0"/>
                  <w:vAlign w:val="center"/>
                </w:tcPr>
                <w:p w14:paraId="7956198B">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rPr>
                  </w:pPr>
                  <w:r>
                    <w:rPr>
                      <w:rFonts w:hint="default" w:ascii="Times New Roman" w:hAnsi="Times New Roman" w:eastAsia="宋体" w:cs="Times New Roman"/>
                      <w:color w:val="auto"/>
                    </w:rPr>
                    <w:t>井场长1</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rPr>
                    <w:t>0m，宽60m。</w:t>
                  </w:r>
                  <w:r>
                    <w:rPr>
                      <w:rFonts w:hint="eastAsia" w:ascii="Times New Roman" w:hAnsi="Times New Roman" w:eastAsia="宋体" w:cs="Times New Roman"/>
                      <w:color w:val="auto"/>
                      <w:lang w:val="en-US" w:eastAsia="zh-CN"/>
                    </w:rPr>
                    <w:t>后场采用混凝土面层硬化，前场采用水泥稳定碎石层硬化</w:t>
                  </w:r>
                </w:p>
              </w:tc>
            </w:tr>
            <w:tr w14:paraId="56A5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restart"/>
                  <w:noWrap w:val="0"/>
                  <w:vAlign w:val="center"/>
                </w:tcPr>
                <w:p w14:paraId="6A49B56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各设备基础结构</w:t>
                  </w:r>
                </w:p>
              </w:tc>
              <w:tc>
                <w:tcPr>
                  <w:tcW w:w="1209" w:type="pct"/>
                  <w:noWrap w:val="0"/>
                  <w:vAlign w:val="center"/>
                </w:tcPr>
                <w:p w14:paraId="38B0D26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方</w:t>
                  </w:r>
                  <w:r>
                    <w:rPr>
                      <w:rFonts w:ascii="Times New Roman" w:hAnsi="Times New Roman" w:cs="Times New Roman"/>
                      <w:color w:val="auto"/>
                    </w:rPr>
                    <w:t>井</w:t>
                  </w:r>
                </w:p>
              </w:tc>
              <w:tc>
                <w:tcPr>
                  <w:tcW w:w="3319" w:type="pct"/>
                  <w:noWrap w:val="0"/>
                  <w:vAlign w:val="center"/>
                </w:tcPr>
                <w:p w14:paraId="6B1707EE">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val="en-US" w:eastAsia="zh-CN" w:bidi="ar"/>
                    </w:rPr>
                  </w:pPr>
                  <w:r>
                    <w:rPr>
                      <w:rFonts w:hint="default" w:ascii="Times New Roman" w:hAnsi="Times New Roman" w:cs="Times New Roman"/>
                      <w:color w:val="auto"/>
                    </w:rPr>
                    <w:t>布置于井场中部，</w:t>
                  </w:r>
                  <w:r>
                    <w:rPr>
                      <w:rFonts w:hint="default" w:ascii="Times New Roman" w:hAnsi="Times New Roman" w:eastAsia="宋体" w:cs="Times New Roman"/>
                      <w:color w:val="auto"/>
                      <w:lang w:val="en-US" w:eastAsia="zh-CN"/>
                    </w:rPr>
                    <w:t>长×宽×深=5.4</w:t>
                  </w:r>
                  <w:r>
                    <w:rPr>
                      <w:rFonts w:hint="default" w:ascii="Times New Roman" w:hAnsi="Times New Roman" w:cs="Times New Roman"/>
                      <w:color w:val="auto"/>
                    </w:rPr>
                    <w:t>m×</w:t>
                  </w:r>
                  <w:r>
                    <w:rPr>
                      <w:rFonts w:hint="default" w:ascii="Times New Roman" w:hAnsi="Times New Roman" w:eastAsia="宋体" w:cs="Times New Roman"/>
                      <w:color w:val="auto"/>
                      <w:lang w:val="en-US" w:eastAsia="zh-CN"/>
                    </w:rPr>
                    <w:t>5.1</w:t>
                  </w:r>
                  <w:r>
                    <w:rPr>
                      <w:rFonts w:hint="default" w:ascii="Times New Roman" w:hAnsi="Times New Roman" w:cs="Times New Roman"/>
                      <w:color w:val="auto"/>
                    </w:rPr>
                    <w:t>m×</w:t>
                  </w:r>
                  <w:r>
                    <w:rPr>
                      <w:rFonts w:hint="default" w:ascii="Times New Roman" w:hAnsi="Times New Roman" w:eastAsia="宋体" w:cs="Times New Roman"/>
                      <w:color w:val="auto"/>
                    </w:rPr>
                    <w:t>5.2</w:t>
                  </w:r>
                  <w:r>
                    <w:rPr>
                      <w:rFonts w:hint="default" w:ascii="Times New Roman" w:hAnsi="Times New Roman" w:cs="Times New Roman"/>
                      <w:color w:val="auto"/>
                    </w:rPr>
                    <w:t>m</w:t>
                  </w:r>
                  <w:r>
                    <w:rPr>
                      <w:rFonts w:hint="default" w:ascii="Times New Roman" w:hAnsi="Times New Roman" w:eastAsia="宋体" w:cs="Times New Roman"/>
                      <w:color w:val="auto"/>
                    </w:rPr>
                    <w:t>，占地面积2</w:t>
                  </w:r>
                  <w:r>
                    <w:rPr>
                      <w:rFonts w:hint="default" w:ascii="Times New Roman" w:hAnsi="Times New Roman" w:eastAsia="宋体" w:cs="Times New Roman"/>
                      <w:color w:val="auto"/>
                      <w:lang w:val="en-US" w:eastAsia="zh-CN"/>
                    </w:rPr>
                    <w:t>7.54</w:t>
                  </w:r>
                  <w:r>
                    <w:rPr>
                      <w:rFonts w:hint="default" w:ascii="Times New Roman" w:hAnsi="Times New Roman" w:eastAsia="宋体" w:cs="Times New Roman"/>
                      <w:color w:val="auto"/>
                      <w:lang w:bidi="ar"/>
                    </w:rPr>
                    <w:t>m</w:t>
                  </w:r>
                  <w:r>
                    <w:rPr>
                      <w:rFonts w:hint="eastAsia" w:ascii="Times New Roman" w:hAnsi="Times New Roman" w:eastAsia="宋体" w:cs="Times New Roman"/>
                      <w:color w:val="auto"/>
                      <w:vertAlign w:val="superscript"/>
                      <w:lang w:val="en-US" w:eastAsia="zh-CN" w:bidi="ar"/>
                    </w:rPr>
                    <w:t>2</w:t>
                  </w:r>
                </w:p>
              </w:tc>
            </w:tr>
            <w:tr w14:paraId="4189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3FD6B7EF">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7A8B9BB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井架基础</w:t>
                  </w:r>
                </w:p>
              </w:tc>
              <w:tc>
                <w:tcPr>
                  <w:tcW w:w="3319" w:type="pct"/>
                  <w:noWrap w:val="0"/>
                  <w:vAlign w:val="center"/>
                </w:tcPr>
                <w:p w14:paraId="5DBE05AF">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位于井场中部，占地300m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，场面结构为100mm厚C15砼垫层+800mm厚C30钢筋砼面层</w:t>
                  </w:r>
                </w:p>
              </w:tc>
            </w:tr>
            <w:tr w14:paraId="7FA2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0B3945D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66092F5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泥浆泵基础</w:t>
                  </w:r>
                </w:p>
                <w:p w14:paraId="4DB99FC1">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（泵房基础）</w:t>
                  </w:r>
                </w:p>
              </w:tc>
              <w:tc>
                <w:tcPr>
                  <w:tcW w:w="3319" w:type="pct"/>
                  <w:noWrap w:val="0"/>
                  <w:vAlign w:val="center"/>
                </w:tcPr>
                <w:p w14:paraId="249E8783">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ascii="Times New Roman" w:hAnsi="Times New Roman" w:eastAsia="宋体" w:cs="Times New Roman"/>
                      <w:color w:val="auto"/>
                    </w:rPr>
                    <w:t>布置于</w:t>
                  </w:r>
                  <w:r>
                    <w:rPr>
                      <w:rFonts w:hint="eastAsia" w:ascii="Times New Roman" w:hAnsi="Times New Roman" w:eastAsia="宋体" w:cs="Times New Roman"/>
                      <w:color w:val="auto"/>
                      <w:lang w:val="en-US" w:eastAsia="zh-CN"/>
                    </w:rPr>
                    <w:t>井场中部</w:t>
                  </w:r>
                  <w:r>
                    <w:rPr>
                      <w:rFonts w:ascii="Times New Roman" w:hAnsi="Times New Roman" w:eastAsia="宋体" w:cs="Times New Roman"/>
                      <w:color w:val="auto"/>
                    </w:rPr>
                    <w:t>，</w:t>
                  </w:r>
                  <w:r>
                    <w:rPr>
                      <w:rFonts w:ascii="Times New Roman" w:hAnsi="Times New Roman" w:eastAsia="宋体" w:cs="Times New Roman"/>
                      <w:color w:val="auto"/>
                      <w:lang w:bidi="ar"/>
                    </w:rPr>
                    <w:t>占地</w:t>
                  </w:r>
                  <w:r>
                    <w:rPr>
                      <w:rFonts w:hint="eastAsia" w:ascii="Times New Roman" w:hAnsi="Times New Roman" w:eastAsia="宋体" w:cs="Times New Roman"/>
                      <w:color w:val="auto"/>
                      <w:lang w:val="en-US" w:eastAsia="zh-CN" w:bidi="ar"/>
                    </w:rPr>
                    <w:t>143</w:t>
                  </w:r>
                  <w:r>
                    <w:rPr>
                      <w:rFonts w:hint="eastAsia" w:ascii="Times New Roman" w:hAnsi="Times New Roman" w:eastAsia="宋体" w:cs="Times New Roman"/>
                      <w:color w:val="auto"/>
                      <w:lang w:val="en-US" w:eastAsia="zh-CN"/>
                    </w:rPr>
                    <w:t>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，场面结构为100mm厚C15混凝土垫层+200mm厚C25混凝土面层</w:t>
                  </w:r>
                </w:p>
              </w:tc>
            </w:tr>
            <w:tr w14:paraId="2CF2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3F7A88E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6588E65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循环罐基础</w:t>
                  </w:r>
                </w:p>
              </w:tc>
              <w:tc>
                <w:tcPr>
                  <w:tcW w:w="3319" w:type="pct"/>
                  <w:noWrap w:val="0"/>
                  <w:vAlign w:val="center"/>
                </w:tcPr>
                <w:p w14:paraId="3FA8B5D4">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bidi="ar"/>
                    </w:rPr>
                  </w:pPr>
                  <w:r>
                    <w:rPr>
                      <w:rFonts w:ascii="Times New Roman" w:hAnsi="Times New Roman" w:eastAsia="宋体" w:cs="Times New Roman"/>
                      <w:color w:val="auto"/>
                      <w:lang w:bidi="ar"/>
                    </w:rPr>
                    <w:t>布置于</w:t>
                  </w:r>
                  <w:r>
                    <w:rPr>
                      <w:rFonts w:hint="eastAsia" w:ascii="Times New Roman" w:hAnsi="Times New Roman" w:eastAsia="宋体" w:cs="Times New Roman"/>
                      <w:color w:val="auto"/>
                      <w:lang w:val="en-US" w:eastAsia="zh-CN" w:bidi="ar"/>
                    </w:rPr>
                    <w:t>井场东侧</w:t>
                  </w:r>
                  <w:r>
                    <w:rPr>
                      <w:rFonts w:ascii="Times New Roman" w:hAnsi="Times New Roman" w:eastAsia="宋体" w:cs="Times New Roman"/>
                      <w:color w:val="auto"/>
                      <w:lang w:bidi="ar"/>
                    </w:rPr>
                    <w:t>，占地</w:t>
                  </w:r>
                  <w:r>
                    <w:rPr>
                      <w:rFonts w:hint="eastAsia" w:ascii="Times New Roman" w:hAnsi="Times New Roman" w:eastAsia="宋体" w:cs="Times New Roman"/>
                      <w:color w:val="auto"/>
                      <w:lang w:val="en-US" w:eastAsia="zh-CN" w:bidi="ar"/>
                    </w:rPr>
                    <w:t>523.4</w:t>
                  </w:r>
                  <w:r>
                    <w:rPr>
                      <w:rFonts w:hint="eastAsia" w:ascii="Times New Roman" w:hAnsi="Times New Roman" w:eastAsia="宋体" w:cs="Times New Roman"/>
                      <w:color w:val="auto"/>
                      <w:lang w:val="en-US" w:eastAsia="zh-CN"/>
                    </w:rPr>
                    <w:t>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，场面结构为100mm厚C15混凝土垫层+200mm厚C25混凝土面层；循环罐区搭建防雨棚（集雨面积约600m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），并设置雨水收集系统，收集雨水全部排至场外清水沟，最终排向周边环境</w:t>
                  </w:r>
                </w:p>
              </w:tc>
            </w:tr>
            <w:tr w14:paraId="2A8C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11A0D34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0087D910">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储备罐基础</w:t>
                  </w:r>
                  <w:r>
                    <w:rPr>
                      <w:rFonts w:hint="eastAsia" w:ascii="Times New Roman" w:hAnsi="Times New Roman" w:eastAsia="宋体" w:cs="Times New Roman"/>
                      <w:color w:val="auto"/>
                    </w:rPr>
                    <w:t>（泥浆储备）</w:t>
                  </w:r>
                </w:p>
              </w:tc>
              <w:tc>
                <w:tcPr>
                  <w:tcW w:w="3319" w:type="pct"/>
                  <w:noWrap w:val="0"/>
                  <w:vAlign w:val="center"/>
                </w:tcPr>
                <w:p w14:paraId="42FF8820">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bidi="ar"/>
                    </w:rPr>
                    <w:t>布置于</w:t>
                  </w:r>
                  <w:r>
                    <w:rPr>
                      <w:rFonts w:ascii="Times New Roman" w:hAnsi="Times New Roman" w:eastAsia="宋体" w:cs="Times New Roman"/>
                      <w:color w:val="auto"/>
                      <w:lang w:bidi="ar"/>
                    </w:rPr>
                    <w:t>井场</w:t>
                  </w:r>
                  <w:r>
                    <w:rPr>
                      <w:rFonts w:hint="eastAsia" w:ascii="Times New Roman" w:hAnsi="Times New Roman" w:eastAsia="宋体" w:cs="Times New Roman"/>
                      <w:color w:val="auto"/>
                      <w:lang w:val="en-US" w:eastAsia="zh-CN" w:bidi="ar"/>
                    </w:rPr>
                    <w:t>西北侧，呈L形</w:t>
                  </w:r>
                  <w:r>
                    <w:rPr>
                      <w:rFonts w:ascii="Times New Roman" w:hAnsi="Times New Roman" w:eastAsia="宋体" w:cs="Times New Roman"/>
                      <w:color w:val="auto"/>
                      <w:lang w:bidi="ar"/>
                    </w:rPr>
                    <w:t>，</w:t>
                  </w:r>
                  <w:r>
                    <w:rPr>
                      <w:rFonts w:ascii="Times New Roman" w:hAnsi="Times New Roman" w:eastAsia="宋体" w:cs="Times New Roman"/>
                      <w:color w:val="auto"/>
                    </w:rPr>
                    <w:t>占地</w:t>
                  </w:r>
                  <w:r>
                    <w:rPr>
                      <w:rFonts w:hint="eastAsia" w:ascii="Times New Roman" w:hAnsi="Times New Roman" w:eastAsia="宋体" w:cs="Times New Roman"/>
                      <w:color w:val="auto"/>
                      <w:lang w:val="en-US" w:eastAsia="zh-CN"/>
                    </w:rPr>
                    <w:t>811.4m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，场面结构为100mm厚C15混凝土垫层+200mm厚C25钢筋混凝土面层</w:t>
                  </w:r>
                </w:p>
              </w:tc>
            </w:tr>
            <w:tr w14:paraId="08F2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15E6EE2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095473E8">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泥浆不落地操作平台</w:t>
                  </w:r>
                  <w:r>
                    <w:rPr>
                      <w:rFonts w:hint="eastAsia" w:ascii="Times New Roman" w:hAnsi="Times New Roman" w:eastAsia="宋体" w:cs="Times New Roman"/>
                      <w:color w:val="auto"/>
                    </w:rPr>
                    <w:t>基础</w:t>
                  </w:r>
                </w:p>
                <w:p w14:paraId="77427A18">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（环保装置区）</w:t>
                  </w:r>
                </w:p>
              </w:tc>
              <w:tc>
                <w:tcPr>
                  <w:tcW w:w="3319" w:type="pct"/>
                  <w:noWrap w:val="0"/>
                  <w:vAlign w:val="center"/>
                </w:tcPr>
                <w:p w14:paraId="7AFE794B">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位于</w:t>
                  </w:r>
                  <w:r>
                    <w:rPr>
                      <w:rFonts w:hint="eastAsia" w:ascii="Times New Roman" w:hAnsi="Times New Roman" w:eastAsia="宋体" w:cs="Times New Roman"/>
                      <w:color w:val="auto"/>
                      <w:lang w:val="en-US" w:eastAsia="zh-CN"/>
                    </w:rPr>
                    <w:t>井场东侧</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占地130m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，场面结构为100mm厚C15混凝土垫层+200mm厚C25混凝土面层</w:t>
                  </w:r>
                </w:p>
              </w:tc>
            </w:tr>
            <w:tr w14:paraId="7FA9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67B5204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shd w:val="clear" w:color="auto" w:fill="auto"/>
                  <w:noWrap w:val="0"/>
                  <w:vAlign w:val="center"/>
                </w:tcPr>
                <w:p w14:paraId="1456B975">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机房基础（发电机房及高低压配电房基础）</w:t>
                  </w:r>
                </w:p>
              </w:tc>
              <w:tc>
                <w:tcPr>
                  <w:tcW w:w="3319" w:type="pct"/>
                  <w:shd w:val="clear" w:color="auto" w:fill="auto"/>
                  <w:noWrap w:val="0"/>
                  <w:vAlign w:val="center"/>
                </w:tcPr>
                <w:p w14:paraId="79C8F2EF">
                  <w:pPr>
                    <w:pStyle w:val="55"/>
                    <w:keepNext w:val="0"/>
                    <w:keepLines w:val="0"/>
                    <w:suppressLineNumbers w:val="0"/>
                    <w:spacing w:before="0" w:beforeAutospacing="0" w:after="0" w:afterAutospacing="0"/>
                    <w:ind w:left="0" w:leftChars="0" w:right="0" w:rightChars="0" w:firstLine="0" w:firstLineChars="0"/>
                    <w:jc w:val="left"/>
                    <w:rPr>
                      <w:rFonts w:hint="default"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highlight w:val="none"/>
                    </w:rPr>
                    <w:t>布置于井场</w:t>
                  </w:r>
                  <w:r>
                    <w:rPr>
                      <w:rFonts w:hint="eastAsia" w:ascii="Times New Roman" w:hAnsi="Times New Roman" w:eastAsia="宋体" w:cs="Times New Roman"/>
                      <w:color w:val="auto"/>
                      <w:highlight w:val="none"/>
                    </w:rPr>
                    <w:t>北</w:t>
                  </w:r>
                  <w:r>
                    <w:rPr>
                      <w:rFonts w:ascii="Times New Roman" w:hAnsi="Times New Roman" w:eastAsia="宋体" w:cs="Times New Roman"/>
                      <w:color w:val="auto"/>
                      <w:highlight w:val="none"/>
                    </w:rPr>
                    <w:t>侧，</w:t>
                  </w:r>
                  <w:r>
                    <w:rPr>
                      <w:rFonts w:ascii="Times New Roman" w:hAnsi="Times New Roman" w:eastAsia="宋体" w:cs="Times New Roman"/>
                      <w:color w:val="auto"/>
                      <w:highlight w:val="none"/>
                      <w:lang w:bidi="ar"/>
                    </w:rPr>
                    <w:t>占地</w:t>
                  </w:r>
                  <w:r>
                    <w:rPr>
                      <w:rFonts w:hint="eastAsia" w:ascii="Times New Roman" w:hAnsi="Times New Roman" w:eastAsia="宋体" w:cs="Times New Roman"/>
                      <w:color w:val="auto"/>
                      <w:highlight w:val="none"/>
                      <w:lang w:val="en-US" w:eastAsia="zh-CN" w:bidi="ar"/>
                    </w:rPr>
                    <w:t>265</w:t>
                  </w:r>
                  <w:r>
                    <w:rPr>
                      <w:rFonts w:hint="eastAsia" w:ascii="Times New Roman" w:hAnsi="Times New Roman" w:eastAsia="宋体" w:cs="Times New Roman"/>
                      <w:color w:val="auto"/>
                      <w:lang w:val="en-US" w:eastAsia="zh-CN"/>
                    </w:rPr>
                    <w:t>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，场面结构为100mm厚C15混凝土垫层+200mm厚C25混凝土面层</w:t>
                  </w:r>
                </w:p>
              </w:tc>
            </w:tr>
            <w:tr w14:paraId="3D9B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2BAA410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0D48B81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油罐区基础</w:t>
                  </w:r>
                </w:p>
              </w:tc>
              <w:tc>
                <w:tcPr>
                  <w:tcW w:w="3319" w:type="pct"/>
                  <w:noWrap w:val="0"/>
                  <w:vAlign w:val="center"/>
                </w:tcPr>
                <w:p w14:paraId="006BA636">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布置于井场外西北侧</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占地100m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用于柴油贮存，场面结构为100mm厚C15混凝土垫层+200mm厚C25混凝土面层</w:t>
                  </w:r>
                </w:p>
              </w:tc>
            </w:tr>
            <w:tr w14:paraId="6342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035C05E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井场周边</w:t>
                  </w:r>
                  <w:r>
                    <w:rPr>
                      <w:rFonts w:hint="eastAsia" w:ascii="Times New Roman" w:hAnsi="Times New Roman" w:eastAsia="宋体" w:cs="Times New Roman"/>
                      <w:color w:val="auto"/>
                      <w:lang w:val="en-US" w:eastAsia="zh-CN"/>
                    </w:rPr>
                    <w:t>雨水</w:t>
                  </w:r>
                  <w:r>
                    <w:rPr>
                      <w:rFonts w:hint="eastAsia" w:ascii="Times New Roman" w:hAnsi="Times New Roman" w:eastAsia="宋体" w:cs="Times New Roman"/>
                      <w:color w:val="auto"/>
                    </w:rPr>
                    <w:t>沟及</w:t>
                  </w:r>
                </w:p>
                <w:p w14:paraId="42E6ABD5">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设备基础排污沟</w:t>
                  </w:r>
                </w:p>
              </w:tc>
              <w:tc>
                <w:tcPr>
                  <w:tcW w:w="3319" w:type="pct"/>
                  <w:noWrap w:val="0"/>
                  <w:vAlign w:val="center"/>
                </w:tcPr>
                <w:p w14:paraId="6BB75ED5">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p w14:paraId="7CAB0C66">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设截水沟128m、场外清水沟233m，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p>
              </w:tc>
            </w:tr>
            <w:tr w14:paraId="0A55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restart"/>
                  <w:noWrap w:val="0"/>
                  <w:vAlign w:val="center"/>
                </w:tcPr>
                <w:p w14:paraId="43CFCBE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池体工程</w:t>
                  </w:r>
                </w:p>
              </w:tc>
              <w:tc>
                <w:tcPr>
                  <w:tcW w:w="1209" w:type="pct"/>
                  <w:noWrap w:val="0"/>
                  <w:vAlign w:val="center"/>
                </w:tcPr>
                <w:p w14:paraId="022994C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清水池</w:t>
                  </w:r>
                </w:p>
              </w:tc>
              <w:tc>
                <w:tcPr>
                  <w:tcW w:w="3319" w:type="pct"/>
                  <w:noWrap w:val="0"/>
                  <w:vAlign w:val="center"/>
                </w:tcPr>
                <w:p w14:paraId="2B32C139">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highlight w:val="none"/>
                      <w:lang w:val="en-US" w:eastAsia="zh-CN"/>
                    </w:rPr>
                    <w:t>设置1个清水池，位于</w:t>
                  </w:r>
                  <w:r>
                    <w:rPr>
                      <w:rFonts w:ascii="Times New Roman" w:hAnsi="Times New Roman" w:eastAsia="宋体" w:cs="Times New Roman"/>
                      <w:color w:val="auto"/>
                      <w:highlight w:val="none"/>
                    </w:rPr>
                    <w:t>井场</w:t>
                  </w:r>
                  <w:r>
                    <w:rPr>
                      <w:rFonts w:hint="eastAsia" w:ascii="Times New Roman" w:hAnsi="Times New Roman" w:eastAsia="宋体" w:cs="Times New Roman"/>
                      <w:color w:val="auto"/>
                      <w:highlight w:val="none"/>
                    </w:rPr>
                    <w:t>外</w:t>
                  </w:r>
                  <w:r>
                    <w:rPr>
                      <w:rFonts w:hint="eastAsia" w:ascii="Times New Roman" w:hAnsi="Times New Roman" w:eastAsia="宋体" w:cs="Times New Roman"/>
                      <w:color w:val="auto"/>
                      <w:highlight w:val="none"/>
                      <w:lang w:val="en-US" w:eastAsia="zh-CN"/>
                    </w:rPr>
                    <w:t>南侧</w:t>
                  </w:r>
                  <w:r>
                    <w:rPr>
                      <w:rFonts w:ascii="Times New Roman" w:hAnsi="Times New Roman" w:eastAsia="宋体" w:cs="Times New Roman"/>
                      <w:color w:val="auto"/>
                      <w:highlight w:val="none"/>
                    </w:rPr>
                    <w:t>，</w:t>
                  </w:r>
                  <w:r>
                    <w:rPr>
                      <w:rFonts w:ascii="Times New Roman" w:hAnsi="Times New Roman" w:eastAsia="宋体" w:cs="Times New Roman"/>
                      <w:color w:val="auto"/>
                      <w:highlight w:val="none"/>
                      <w:lang w:bidi="ar"/>
                    </w:rPr>
                    <w:t>容积</w:t>
                  </w:r>
                  <w:r>
                    <w:rPr>
                      <w:rFonts w:hint="eastAsia" w:ascii="Times New Roman" w:hAnsi="Times New Roman" w:eastAsia="宋体" w:cs="Times New Roman"/>
                      <w:color w:val="auto"/>
                      <w:highlight w:val="none"/>
                      <w:lang w:val="en-US" w:eastAsia="zh-CN" w:bidi="ar"/>
                    </w:rPr>
                    <w:t>2</w:t>
                  </w:r>
                  <w:r>
                    <w:rPr>
                      <w:rFonts w:hint="eastAsia" w:ascii="Times New Roman" w:hAnsi="Times New Roman" w:eastAsia="宋体" w:cs="Times New Roman"/>
                      <w:color w:val="auto"/>
                      <w:highlight w:val="none"/>
                      <w:lang w:bidi="ar"/>
                    </w:rPr>
                    <w:t>000</w:t>
                  </w:r>
                  <w:r>
                    <w:rPr>
                      <w:rFonts w:ascii="Times New Roman" w:hAnsi="Times New Roman" w:eastAsia="宋体" w:cs="Times New Roman"/>
                      <w:color w:val="auto"/>
                      <w:highlight w:val="none"/>
                      <w:lang w:bidi="ar"/>
                    </w:rPr>
                    <w:t>m³。池壁采用Mu10页岩砖砌筑，池底为C30（P8）防渗钢筋砼</w:t>
                  </w:r>
                  <w:r>
                    <w:rPr>
                      <w:rFonts w:hint="eastAsia" w:ascii="Times New Roman" w:hAnsi="Times New Roman" w:eastAsia="宋体" w:cs="Times New Roman"/>
                      <w:color w:val="auto"/>
                      <w:highlight w:val="none"/>
                      <w:lang w:val="en-US" w:eastAsia="zh-CN" w:bidi="ar"/>
                    </w:rPr>
                    <w:t>结构</w:t>
                  </w:r>
                </w:p>
              </w:tc>
            </w:tr>
            <w:tr w14:paraId="6EA2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67F9CCA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1D7625A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放喷池</w:t>
                  </w:r>
                </w:p>
              </w:tc>
              <w:tc>
                <w:tcPr>
                  <w:tcW w:w="3319" w:type="pct"/>
                  <w:noWrap w:val="0"/>
                  <w:vAlign w:val="center"/>
                </w:tcPr>
                <w:p w14:paraId="771D4BEA">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highlight w:val="none"/>
                    </w:rPr>
                    <w:t>设置</w:t>
                  </w:r>
                  <w:r>
                    <w:rPr>
                      <w:rFonts w:hint="eastAsia" w:ascii="Times New Roman" w:hAnsi="Times New Roman" w:eastAsia="宋体" w:cs="Times New Roman"/>
                      <w:color w:val="auto"/>
                      <w:highlight w:val="none"/>
                      <w:lang w:val="en-US" w:eastAsia="zh-CN"/>
                    </w:rPr>
                    <w:t>1</w:t>
                  </w:r>
                  <w:r>
                    <w:rPr>
                      <w:rFonts w:ascii="Times New Roman" w:hAnsi="Times New Roman" w:eastAsia="宋体" w:cs="Times New Roman"/>
                      <w:color w:val="auto"/>
                      <w:highlight w:val="none"/>
                    </w:rPr>
                    <w:t>个放喷池，位于井场</w:t>
                  </w:r>
                  <w:r>
                    <w:rPr>
                      <w:rFonts w:hint="eastAsia" w:ascii="Times New Roman" w:hAnsi="Times New Roman" w:eastAsia="宋体" w:cs="Times New Roman"/>
                      <w:color w:val="auto"/>
                      <w:highlight w:val="none"/>
                    </w:rPr>
                    <w:t>外</w:t>
                  </w:r>
                  <w:r>
                    <w:rPr>
                      <w:rFonts w:hint="eastAsia" w:ascii="Times New Roman" w:hAnsi="Times New Roman" w:eastAsia="宋体" w:cs="Times New Roman"/>
                      <w:color w:val="auto"/>
                      <w:highlight w:val="none"/>
                      <w:lang w:val="en-US" w:eastAsia="zh-CN"/>
                    </w:rPr>
                    <w:t>东北</w:t>
                  </w:r>
                  <w:r>
                    <w:rPr>
                      <w:rFonts w:ascii="Times New Roman" w:hAnsi="Times New Roman" w:eastAsia="宋体" w:cs="Times New Roman"/>
                      <w:color w:val="auto"/>
                      <w:highlight w:val="none"/>
                    </w:rPr>
                    <w:t>侧，</w:t>
                  </w:r>
                  <w:r>
                    <w:rPr>
                      <w:rFonts w:hint="eastAsia" w:ascii="Times New Roman" w:hAnsi="Times New Roman" w:eastAsia="宋体" w:cs="Times New Roman"/>
                      <w:color w:val="auto"/>
                      <w:highlight w:val="none"/>
                    </w:rPr>
                    <w:t>放喷池容积</w:t>
                  </w:r>
                  <w:r>
                    <w:rPr>
                      <w:rFonts w:hint="eastAsia" w:ascii="Times New Roman" w:hAnsi="Times New Roman" w:eastAsia="宋体" w:cs="Times New Roman"/>
                      <w:color w:val="auto"/>
                      <w:highlight w:val="none"/>
                      <w:lang w:val="en-US" w:eastAsia="zh-CN"/>
                    </w:rPr>
                    <w:t>30</w:t>
                  </w:r>
                  <w:r>
                    <w:rPr>
                      <w:rFonts w:hint="eastAsia" w:ascii="Times New Roman" w:hAnsi="Times New Roman" w:eastAsia="宋体" w:cs="Times New Roman"/>
                      <w:color w:val="auto"/>
                      <w:highlight w:val="none"/>
                    </w:rPr>
                    <w:t>0</w:t>
                  </w:r>
                  <w:r>
                    <w:rPr>
                      <w:rFonts w:ascii="Times New Roman" w:hAnsi="Times New Roman" w:eastAsia="宋体" w:cs="Times New Roman"/>
                      <w:color w:val="auto"/>
                      <w:highlight w:val="none"/>
                    </w:rPr>
                    <w:t>m³</w:t>
                  </w:r>
                  <w:r>
                    <w:rPr>
                      <w:rFonts w:ascii="Times New Roman" w:hAnsi="Times New Roman" w:eastAsia="宋体" w:cs="Times New Roman"/>
                      <w:color w:val="auto"/>
                      <w:highlight w:val="none"/>
                      <w:lang w:bidi="ar"/>
                    </w:rPr>
                    <w:t>。池墙及基础采用C30（P8）防渗钢筋砼浇筑，上部为页岩砖砌筑</w:t>
                  </w:r>
                  <w:r>
                    <w:rPr>
                      <w:rFonts w:hint="eastAsia" w:ascii="Times New Roman" w:hAnsi="Times New Roman" w:eastAsia="宋体" w:cs="Times New Roman"/>
                      <w:color w:val="auto"/>
                      <w:highlight w:val="none"/>
                      <w:lang w:bidi="ar"/>
                    </w:rPr>
                    <w:t>，</w:t>
                  </w:r>
                  <w:r>
                    <w:rPr>
                      <w:rFonts w:hint="eastAsia" w:ascii="Times New Roman" w:hAnsi="Times New Roman" w:eastAsia="宋体" w:cs="Times New Roman"/>
                      <w:b w:val="0"/>
                      <w:color w:val="auto"/>
                      <w:highlight w:val="none"/>
                      <w:lang w:val="en-US" w:eastAsia="zh"/>
                    </w:rPr>
                    <w:t>放喷池池底及内壁采用</w:t>
                  </w:r>
                  <w:r>
                    <w:rPr>
                      <w:rFonts w:hint="eastAsia" w:ascii="Times New Roman" w:hAnsi="Times New Roman" w:eastAsia="宋体" w:cs="Times New Roman"/>
                      <w:b w:val="0"/>
                      <w:color w:val="auto"/>
                      <w:highlight w:val="none"/>
                      <w:lang w:val="en-US" w:eastAsia="zh-CN"/>
                    </w:rPr>
                    <w:t>防水砂浆处理。放喷池为空置状态，其主要用于</w:t>
                  </w:r>
                  <w:r>
                    <w:rPr>
                      <w:rFonts w:hint="eastAsia" w:ascii="Times New Roman" w:hAnsi="Times New Roman" w:eastAsia="宋体" w:cs="Times New Roman"/>
                      <w:b w:val="0"/>
                      <w:color w:val="auto"/>
                      <w:highlight w:val="none"/>
                      <w:lang w:val="en-US" w:eastAsia="zh"/>
                    </w:rPr>
                    <w:t>约束火焰和热辐射，</w:t>
                  </w:r>
                  <w:r>
                    <w:rPr>
                      <w:rFonts w:hint="eastAsia" w:ascii="Times New Roman" w:hAnsi="Times New Roman" w:eastAsia="宋体" w:cs="Times New Roman"/>
                      <w:b w:val="0"/>
                      <w:color w:val="auto"/>
                      <w:highlight w:val="none"/>
                      <w:lang w:val="en-US" w:eastAsia="zh-CN"/>
                    </w:rPr>
                    <w:t>以</w:t>
                  </w:r>
                  <w:r>
                    <w:rPr>
                      <w:rFonts w:hint="eastAsia" w:ascii="Times New Roman" w:hAnsi="Times New Roman" w:eastAsia="宋体" w:cs="Times New Roman"/>
                      <w:b w:val="0"/>
                      <w:color w:val="auto"/>
                      <w:highlight w:val="none"/>
                      <w:lang w:val="en-US" w:eastAsia="zh"/>
                    </w:rPr>
                    <w:t>减少对周边土壤</w:t>
                  </w:r>
                  <w:r>
                    <w:rPr>
                      <w:rFonts w:hint="eastAsia" w:ascii="Times New Roman" w:hAnsi="Times New Roman" w:eastAsia="宋体" w:cs="Times New Roman"/>
                      <w:b w:val="0"/>
                      <w:color w:val="auto"/>
                      <w:highlight w:val="none"/>
                      <w:lang w:val="en-US" w:eastAsia="zh-CN"/>
                    </w:rPr>
                    <w:t>和</w:t>
                  </w:r>
                  <w:r>
                    <w:rPr>
                      <w:rFonts w:hint="eastAsia" w:ascii="Times New Roman" w:hAnsi="Times New Roman" w:eastAsia="宋体" w:cs="Times New Roman"/>
                      <w:b w:val="0"/>
                      <w:color w:val="auto"/>
                      <w:highlight w:val="none"/>
                      <w:lang w:val="en-US" w:eastAsia="zh"/>
                    </w:rPr>
                    <w:t>植被的灼伤</w:t>
                  </w:r>
                  <w:r>
                    <w:rPr>
                      <w:rFonts w:hint="eastAsia" w:ascii="Times New Roman" w:hAnsi="Times New Roman" w:eastAsia="宋体" w:cs="Times New Roman"/>
                      <w:b w:val="0"/>
                      <w:color w:val="auto"/>
                      <w:highlight w:val="none"/>
                      <w:lang w:val="en-US" w:eastAsia="zh-CN"/>
                    </w:rPr>
                    <w:t>，也兼作事故应急池使用</w:t>
                  </w:r>
                </w:p>
              </w:tc>
            </w:tr>
            <w:tr w14:paraId="4CF1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0" w:type="pct"/>
                  <w:vMerge w:val="continue"/>
                  <w:noWrap w:val="0"/>
                  <w:vAlign w:val="center"/>
                </w:tcPr>
                <w:p w14:paraId="198C8C7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9" w:type="pct"/>
                  <w:noWrap w:val="0"/>
                  <w:vAlign w:val="center"/>
                </w:tcPr>
                <w:p w14:paraId="15F6981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污水池</w:t>
                  </w:r>
                  <w:r>
                    <w:rPr>
                      <w:rFonts w:hint="eastAsia" w:ascii="Times New Roman" w:hAnsi="Times New Roman" w:eastAsia="宋体" w:cs="Times New Roman"/>
                      <w:color w:val="auto"/>
                    </w:rPr>
                    <w:t>（</w:t>
                  </w:r>
                  <w:r>
                    <w:rPr>
                      <w:rFonts w:ascii="Times New Roman" w:hAnsi="Times New Roman" w:eastAsia="宋体" w:cs="Times New Roman"/>
                      <w:color w:val="auto"/>
                      <w:lang w:bidi="ar"/>
                    </w:rPr>
                    <w:t>多功能网格池</w:t>
                  </w:r>
                  <w:r>
                    <w:rPr>
                      <w:rFonts w:hint="eastAsia" w:ascii="Times New Roman" w:hAnsi="Times New Roman" w:eastAsia="宋体" w:cs="Times New Roman"/>
                      <w:color w:val="auto"/>
                      <w:lang w:bidi="ar"/>
                    </w:rPr>
                    <w:t>组</w:t>
                  </w:r>
                  <w:r>
                    <w:rPr>
                      <w:rFonts w:hint="eastAsia" w:ascii="Times New Roman" w:hAnsi="Times New Roman" w:eastAsia="宋体" w:cs="Times New Roman"/>
                      <w:color w:val="auto"/>
                    </w:rPr>
                    <w:t>）</w:t>
                  </w:r>
                </w:p>
              </w:tc>
              <w:tc>
                <w:tcPr>
                  <w:tcW w:w="3319" w:type="pct"/>
                  <w:noWrap w:val="0"/>
                  <w:vAlign w:val="center"/>
                </w:tcPr>
                <w:p w14:paraId="59F9E819">
                  <w:pPr>
                    <w:pStyle w:val="55"/>
                    <w:keepNext w:val="0"/>
                    <w:keepLines w:val="0"/>
                    <w:suppressLineNumbers w:val="0"/>
                    <w:spacing w:before="0" w:beforeAutospacing="0" w:after="0" w:afterAutospacing="0"/>
                    <w:ind w:left="0" w:right="0"/>
                    <w:jc w:val="left"/>
                    <w:rPr>
                      <w:rFonts w:hint="default"/>
                      <w:color w:val="auto"/>
                      <w:lang w:val="en-US" w:eastAsia="zh-CN"/>
                    </w:rPr>
                  </w:pPr>
                  <w:r>
                    <w:rPr>
                      <w:rFonts w:hint="eastAsia" w:ascii="Times New Roman" w:hAnsi="Times New Roman" w:eastAsia="宋体" w:cs="Times New Roman"/>
                      <w:color w:val="auto"/>
                      <w:highlight w:val="none"/>
                      <w:lang w:val="en-US" w:eastAsia="zh-CN"/>
                    </w:rPr>
                    <w:t>设置1个污水池</w:t>
                  </w:r>
                  <w:r>
                    <w:rPr>
                      <w:rFonts w:hint="eastAsia" w:ascii="Times New Roman" w:hAnsi="Times New Roman" w:eastAsia="宋体" w:cs="Times New Roman"/>
                      <w:color w:val="auto"/>
                      <w:highlight w:val="none"/>
                    </w:rPr>
                    <w:t>（多功能网格池组）</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位于井场外西北侧，</w:t>
                  </w:r>
                  <w:r>
                    <w:rPr>
                      <w:rFonts w:ascii="Times New Roman" w:hAnsi="Times New Roman" w:eastAsia="宋体" w:cs="Times New Roman"/>
                      <w:color w:val="auto"/>
                      <w:highlight w:val="none"/>
                    </w:rPr>
                    <w:t>有效容积</w:t>
                  </w:r>
                  <w:r>
                    <w:rPr>
                      <w:rFonts w:hint="eastAsia" w:ascii="Times New Roman" w:hAnsi="Times New Roman" w:eastAsia="宋体" w:cs="Times New Roman"/>
                      <w:color w:val="auto"/>
                      <w:highlight w:val="none"/>
                      <w:lang w:val="en-US" w:eastAsia="zh-CN"/>
                    </w:rPr>
                    <w:t>120</w:t>
                  </w:r>
                  <w:r>
                    <w:rPr>
                      <w:rFonts w:ascii="Times New Roman" w:hAnsi="Times New Roman" w:eastAsia="宋体" w:cs="Times New Roman"/>
                      <w:color w:val="auto"/>
                      <w:highlight w:val="none"/>
                    </w:rPr>
                    <w:t>0m³，池墙及基础采用C30（P8）防渗钢筋砼浇筑，池底为C30（P8）防渗钢筋砼</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同时池体内部池墙及池底采用SBS改性沥青防水卷材进行防渗处理。</w:t>
                  </w:r>
                  <w:r>
                    <w:rPr>
                      <w:rFonts w:hint="eastAsia" w:cs="Times New Roman"/>
                      <w:color w:val="auto"/>
                      <w:highlight w:val="none"/>
                      <w:lang w:val="en-US" w:eastAsia="zh-CN"/>
                    </w:rPr>
                    <w:t>多功能网格池组中</w:t>
                  </w:r>
                  <w:r>
                    <w:rPr>
                      <w:rFonts w:hint="default" w:ascii="Times New Roman" w:hAnsi="Times New Roman" w:cs="Times New Roman"/>
                      <w:color w:val="auto"/>
                      <w:highlight w:val="none"/>
                      <w:lang w:val="en-US" w:eastAsia="zh-CN"/>
                    </w:rPr>
                    <w:t>500m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用于日常污水收集、暂存等，700m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空置作为事故应急池</w:t>
                  </w:r>
                </w:p>
              </w:tc>
            </w:tr>
            <w:tr w14:paraId="21BD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70" w:type="pct"/>
                  <w:noWrap w:val="0"/>
                  <w:vAlign w:val="center"/>
                </w:tcPr>
                <w:p w14:paraId="64B1B15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办公及生活设施</w:t>
                  </w:r>
                </w:p>
              </w:tc>
              <w:tc>
                <w:tcPr>
                  <w:tcW w:w="1209" w:type="pct"/>
                  <w:noWrap w:val="0"/>
                  <w:vAlign w:val="center"/>
                </w:tcPr>
                <w:p w14:paraId="74BDA9E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生活营</w:t>
                  </w:r>
                  <w:r>
                    <w:rPr>
                      <w:rFonts w:hint="eastAsia" w:ascii="Times New Roman" w:hAnsi="Times New Roman" w:eastAsia="宋体" w:cs="Times New Roman"/>
                      <w:color w:val="auto"/>
                      <w:lang w:val="en-US" w:eastAsia="zh-CN"/>
                    </w:rPr>
                    <w:t>地</w:t>
                  </w:r>
                </w:p>
              </w:tc>
              <w:tc>
                <w:tcPr>
                  <w:tcW w:w="3319" w:type="pct"/>
                  <w:noWrap w:val="0"/>
                  <w:vAlign w:val="center"/>
                </w:tcPr>
                <w:p w14:paraId="2B6C3A1C">
                  <w:pPr>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rPr>
                    <w:t>井场外</w:t>
                  </w:r>
                  <w:r>
                    <w:rPr>
                      <w:rFonts w:hint="eastAsia" w:cs="Times New Roman"/>
                      <w:color w:val="auto"/>
                      <w:lang w:val="en-US" w:eastAsia="zh-CN"/>
                    </w:rPr>
                    <w:t>北</w:t>
                  </w:r>
                  <w:r>
                    <w:rPr>
                      <w:rFonts w:hint="default" w:ascii="Times New Roman" w:hAnsi="Times New Roman" w:cs="Times New Roman"/>
                      <w:color w:val="auto"/>
                    </w:rPr>
                    <w:t>侧</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距</w:t>
                  </w:r>
                  <w:r>
                    <w:rPr>
                      <w:rFonts w:hint="default" w:ascii="Times New Roman" w:hAnsi="Times New Roman" w:eastAsia="宋体" w:cs="Times New Roman"/>
                      <w:color w:val="auto"/>
                      <w:highlight w:val="none"/>
                    </w:rPr>
                    <w:t>井</w:t>
                  </w:r>
                  <w:r>
                    <w:rPr>
                      <w:rFonts w:hint="eastAsia" w:ascii="Times New Roman" w:hAnsi="Times New Roman" w:eastAsia="宋体" w:cs="Times New Roman"/>
                      <w:color w:val="auto"/>
                      <w:highlight w:val="none"/>
                      <w:lang w:val="en-US" w:eastAsia="zh-CN"/>
                    </w:rPr>
                    <w:t>口300m以外</w:t>
                  </w:r>
                  <w:r>
                    <w:rPr>
                      <w:rFonts w:hint="default" w:ascii="Times New Roman" w:hAnsi="Times New Roman" w:eastAsia="宋体" w:cs="Times New Roman"/>
                      <w:color w:val="auto"/>
                      <w:highlight w:val="none"/>
                    </w:rPr>
                    <w:t>，占地</w:t>
                  </w:r>
                  <w:r>
                    <w:rPr>
                      <w:rFonts w:hint="eastAsia" w:cs="Times New Roman"/>
                      <w:color w:val="auto"/>
                      <w:highlight w:val="none"/>
                      <w:lang w:val="en-US" w:eastAsia="zh-CN"/>
                    </w:rPr>
                    <w:t>面积670</w:t>
                  </w:r>
                  <w:r>
                    <w:rPr>
                      <w:rFonts w:hint="default" w:ascii="Times New Roman" w:hAnsi="Times New Roman" w:eastAsia="宋体" w:cs="Times New Roman"/>
                      <w:color w:val="auto"/>
                      <w:highlight w:val="none"/>
                    </w:rPr>
                    <w:t>m</w:t>
                  </w:r>
                  <w:r>
                    <w:rPr>
                      <w:rFonts w:hint="eastAsia" w:cs="Times New Roman"/>
                      <w:color w:val="auto"/>
                      <w:highlight w:val="none"/>
                      <w:vertAlign w:val="superscript"/>
                      <w:lang w:val="en-US" w:eastAsia="zh-CN"/>
                    </w:rPr>
                    <w:t>2</w:t>
                  </w:r>
                </w:p>
              </w:tc>
            </w:tr>
            <w:tr w14:paraId="0045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2D50CA2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水土保持</w:t>
                  </w:r>
                </w:p>
              </w:tc>
              <w:tc>
                <w:tcPr>
                  <w:tcW w:w="3319" w:type="pct"/>
                  <w:noWrap w:val="0"/>
                  <w:vAlign w:val="center"/>
                </w:tcPr>
                <w:p w14:paraId="64B3DAD6">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kern w:val="2"/>
                      <w:sz w:val="21"/>
                      <w:szCs w:val="24"/>
                      <w:highlight w:val="none"/>
                      <w:lang w:val="en-US" w:eastAsia="zh-CN" w:bidi="ar-SA"/>
                    </w:rPr>
                    <w:t>项目设两处表土堆场，不设置弃土场。1#表土堆场位于井场南侧，占地面积413m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，设计堆存量约2200m</w:t>
                  </w:r>
                  <w:r>
                    <w:rPr>
                      <w:rFonts w:hint="eastAsia" w:ascii="Times New Roman" w:hAnsi="Times New Roman" w:eastAsia="宋体" w:cs="Times New Roman"/>
                      <w:color w:val="auto"/>
                      <w:kern w:val="2"/>
                      <w:sz w:val="21"/>
                      <w:szCs w:val="24"/>
                      <w:highlight w:val="none"/>
                      <w:vertAlign w:val="superscript"/>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；2#表土堆场位于井场西侧，占地面积600m</w:t>
                  </w:r>
                  <w:r>
                    <w:rPr>
                      <w:rFonts w:hint="eastAsia" w:ascii="Times New Roman" w:hAnsi="Times New Roman" w:eastAsia="宋体" w:cs="Times New Roman"/>
                      <w:color w:val="auto"/>
                      <w:kern w:val="2"/>
                      <w:sz w:val="21"/>
                      <w:szCs w:val="24"/>
                      <w:highlight w:val="none"/>
                      <w:vertAlign w:val="superscript"/>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，设计堆存量约3500m</w:t>
                  </w:r>
                  <w:r>
                    <w:rPr>
                      <w:rFonts w:hint="eastAsia" w:ascii="Times New Roman" w:hAnsi="Times New Roman" w:eastAsia="宋体" w:cs="Times New Roman"/>
                      <w:color w:val="auto"/>
                      <w:kern w:val="2"/>
                      <w:sz w:val="21"/>
                      <w:szCs w:val="24"/>
                      <w:highlight w:val="none"/>
                      <w:vertAlign w:val="superscript"/>
                      <w:lang w:val="en-US" w:eastAsia="zh-CN" w:bidi="ar-SA"/>
                    </w:rPr>
                    <w:t>3</w:t>
                  </w:r>
                  <w:r>
                    <w:rPr>
                      <w:rFonts w:hint="eastAsia" w:ascii="Times New Roman" w:hAnsi="Times New Roman" w:eastAsia="宋体" w:cs="Times New Roman"/>
                      <w:color w:val="auto"/>
                      <w:highlight w:val="none"/>
                      <w:lang w:val="en-US" w:eastAsia="zh-CN"/>
                    </w:rPr>
                    <w:t>。</w:t>
                  </w:r>
                  <w:r>
                    <w:rPr>
                      <w:rFonts w:ascii="Times New Roman" w:hAnsi="Times New Roman" w:eastAsia="宋体" w:cs="Times New Roman"/>
                      <w:color w:val="auto"/>
                      <w:highlight w:val="none"/>
                    </w:rPr>
                    <w:t>堆场采取铺设密目网、撒草籽、浇水养护的方式</w:t>
                  </w:r>
                  <w:r>
                    <w:rPr>
                      <w:rFonts w:hint="eastAsia" w:ascii="Times New Roman" w:hAnsi="Times New Roman" w:eastAsia="宋体" w:cs="Times New Roman"/>
                      <w:color w:val="auto"/>
                      <w:highlight w:val="none"/>
                      <w:lang w:val="en-US" w:eastAsia="zh-CN"/>
                    </w:rPr>
                    <w:t>防止水土流失</w:t>
                  </w:r>
                </w:p>
              </w:tc>
            </w:tr>
            <w:tr w14:paraId="7883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0" w:type="pct"/>
                  <w:gridSpan w:val="2"/>
                  <w:noWrap w:val="0"/>
                  <w:vAlign w:val="center"/>
                </w:tcPr>
                <w:p w14:paraId="743E4C7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拆迁工程</w:t>
                  </w:r>
                </w:p>
              </w:tc>
              <w:tc>
                <w:tcPr>
                  <w:tcW w:w="3319" w:type="pct"/>
                  <w:noWrap w:val="0"/>
                  <w:vAlign w:val="center"/>
                </w:tcPr>
                <w:p w14:paraId="785C74D3">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eastAsia="zh-CN"/>
                    </w:rPr>
                  </w:pPr>
                  <w:r>
                    <w:rPr>
                      <w:rFonts w:hint="default" w:ascii="Times New Roman" w:hAnsi="Times New Roman" w:eastAsia="宋体" w:cs="Times New Roman"/>
                      <w:color w:val="auto"/>
                      <w:highlight w:val="none"/>
                    </w:rPr>
                    <w:t>本项目拆除</w:t>
                  </w:r>
                  <w:r>
                    <w:rPr>
                      <w:rFonts w:hint="default" w:ascii="Times New Roman" w:hAnsi="Times New Roman" w:eastAsia="宋体" w:cs="Times New Roman"/>
                      <w:color w:val="auto"/>
                      <w:highlight w:val="none"/>
                      <w:lang w:val="en-US" w:eastAsia="zh-CN"/>
                    </w:rPr>
                    <w:t>民房2</w:t>
                  </w:r>
                  <w:r>
                    <w:rPr>
                      <w:rFonts w:hint="default" w:ascii="Times New Roman" w:hAnsi="Times New Roman" w:eastAsia="宋体" w:cs="Times New Roman"/>
                      <w:color w:val="auto"/>
                      <w:highlight w:val="none"/>
                    </w:rPr>
                    <w:t>栋/</w:t>
                  </w:r>
                  <w:r>
                    <w:rPr>
                      <w:rFonts w:hint="default" w:ascii="Times New Roman" w:hAnsi="Times New Roman" w:eastAsia="宋体" w:cs="Times New Roman"/>
                      <w:color w:val="auto"/>
                      <w:highlight w:val="none"/>
                      <w:lang w:val="en-US" w:eastAsia="zh-CN"/>
                    </w:rPr>
                    <w:t>415</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晒</w:t>
                  </w:r>
                  <w:r>
                    <w:rPr>
                      <w:rFonts w:hint="default" w:ascii="Times New Roman" w:hAnsi="Times New Roman" w:eastAsia="宋体" w:cs="Times New Roman"/>
                      <w:color w:val="auto"/>
                      <w:highlight w:val="none"/>
                    </w:rPr>
                    <w:t>坝</w:t>
                  </w:r>
                  <w:r>
                    <w:rPr>
                      <w:rFonts w:hint="default" w:ascii="Times New Roman" w:hAnsi="Times New Roman" w:eastAsia="宋体" w:cs="Times New Roman"/>
                      <w:color w:val="auto"/>
                      <w:highlight w:val="none"/>
                      <w:lang w:val="en-US" w:eastAsia="zh-CN"/>
                    </w:rPr>
                    <w:t>2处170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、棚</w:t>
                  </w:r>
                  <w:r>
                    <w:rPr>
                      <w:rFonts w:hint="default" w:ascii="Times New Roman" w:hAnsi="Times New Roman" w:eastAsia="宋体" w:cs="Times New Roman"/>
                      <w:color w:val="auto"/>
                      <w:highlight w:val="none"/>
                      <w:lang w:val="en-US" w:eastAsia="zh-CN"/>
                    </w:rPr>
                    <w:t>2处35</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鱼塘2</w:t>
                  </w:r>
                  <w:r>
                    <w:rPr>
                      <w:rFonts w:hint="default" w:ascii="Times New Roman" w:hAnsi="Times New Roman" w:eastAsia="宋体" w:cs="Times New Roman"/>
                      <w:color w:val="auto"/>
                      <w:highlight w:val="none"/>
                    </w:rPr>
                    <w:t>处</w:t>
                  </w:r>
                  <w:r>
                    <w:rPr>
                      <w:rFonts w:hint="default" w:ascii="Times New Roman" w:hAnsi="Times New Roman" w:eastAsia="宋体" w:cs="Times New Roman"/>
                      <w:color w:val="auto"/>
                      <w:highlight w:val="none"/>
                      <w:lang w:val="en-US" w:eastAsia="zh-CN"/>
                    </w:rPr>
                    <w:t>1253</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kern w:val="2"/>
                      <w:sz w:val="21"/>
                      <w:szCs w:val="24"/>
                      <w:highlight w:val="none"/>
                      <w:lang w:val="en-US" w:eastAsia="zh-CN" w:bidi="ar-SA"/>
                    </w:rPr>
                    <w:t>水井3口、坟8座；迁改通讯线20处；迁改通讯电缆线1处；迁改监控线1处，迁改220v电线杆拉线1处，迁改220v电线2组，迁改PE75自来水管线50m，迁改PE32水管线共计330m</w:t>
                  </w:r>
                </w:p>
              </w:tc>
            </w:tr>
          </w:tbl>
          <w:p w14:paraId="4DEAB84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color w:val="auto"/>
                <w:sz w:val="24"/>
                <w:lang w:eastAsia="zh-CN"/>
              </w:rPr>
            </w:pPr>
            <w:r>
              <w:rPr>
                <w:rFonts w:hint="default" w:ascii="Times New Roman" w:hAnsi="Times New Roman" w:cs="Times New Roman"/>
                <w:b w:val="0"/>
                <w:bCs/>
                <w:color w:val="auto"/>
                <w:sz w:val="24"/>
              </w:rPr>
              <w:t>（2）钻井工程</w:t>
            </w:r>
            <w:r>
              <w:rPr>
                <w:rFonts w:hint="eastAsia" w:ascii="Times New Roman" w:hAnsi="Times New Roman" w:cs="Times New Roman"/>
                <w:b w:val="0"/>
                <w:bCs/>
                <w:color w:val="auto"/>
                <w:sz w:val="24"/>
                <w:lang w:eastAsia="zh-CN"/>
              </w:rPr>
              <w:t>（</w:t>
            </w:r>
            <w:r>
              <w:rPr>
                <w:rFonts w:hint="eastAsia" w:ascii="Times New Roman" w:hAnsi="Times New Roman" w:cs="Times New Roman"/>
                <w:b w:val="0"/>
                <w:bCs/>
                <w:color w:val="auto"/>
                <w:sz w:val="24"/>
                <w:lang w:val="en-US" w:eastAsia="zh-CN"/>
              </w:rPr>
              <w:t>含储层改造工程</w:t>
            </w:r>
            <w:r>
              <w:rPr>
                <w:rFonts w:hint="eastAsia" w:ascii="Times New Roman" w:hAnsi="Times New Roman" w:cs="Times New Roman"/>
                <w:b w:val="0"/>
                <w:bCs/>
                <w:color w:val="auto"/>
                <w:sz w:val="24"/>
                <w:lang w:eastAsia="zh-CN"/>
              </w:rPr>
              <w:t>）</w:t>
            </w:r>
          </w:p>
          <w:p w14:paraId="570BF5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钻井工程包括钻井设备安装、钻井作业、污染物处理、完钻后设备搬迁等。当井场满足钻井工程要求后，将成套设备（包括钻机、活动房等）搬运至井场，并进行安装和调试，然后进行钻井作业</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储层改造等，完钻后进行设备搬迁及井场清理</w:t>
            </w:r>
            <w:r>
              <w:rPr>
                <w:rFonts w:hint="default" w:ascii="Times New Roman" w:hAnsi="Times New Roman" w:cs="Times New Roman"/>
                <w:color w:val="auto"/>
                <w:sz w:val="24"/>
              </w:rPr>
              <w:t>。</w:t>
            </w:r>
          </w:p>
          <w:p w14:paraId="557B220C">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钻井工程内容</w:t>
            </w:r>
          </w:p>
          <w:tbl>
            <w:tblPr>
              <w:tblStyle w:val="23"/>
              <w:tblW w:w="4979" w:type="pct"/>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56"/>
              <w:gridCol w:w="1863"/>
              <w:gridCol w:w="5086"/>
            </w:tblGrid>
            <w:tr w14:paraId="753496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trPr>
              <w:tc>
                <w:tcPr>
                  <w:tcW w:w="490" w:type="pct"/>
                  <w:tcBorders>
                    <w:top w:val="single" w:color="auto" w:sz="4" w:space="0"/>
                    <w:left w:val="single" w:color="auto" w:sz="4" w:space="0"/>
                    <w:bottom w:val="single" w:color="auto" w:sz="4" w:space="0"/>
                    <w:right w:val="single" w:color="auto" w:sz="4" w:space="0"/>
                  </w:tcBorders>
                  <w:noWrap w:val="0"/>
                  <w:vAlign w:val="center"/>
                </w:tcPr>
                <w:p w14:paraId="3087B307">
                  <w:pPr>
                    <w:pStyle w:val="55"/>
                    <w:keepNext w:val="0"/>
                    <w:keepLines w:val="0"/>
                    <w:suppressLineNumbers w:val="0"/>
                    <w:spacing w:before="0" w:beforeAutospacing="0" w:after="0" w:afterAutospacing="0"/>
                    <w:ind w:left="0" w:right="0"/>
                    <w:rPr>
                      <w:rFonts w:ascii="Times New Roman" w:hAnsi="Times New Roman" w:eastAsia="宋体" w:cs="Times New Roman"/>
                      <w:b/>
                      <w:color w:val="auto"/>
                    </w:rPr>
                  </w:pPr>
                  <w:r>
                    <w:rPr>
                      <w:rFonts w:ascii="Times New Roman" w:hAnsi="Times New Roman" w:eastAsia="宋体" w:cs="Times New Roman"/>
                      <w:b/>
                      <w:color w:val="auto"/>
                    </w:rPr>
                    <w:t>工程</w:t>
                  </w:r>
                </w:p>
                <w:p w14:paraId="738978CF">
                  <w:pPr>
                    <w:pStyle w:val="55"/>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类型</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496F2CC4">
                  <w:pPr>
                    <w:pStyle w:val="55"/>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工程名称</w:t>
                  </w:r>
                </w:p>
              </w:tc>
              <w:tc>
                <w:tcPr>
                  <w:tcW w:w="3300" w:type="pct"/>
                  <w:tcBorders>
                    <w:top w:val="single" w:color="auto" w:sz="4" w:space="0"/>
                    <w:left w:val="single" w:color="auto" w:sz="4" w:space="0"/>
                    <w:bottom w:val="single" w:color="auto" w:sz="4" w:space="0"/>
                    <w:right w:val="single" w:color="auto" w:sz="4" w:space="0"/>
                  </w:tcBorders>
                  <w:noWrap w:val="0"/>
                  <w:vAlign w:val="center"/>
                </w:tcPr>
                <w:p w14:paraId="3EF1A251">
                  <w:pPr>
                    <w:pStyle w:val="55"/>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工程内容</w:t>
                  </w:r>
                </w:p>
              </w:tc>
            </w:tr>
            <w:tr w14:paraId="086B68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90" w:type="pct"/>
                  <w:vMerge w:val="restart"/>
                  <w:tcBorders>
                    <w:top w:val="single" w:color="auto" w:sz="4" w:space="0"/>
                    <w:left w:val="single" w:color="auto" w:sz="4" w:space="0"/>
                    <w:right w:val="single" w:color="auto" w:sz="4" w:space="0"/>
                  </w:tcBorders>
                  <w:noWrap w:val="0"/>
                  <w:vAlign w:val="center"/>
                </w:tcPr>
                <w:p w14:paraId="40FB319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钻井</w:t>
                  </w:r>
                </w:p>
                <w:p w14:paraId="2E094DD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工程</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3065E5D9">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导管预埋</w:t>
                  </w:r>
                </w:p>
              </w:tc>
              <w:tc>
                <w:tcPr>
                  <w:tcW w:w="3300" w:type="pct"/>
                  <w:tcBorders>
                    <w:top w:val="single" w:color="auto" w:sz="4" w:space="0"/>
                    <w:left w:val="single" w:color="auto" w:sz="4" w:space="0"/>
                    <w:bottom w:val="single" w:color="auto" w:sz="4" w:space="0"/>
                    <w:right w:val="single" w:color="auto" w:sz="4" w:space="0"/>
                  </w:tcBorders>
                  <w:noWrap w:val="0"/>
                  <w:vAlign w:val="center"/>
                </w:tcPr>
                <w:p w14:paraId="7174A0F6">
                  <w:pPr>
                    <w:pStyle w:val="55"/>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导管段采用旋挖机</w:t>
                  </w:r>
                  <w:r>
                    <w:rPr>
                      <w:rFonts w:hint="default" w:ascii="Times New Roman" w:hAnsi="Times New Roman" w:eastAsia="宋体" w:cs="Times New Roman"/>
                      <w:color w:val="auto"/>
                    </w:rPr>
                    <w:t>清水</w:t>
                  </w:r>
                  <w:r>
                    <w:rPr>
                      <w:rFonts w:hint="eastAsia" w:ascii="Times New Roman" w:hAnsi="Times New Roman" w:eastAsia="宋体" w:cs="Times New Roman"/>
                      <w:color w:val="auto"/>
                      <w:lang w:val="en-US" w:eastAsia="zh-CN"/>
                    </w:rPr>
                    <w:t>钻孔</w:t>
                  </w:r>
                </w:p>
              </w:tc>
            </w:tr>
            <w:tr w14:paraId="1E1643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90" w:type="pct"/>
                  <w:vMerge w:val="continue"/>
                  <w:tcBorders>
                    <w:left w:val="single" w:color="auto" w:sz="4" w:space="0"/>
                    <w:right w:val="single" w:color="auto" w:sz="4" w:space="0"/>
                  </w:tcBorders>
                  <w:noWrap w:val="0"/>
                  <w:vAlign w:val="center"/>
                </w:tcPr>
                <w:p w14:paraId="0924DC8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120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61CC8FF">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钻井设备安装</w:t>
                  </w:r>
                </w:p>
              </w:tc>
              <w:tc>
                <w:tcPr>
                  <w:tcW w:w="330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76B7D07">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钻井成套设备搬运、安装、调试</w:t>
                  </w:r>
                </w:p>
              </w:tc>
            </w:tr>
            <w:tr w14:paraId="10CECA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90" w:type="pct"/>
                  <w:vMerge w:val="continue"/>
                  <w:tcBorders>
                    <w:left w:val="single" w:color="auto" w:sz="4" w:space="0"/>
                    <w:right w:val="single" w:color="auto" w:sz="4" w:space="0"/>
                  </w:tcBorders>
                  <w:noWrap w:val="0"/>
                  <w:vAlign w:val="center"/>
                </w:tcPr>
                <w:p w14:paraId="5E39EBC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6A40662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钻机作业</w:t>
                  </w:r>
                </w:p>
              </w:tc>
              <w:tc>
                <w:tcPr>
                  <w:tcW w:w="3300" w:type="pct"/>
                  <w:tcBorders>
                    <w:top w:val="single" w:color="auto" w:sz="4" w:space="0"/>
                    <w:left w:val="single" w:color="auto" w:sz="4" w:space="0"/>
                    <w:bottom w:val="single" w:color="auto" w:sz="4" w:space="0"/>
                    <w:right w:val="single" w:color="auto" w:sz="4" w:space="0"/>
                  </w:tcBorders>
                  <w:noWrap w:val="0"/>
                  <w:vAlign w:val="center"/>
                </w:tcPr>
                <w:p w14:paraId="5F958FC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钻井作业主要包括钻进、钻进辅助作业、固井等过程</w:t>
                  </w:r>
                </w:p>
              </w:tc>
            </w:tr>
            <w:tr w14:paraId="530A1A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90" w:type="pct"/>
                  <w:vMerge w:val="continue"/>
                  <w:tcBorders>
                    <w:left w:val="single" w:color="auto" w:sz="4" w:space="0"/>
                    <w:right w:val="single" w:color="auto" w:sz="4" w:space="0"/>
                  </w:tcBorders>
                  <w:noWrap w:val="0"/>
                  <w:vAlign w:val="center"/>
                </w:tcPr>
                <w:p w14:paraId="4B225DF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2302E380">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rPr>
                    <w:t>储层改造</w:t>
                  </w:r>
                </w:p>
              </w:tc>
              <w:tc>
                <w:tcPr>
                  <w:tcW w:w="3300" w:type="pct"/>
                  <w:tcBorders>
                    <w:top w:val="single" w:color="auto" w:sz="4" w:space="0"/>
                    <w:left w:val="single" w:color="auto" w:sz="4" w:space="0"/>
                    <w:bottom w:val="single" w:color="auto" w:sz="4" w:space="0"/>
                    <w:right w:val="single" w:color="auto" w:sz="4" w:space="0"/>
                  </w:tcBorders>
                  <w:noWrap w:val="0"/>
                  <w:vAlign w:val="center"/>
                </w:tcPr>
                <w:p w14:paraId="35ECC7CE">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rPr>
                    <w:t>储层改造</w:t>
                  </w:r>
                  <w:r>
                    <w:rPr>
                      <w:rFonts w:ascii="Times New Roman" w:hAnsi="Times New Roman" w:eastAsia="宋体" w:cs="Times New Roman"/>
                      <w:b w:val="0"/>
                      <w:color w:val="auto"/>
                    </w:rPr>
                    <w:t>工程主要包括射孔、压裂、测试</w:t>
                  </w:r>
                  <w:r>
                    <w:rPr>
                      <w:rFonts w:hint="eastAsia" w:ascii="Times New Roman" w:hAnsi="Times New Roman" w:eastAsia="宋体" w:cs="Times New Roman"/>
                      <w:b w:val="0"/>
                      <w:color w:val="auto"/>
                    </w:rPr>
                    <w:t>放喷</w:t>
                  </w:r>
                </w:p>
              </w:tc>
            </w:tr>
            <w:tr w14:paraId="19D7DF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90" w:type="pct"/>
                  <w:vMerge w:val="continue"/>
                  <w:tcBorders>
                    <w:left w:val="single" w:color="auto" w:sz="4" w:space="0"/>
                    <w:bottom w:val="single" w:color="auto" w:sz="4" w:space="0"/>
                    <w:right w:val="single" w:color="auto" w:sz="4" w:space="0"/>
                  </w:tcBorders>
                  <w:noWrap w:val="0"/>
                  <w:vAlign w:val="center"/>
                </w:tcPr>
                <w:p w14:paraId="43CA29F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43573EE8">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lang w:val="en-US" w:eastAsia="zh-CN"/>
                    </w:rPr>
                  </w:pPr>
                  <w:r>
                    <w:rPr>
                      <w:rFonts w:ascii="Times New Roman" w:hAnsi="Times New Roman" w:eastAsia="宋体" w:cs="Times New Roman"/>
                      <w:b w:val="0"/>
                      <w:color w:val="auto"/>
                    </w:rPr>
                    <w:t>完钻后设备搬迁</w:t>
                  </w:r>
                </w:p>
              </w:tc>
              <w:tc>
                <w:tcPr>
                  <w:tcW w:w="3300" w:type="pct"/>
                  <w:tcBorders>
                    <w:top w:val="single" w:color="auto" w:sz="4" w:space="0"/>
                    <w:left w:val="single" w:color="auto" w:sz="4" w:space="0"/>
                    <w:bottom w:val="single" w:color="auto" w:sz="4" w:space="0"/>
                    <w:right w:val="single" w:color="auto" w:sz="4" w:space="0"/>
                  </w:tcBorders>
                  <w:noWrap w:val="0"/>
                  <w:vAlign w:val="center"/>
                </w:tcPr>
                <w:p w14:paraId="241403FE">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lang w:val="en-US" w:eastAsia="zh-CN"/>
                    </w:rPr>
                  </w:pPr>
                  <w:r>
                    <w:rPr>
                      <w:rFonts w:ascii="Times New Roman" w:hAnsi="Times New Roman" w:eastAsia="宋体" w:cs="Times New Roman"/>
                      <w:b w:val="0"/>
                      <w:color w:val="auto"/>
                    </w:rPr>
                    <w:t>完钻后对井场钻井设备进行搬迁和井场清理</w:t>
                  </w:r>
                </w:p>
              </w:tc>
            </w:tr>
          </w:tbl>
          <w:p w14:paraId="783F024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rPr>
            </w:pPr>
            <w:r>
              <w:rPr>
                <w:rFonts w:hint="default" w:ascii="Times New Roman" w:hAnsi="Times New Roman" w:cs="Times New Roman"/>
                <w:b w:val="0"/>
                <w:bCs w:val="0"/>
                <w:color w:val="auto"/>
                <w:sz w:val="24"/>
              </w:rPr>
              <w:t>（</w:t>
            </w:r>
            <w:r>
              <w:rPr>
                <w:rFonts w:hint="eastAsia"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w:t>
            </w:r>
            <w:r>
              <w:rPr>
                <w:rFonts w:hint="default" w:ascii="Times New Roman" w:hAnsi="Times New Roman" w:cs="Times New Roman"/>
                <w:b w:val="0"/>
                <w:bCs w:val="0"/>
                <w:color w:val="auto"/>
                <w:kern w:val="0"/>
                <w:sz w:val="24"/>
                <w:lang w:bidi="ar"/>
              </w:rPr>
              <w:t>项目建设内容及组成</w:t>
            </w:r>
          </w:p>
          <w:p w14:paraId="77019F4A">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kern w:val="0"/>
                <w:sz w:val="24"/>
                <w:lang w:bidi="ar"/>
              </w:rPr>
              <w:t>本项目组成包括主体工程、辅助工程、环保工程、公用工程、办公及生活设施、仓储设施，项目组成</w:t>
            </w:r>
            <w:r>
              <w:rPr>
                <w:rFonts w:hint="default" w:ascii="Times New Roman" w:hAnsi="Times New Roman" w:cs="Times New Roman"/>
                <w:color w:val="auto"/>
                <w:sz w:val="24"/>
              </w:rPr>
              <w:t>及主要环境问题见下</w:t>
            </w:r>
            <w:r>
              <w:rPr>
                <w:rFonts w:hint="eastAsia" w:ascii="Times New Roman" w:hAnsi="Times New Roman" w:cs="Times New Roman"/>
                <w:color w:val="auto"/>
                <w:sz w:val="24"/>
                <w:lang w:val="en-US" w:eastAsia="zh-CN"/>
              </w:rPr>
              <w:t>表</w:t>
            </w:r>
            <w:r>
              <w:rPr>
                <w:rFonts w:hint="default" w:ascii="Times New Roman" w:hAnsi="Times New Roman" w:cs="Times New Roman"/>
                <w:color w:val="auto"/>
                <w:sz w:val="24"/>
              </w:rPr>
              <w:t>。</w:t>
            </w:r>
          </w:p>
          <w:p w14:paraId="63745B4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bookmarkStart w:id="34" w:name="_Ref120881585"/>
            <w:r>
              <w:rPr>
                <w:rFonts w:hint="eastAsia" w:ascii="Times New Roman" w:hAnsi="Times New Roman" w:eastAsia="宋体" w:cs="Times New Roman"/>
                <w:b/>
                <w:color w:val="auto"/>
                <w:lang w:val="en-US" w:eastAsia="zh-CN"/>
              </w:rPr>
              <w:t>本</w:t>
            </w:r>
            <w:r>
              <w:rPr>
                <w:rFonts w:hint="default" w:ascii="Times New Roman" w:hAnsi="Times New Roman" w:eastAsia="宋体" w:cs="Times New Roman"/>
                <w:b/>
                <w:color w:val="auto"/>
              </w:rPr>
              <w:t>项目组成表</w:t>
            </w:r>
            <w:bookmarkEnd w:id="34"/>
          </w:p>
          <w:tbl>
            <w:tblPr>
              <w:tblStyle w:val="23"/>
              <w:tblW w:w="4894" w:type="pct"/>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72"/>
              <w:gridCol w:w="624"/>
              <w:gridCol w:w="745"/>
              <w:gridCol w:w="3862"/>
              <w:gridCol w:w="1570"/>
            </w:tblGrid>
            <w:tr w14:paraId="7191F4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tcBorders>
                    <w:top w:val="single" w:color="auto" w:sz="4" w:space="0"/>
                    <w:left w:val="single" w:color="auto" w:sz="4" w:space="0"/>
                    <w:bottom w:val="single" w:color="auto" w:sz="4" w:space="0"/>
                    <w:right w:val="single" w:color="auto" w:sz="4" w:space="0"/>
                  </w:tcBorders>
                  <w:noWrap w:val="0"/>
                  <w:vAlign w:val="center"/>
                </w:tcPr>
                <w:p w14:paraId="79AAD44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名称</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3E569A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建设内容</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6D1CDD9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建设规模</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1B84C7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可能产生的</w:t>
                  </w:r>
                </w:p>
                <w:p w14:paraId="1C26B1E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环境影响</w:t>
                  </w:r>
                </w:p>
              </w:tc>
            </w:tr>
            <w:tr w14:paraId="5D988C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restart"/>
                  <w:tcBorders>
                    <w:top w:val="single" w:color="auto" w:sz="4" w:space="0"/>
                    <w:left w:val="single" w:color="auto" w:sz="4" w:space="0"/>
                    <w:right w:val="single" w:color="auto" w:sz="4" w:space="0"/>
                  </w:tcBorders>
                  <w:noWrap w:val="0"/>
                  <w:vAlign w:val="center"/>
                </w:tcPr>
                <w:p w14:paraId="067268E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主体</w:t>
                  </w:r>
                </w:p>
                <w:p w14:paraId="307B46B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工程</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17CA631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钻前工程</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2A2762FF">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Cs w:val="21"/>
                      <w:lang w:val="en-US" w:eastAsia="zh-CN" w:bidi="ar"/>
                    </w:rPr>
                  </w:pPr>
                  <w:r>
                    <w:rPr>
                      <w:color w:val="auto"/>
                      <w:szCs w:val="21"/>
                      <w:lang w:bidi="ar"/>
                    </w:rPr>
                    <w:t>按照四级公路要求</w:t>
                  </w:r>
                  <w:r>
                    <w:rPr>
                      <w:rFonts w:hint="eastAsia" w:eastAsia="宋体"/>
                      <w:color w:val="auto"/>
                      <w:szCs w:val="21"/>
                      <w:lang w:val="en-US" w:eastAsia="zh-CN" w:bidi="ar"/>
                    </w:rPr>
                    <w:t>对现有进场农村公路（</w:t>
                  </w:r>
                  <w:r>
                    <w:rPr>
                      <w:rFonts w:hint="eastAsia" w:ascii="Times New Roman" w:hAnsi="Times New Roman" w:eastAsia="宋体" w:cs="Times New Roman"/>
                      <w:color w:val="auto"/>
                      <w:szCs w:val="21"/>
                      <w:lang w:val="en-US" w:eastAsia="zh-CN" w:bidi="ar"/>
                    </w:rPr>
                    <w:t>长约</w:t>
                  </w:r>
                  <w:r>
                    <w:rPr>
                      <w:rFonts w:hint="default" w:ascii="Times New Roman" w:hAnsi="Times New Roman" w:eastAsia="宋体" w:cs="Times New Roman"/>
                      <w:color w:val="auto"/>
                      <w:szCs w:val="21"/>
                      <w:lang w:val="en-US" w:eastAsia="zh-CN" w:bidi="ar"/>
                    </w:rPr>
                    <w:t>5.5km</w:t>
                  </w:r>
                  <w:r>
                    <w:rPr>
                      <w:rFonts w:hint="eastAsia" w:ascii="Times New Roman" w:hAnsi="Times New Roman" w:eastAsia="宋体" w:cs="Times New Roman"/>
                      <w:color w:val="auto"/>
                      <w:szCs w:val="21"/>
                      <w:lang w:val="en-US" w:eastAsia="zh-CN" w:bidi="ar"/>
                    </w:rPr>
                    <w:t>、宽3.5m）进行改</w:t>
                  </w:r>
                  <w:r>
                    <w:rPr>
                      <w:rFonts w:hint="default" w:ascii="Times New Roman" w:hAnsi="Times New Roman" w:eastAsia="宋体" w:cs="Times New Roman"/>
                      <w:color w:val="auto"/>
                      <w:szCs w:val="21"/>
                      <w:lang w:val="en-US" w:eastAsia="zh-CN" w:bidi="ar"/>
                    </w:rPr>
                    <w:t>建，</w:t>
                  </w:r>
                  <w:r>
                    <w:rPr>
                      <w:rFonts w:hint="eastAsia" w:ascii="Times New Roman" w:hAnsi="Times New Roman" w:eastAsia="宋体" w:cs="Times New Roman"/>
                      <w:color w:val="auto"/>
                      <w:szCs w:val="21"/>
                      <w:lang w:val="en-US" w:eastAsia="zh-CN" w:bidi="ar"/>
                    </w:rPr>
                    <w:t>破损路面修补3250m</w:t>
                  </w:r>
                  <w:r>
                    <w:rPr>
                      <w:rFonts w:hint="eastAsia" w:ascii="Times New Roman" w:hAnsi="Times New Roman" w:eastAsia="宋体" w:cs="Times New Roman"/>
                      <w:color w:val="auto"/>
                      <w:szCs w:val="21"/>
                      <w:vertAlign w:val="superscript"/>
                      <w:lang w:val="en-US" w:eastAsia="zh-CN" w:bidi="ar"/>
                    </w:rPr>
                    <w:t>2</w:t>
                  </w:r>
                  <w:r>
                    <w:rPr>
                      <w:rFonts w:hint="eastAsia" w:ascii="Times New Roman" w:hAnsi="Times New Roman" w:eastAsia="宋体" w:cs="Times New Roman"/>
                      <w:color w:val="auto"/>
                      <w:szCs w:val="21"/>
                      <w:lang w:val="en-US" w:eastAsia="zh-CN" w:bidi="ar"/>
                    </w:rPr>
                    <w:t>，对8处弯道进行加宽处理（各弯道处最大宽度加宽到4.5~9.8m）；</w:t>
                  </w:r>
                  <w:r>
                    <w:rPr>
                      <w:rFonts w:hint="default" w:ascii="Times New Roman" w:hAnsi="Times New Roman" w:eastAsia="宋体" w:cs="Times New Roman"/>
                      <w:color w:val="auto"/>
                      <w:szCs w:val="21"/>
                      <w:lang w:val="en-US" w:eastAsia="zh-CN" w:bidi="ar"/>
                    </w:rPr>
                    <w:t>新建进场道路约64m</w:t>
                  </w:r>
                  <w:r>
                    <w:rPr>
                      <w:rFonts w:hint="eastAsia" w:ascii="Times New Roman" w:hAnsi="Times New Roman" w:eastAsia="宋体" w:cs="Times New Roman"/>
                      <w:color w:val="auto"/>
                      <w:szCs w:val="21"/>
                      <w:lang w:val="en-US" w:eastAsia="zh-CN" w:bidi="ar"/>
                    </w:rPr>
                    <w:t>、宽4.0m，</w:t>
                  </w:r>
                  <w:r>
                    <w:rPr>
                      <w:rFonts w:hint="default" w:ascii="Times New Roman" w:hAnsi="Times New Roman" w:eastAsia="宋体" w:cs="Times New Roman"/>
                      <w:color w:val="auto"/>
                      <w:szCs w:val="21"/>
                      <w:lang w:val="en-US" w:eastAsia="zh-CN" w:bidi="ar"/>
                    </w:rPr>
                    <w:t>外部道路依托已建道路</w:t>
                  </w:r>
                  <w:r>
                    <w:rPr>
                      <w:rFonts w:hint="eastAsia" w:ascii="Times New Roman" w:hAnsi="Times New Roman" w:eastAsia="宋体" w:cs="Times New Roman"/>
                      <w:color w:val="auto"/>
                      <w:szCs w:val="21"/>
                      <w:lang w:val="en-US" w:eastAsia="zh-CN" w:bidi="ar"/>
                    </w:rPr>
                    <w:t>。道路结构均为200mm沙砾石+200mm厚C25混凝土层。</w:t>
                  </w:r>
                </w:p>
                <w:p w14:paraId="05845A43">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color w:val="auto"/>
                      <w:szCs w:val="21"/>
                      <w:lang w:val="en-US" w:eastAsia="zh-CN" w:bidi="ar"/>
                    </w:rPr>
                    <w:t>井场</w:t>
                  </w:r>
                  <w:r>
                    <w:rPr>
                      <w:rFonts w:hint="eastAsia" w:ascii="Times New Roman" w:hAnsi="Times New Roman" w:eastAsia="宋体" w:cs="Times New Roman"/>
                      <w:color w:val="auto"/>
                      <w:szCs w:val="21"/>
                      <w:lang w:val="en-US" w:eastAsia="zh-CN" w:bidi="ar"/>
                    </w:rPr>
                    <w:t>呈</w:t>
                  </w:r>
                  <w:r>
                    <w:rPr>
                      <w:rFonts w:hint="default" w:ascii="Times New Roman" w:hAnsi="Times New Roman" w:eastAsia="宋体" w:cs="Times New Roman"/>
                      <w:color w:val="auto"/>
                      <w:szCs w:val="21"/>
                      <w:lang w:val="en-US" w:eastAsia="zh-CN" w:bidi="ar"/>
                    </w:rPr>
                    <w:t>长1</w:t>
                  </w:r>
                  <w:r>
                    <w:rPr>
                      <w:rFonts w:hint="eastAsia" w:ascii="Times New Roman" w:hAnsi="Times New Roman" w:eastAsia="宋体" w:cs="Times New Roman"/>
                      <w:color w:val="auto"/>
                      <w:szCs w:val="21"/>
                      <w:lang w:val="en-US" w:eastAsia="zh-CN" w:bidi="ar"/>
                    </w:rPr>
                    <w:t>2</w:t>
                  </w:r>
                  <w:r>
                    <w:rPr>
                      <w:rFonts w:hint="default" w:ascii="Times New Roman" w:hAnsi="Times New Roman" w:eastAsia="宋体" w:cs="Times New Roman"/>
                      <w:color w:val="auto"/>
                      <w:szCs w:val="21"/>
                      <w:lang w:val="en-US" w:eastAsia="zh-CN" w:bidi="ar"/>
                    </w:rPr>
                    <w:t>0m</w:t>
                  </w:r>
                  <w:r>
                    <w:rPr>
                      <w:rFonts w:hint="eastAsia" w:ascii="Times New Roman" w:hAnsi="Times New Roman" w:eastAsia="宋体" w:cs="Times New Roman"/>
                      <w:color w:val="auto"/>
                      <w:szCs w:val="21"/>
                      <w:lang w:val="en-US" w:eastAsia="zh-CN" w:bidi="ar"/>
                    </w:rPr>
                    <w:t>、</w:t>
                  </w:r>
                  <w:r>
                    <w:rPr>
                      <w:rFonts w:hint="default" w:ascii="Times New Roman" w:hAnsi="Times New Roman" w:eastAsia="宋体" w:cs="Times New Roman"/>
                      <w:color w:val="auto"/>
                      <w:szCs w:val="21"/>
                      <w:lang w:val="en-US" w:eastAsia="zh-CN" w:bidi="ar"/>
                    </w:rPr>
                    <w:t>宽60m</w:t>
                  </w:r>
                  <w:r>
                    <w:rPr>
                      <w:rFonts w:hint="eastAsia" w:ascii="Times New Roman" w:hAnsi="Times New Roman" w:eastAsia="宋体" w:cs="Times New Roman"/>
                      <w:color w:val="auto"/>
                      <w:lang w:val="en-US" w:eastAsia="zh-CN"/>
                    </w:rPr>
                    <w:t>的矩形</w:t>
                  </w:r>
                  <w:r>
                    <w:rPr>
                      <w:rFonts w:ascii="Times New Roman" w:hAnsi="Times New Roman" w:cs="Times New Roman"/>
                      <w:color w:val="auto"/>
                    </w:rPr>
                    <w:t>，建设方井1座，井架基础、泥浆泵基础（泵房基础）、循环罐基础、储备罐基础（泥浆储备）、泥浆不落地基础（环保装置区）、机房基础</w:t>
                  </w:r>
                  <w:r>
                    <w:rPr>
                      <w:rFonts w:ascii="Times New Roman" w:hAnsi="Times New Roman" w:eastAsia="宋体" w:cs="Times New Roman"/>
                      <w:color w:val="auto"/>
                    </w:rPr>
                    <w:t>（发电机房及高低压配电房基础）</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油罐区基础</w:t>
                  </w:r>
                  <w:r>
                    <w:rPr>
                      <w:rFonts w:ascii="Times New Roman" w:hAnsi="Times New Roman" w:cs="Times New Roman"/>
                      <w:color w:val="auto"/>
                    </w:rPr>
                    <w:t>；</w:t>
                  </w:r>
                  <w:r>
                    <w:rPr>
                      <w:rFonts w:hint="eastAsia" w:ascii="Times New Roman" w:hAnsi="Times New Roman" w:eastAsia="宋体" w:cs="Times New Roman"/>
                      <w:color w:val="auto"/>
                      <w:lang w:val="en-US" w:eastAsia="zh-CN"/>
                    </w:rPr>
                    <w:t>在井场外</w:t>
                  </w:r>
                  <w:r>
                    <w:rPr>
                      <w:rFonts w:ascii="Times New Roman" w:hAnsi="Times New Roman" w:cs="Times New Roman"/>
                      <w:color w:val="auto"/>
                    </w:rPr>
                    <w:t>建放喷池</w:t>
                  </w:r>
                  <w:r>
                    <w:rPr>
                      <w:rFonts w:hint="eastAsia" w:ascii="Times New Roman" w:hAnsi="Times New Roman" w:eastAsia="宋体" w:cs="Times New Roman"/>
                      <w:color w:val="auto"/>
                      <w:lang w:val="en-US" w:eastAsia="zh-CN"/>
                    </w:rPr>
                    <w:t>1个</w:t>
                  </w:r>
                  <w:r>
                    <w:rPr>
                      <w:rFonts w:ascii="Times New Roman" w:hAnsi="Times New Roman" w:cs="Times New Roman"/>
                      <w:color w:val="auto"/>
                    </w:rPr>
                    <w:t>、清水池1个、污水池</w:t>
                  </w:r>
                  <w:r>
                    <w:rPr>
                      <w:rFonts w:hint="eastAsia" w:ascii="Times New Roman" w:hAnsi="Times New Roman" w:eastAsia="宋体" w:cs="Times New Roman"/>
                      <w:color w:val="auto"/>
                    </w:rPr>
                    <w:t>（多功能网格池组）</w:t>
                  </w:r>
                  <w:r>
                    <w:rPr>
                      <w:rFonts w:ascii="Times New Roman" w:hAnsi="Times New Roman" w:cs="Times New Roman"/>
                      <w:color w:val="auto"/>
                    </w:rPr>
                    <w:t>1个；新建生活营地</w:t>
                  </w:r>
                  <w:r>
                    <w:rPr>
                      <w:rFonts w:hint="eastAsia" w:ascii="Times New Roman" w:hAnsi="Times New Roman" w:cs="Times New Roman"/>
                      <w:color w:val="auto"/>
                    </w:rPr>
                    <w:t>1个</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753834C9">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临时占用部分土地，改变土地利用现状，破坏植被，改变自然地形地貌，可能导致水土流失，施工扬尘、噪声、固废</w:t>
                  </w:r>
                </w:p>
              </w:tc>
            </w:tr>
            <w:tr w14:paraId="694791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left w:val="single" w:color="auto" w:sz="4" w:space="0"/>
                    <w:right w:val="single" w:color="auto" w:sz="4" w:space="0"/>
                  </w:tcBorders>
                  <w:noWrap w:val="0"/>
                  <w:vAlign w:val="center"/>
                </w:tcPr>
                <w:p w14:paraId="495357A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vMerge w:val="restart"/>
                  <w:tcBorders>
                    <w:top w:val="single" w:color="auto" w:sz="4" w:space="0"/>
                    <w:left w:val="single" w:color="auto" w:sz="4" w:space="0"/>
                    <w:right w:val="single" w:color="auto" w:sz="4" w:space="0"/>
                  </w:tcBorders>
                  <w:noWrap w:val="0"/>
                  <w:vAlign w:val="center"/>
                </w:tcPr>
                <w:p w14:paraId="50DF95B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钻井工程</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27AC91B6">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新</w:t>
                  </w:r>
                  <w:r>
                    <w:rPr>
                      <w:rFonts w:hint="eastAsia" w:cs="Times New Roman"/>
                      <w:color w:val="auto"/>
                      <w:lang w:val="en-US" w:eastAsia="zh-CN"/>
                    </w:rPr>
                    <w:t>建天然气勘探井一口</w:t>
                  </w:r>
                  <w:r>
                    <w:rPr>
                      <w:rFonts w:hint="default" w:ascii="Times New Roman" w:hAnsi="Times New Roman" w:cs="Times New Roman"/>
                      <w:color w:val="auto"/>
                    </w:rPr>
                    <w:t>，井别</w:t>
                  </w:r>
                  <w:r>
                    <w:rPr>
                      <w:rFonts w:hint="eastAsia" w:cs="Times New Roman"/>
                      <w:color w:val="auto"/>
                      <w:lang w:val="en-US" w:eastAsia="zh-CN"/>
                    </w:rPr>
                    <w:t>为</w:t>
                  </w:r>
                  <w:r>
                    <w:rPr>
                      <w:rFonts w:hint="default" w:ascii="Times New Roman" w:hAnsi="Times New Roman" w:cs="Times New Roman"/>
                      <w:color w:val="auto"/>
                    </w:rPr>
                    <w:t>预探井</w:t>
                  </w:r>
                  <w:r>
                    <w:rPr>
                      <w:rFonts w:hint="eastAsia" w:cs="Times New Roman"/>
                      <w:color w:val="auto"/>
                      <w:lang w:eastAsia="zh-CN"/>
                    </w:rPr>
                    <w:t>，</w:t>
                  </w:r>
                  <w:r>
                    <w:rPr>
                      <w:rFonts w:hint="default" w:ascii="Times New Roman" w:hAnsi="Times New Roman" w:cs="Times New Roman"/>
                      <w:color w:val="auto"/>
                    </w:rPr>
                    <w:t>井型</w:t>
                  </w:r>
                  <w:r>
                    <w:rPr>
                      <w:rFonts w:hint="eastAsia" w:cs="Times New Roman"/>
                      <w:color w:val="auto"/>
                      <w:lang w:val="en-US" w:eastAsia="zh-CN"/>
                    </w:rPr>
                    <w:t>为定向</w:t>
                  </w:r>
                  <w:r>
                    <w:rPr>
                      <w:rFonts w:hint="default" w:ascii="Times New Roman" w:hAnsi="Times New Roman" w:cs="Times New Roman"/>
                      <w:color w:val="auto"/>
                    </w:rPr>
                    <w:t>井</w:t>
                  </w:r>
                  <w:r>
                    <w:rPr>
                      <w:rFonts w:hint="eastAsia" w:cs="Times New Roman"/>
                      <w:color w:val="auto"/>
                      <w:lang w:eastAsia="zh-CN"/>
                    </w:rPr>
                    <w:t>。</w:t>
                  </w:r>
                  <w:r>
                    <w:rPr>
                      <w:rFonts w:hint="default" w:ascii="Times New Roman" w:hAnsi="Times New Roman" w:cs="Times New Roman"/>
                      <w:color w:val="auto"/>
                    </w:rPr>
                    <w:t>设计井深</w:t>
                  </w:r>
                  <w:r>
                    <w:rPr>
                      <w:rFonts w:hint="default" w:cs="Times New Roman"/>
                      <w:color w:val="auto"/>
                      <w:lang w:val="en-US" w:eastAsia="zh-CN"/>
                    </w:rPr>
                    <w:t>：斜深</w:t>
                  </w:r>
                  <w:r>
                    <w:rPr>
                      <w:rFonts w:hint="eastAsia" w:cs="Times New Roman"/>
                      <w:color w:val="auto"/>
                      <w:lang w:val="en-US" w:eastAsia="zh-CN"/>
                    </w:rPr>
                    <w:t>4998.00</w:t>
                  </w:r>
                  <w:r>
                    <w:rPr>
                      <w:rFonts w:hint="default" w:cs="Times New Roman"/>
                      <w:color w:val="auto"/>
                      <w:lang w:val="en-US" w:eastAsia="zh-CN"/>
                    </w:rPr>
                    <w:t>m，垂深</w:t>
                  </w:r>
                  <w:r>
                    <w:rPr>
                      <w:rFonts w:hint="eastAsia" w:cs="Times New Roman"/>
                      <w:color w:val="auto"/>
                      <w:lang w:val="en-US" w:eastAsia="zh-CN"/>
                    </w:rPr>
                    <w:t>4797.00</w:t>
                  </w:r>
                  <w:r>
                    <w:rPr>
                      <w:rFonts w:hint="default" w:cs="Times New Roman"/>
                      <w:color w:val="auto"/>
                      <w:lang w:val="en-US" w:eastAsia="zh-CN"/>
                    </w:rPr>
                    <w:t>m</w:t>
                  </w:r>
                  <w:r>
                    <w:rPr>
                      <w:rFonts w:hint="eastAsia" w:cs="Times New Roman"/>
                      <w:color w:val="auto"/>
                      <w:lang w:val="en-US" w:eastAsia="zh-CN"/>
                    </w:rPr>
                    <w:t>。</w:t>
                  </w:r>
                  <w:r>
                    <w:rPr>
                      <w:rFonts w:hint="default" w:cs="Times New Roman"/>
                      <w:color w:val="auto"/>
                      <w:lang w:val="en-US" w:eastAsia="zh-CN"/>
                    </w:rPr>
                    <w:t>选</w:t>
                  </w:r>
                  <w:r>
                    <w:rPr>
                      <w:rFonts w:hint="default" w:ascii="Times New Roman" w:hAnsi="Times New Roman" w:cs="Times New Roman"/>
                      <w:color w:val="auto"/>
                    </w:rPr>
                    <w:t>用ZJ70D型钻机，</w:t>
                  </w:r>
                  <w:r>
                    <w:rPr>
                      <w:rFonts w:hint="eastAsia" w:ascii="Times New Roman" w:hAnsi="Times New Roman" w:cs="Times New Roman"/>
                      <w:color w:val="auto"/>
                      <w:lang w:val="en-US" w:eastAsia="zh-CN"/>
                    </w:rPr>
                    <w:t>并</w:t>
                  </w:r>
                  <w:r>
                    <w:rPr>
                      <w:rFonts w:hint="default" w:ascii="Times New Roman" w:hAnsi="Times New Roman" w:cs="Times New Roman"/>
                      <w:color w:val="auto"/>
                    </w:rPr>
                    <w:t>安装相关钻井设备</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04D8A3B3">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作业废水及员工生活污水；岩屑及废泥浆、员工生活垃圾；钻井设备噪声</w:t>
                  </w:r>
                </w:p>
              </w:tc>
            </w:tr>
            <w:tr w14:paraId="477C50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left w:val="single" w:color="auto" w:sz="4" w:space="0"/>
                    <w:right w:val="single" w:color="auto" w:sz="4" w:space="0"/>
                  </w:tcBorders>
                  <w:noWrap w:val="0"/>
                  <w:vAlign w:val="center"/>
                </w:tcPr>
                <w:p w14:paraId="348CAE3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vMerge w:val="continue"/>
                  <w:tcBorders>
                    <w:left w:val="single" w:color="auto" w:sz="4" w:space="0"/>
                    <w:right w:val="single" w:color="auto" w:sz="4" w:space="0"/>
                  </w:tcBorders>
                  <w:noWrap w:val="0"/>
                  <w:vAlign w:val="center"/>
                </w:tcPr>
                <w:p w14:paraId="3125A75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06A97E9B">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cs="Times New Roman"/>
                      <w:color w:val="auto"/>
                    </w:rPr>
                    <w:t>储层改造</w:t>
                  </w:r>
                  <w:r>
                    <w:rPr>
                      <w:rFonts w:hint="default" w:ascii="Times New Roman" w:hAnsi="Times New Roman" w:cs="Times New Roman"/>
                      <w:color w:val="auto"/>
                    </w:rPr>
                    <w:t>工程</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射孔、</w:t>
                  </w:r>
                  <w:r>
                    <w:rPr>
                      <w:rFonts w:hint="default" w:ascii="Times New Roman" w:hAnsi="Times New Roman" w:cs="Times New Roman"/>
                      <w:color w:val="auto"/>
                      <w:szCs w:val="21"/>
                    </w:rPr>
                    <w:t>加砂压裂作业、放喷测试</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03020FA">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测试产生废气、放喷气流噪声，洗井废水、压裂返排液等</w:t>
                  </w:r>
                </w:p>
              </w:tc>
            </w:tr>
            <w:tr w14:paraId="3F97A3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left w:val="single" w:color="auto" w:sz="4" w:space="0"/>
                    <w:bottom w:val="single" w:color="auto" w:sz="4" w:space="0"/>
                    <w:right w:val="single" w:color="auto" w:sz="4" w:space="0"/>
                  </w:tcBorders>
                  <w:noWrap w:val="0"/>
                  <w:vAlign w:val="center"/>
                </w:tcPr>
                <w:p w14:paraId="4E71701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vMerge w:val="continue"/>
                  <w:tcBorders>
                    <w:left w:val="single" w:color="auto" w:sz="4" w:space="0"/>
                    <w:bottom w:val="single" w:color="auto" w:sz="4" w:space="0"/>
                    <w:right w:val="single" w:color="auto" w:sz="4" w:space="0"/>
                  </w:tcBorders>
                  <w:noWrap w:val="0"/>
                  <w:vAlign w:val="center"/>
                </w:tcPr>
                <w:p w14:paraId="1ADE14D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3839307D">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完钻测试、设备搬迁、清理场地</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62B05D5D">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测试产生的废气、放喷气流噪声等</w:t>
                  </w:r>
                </w:p>
              </w:tc>
            </w:tr>
            <w:tr w14:paraId="2A0C5B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1413" w:type="pct"/>
                  <w:gridSpan w:val="3"/>
                  <w:vMerge w:val="restart"/>
                  <w:tcBorders>
                    <w:top w:val="single" w:color="auto" w:sz="4" w:space="0"/>
                    <w:left w:val="single" w:color="auto" w:sz="4" w:space="0"/>
                    <w:right w:val="single" w:color="auto" w:sz="4" w:space="0"/>
                  </w:tcBorders>
                  <w:noWrap w:val="0"/>
                  <w:vAlign w:val="center"/>
                </w:tcPr>
                <w:p w14:paraId="08AB5E2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辅助工程</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3625E784">
                  <w:pPr>
                    <w:keepNext w:val="0"/>
                    <w:keepLines w:val="0"/>
                    <w:suppressLineNumbers w:val="0"/>
                    <w:spacing w:before="0" w:beforeAutospacing="0" w:after="0" w:afterAutospacing="0"/>
                    <w:ind w:left="0" w:right="0"/>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测井、取心、录井：主要</w:t>
                  </w:r>
                  <w:r>
                    <w:rPr>
                      <w:rFonts w:hint="eastAsia" w:ascii="Times New Roman" w:hAnsi="Times New Roman" w:cs="Times New Roman"/>
                      <w:color w:val="auto"/>
                      <w:lang w:eastAsia="zh-CN"/>
                    </w:rPr>
                    <w:t>是</w:t>
                  </w:r>
                  <w:r>
                    <w:rPr>
                      <w:rFonts w:hint="default" w:ascii="Times New Roman" w:hAnsi="Times New Roman" w:cs="Times New Roman"/>
                      <w:color w:val="auto"/>
                    </w:rPr>
                    <w:t>取样分析地质等情况。在钻井过程中如果发现良好油气显示即停止钻进，对可能的油、气层</w:t>
                  </w:r>
                  <w:r>
                    <w:rPr>
                      <w:rFonts w:hint="eastAsia" w:ascii="Times New Roman" w:hAnsi="Times New Roman" w:cs="Times New Roman"/>
                      <w:color w:val="auto"/>
                      <w:lang w:eastAsia="zh-CN"/>
                    </w:rPr>
                    <w:t>进行</w:t>
                  </w:r>
                  <w:r>
                    <w:rPr>
                      <w:rFonts w:hint="default" w:ascii="Times New Roman" w:hAnsi="Times New Roman" w:cs="Times New Roman"/>
                      <w:color w:val="auto"/>
                    </w:rPr>
                    <w:t>中途测试</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0252E00D">
                  <w:pPr>
                    <w:keepNext w:val="0"/>
                    <w:keepLines w:val="0"/>
                    <w:suppressLineNumbers w:val="0"/>
                    <w:spacing w:before="0" w:beforeAutospacing="0" w:after="0" w:afterAutospacing="0"/>
                    <w:ind w:left="0" w:right="0"/>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测井、取心、录井过程基本不涉及污染物；中途测试产生放喷燃烧废气、放喷气流噪声</w:t>
                  </w:r>
                </w:p>
              </w:tc>
            </w:tr>
            <w:tr w14:paraId="7E6067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1413" w:type="pct"/>
                  <w:gridSpan w:val="3"/>
                  <w:vMerge w:val="continue"/>
                  <w:tcBorders>
                    <w:left w:val="single" w:color="auto" w:sz="4" w:space="0"/>
                    <w:right w:val="single" w:color="auto" w:sz="4" w:space="0"/>
                  </w:tcBorders>
                  <w:noWrap w:val="0"/>
                  <w:vAlign w:val="center"/>
                </w:tcPr>
                <w:p w14:paraId="52FE077C">
                  <w:pPr>
                    <w:keepNext w:val="0"/>
                    <w:keepLines w:val="0"/>
                    <w:suppressLineNumbers w:val="0"/>
                    <w:spacing w:before="0" w:beforeAutospacing="0" w:after="0" w:afterAutospacing="0"/>
                    <w:ind w:left="0" w:right="0"/>
                    <w:jc w:val="center"/>
                    <w:rPr>
                      <w:rFonts w:hint="eastAsia" w:ascii="Times New Roman" w:hAnsi="Times New Roman" w:cs="Times New Roman"/>
                      <w:color w:val="auto"/>
                      <w:lang w:val="en-US" w:eastAsia="zh-CN"/>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24965D25">
                  <w:pPr>
                    <w:keepNext w:val="0"/>
                    <w:keepLines w:val="0"/>
                    <w:suppressLineNumbers w:val="0"/>
                    <w:spacing w:before="0" w:beforeAutospacing="0" w:after="0" w:afterAutospacing="0"/>
                    <w:ind w:left="0" w:right="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测试放喷期间，若遇到环境低温、压差大等特殊情况时会导致气流节流降温，易引发管线冰堵、水合物堵塞等。</w:t>
                  </w:r>
                </w:p>
                <w:p w14:paraId="00B2058E">
                  <w:pPr>
                    <w:keepNext w:val="0"/>
                    <w:keepLines w:val="0"/>
                    <w:suppressLineNumbers w:val="0"/>
                    <w:spacing w:before="0" w:beforeAutospacing="0" w:after="0" w:afterAutospacing="0"/>
                    <w:ind w:left="0" w:right="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为预防该情况的发生，项目设置一台备用蒸汽锅炉，用于该情况出现时井口、管汇、放喷管线的保温，避免管线堵塞、憋压刺漏风险。</w:t>
                  </w:r>
                </w:p>
                <w:p w14:paraId="25C36377">
                  <w:pPr>
                    <w:keepNext w:val="0"/>
                    <w:keepLines w:val="0"/>
                    <w:suppressLineNumbers w:val="0"/>
                    <w:spacing w:before="0" w:beforeAutospacing="0" w:after="0" w:afterAutospacing="0"/>
                    <w:ind w:left="0" w:right="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锅炉房位于井场后场环保装置区附近，内设一台2t/h柴油蒸汽锅炉（锅炉型号</w:t>
                  </w:r>
                  <w:r>
                    <w:rPr>
                      <w:rFonts w:hint="default" w:ascii="Times New Roman" w:hAnsi="Times New Roman" w:cs="Times New Roman"/>
                      <w:color w:val="auto"/>
                      <w:lang w:val="en-US" w:eastAsia="zh-CN"/>
                    </w:rPr>
                    <w:t>WNS2-1.25-YQ</w:t>
                  </w:r>
                  <w:r>
                    <w:rPr>
                      <w:rFonts w:hint="eastAsia" w:ascii="Times New Roman" w:hAnsi="Times New Roman" w:cs="Times New Roman"/>
                      <w:color w:val="auto"/>
                      <w:lang w:val="en-US" w:eastAsia="zh-CN"/>
                    </w:rPr>
                    <w:t>），配套设一根8m高排气筒</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6F058FC3">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cs="Times New Roman"/>
                      <w:color w:val="auto"/>
                      <w:lang w:val="en-US" w:eastAsia="zh-CN"/>
                    </w:rPr>
                    <w:t>噪声、废气</w:t>
                  </w:r>
                </w:p>
              </w:tc>
            </w:tr>
            <w:tr w14:paraId="05BA95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restart"/>
                  <w:tcBorders>
                    <w:top w:val="single" w:color="auto" w:sz="4" w:space="0"/>
                    <w:left w:val="single" w:color="auto" w:sz="4" w:space="0"/>
                    <w:bottom w:val="single" w:color="auto" w:sz="4" w:space="0"/>
                    <w:right w:val="single" w:color="auto" w:sz="4" w:space="0"/>
                  </w:tcBorders>
                  <w:noWrap w:val="0"/>
                  <w:vAlign w:val="center"/>
                </w:tcPr>
                <w:p w14:paraId="0844EC42">
                  <w:pPr>
                    <w:keepNext w:val="0"/>
                    <w:keepLines w:val="0"/>
                    <w:suppressLineNumbers w:val="0"/>
                    <w:spacing w:before="0" w:beforeAutospacing="0" w:after="0" w:afterAutospacing="0"/>
                    <w:ind w:left="0" w:right="0"/>
                    <w:jc w:val="center"/>
                    <w:rPr>
                      <w:rFonts w:hint="eastAsia" w:ascii="Times New Roman" w:hAnsi="Times New Roman" w:cs="Times New Roman"/>
                      <w:color w:val="auto"/>
                    </w:rPr>
                  </w:pPr>
                  <w:r>
                    <w:rPr>
                      <w:rFonts w:hint="eastAsia" w:ascii="Times New Roman" w:hAnsi="Times New Roman" w:cs="Times New Roman"/>
                      <w:color w:val="auto"/>
                    </w:rPr>
                    <w:t>环保</w:t>
                  </w:r>
                </w:p>
                <w:p w14:paraId="3721DCE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工程</w:t>
                  </w:r>
                </w:p>
              </w:tc>
              <w:tc>
                <w:tcPr>
                  <w:tcW w:w="903" w:type="pct"/>
                  <w:gridSpan w:val="2"/>
                  <w:vMerge w:val="restart"/>
                  <w:tcBorders>
                    <w:top w:val="single" w:color="auto" w:sz="4" w:space="0"/>
                    <w:left w:val="single" w:color="auto" w:sz="4" w:space="0"/>
                    <w:right w:val="single" w:color="auto" w:sz="4" w:space="0"/>
                  </w:tcBorders>
                  <w:noWrap w:val="0"/>
                  <w:vAlign w:val="center"/>
                </w:tcPr>
                <w:p w14:paraId="7EDA588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废水处理</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6BD8451">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cs="Times New Roman"/>
                      <w:color w:val="auto"/>
                      <w:lang w:val="en-US" w:eastAsia="zh-CN"/>
                    </w:rPr>
                    <w:t>设置1个</w:t>
                  </w:r>
                  <w:r>
                    <w:rPr>
                      <w:rFonts w:hint="eastAsia" w:ascii="Times New Roman" w:hAnsi="Times New Roman" w:cs="Times New Roman"/>
                      <w:color w:val="auto"/>
                      <w:lang w:val="en-US" w:eastAsia="zh-CN"/>
                    </w:rPr>
                    <w:t>污水池（多功能网格池组），</w:t>
                  </w:r>
                  <w:r>
                    <w:rPr>
                      <w:rFonts w:hint="default" w:ascii="Times New Roman" w:hAnsi="Times New Roman" w:eastAsia="宋体" w:cs="Times New Roman"/>
                      <w:color w:val="auto"/>
                      <w:highlight w:val="none"/>
                    </w:rPr>
                    <w:t>有效容积</w:t>
                  </w:r>
                  <w:r>
                    <w:rPr>
                      <w:rFonts w:hint="eastAsia" w:cs="Times New Roman"/>
                      <w:color w:val="auto"/>
                      <w:highlight w:val="none"/>
                      <w:lang w:val="en-US" w:eastAsia="zh-CN"/>
                    </w:rPr>
                    <w:t>1</w:t>
                  </w:r>
                  <w:r>
                    <w:rPr>
                      <w:rFonts w:hint="eastAsia" w:ascii="Times New Roman" w:hAnsi="Times New Roman" w:eastAsia="宋体" w:cs="Times New Roman"/>
                      <w:color w:val="auto"/>
                      <w:highlight w:val="none"/>
                    </w:rPr>
                    <w:t>2</w:t>
                  </w:r>
                  <w:r>
                    <w:rPr>
                      <w:rFonts w:hint="default" w:ascii="Times New Roman" w:hAnsi="Times New Roman" w:eastAsia="宋体" w:cs="Times New Roman"/>
                      <w:color w:val="auto"/>
                      <w:highlight w:val="none"/>
                    </w:rPr>
                    <w:t>00m³</w:t>
                  </w:r>
                  <w:r>
                    <w:rPr>
                      <w:rFonts w:hint="eastAsia" w:cs="Times New Roman"/>
                      <w:color w:val="auto"/>
                      <w:highlight w:val="none"/>
                      <w:lang w:val="en-US" w:eastAsia="zh-CN"/>
                    </w:rPr>
                    <w:t>，其中500m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用于日常污水收集、暂存等，700m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空置作为事故应急池</w:t>
                  </w:r>
                </w:p>
              </w:tc>
              <w:tc>
                <w:tcPr>
                  <w:tcW w:w="1036" w:type="pct"/>
                  <w:vMerge w:val="restart"/>
                  <w:tcBorders>
                    <w:top w:val="single" w:color="auto" w:sz="4" w:space="0"/>
                    <w:left w:val="single" w:color="auto" w:sz="4" w:space="0"/>
                    <w:right w:val="single" w:color="auto" w:sz="4" w:space="0"/>
                  </w:tcBorders>
                  <w:noWrap w:val="0"/>
                  <w:vAlign w:val="center"/>
                </w:tcPr>
                <w:p w14:paraId="593B9F77">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土壤、地下水、地表水等污染，固废</w:t>
                  </w:r>
                </w:p>
              </w:tc>
            </w:tr>
            <w:tr w14:paraId="63C4AB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left w:val="single" w:color="auto" w:sz="4" w:space="0"/>
                    <w:right w:val="single" w:color="auto" w:sz="4" w:space="0"/>
                  </w:tcBorders>
                  <w:noWrap w:val="0"/>
                  <w:vAlign w:val="center"/>
                </w:tcPr>
                <w:p w14:paraId="7428EA07">
                  <w:pPr>
                    <w:keepNext w:val="0"/>
                    <w:keepLines w:val="0"/>
                    <w:suppressLineNumbers w:val="0"/>
                    <w:spacing w:before="0" w:beforeAutospacing="0" w:after="0" w:afterAutospacing="0"/>
                    <w:ind w:left="0" w:right="0"/>
                    <w:jc w:val="center"/>
                    <w:rPr>
                      <w:rFonts w:hint="eastAsia" w:ascii="Times New Roman" w:hAnsi="Times New Roman" w:cs="Times New Roman"/>
                      <w:color w:val="auto"/>
                    </w:rPr>
                  </w:pPr>
                </w:p>
              </w:tc>
              <w:tc>
                <w:tcPr>
                  <w:tcW w:w="903" w:type="pct"/>
                  <w:gridSpan w:val="2"/>
                  <w:vMerge w:val="continue"/>
                  <w:tcBorders>
                    <w:left w:val="single" w:color="auto" w:sz="4" w:space="0"/>
                    <w:right w:val="single" w:color="auto" w:sz="4" w:space="0"/>
                  </w:tcBorders>
                  <w:noWrap w:val="0"/>
                  <w:vAlign w:val="center"/>
                </w:tcPr>
                <w:p w14:paraId="53DD2F3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5424CB9">
                  <w:pPr>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default" w:ascii="Times New Roman" w:hAnsi="Times New Roman" w:cs="Times New Roman"/>
                      <w:color w:val="auto"/>
                    </w:rPr>
                    <w:t>螺旋输送、泥水分离系统、板框压滤装置1套</w:t>
                  </w:r>
                </w:p>
              </w:tc>
              <w:tc>
                <w:tcPr>
                  <w:tcW w:w="1036" w:type="pct"/>
                  <w:vMerge w:val="continue"/>
                  <w:tcBorders>
                    <w:left w:val="single" w:color="auto" w:sz="4" w:space="0"/>
                    <w:right w:val="single" w:color="auto" w:sz="4" w:space="0"/>
                  </w:tcBorders>
                  <w:noWrap w:val="0"/>
                  <w:vAlign w:val="center"/>
                </w:tcPr>
                <w:p w14:paraId="722984CF">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3B6403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6E132ED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left w:val="single" w:color="auto" w:sz="4" w:space="0"/>
                    <w:right w:val="single" w:color="auto" w:sz="4" w:space="0"/>
                  </w:tcBorders>
                  <w:noWrap w:val="0"/>
                  <w:vAlign w:val="center"/>
                </w:tcPr>
                <w:p w14:paraId="633FCF8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固废处理</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06489AD8">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40m³岩屑接收罐、岩屑暂存罐各2个，脱稳剂配置罐2个，其中1个可用作应急暂存罐</w:t>
                  </w:r>
                </w:p>
              </w:tc>
              <w:tc>
                <w:tcPr>
                  <w:tcW w:w="1036" w:type="pct"/>
                  <w:vMerge w:val="continue"/>
                  <w:tcBorders>
                    <w:left w:val="single" w:color="auto" w:sz="4" w:space="0"/>
                    <w:right w:val="single" w:color="auto" w:sz="4" w:space="0"/>
                  </w:tcBorders>
                  <w:noWrap w:val="0"/>
                  <w:vAlign w:val="center"/>
                </w:tcPr>
                <w:p w14:paraId="78409214">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1FB0F1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25223B8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72BA850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危废暂存间</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16B17191">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cs="Times New Roman"/>
                      <w:color w:val="auto"/>
                    </w:rPr>
                    <w:t>设置</w:t>
                  </w:r>
                  <w:r>
                    <w:rPr>
                      <w:rFonts w:hint="default" w:ascii="Times New Roman" w:hAnsi="Times New Roman" w:cs="Times New Roman"/>
                      <w:color w:val="auto"/>
                    </w:rPr>
                    <w:t>在井场</w:t>
                  </w:r>
                  <w:r>
                    <w:rPr>
                      <w:rFonts w:hint="eastAsia" w:ascii="Times New Roman" w:hAnsi="Times New Roman" w:cs="Times New Roman"/>
                      <w:color w:val="auto"/>
                      <w:lang w:val="en-US" w:eastAsia="zh-CN"/>
                    </w:rPr>
                    <w:t>西北</w:t>
                  </w:r>
                  <w:r>
                    <w:rPr>
                      <w:rFonts w:hint="eastAsia" w:cs="Times New Roman"/>
                      <w:color w:val="auto"/>
                      <w:lang w:val="en-US" w:eastAsia="zh-CN"/>
                    </w:rPr>
                    <w:t>侧</w:t>
                  </w:r>
                  <w:r>
                    <w:rPr>
                      <w:rFonts w:hint="default" w:ascii="Times New Roman" w:hAnsi="Times New Roman" w:cs="Times New Roman"/>
                      <w:color w:val="auto"/>
                    </w:rPr>
                    <w:t>，占地面积</w:t>
                  </w:r>
                  <w:r>
                    <w:rPr>
                      <w:rFonts w:hint="eastAsia" w:ascii="Times New Roman" w:hAnsi="Times New Roman" w:cs="Times New Roman"/>
                      <w:color w:val="auto"/>
                    </w:rPr>
                    <w:t>1</w:t>
                  </w:r>
                  <w:r>
                    <w:rPr>
                      <w:rFonts w:hint="eastAsia" w:cs="Times New Roman"/>
                      <w:color w:val="auto"/>
                      <w:lang w:val="en-US" w:eastAsia="zh-CN"/>
                    </w:rPr>
                    <w:t>6</w:t>
                  </w:r>
                  <w:r>
                    <w:rPr>
                      <w:rFonts w:hint="default" w:ascii="Times New Roman" w:hAnsi="Times New Roman" w:cs="Times New Roman"/>
                      <w:color w:val="auto"/>
                    </w:rPr>
                    <w:t>m²，危废暂存间应进行重点防渗</w:t>
                  </w:r>
                  <w:r>
                    <w:rPr>
                      <w:rFonts w:hint="eastAsia" w:cs="Times New Roman"/>
                      <w:color w:val="auto"/>
                      <w:lang w:eastAsia="zh-CN"/>
                    </w:rPr>
                    <w:t>，</w:t>
                  </w:r>
                  <w:r>
                    <w:rPr>
                      <w:rFonts w:hint="default" w:ascii="Times New Roman" w:hAnsi="Times New Roman" w:eastAsia="宋体" w:cs="Times New Roman"/>
                      <w:bCs/>
                      <w:color w:val="auto"/>
                      <w:kern w:val="0"/>
                      <w:sz w:val="21"/>
                      <w:szCs w:val="21"/>
                    </w:rPr>
                    <w:t>铺设至少1m厚黏土层（渗透系数不大于10</w:t>
                  </w:r>
                  <w:r>
                    <w:rPr>
                      <w:rFonts w:hint="default" w:ascii="Times New Roman" w:hAnsi="Times New Roman" w:eastAsia="宋体" w:cs="Times New Roman"/>
                      <w:bCs/>
                      <w:color w:val="auto"/>
                      <w:kern w:val="0"/>
                      <w:sz w:val="21"/>
                      <w:szCs w:val="21"/>
                      <w:vertAlign w:val="superscript"/>
                    </w:rPr>
                    <w:t>-7</w:t>
                  </w:r>
                  <w:r>
                    <w:rPr>
                      <w:rFonts w:hint="default" w:ascii="Times New Roman" w:hAnsi="Times New Roman" w:eastAsia="宋体" w:cs="Times New Roman"/>
                      <w:bCs/>
                      <w:color w:val="auto"/>
                      <w:kern w:val="0"/>
                      <w:sz w:val="21"/>
                      <w:szCs w:val="21"/>
                    </w:rPr>
                    <w:t>cm/s），或至少2mm厚高密度聚乙烯膜等人工防渗材料（渗透系数不大于10</w:t>
                  </w:r>
                  <w:r>
                    <w:rPr>
                      <w:rFonts w:hint="default" w:ascii="Times New Roman" w:hAnsi="Times New Roman" w:eastAsia="宋体" w:cs="Times New Roman"/>
                      <w:bCs/>
                      <w:color w:val="auto"/>
                      <w:kern w:val="0"/>
                      <w:sz w:val="21"/>
                      <w:szCs w:val="21"/>
                      <w:vertAlign w:val="superscript"/>
                    </w:rPr>
                    <w:t>-10</w:t>
                  </w:r>
                  <w:r>
                    <w:rPr>
                      <w:rFonts w:hint="default" w:ascii="Times New Roman" w:hAnsi="Times New Roman" w:eastAsia="宋体" w:cs="Times New Roman"/>
                      <w:bCs/>
                      <w:color w:val="auto"/>
                      <w:kern w:val="0"/>
                      <w:sz w:val="21"/>
                      <w:szCs w:val="21"/>
                    </w:rPr>
                    <w:t>cm/s），或其他防渗性能等效的材料</w:t>
                  </w:r>
                  <w:r>
                    <w:rPr>
                      <w:rFonts w:hint="eastAsia" w:eastAsia="宋体" w:cs="Times New Roman"/>
                      <w:bCs/>
                      <w:color w:val="auto"/>
                      <w:kern w:val="0"/>
                      <w:sz w:val="21"/>
                      <w:szCs w:val="21"/>
                      <w:lang w:eastAsia="zh-CN"/>
                    </w:rPr>
                    <w:t>。</w:t>
                  </w:r>
                  <w:r>
                    <w:rPr>
                      <w:rFonts w:hint="eastAsia" w:eastAsia="宋体" w:cs="Times New Roman"/>
                      <w:bCs/>
                      <w:color w:val="auto"/>
                      <w:kern w:val="0"/>
                      <w:sz w:val="21"/>
                      <w:szCs w:val="21"/>
                      <w:lang w:val="en-US" w:eastAsia="zh-CN"/>
                    </w:rPr>
                    <w:t>同时</w:t>
                  </w:r>
                  <w:r>
                    <w:rPr>
                      <w:rFonts w:hint="default" w:ascii="Times New Roman" w:hAnsi="Times New Roman" w:cs="Times New Roman"/>
                      <w:color w:val="auto"/>
                    </w:rPr>
                    <w:t>设置围堰，进行“</w:t>
                  </w:r>
                  <w:r>
                    <w:rPr>
                      <w:rFonts w:hint="default" w:ascii="Arial" w:hAnsi="Arial" w:eastAsia="Arial" w:cs="Arial"/>
                      <w:color w:val="auto"/>
                      <w:szCs w:val="21"/>
                      <w:shd w:val="clear" w:color="auto" w:fill="FFFFFF"/>
                    </w:rPr>
                    <w:t>防风、防雨、防晒、防漏、防渗、防腐</w:t>
                  </w:r>
                  <w:r>
                    <w:rPr>
                      <w:rFonts w:hint="default" w:ascii="Times New Roman" w:hAnsi="Times New Roman" w:cs="Times New Roman"/>
                      <w:color w:val="auto"/>
                    </w:rPr>
                    <w:t>”处理</w:t>
                  </w:r>
                </w:p>
              </w:tc>
              <w:tc>
                <w:tcPr>
                  <w:tcW w:w="1036" w:type="pct"/>
                  <w:vMerge w:val="continue"/>
                  <w:tcBorders>
                    <w:left w:val="single" w:color="auto" w:sz="4" w:space="0"/>
                    <w:right w:val="single" w:color="auto" w:sz="4" w:space="0"/>
                  </w:tcBorders>
                  <w:noWrap w:val="0"/>
                  <w:vAlign w:val="center"/>
                </w:tcPr>
                <w:p w14:paraId="43F747A8">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67223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0DDF730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8267B0A">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yellow"/>
                    </w:rPr>
                  </w:pPr>
                  <w:r>
                    <w:rPr>
                      <w:rFonts w:hint="default" w:ascii="Times New Roman" w:hAnsi="Times New Roman" w:cs="Times New Roman"/>
                      <w:color w:val="auto"/>
                    </w:rPr>
                    <w:t>地下水分区防渗</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40327BF9">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rPr>
                  </w:pPr>
                  <w:r>
                    <w:rPr>
                      <w:rFonts w:hint="default" w:ascii="Times New Roman" w:hAnsi="Times New Roman" w:cs="Times New Roman"/>
                      <w:color w:val="auto"/>
                    </w:rPr>
                    <w:t>重点防渗区：</w:t>
                  </w:r>
                  <w:r>
                    <w:rPr>
                      <w:rFonts w:hint="eastAsia" w:cs="Times New Roman"/>
                      <w:color w:val="auto"/>
                      <w:lang w:val="en-US" w:eastAsia="zh-CN"/>
                    </w:rPr>
                    <w:t>井场后场的</w:t>
                  </w:r>
                  <w:r>
                    <w:rPr>
                      <w:rFonts w:hint="eastAsia" w:cs="Times New Roman"/>
                      <w:color w:val="auto"/>
                      <w:szCs w:val="21"/>
                      <w:lang w:val="en-US" w:eastAsia="zh-CN"/>
                    </w:rPr>
                    <w:t>井架基础</w:t>
                  </w:r>
                  <w:r>
                    <w:rPr>
                      <w:rFonts w:hint="eastAsia" w:ascii="Times New Roman" w:hAnsi="Times New Roman" w:cs="Times New Roman"/>
                      <w:color w:val="auto"/>
                      <w:szCs w:val="21"/>
                    </w:rPr>
                    <w:t>、</w:t>
                  </w:r>
                  <w:r>
                    <w:rPr>
                      <w:rFonts w:hint="eastAsia" w:ascii="Times New Roman" w:hAnsi="Times New Roman" w:eastAsia="宋体" w:cs="Times New Roman"/>
                      <w:color w:val="auto"/>
                    </w:rPr>
                    <w:t>泥浆泵基础</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泵房基础</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w:t>
                  </w:r>
                  <w:r>
                    <w:rPr>
                      <w:rFonts w:hint="default" w:ascii="Times New Roman" w:hAnsi="Times New Roman" w:cs="Times New Roman"/>
                      <w:color w:val="auto"/>
                    </w:rPr>
                    <w:t>循环罐基础、储备罐基础（泥浆储备）、泥浆不落地基础（环保装置区）、机房基础</w:t>
                  </w:r>
                  <w:r>
                    <w:rPr>
                      <w:rFonts w:hint="default" w:ascii="Times New Roman" w:hAnsi="Times New Roman" w:eastAsia="宋体" w:cs="Times New Roman"/>
                      <w:color w:val="auto"/>
                    </w:rPr>
                    <w:t>（发电机房及高低压配电房基础）</w:t>
                  </w:r>
                  <w:r>
                    <w:rPr>
                      <w:rFonts w:hint="eastAsia" w:cs="Times New Roman"/>
                      <w:color w:val="auto"/>
                      <w:lang w:val="en-US" w:eastAsia="zh-CN"/>
                    </w:rPr>
                    <w:t>、危废暂存间，井场外的</w:t>
                  </w:r>
                  <w:r>
                    <w:rPr>
                      <w:rFonts w:hint="eastAsia" w:ascii="Times New Roman" w:hAnsi="Times New Roman" w:eastAsia="宋体" w:cs="Times New Roman"/>
                      <w:color w:val="auto"/>
                      <w:lang w:val="en-US" w:eastAsia="zh-CN"/>
                    </w:rPr>
                    <w:t>油罐区</w:t>
                  </w:r>
                  <w:r>
                    <w:rPr>
                      <w:rFonts w:hint="eastAsia" w:cs="Times New Roman"/>
                      <w:color w:val="auto"/>
                      <w:lang w:val="en-US" w:eastAsia="zh-CN"/>
                    </w:rPr>
                    <w:t>、放喷池、污水池（多功能网格池组）；</w:t>
                  </w:r>
                </w:p>
                <w:p w14:paraId="55B4DC56">
                  <w:pPr>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一般防渗区：</w:t>
                  </w:r>
                  <w:r>
                    <w:rPr>
                      <w:rFonts w:hint="eastAsia" w:cs="Times New Roman"/>
                      <w:color w:val="auto"/>
                      <w:lang w:val="en-US" w:eastAsia="zh-CN"/>
                    </w:rPr>
                    <w:t>井场后场</w:t>
                  </w:r>
                  <w:r>
                    <w:rPr>
                      <w:rFonts w:hint="eastAsia" w:ascii="Times New Roman" w:hAnsi="Times New Roman" w:eastAsia="宋体" w:cs="Times New Roman"/>
                      <w:color w:val="auto"/>
                      <w:lang w:val="en-US" w:eastAsia="zh-CN"/>
                    </w:rPr>
                    <w:t>内除重点防渗区外的其他井场作业区、</w:t>
                  </w:r>
                  <w:r>
                    <w:rPr>
                      <w:rFonts w:hint="eastAsia" w:cs="Times New Roman"/>
                      <w:color w:val="auto"/>
                      <w:lang w:val="en-US" w:eastAsia="zh-CN"/>
                    </w:rPr>
                    <w:t>材料棚、环状雨水沟、井场集</w:t>
                  </w:r>
                  <w:r>
                    <w:rPr>
                      <w:rFonts w:hint="eastAsia" w:ascii="Times New Roman" w:hAnsi="Times New Roman" w:eastAsia="宋体" w:cs="Times New Roman"/>
                      <w:color w:val="auto"/>
                      <w:lang w:val="en-US" w:eastAsia="zh-CN"/>
                    </w:rPr>
                    <w:t>污沟、</w:t>
                  </w:r>
                  <w:r>
                    <w:rPr>
                      <w:rFonts w:hint="eastAsia" w:cs="Times New Roman"/>
                      <w:color w:val="auto"/>
                      <w:lang w:val="en-US" w:eastAsia="zh-CN"/>
                    </w:rPr>
                    <w:t>监控池、</w:t>
                  </w:r>
                  <w:r>
                    <w:rPr>
                      <w:rFonts w:hint="eastAsia" w:ascii="Times New Roman" w:hAnsi="Times New Roman" w:eastAsia="宋体" w:cs="Times New Roman"/>
                      <w:color w:val="auto"/>
                      <w:lang w:val="en-US" w:eastAsia="zh-CN"/>
                    </w:rPr>
                    <w:t>生活污水处理设施等区域；</w:t>
                  </w:r>
                </w:p>
                <w:p w14:paraId="5A6AA0BC">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简单防渗区：</w:t>
                  </w:r>
                  <w:r>
                    <w:rPr>
                      <w:rFonts w:hint="eastAsia" w:cs="Times New Roman"/>
                      <w:color w:val="auto"/>
                      <w:lang w:val="en-US" w:eastAsia="zh-CN"/>
                    </w:rPr>
                    <w:t>井场前场区域、</w:t>
                  </w:r>
                  <w:r>
                    <w:rPr>
                      <w:rFonts w:hint="eastAsia" w:ascii="Times New Roman" w:hAnsi="Times New Roman" w:eastAsia="宋体" w:cs="Times New Roman"/>
                      <w:color w:val="auto"/>
                      <w:lang w:val="en-US" w:eastAsia="zh-CN"/>
                    </w:rPr>
                    <w:t>清水池</w:t>
                  </w:r>
                  <w:r>
                    <w:rPr>
                      <w:rFonts w:hint="eastAsia" w:cs="Times New Roman"/>
                      <w:color w:val="auto"/>
                      <w:lang w:val="en-US" w:eastAsia="zh-CN"/>
                    </w:rPr>
                    <w:t>、</w:t>
                  </w:r>
                  <w:r>
                    <w:rPr>
                      <w:rFonts w:hint="eastAsia" w:ascii="Times New Roman" w:hAnsi="Times New Roman" w:eastAsia="宋体" w:cs="Times New Roman"/>
                      <w:color w:val="auto"/>
                      <w:lang w:val="en-US" w:eastAsia="zh-CN"/>
                    </w:rPr>
                    <w:t>生活营地、</w:t>
                  </w:r>
                  <w:r>
                    <w:rPr>
                      <w:rFonts w:hint="eastAsia" w:cs="Times New Roman"/>
                      <w:color w:val="auto"/>
                      <w:lang w:val="en-US" w:eastAsia="zh-CN"/>
                    </w:rPr>
                    <w:t>场外截水沟及清水沟</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9F80A7E">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渗漏污染土壤、地下水环境、固废、恶臭</w:t>
                  </w:r>
                </w:p>
              </w:tc>
            </w:tr>
            <w:tr w14:paraId="53A38A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restart"/>
                  <w:tcBorders>
                    <w:top w:val="single" w:color="auto" w:sz="4" w:space="0"/>
                    <w:left w:val="single" w:color="auto" w:sz="4" w:space="0"/>
                    <w:bottom w:val="single" w:color="auto" w:sz="4" w:space="0"/>
                    <w:right w:val="single" w:color="auto" w:sz="4" w:space="0"/>
                  </w:tcBorders>
                  <w:noWrap w:val="0"/>
                  <w:vAlign w:val="center"/>
                </w:tcPr>
                <w:p w14:paraId="72FF44A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公用</w:t>
                  </w:r>
                </w:p>
                <w:p w14:paraId="0AA8C43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工程</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1996C9E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给水</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19344BC">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eastAsia="宋体" w:cs="Times New Roman"/>
                      <w:color w:val="auto"/>
                      <w:highlight w:val="none"/>
                      <w:lang w:val="en-US" w:eastAsia="zh-CN"/>
                    </w:rPr>
                    <w:t>生活用水外购自来水和桶装水</w:t>
                  </w:r>
                  <w:r>
                    <w:rPr>
                      <w:rFonts w:hint="eastAsia" w:cs="Times New Roman"/>
                      <w:color w:val="auto"/>
                      <w:highlight w:val="none"/>
                      <w:lang w:val="en-US" w:eastAsia="zh-CN"/>
                    </w:rPr>
                    <w:t>车载运输</w:t>
                  </w:r>
                  <w:r>
                    <w:rPr>
                      <w:rFonts w:hint="eastAsia" w:ascii="Times New Roman" w:hAnsi="Times New Roman" w:eastAsia="宋体" w:cs="Times New Roman"/>
                      <w:color w:val="auto"/>
                      <w:highlight w:val="none"/>
                      <w:lang w:val="en-US" w:eastAsia="zh-CN"/>
                    </w:rPr>
                    <w:t>至场地使用。作业用水来源为井场内</w:t>
                  </w:r>
                  <w:r>
                    <w:rPr>
                      <w:rFonts w:hint="eastAsia" w:cs="Times New Roman"/>
                      <w:color w:val="auto"/>
                      <w:highlight w:val="none"/>
                      <w:lang w:val="en-US" w:eastAsia="zh-CN"/>
                    </w:rPr>
                    <w:t>初期雨水</w:t>
                  </w:r>
                  <w:r>
                    <w:rPr>
                      <w:rFonts w:hint="eastAsia" w:ascii="Times New Roman" w:hAnsi="Times New Roman" w:eastAsia="宋体" w:cs="Times New Roman"/>
                      <w:color w:val="auto"/>
                      <w:highlight w:val="none"/>
                      <w:lang w:val="en-US" w:eastAsia="zh-CN"/>
                    </w:rPr>
                    <w:t>，周边池塘、河流等，在取用前需取得相关取水手续，由施工作业单位负责办理</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6F50F0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w:t>
                  </w:r>
                </w:p>
              </w:tc>
            </w:tr>
            <w:tr w14:paraId="26C313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78BB3BC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12" w:type="pct"/>
                  <w:vMerge w:val="restart"/>
                  <w:tcBorders>
                    <w:top w:val="single" w:color="auto" w:sz="4" w:space="0"/>
                    <w:left w:val="single" w:color="auto" w:sz="4" w:space="0"/>
                    <w:right w:val="single" w:color="auto" w:sz="4" w:space="0"/>
                  </w:tcBorders>
                  <w:noWrap w:val="0"/>
                  <w:vAlign w:val="center"/>
                </w:tcPr>
                <w:p w14:paraId="06B0CA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排水</w:t>
                  </w:r>
                </w:p>
              </w:tc>
              <w:tc>
                <w:tcPr>
                  <w:tcW w:w="491" w:type="pct"/>
                  <w:tcBorders>
                    <w:top w:val="single" w:color="auto" w:sz="4" w:space="0"/>
                    <w:left w:val="single" w:color="auto" w:sz="4" w:space="0"/>
                    <w:bottom w:val="single" w:color="auto" w:sz="4" w:space="0"/>
                    <w:right w:val="single" w:color="auto" w:sz="4" w:space="0"/>
                  </w:tcBorders>
                  <w:noWrap w:val="0"/>
                  <w:vAlign w:val="center"/>
                </w:tcPr>
                <w:p w14:paraId="5E404C3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场外排水</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4D92EA70">
                  <w:pPr>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设截水沟128m、场外清水沟233m，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68C12F5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w:t>
                  </w:r>
                </w:p>
              </w:tc>
            </w:tr>
            <w:tr w14:paraId="5B52E6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27FEC82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12" w:type="pct"/>
                  <w:vMerge w:val="continue"/>
                  <w:tcBorders>
                    <w:left w:val="single" w:color="auto" w:sz="4" w:space="0"/>
                    <w:right w:val="single" w:color="auto" w:sz="4" w:space="0"/>
                  </w:tcBorders>
                  <w:noWrap w:val="0"/>
                  <w:vAlign w:val="center"/>
                </w:tcPr>
                <w:p w14:paraId="7072EF5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91" w:type="pct"/>
                  <w:vMerge w:val="restart"/>
                  <w:tcBorders>
                    <w:top w:val="single" w:color="auto" w:sz="4" w:space="0"/>
                    <w:left w:val="single" w:color="auto" w:sz="4" w:space="0"/>
                    <w:bottom w:val="single" w:color="auto" w:sz="4" w:space="0"/>
                    <w:right w:val="single" w:color="auto" w:sz="4" w:space="0"/>
                  </w:tcBorders>
                  <w:noWrap w:val="0"/>
                  <w:vAlign w:val="center"/>
                </w:tcPr>
                <w:p w14:paraId="426AA9B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场内排水</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5E7DFBEA">
                  <w:pPr>
                    <w:pStyle w:val="55"/>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eastAsia" w:ascii="Times New Roman" w:hAnsi="Times New Roman" w:eastAsia="宋体" w:cs="Times New Roman"/>
                      <w:bCs/>
                      <w:color w:val="auto"/>
                      <w:sz w:val="21"/>
                      <w:szCs w:val="21"/>
                      <w:highlight w:val="none"/>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p>
              </w:tc>
              <w:tc>
                <w:tcPr>
                  <w:tcW w:w="1036" w:type="pct"/>
                  <w:vMerge w:val="restart"/>
                  <w:tcBorders>
                    <w:top w:val="single" w:color="auto" w:sz="4" w:space="0"/>
                    <w:left w:val="single" w:color="auto" w:sz="4" w:space="0"/>
                    <w:bottom w:val="single" w:color="auto" w:sz="4" w:space="0"/>
                    <w:right w:val="single" w:color="auto" w:sz="4" w:space="0"/>
                  </w:tcBorders>
                  <w:noWrap w:val="0"/>
                  <w:vAlign w:val="center"/>
                </w:tcPr>
                <w:p w14:paraId="247AB010">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渗漏污染土壤、地下水环境</w:t>
                  </w:r>
                </w:p>
              </w:tc>
            </w:tr>
            <w:tr w14:paraId="41FB9D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0CB7D14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12" w:type="pct"/>
                  <w:vMerge w:val="continue"/>
                  <w:tcBorders>
                    <w:left w:val="single" w:color="auto" w:sz="4" w:space="0"/>
                    <w:right w:val="single" w:color="auto" w:sz="4" w:space="0"/>
                  </w:tcBorders>
                  <w:noWrap w:val="0"/>
                  <w:vAlign w:val="center"/>
                </w:tcPr>
                <w:p w14:paraId="30F9041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91" w:type="pct"/>
                  <w:vMerge w:val="continue"/>
                  <w:tcBorders>
                    <w:left w:val="single" w:color="auto" w:sz="4" w:space="0"/>
                    <w:right w:val="single" w:color="auto" w:sz="4" w:space="0"/>
                  </w:tcBorders>
                  <w:noWrap w:val="0"/>
                  <w:vAlign w:val="center"/>
                </w:tcPr>
                <w:p w14:paraId="4F69DF6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261B1BEC">
                  <w:pPr>
                    <w:keepNext w:val="0"/>
                    <w:keepLines w:val="0"/>
                    <w:suppressLineNumbers w:val="0"/>
                    <w:spacing w:before="0" w:beforeAutospacing="0" w:after="0" w:afterAutospacing="0"/>
                    <w:ind w:left="0" w:right="0"/>
                    <w:rPr>
                      <w:rFonts w:hint="eastAsia" w:ascii="Times New Roman" w:hAnsi="Times New Roman" w:eastAsia="宋体" w:cs="Times New Roman"/>
                      <w:color w:val="auto"/>
                      <w:highlight w:val="none"/>
                    </w:rPr>
                  </w:pPr>
                  <w:r>
                    <w:rPr>
                      <w:rFonts w:hint="default" w:ascii="Times New Roman" w:hAnsi="Times New Roman" w:eastAsia="宋体" w:cs="Times New Roman"/>
                      <w:color w:val="auto"/>
                      <w:highlight w:val="none"/>
                    </w:rPr>
                    <w:t>钻井废水</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井场内</w:t>
                  </w:r>
                  <w:r>
                    <w:rPr>
                      <w:rFonts w:hint="eastAsia" w:cs="Times New Roman"/>
                      <w:color w:val="auto"/>
                      <w:highlight w:val="none"/>
                      <w:lang w:val="en-US" w:eastAsia="zh-CN"/>
                    </w:rPr>
                    <w:t>初期雨水优先回用于</w:t>
                  </w:r>
                  <w:r>
                    <w:rPr>
                      <w:rFonts w:hint="eastAsia" w:ascii="Times New Roman" w:hAnsi="Times New Roman" w:eastAsia="宋体" w:cs="Times New Roman"/>
                      <w:color w:val="auto"/>
                      <w:highlight w:val="none"/>
                      <w:lang w:val="en-US" w:eastAsia="zh-CN"/>
                    </w:rPr>
                    <w:t>钻井泥浆</w:t>
                  </w:r>
                  <w:r>
                    <w:rPr>
                      <w:rFonts w:hint="eastAsia" w:cs="Times New Roman"/>
                      <w:color w:val="auto"/>
                      <w:highlight w:val="none"/>
                      <w:lang w:val="en-US" w:eastAsia="zh-CN"/>
                    </w:rPr>
                    <w:t>配制</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未</w:t>
                  </w:r>
                  <w:r>
                    <w:rPr>
                      <w:rFonts w:hint="default" w:ascii="Times New Roman" w:hAnsi="Times New Roman" w:eastAsia="宋体" w:cs="Times New Roman"/>
                      <w:color w:val="auto"/>
                      <w:highlight w:val="none"/>
                    </w:rPr>
                    <w:t>能回用的</w:t>
                  </w:r>
                  <w:r>
                    <w:rPr>
                      <w:rFonts w:hint="eastAsia" w:ascii="Times New Roman" w:hAnsi="Times New Roman" w:eastAsia="宋体" w:cs="Times New Roman"/>
                      <w:color w:val="auto"/>
                      <w:highlight w:val="none"/>
                      <w:lang w:val="en-US" w:eastAsia="zh-CN"/>
                    </w:rPr>
                    <w:t>钻井废水和井场内</w:t>
                  </w:r>
                  <w:r>
                    <w:rPr>
                      <w:rFonts w:hint="eastAsia" w:cs="Times New Roman"/>
                      <w:color w:val="auto"/>
                      <w:highlight w:val="none"/>
                      <w:lang w:val="en-US" w:eastAsia="zh-CN"/>
                    </w:rPr>
                    <w:t>初期雨水</w:t>
                  </w:r>
                  <w:r>
                    <w:rPr>
                      <w:rFonts w:hint="eastAsia" w:ascii="Times New Roman" w:hAnsi="Times New Roman" w:eastAsia="宋体" w:cs="Times New Roman"/>
                      <w:color w:val="auto"/>
                      <w:highlight w:val="none"/>
                      <w:lang w:val="en-US" w:eastAsia="zh-CN"/>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lang w:val="en-US" w:eastAsia="zh-CN"/>
                    </w:rPr>
                    <w:t>交由符合环保要求且有处理能力的</w:t>
                  </w:r>
                  <w:r>
                    <w:rPr>
                      <w:rFonts w:hint="eastAsia" w:ascii="Times New Roman" w:hAnsi="Times New Roman" w:eastAsia="宋体" w:cs="Times New Roman"/>
                      <w:color w:val="auto"/>
                      <w:highlight w:val="none"/>
                      <w:lang w:val="en-US" w:eastAsia="zh-CN"/>
                    </w:rPr>
                    <w:t>钻井</w:t>
                  </w:r>
                  <w:r>
                    <w:rPr>
                      <w:rFonts w:hint="eastAsia" w:ascii="Times New Roman" w:hAnsi="Times New Roman" w:eastAsia="宋体" w:cs="Times New Roman"/>
                      <w:color w:val="auto"/>
                      <w:highlight w:val="none"/>
                      <w:lang w:eastAsia="zh-CN"/>
                    </w:rPr>
                    <w:t>废水</w:t>
                  </w:r>
                  <w:r>
                    <w:rPr>
                      <w:rFonts w:hint="eastAsia" w:ascii="Times New Roman" w:hAnsi="Times New Roman" w:eastAsia="宋体" w:cs="Times New Roman"/>
                      <w:color w:val="auto"/>
                      <w:highlight w:val="none"/>
                      <w:lang w:val="en-US" w:eastAsia="zh-CN"/>
                    </w:rPr>
                    <w:t>处理</w:t>
                  </w:r>
                  <w:r>
                    <w:rPr>
                      <w:rFonts w:hint="eastAsia" w:ascii="Times New Roman" w:hAnsi="Times New Roman" w:eastAsia="宋体" w:cs="Times New Roman"/>
                      <w:color w:val="auto"/>
                      <w:highlight w:val="none"/>
                      <w:lang w:eastAsia="zh-CN"/>
                    </w:rPr>
                    <w:t>公司进行处理</w:t>
                  </w:r>
                </w:p>
              </w:tc>
              <w:tc>
                <w:tcPr>
                  <w:tcW w:w="1036" w:type="pct"/>
                  <w:vMerge w:val="continue"/>
                  <w:tcBorders>
                    <w:left w:val="single" w:color="auto" w:sz="4" w:space="0"/>
                    <w:right w:val="single" w:color="auto" w:sz="4" w:space="0"/>
                  </w:tcBorders>
                  <w:noWrap w:val="0"/>
                  <w:vAlign w:val="center"/>
                </w:tcPr>
                <w:p w14:paraId="65906C9E">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483A8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19F0928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12" w:type="pct"/>
                  <w:vMerge w:val="continue"/>
                  <w:tcBorders>
                    <w:left w:val="single" w:color="auto" w:sz="4" w:space="0"/>
                    <w:right w:val="single" w:color="auto" w:sz="4" w:space="0"/>
                  </w:tcBorders>
                  <w:noWrap w:val="0"/>
                  <w:vAlign w:val="center"/>
                </w:tcPr>
                <w:p w14:paraId="630BFB8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491" w:type="pct"/>
                  <w:vMerge w:val="continue"/>
                  <w:tcBorders>
                    <w:top w:val="single" w:color="auto" w:sz="4" w:space="0"/>
                    <w:left w:val="single" w:color="auto" w:sz="4" w:space="0"/>
                    <w:bottom w:val="single" w:color="auto" w:sz="4" w:space="0"/>
                    <w:right w:val="single" w:color="auto" w:sz="4" w:space="0"/>
                  </w:tcBorders>
                  <w:noWrap w:val="0"/>
                  <w:vAlign w:val="center"/>
                </w:tcPr>
                <w:p w14:paraId="46521D1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2550" w:type="pct"/>
                  <w:tcBorders>
                    <w:top w:val="single" w:color="auto" w:sz="4" w:space="0"/>
                    <w:left w:val="single" w:color="auto" w:sz="4" w:space="0"/>
                    <w:bottom w:val="single" w:color="auto" w:sz="4" w:space="0"/>
                    <w:right w:val="single" w:color="auto" w:sz="4" w:space="0"/>
                  </w:tcBorders>
                  <w:noWrap w:val="0"/>
                  <w:vAlign w:val="center"/>
                </w:tcPr>
                <w:p w14:paraId="10FCB2D5">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cs="Times New Roman"/>
                      <w:color w:val="auto"/>
                      <w:lang w:val="en-US" w:eastAsia="zh-CN"/>
                    </w:rPr>
                    <w:t>井场及生活营地产生的</w:t>
                  </w:r>
                  <w:r>
                    <w:rPr>
                      <w:rFonts w:hint="eastAsia" w:ascii="Times New Roman" w:hAnsi="Times New Roman" w:cs="Times New Roman"/>
                      <w:color w:val="auto"/>
                    </w:rPr>
                    <w:t>生活污水通过环保厕所（内置集粪桶）收集，转运至</w:t>
                  </w:r>
                  <w:r>
                    <w:rPr>
                      <w:rFonts w:hint="eastAsia" w:cs="Times New Roman"/>
                      <w:color w:val="auto"/>
                      <w:lang w:val="en-US" w:eastAsia="zh-CN"/>
                    </w:rPr>
                    <w:t>上八庙镇</w:t>
                  </w:r>
                  <w:r>
                    <w:rPr>
                      <w:rFonts w:hint="eastAsia" w:ascii="Times New Roman" w:hAnsi="Times New Roman" w:cs="Times New Roman"/>
                      <w:color w:val="auto"/>
                      <w:lang w:val="en-US" w:eastAsia="zh-CN"/>
                    </w:rPr>
                    <w:t>污水处理站</w:t>
                  </w:r>
                  <w:r>
                    <w:rPr>
                      <w:rFonts w:hint="eastAsia" w:ascii="Times New Roman" w:hAnsi="Times New Roman" w:cs="Times New Roman"/>
                      <w:color w:val="auto"/>
                    </w:rPr>
                    <w:t>进行处理</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6B1D0B80">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2EEDD5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080FF3D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A0CEB9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供电</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5BE1F73">
                  <w:pPr>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hint="default" w:ascii="Times New Roman" w:hAnsi="Times New Roman" w:cs="Times New Roman"/>
                      <w:color w:val="auto"/>
                    </w:rPr>
                    <w:t>采用电网供电</w:t>
                  </w:r>
                  <w:r>
                    <w:rPr>
                      <w:rFonts w:hint="eastAsia" w:cs="Times New Roman"/>
                      <w:color w:val="auto"/>
                      <w:lang w:eastAsia="zh-CN"/>
                    </w:rPr>
                    <w:t>，</w:t>
                  </w:r>
                  <w:r>
                    <w:rPr>
                      <w:rFonts w:hint="eastAsia" w:ascii="Times New Roman" w:hAnsi="Times New Roman" w:cs="Times New Roman"/>
                      <w:color w:val="auto"/>
                    </w:rPr>
                    <w:t>停电时</w:t>
                  </w:r>
                  <w:r>
                    <w:rPr>
                      <w:rFonts w:hint="eastAsia" w:ascii="Times New Roman" w:hAnsi="Times New Roman" w:cs="Times New Roman"/>
                      <w:color w:val="auto"/>
                      <w:lang w:val="en-US" w:eastAsia="zh-CN"/>
                    </w:rPr>
                    <w:t>采用</w:t>
                  </w:r>
                  <w:r>
                    <w:rPr>
                      <w:rFonts w:hint="eastAsia" w:ascii="Times New Roman" w:hAnsi="Times New Roman" w:cs="Times New Roman"/>
                      <w:color w:val="auto"/>
                    </w:rPr>
                    <w:t>备用</w:t>
                  </w:r>
                  <w:r>
                    <w:rPr>
                      <w:rFonts w:hint="default" w:ascii="Times New Roman" w:hAnsi="Times New Roman" w:cs="Times New Roman"/>
                      <w:color w:val="auto"/>
                    </w:rPr>
                    <w:t>柴油发电机</w:t>
                  </w:r>
                  <w:r>
                    <w:rPr>
                      <w:rFonts w:hint="eastAsia" w:ascii="Times New Roman" w:hAnsi="Times New Roman" w:cs="Times New Roman"/>
                      <w:color w:val="auto"/>
                    </w:rPr>
                    <w:t>发电</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7481247">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燃油废气、噪声</w:t>
                  </w:r>
                </w:p>
              </w:tc>
            </w:tr>
            <w:tr w14:paraId="331D39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tcBorders>
                    <w:top w:val="single" w:color="auto" w:sz="4" w:space="0"/>
                    <w:left w:val="single" w:color="auto" w:sz="4" w:space="0"/>
                    <w:bottom w:val="single" w:color="auto" w:sz="4" w:space="0"/>
                    <w:right w:val="single" w:color="auto" w:sz="4" w:space="0"/>
                  </w:tcBorders>
                  <w:noWrap w:val="0"/>
                  <w:vAlign w:val="center"/>
                </w:tcPr>
                <w:p w14:paraId="205BA93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办公及生活设施</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0DC912A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生活营地</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16A7289C">
                  <w:pPr>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hint="default" w:ascii="Times New Roman" w:hAnsi="Times New Roman" w:cs="Times New Roman"/>
                      <w:color w:val="auto"/>
                    </w:rPr>
                    <w:t>井场外</w:t>
                  </w:r>
                  <w:r>
                    <w:rPr>
                      <w:rFonts w:hint="eastAsia" w:cs="Times New Roman"/>
                      <w:color w:val="auto"/>
                      <w:lang w:val="en-US" w:eastAsia="zh-CN"/>
                    </w:rPr>
                    <w:t>北侧</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距</w:t>
                  </w:r>
                  <w:r>
                    <w:rPr>
                      <w:rFonts w:hint="default" w:ascii="Times New Roman" w:hAnsi="Times New Roman" w:eastAsia="宋体" w:cs="Times New Roman"/>
                      <w:color w:val="auto"/>
                      <w:highlight w:val="none"/>
                    </w:rPr>
                    <w:t>井</w:t>
                  </w:r>
                  <w:r>
                    <w:rPr>
                      <w:rFonts w:hint="eastAsia" w:ascii="Times New Roman" w:hAnsi="Times New Roman" w:eastAsia="宋体" w:cs="Times New Roman"/>
                      <w:color w:val="auto"/>
                      <w:highlight w:val="none"/>
                      <w:lang w:val="en-US" w:eastAsia="zh-CN"/>
                    </w:rPr>
                    <w:t>口300m以外</w:t>
                  </w:r>
                  <w:r>
                    <w:rPr>
                      <w:rFonts w:hint="default" w:ascii="Times New Roman" w:hAnsi="Times New Roman" w:cs="Times New Roman"/>
                      <w:color w:val="auto"/>
                    </w:rPr>
                    <w:t>，占地面积</w:t>
                  </w:r>
                  <w:r>
                    <w:rPr>
                      <w:rFonts w:hint="eastAsia" w:cs="Times New Roman"/>
                      <w:color w:val="auto"/>
                      <w:lang w:val="en-US" w:eastAsia="zh-CN"/>
                    </w:rPr>
                    <w:t>670</w:t>
                  </w:r>
                  <w:r>
                    <w:rPr>
                      <w:rFonts w:hint="default" w:ascii="Times New Roman" w:hAnsi="Times New Roman" w:cs="Times New Roman"/>
                      <w:color w:val="auto"/>
                    </w:rPr>
                    <w:t>m²，</w:t>
                  </w:r>
                  <w:r>
                    <w:rPr>
                      <w:rFonts w:hint="eastAsia" w:ascii="Times New Roman" w:hAnsi="Times New Roman" w:cs="Times New Roman"/>
                      <w:color w:val="auto"/>
                      <w:lang w:val="en-US" w:eastAsia="zh-CN"/>
                    </w:rPr>
                    <w:t>设置</w:t>
                  </w:r>
                  <w:r>
                    <w:rPr>
                      <w:rFonts w:hint="default" w:ascii="Times New Roman" w:hAnsi="Times New Roman" w:cs="Times New Roman"/>
                      <w:color w:val="auto"/>
                    </w:rPr>
                    <w:t>办公生活用房</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2447B60E">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废水、固废</w:t>
                  </w:r>
                </w:p>
              </w:tc>
            </w:tr>
            <w:tr w14:paraId="6708D3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restart"/>
                  <w:tcBorders>
                    <w:top w:val="single" w:color="auto" w:sz="4" w:space="0"/>
                    <w:left w:val="single" w:color="auto" w:sz="4" w:space="0"/>
                    <w:bottom w:val="single" w:color="auto" w:sz="4" w:space="0"/>
                    <w:right w:val="single" w:color="auto" w:sz="4" w:space="0"/>
                  </w:tcBorders>
                  <w:noWrap w:val="0"/>
                  <w:vAlign w:val="center"/>
                </w:tcPr>
                <w:p w14:paraId="2A58A6A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仓储</w:t>
                  </w:r>
                </w:p>
                <w:p w14:paraId="3212541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设施</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084B74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泥浆循环罐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3CAA0E34">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cs="Times New Roman"/>
                      <w:color w:val="auto"/>
                      <w:lang w:val="en-US" w:eastAsia="zh-CN"/>
                    </w:rPr>
                    <w:t>井场东侧</w:t>
                  </w:r>
                  <w:r>
                    <w:rPr>
                      <w:rFonts w:hint="default" w:ascii="Times New Roman" w:hAnsi="Times New Roman" w:cs="Times New Roman"/>
                      <w:color w:val="auto"/>
                    </w:rPr>
                    <w:t>，</w:t>
                  </w:r>
                  <w:r>
                    <w:rPr>
                      <w:rFonts w:hint="eastAsia" w:cs="Times New Roman"/>
                      <w:color w:val="auto"/>
                      <w:lang w:val="en-US" w:eastAsia="zh-CN"/>
                    </w:rPr>
                    <w:t>设置</w:t>
                  </w:r>
                  <w:r>
                    <w:rPr>
                      <w:rFonts w:hint="eastAsia" w:ascii="Times New Roman" w:hAnsi="Times New Roman" w:cs="Times New Roman"/>
                      <w:color w:val="auto"/>
                    </w:rPr>
                    <w:t>6</w:t>
                  </w:r>
                  <w:r>
                    <w:rPr>
                      <w:rFonts w:hint="default" w:ascii="Times New Roman" w:hAnsi="Times New Roman" w:cs="Times New Roman"/>
                      <w:color w:val="auto"/>
                    </w:rPr>
                    <w:t>个60m³泥浆循环罐</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D6AB5C9">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废水、固废</w:t>
                  </w:r>
                </w:p>
              </w:tc>
            </w:tr>
            <w:tr w14:paraId="504ACC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18BBA9F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0CB4EF3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泥浆储备罐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2355D3C1">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井场</w:t>
                  </w:r>
                  <w:r>
                    <w:rPr>
                      <w:rFonts w:hint="eastAsia" w:cs="Times New Roman"/>
                      <w:color w:val="auto"/>
                      <w:lang w:val="en-US" w:eastAsia="zh-CN"/>
                    </w:rPr>
                    <w:t>西北</w:t>
                  </w:r>
                  <w:r>
                    <w:rPr>
                      <w:rFonts w:hint="default" w:ascii="Times New Roman" w:hAnsi="Times New Roman" w:cs="Times New Roman"/>
                      <w:color w:val="auto"/>
                    </w:rPr>
                    <w:t>侧，</w:t>
                  </w:r>
                  <w:r>
                    <w:rPr>
                      <w:rFonts w:hint="eastAsia" w:ascii="Times New Roman" w:hAnsi="Times New Roman" w:cs="Times New Roman"/>
                      <w:color w:val="auto"/>
                      <w:lang w:val="en-US" w:eastAsia="zh-CN"/>
                    </w:rPr>
                    <w:t>设置</w:t>
                  </w:r>
                  <w:r>
                    <w:rPr>
                      <w:rFonts w:hint="eastAsia" w:ascii="Times New Roman" w:hAnsi="Times New Roman" w:cs="Times New Roman"/>
                      <w:color w:val="auto"/>
                    </w:rPr>
                    <w:t>2</w:t>
                  </w:r>
                  <w:r>
                    <w:rPr>
                      <w:rFonts w:hint="eastAsia" w:cs="Times New Roman"/>
                      <w:color w:val="auto"/>
                      <w:lang w:val="en-US" w:eastAsia="zh-CN"/>
                    </w:rPr>
                    <w:t>1</w:t>
                  </w:r>
                  <w:r>
                    <w:rPr>
                      <w:rFonts w:hint="default" w:ascii="Times New Roman" w:hAnsi="Times New Roman" w:cs="Times New Roman"/>
                      <w:color w:val="auto"/>
                    </w:rPr>
                    <w:t>个60m³泥浆储备罐</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73641C70">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废水、固废</w:t>
                  </w:r>
                </w:p>
              </w:tc>
            </w:tr>
            <w:tr w14:paraId="430EE5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6A2076E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72FD34F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储油罐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16490472">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井场</w:t>
                  </w:r>
                  <w:r>
                    <w:rPr>
                      <w:rFonts w:hint="eastAsia" w:cs="Times New Roman"/>
                      <w:color w:val="auto"/>
                      <w:lang w:val="en-US" w:eastAsia="zh-CN"/>
                    </w:rPr>
                    <w:t>外西北</w:t>
                  </w:r>
                  <w:r>
                    <w:rPr>
                      <w:rFonts w:hint="eastAsia" w:ascii="Times New Roman" w:hAnsi="Times New Roman" w:cs="Times New Roman"/>
                      <w:color w:val="auto"/>
                      <w:lang w:val="en-US" w:eastAsia="zh-CN"/>
                    </w:rPr>
                    <w:t>侧</w:t>
                  </w:r>
                  <w:r>
                    <w:rPr>
                      <w:rFonts w:hint="default" w:ascii="Times New Roman" w:hAnsi="Times New Roman" w:cs="Times New Roman"/>
                      <w:color w:val="auto"/>
                    </w:rPr>
                    <w:t>，设置2个30m³的柴油罐</w:t>
                  </w:r>
                </w:p>
              </w:tc>
              <w:tc>
                <w:tcPr>
                  <w:tcW w:w="1036" w:type="pct"/>
                  <w:vMerge w:val="restart"/>
                  <w:tcBorders>
                    <w:top w:val="single" w:color="auto" w:sz="4" w:space="0"/>
                    <w:left w:val="single" w:color="auto" w:sz="4" w:space="0"/>
                    <w:bottom w:val="single" w:color="auto" w:sz="4" w:space="0"/>
                    <w:right w:val="single" w:color="auto" w:sz="4" w:space="0"/>
                  </w:tcBorders>
                  <w:noWrap w:val="0"/>
                  <w:vAlign w:val="center"/>
                </w:tcPr>
                <w:p w14:paraId="489CBE6E">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渗漏污染土壤、地下水环境</w:t>
                  </w:r>
                </w:p>
              </w:tc>
            </w:tr>
            <w:tr w14:paraId="5CB8CE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7589E37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0615B0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水基</w:t>
                  </w:r>
                  <w:r>
                    <w:rPr>
                      <w:rFonts w:hint="default" w:ascii="Times New Roman" w:hAnsi="Times New Roman" w:cs="Times New Roman"/>
                      <w:color w:val="auto"/>
                    </w:rPr>
                    <w:t>岩屑收集罐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C33BB53">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用于水基岩屑的收集，设置4个，具体分为接收罐2个，暂存罐2个，每个容积40m³，位于泥浆不落地基础平台</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0E573E97">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60A68B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0BA3BA1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5C25AEF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脱稳罐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42C030B9">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2个，每个容积40m³，其中1个可用作应急暂存罐，位于泥浆不落地基础平台</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488EF50D">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030766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638C4EA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36FD070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压裂液罐</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1B4C12A3">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eastAsia" w:ascii="Times New Roman" w:hAnsi="Times New Roman" w:cs="Times New Roman"/>
                      <w:color w:val="auto"/>
                      <w:lang w:val="en-US" w:eastAsia="zh-CN"/>
                    </w:rPr>
                    <w:t>8</w:t>
                  </w:r>
                  <w:r>
                    <w:rPr>
                      <w:rFonts w:hint="default" w:ascii="Times New Roman" w:hAnsi="Times New Roman" w:cs="Times New Roman"/>
                      <w:color w:val="auto"/>
                    </w:rPr>
                    <w:t>个，每个容积</w:t>
                  </w:r>
                  <w:r>
                    <w:rPr>
                      <w:rFonts w:hint="eastAsia" w:ascii="Times New Roman" w:hAnsi="Times New Roman" w:cs="Times New Roman"/>
                      <w:color w:val="auto"/>
                    </w:rPr>
                    <w:t>6</w:t>
                  </w:r>
                  <w:r>
                    <w:rPr>
                      <w:rFonts w:hint="default" w:ascii="Times New Roman" w:hAnsi="Times New Roman" w:cs="Times New Roman"/>
                      <w:color w:val="auto"/>
                    </w:rPr>
                    <w:t>0m³，用于压裂液储存</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3D2174F7">
                  <w:pPr>
                    <w:keepNext w:val="0"/>
                    <w:keepLines w:val="0"/>
                    <w:suppressLineNumbers w:val="0"/>
                    <w:spacing w:before="0" w:beforeAutospacing="0" w:after="0" w:afterAutospacing="0"/>
                    <w:ind w:left="0" w:right="0"/>
                    <w:rPr>
                      <w:rFonts w:hint="default" w:ascii="Times New Roman" w:hAnsi="Times New Roman" w:cs="Times New Roman"/>
                      <w:color w:val="auto"/>
                    </w:rPr>
                  </w:pPr>
                </w:p>
              </w:tc>
            </w:tr>
            <w:tr w14:paraId="626AF1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9" w:type="pct"/>
                  <w:vMerge w:val="continue"/>
                  <w:tcBorders>
                    <w:top w:val="single" w:color="auto" w:sz="4" w:space="0"/>
                    <w:left w:val="single" w:color="auto" w:sz="4" w:space="0"/>
                    <w:bottom w:val="single" w:color="auto" w:sz="4" w:space="0"/>
                    <w:right w:val="single" w:color="auto" w:sz="4" w:space="0"/>
                  </w:tcBorders>
                  <w:noWrap w:val="0"/>
                  <w:vAlign w:val="center"/>
                </w:tcPr>
                <w:p w14:paraId="082FB46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0C5348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材料棚</w:t>
                  </w:r>
                </w:p>
              </w:tc>
              <w:tc>
                <w:tcPr>
                  <w:tcW w:w="2550" w:type="pct"/>
                  <w:tcBorders>
                    <w:top w:val="single" w:color="auto" w:sz="4" w:space="0"/>
                    <w:left w:val="single" w:color="auto" w:sz="4" w:space="0"/>
                    <w:bottom w:val="single" w:color="auto" w:sz="4" w:space="0"/>
                    <w:right w:val="single" w:color="auto" w:sz="4" w:space="0"/>
                  </w:tcBorders>
                  <w:noWrap w:val="0"/>
                  <w:vAlign w:val="center"/>
                </w:tcPr>
                <w:p w14:paraId="7C15C2A6">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布置于井场</w:t>
                  </w:r>
                  <w:r>
                    <w:rPr>
                      <w:rFonts w:hint="eastAsia" w:cs="Times New Roman"/>
                      <w:color w:val="auto"/>
                      <w:lang w:val="en-US" w:eastAsia="zh-CN"/>
                    </w:rPr>
                    <w:t>西北</w:t>
                  </w:r>
                  <w:r>
                    <w:rPr>
                      <w:rFonts w:hint="eastAsia" w:ascii="Times New Roman" w:hAnsi="Times New Roman" w:cs="Times New Roman"/>
                      <w:color w:val="auto"/>
                    </w:rPr>
                    <w:t>侧</w:t>
                  </w:r>
                  <w:r>
                    <w:rPr>
                      <w:rFonts w:hint="default" w:ascii="Times New Roman" w:hAnsi="Times New Roman" w:cs="Times New Roman"/>
                      <w:color w:val="auto"/>
                    </w:rPr>
                    <w:t>，1</w:t>
                  </w:r>
                  <w:r>
                    <w:rPr>
                      <w:rFonts w:hint="eastAsia" w:cs="Times New Roman"/>
                      <w:color w:val="auto"/>
                      <w:lang w:val="en-US" w:eastAsia="zh-CN"/>
                    </w:rPr>
                    <w:t>2</w:t>
                  </w:r>
                  <w:r>
                    <w:rPr>
                      <w:rFonts w:hint="default" w:ascii="Times New Roman" w:hAnsi="Times New Roman" w:cs="Times New Roman"/>
                      <w:color w:val="auto"/>
                    </w:rPr>
                    <w:t>m×1</w:t>
                  </w:r>
                  <w:r>
                    <w:rPr>
                      <w:rFonts w:hint="eastAsia" w:cs="Times New Roman"/>
                      <w:color w:val="auto"/>
                      <w:lang w:val="en-US" w:eastAsia="zh-CN"/>
                    </w:rPr>
                    <w:t>1</w:t>
                  </w:r>
                  <w:r>
                    <w:rPr>
                      <w:rFonts w:hint="default" w:ascii="Times New Roman" w:hAnsi="Times New Roman" w:cs="Times New Roman"/>
                      <w:color w:val="auto"/>
                    </w:rPr>
                    <w:t>m，占地1</w:t>
                  </w:r>
                  <w:r>
                    <w:rPr>
                      <w:rFonts w:hint="eastAsia" w:cs="Times New Roman"/>
                      <w:color w:val="auto"/>
                      <w:lang w:val="en-US" w:eastAsia="zh-CN"/>
                    </w:rPr>
                    <w:t>3</w:t>
                  </w:r>
                  <w:r>
                    <w:rPr>
                      <w:rFonts w:hint="default" w:ascii="Times New Roman" w:hAnsi="Times New Roman" w:cs="Times New Roman"/>
                      <w:color w:val="auto"/>
                    </w:rPr>
                    <w:t>2m²，用于堆放材料</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62885ED">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固废、渗漏污染土壤、地下水环境</w:t>
                  </w:r>
                </w:p>
              </w:tc>
            </w:tr>
          </w:tbl>
          <w:p w14:paraId="7550F56B">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4、工程主要设备设施</w:t>
            </w:r>
          </w:p>
          <w:p w14:paraId="09458C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本项目钻井设备主要包括钻机、泥浆泵、振动筛等，具体设备</w:t>
            </w:r>
            <w:r>
              <w:rPr>
                <w:rFonts w:hint="eastAsia" w:ascii="Times New Roman" w:hAnsi="Times New Roman" w:cs="Times New Roman"/>
                <w:color w:val="auto"/>
                <w:sz w:val="24"/>
                <w:lang w:val="en-US" w:eastAsia="zh-CN"/>
              </w:rPr>
              <w:t>如下表所示</w:t>
            </w:r>
            <w:r>
              <w:rPr>
                <w:rFonts w:hint="default" w:ascii="Times New Roman" w:hAnsi="Times New Roman" w:cs="Times New Roman"/>
                <w:color w:val="auto"/>
                <w:sz w:val="24"/>
              </w:rPr>
              <w:t>。</w:t>
            </w:r>
          </w:p>
          <w:p w14:paraId="0BF195C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工程设备设施一览表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463"/>
              <w:gridCol w:w="1500"/>
              <w:gridCol w:w="720"/>
              <w:gridCol w:w="2598"/>
              <w:gridCol w:w="820"/>
            </w:tblGrid>
            <w:tr w14:paraId="4589DF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22" w:type="pct"/>
                  <w:tcBorders>
                    <w:top w:val="single" w:color="auto" w:sz="4" w:space="0"/>
                    <w:left w:val="single" w:color="auto" w:sz="0" w:space="0"/>
                    <w:bottom w:val="single" w:color="auto" w:sz="4" w:space="0"/>
                    <w:right w:val="single" w:color="auto" w:sz="4" w:space="0"/>
                  </w:tcBorders>
                  <w:noWrap w:val="0"/>
                  <w:vAlign w:val="center"/>
                </w:tcPr>
                <w:p w14:paraId="68F70198">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序号</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5048827">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名称</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608ADF2">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功率或负荷</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B70568E">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数量</w:t>
                  </w:r>
                </w:p>
              </w:tc>
              <w:tc>
                <w:tcPr>
                  <w:tcW w:w="2203" w:type="pct"/>
                  <w:gridSpan w:val="2"/>
                  <w:tcBorders>
                    <w:top w:val="single" w:color="auto" w:sz="4" w:space="0"/>
                    <w:left w:val="single" w:color="auto" w:sz="4" w:space="0"/>
                    <w:bottom w:val="single" w:color="auto" w:sz="4" w:space="0"/>
                    <w:right w:val="single" w:color="auto" w:sz="4" w:space="0"/>
                  </w:tcBorders>
                  <w:noWrap w:val="0"/>
                  <w:vAlign w:val="center"/>
                </w:tcPr>
                <w:p w14:paraId="013943E9">
                  <w:pPr>
                    <w:keepNext w:val="0"/>
                    <w:keepLines w:val="0"/>
                    <w:suppressLineNumbers w:val="0"/>
                    <w:snapToGrid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备注</w:t>
                  </w:r>
                </w:p>
              </w:tc>
            </w:tr>
            <w:tr w14:paraId="54FAF0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22" w:type="pct"/>
                  <w:tcBorders>
                    <w:top w:val="single" w:color="auto" w:sz="4" w:space="0"/>
                    <w:left w:val="single" w:color="auto" w:sz="4" w:space="0"/>
                    <w:bottom w:val="single" w:color="auto" w:sz="4" w:space="0"/>
                    <w:right w:val="single" w:color="auto" w:sz="4" w:space="0"/>
                  </w:tcBorders>
                  <w:noWrap w:val="0"/>
                  <w:vAlign w:val="center"/>
                </w:tcPr>
                <w:p w14:paraId="78FDF0B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43855CD">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cs="Times New Roman"/>
                      <w:color w:val="auto"/>
                      <w:lang w:val="en-US" w:eastAsia="zh-CN"/>
                    </w:rPr>
                    <w:t>旋挖机</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E9793A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XR150D</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144229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cs="Times New Roman"/>
                      <w:color w:val="auto"/>
                      <w:lang w:val="en-US" w:eastAsia="zh-CN"/>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9BF89A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预埋导管</w:t>
                  </w:r>
                </w:p>
              </w:tc>
              <w:tc>
                <w:tcPr>
                  <w:tcW w:w="528" w:type="pct"/>
                  <w:vMerge w:val="restart"/>
                  <w:tcBorders>
                    <w:top w:val="single" w:color="auto" w:sz="4" w:space="0"/>
                    <w:left w:val="single" w:color="auto" w:sz="4" w:space="0"/>
                    <w:bottom w:val="single" w:color="auto" w:sz="4" w:space="0"/>
                    <w:right w:val="single" w:color="auto" w:sz="4" w:space="0"/>
                  </w:tcBorders>
                  <w:noWrap w:val="0"/>
                  <w:vAlign w:val="center"/>
                </w:tcPr>
                <w:p w14:paraId="33E98A9B">
                  <w:pPr>
                    <w:pStyle w:val="55"/>
                    <w:keepNext w:val="0"/>
                    <w:keepLines w:val="0"/>
                    <w:suppressLineNumbers w:val="0"/>
                    <w:spacing w:before="0" w:beforeAutospacing="0" w:after="0" w:afterAutospacing="0"/>
                    <w:ind w:left="0" w:right="0"/>
                    <w:jc w:val="center"/>
                    <w:rPr>
                      <w:rFonts w:hint="eastAsia" w:eastAsia="宋体"/>
                      <w:color w:val="auto"/>
                      <w:lang w:val="en-US" w:eastAsia="zh-CN"/>
                    </w:rPr>
                  </w:pPr>
                  <w:r>
                    <w:rPr>
                      <w:rFonts w:hint="eastAsia" w:eastAsia="宋体"/>
                      <w:color w:val="auto"/>
                      <w:szCs w:val="22"/>
                      <w:lang w:val="en-US" w:eastAsia="zh-CN"/>
                    </w:rPr>
                    <w:t>钻井工程、水基</w:t>
                  </w:r>
                  <w:r>
                    <w:rPr>
                      <w:rFonts w:hint="eastAsia" w:eastAsia="宋体"/>
                      <w:color w:val="auto"/>
                      <w:szCs w:val="22"/>
                    </w:rPr>
                    <w:t>钻井</w:t>
                  </w:r>
                  <w:r>
                    <w:rPr>
                      <w:rFonts w:hint="eastAsia" w:eastAsia="宋体"/>
                      <w:color w:val="auto"/>
                      <w:szCs w:val="22"/>
                      <w:lang w:val="en-US" w:eastAsia="zh-CN"/>
                    </w:rPr>
                    <w:t>设备</w:t>
                  </w:r>
                </w:p>
              </w:tc>
            </w:tr>
            <w:tr w14:paraId="0275DE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9B35C3">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w:t>
                  </w:r>
                </w:p>
              </w:tc>
              <w:tc>
                <w:tcPr>
                  <w:tcW w:w="94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9716569">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宋体" w:hAnsi="宋体" w:cs="宋体"/>
                      <w:color w:val="auto"/>
                      <w:szCs w:val="22"/>
                    </w:rPr>
                    <w:t>钻机</w:t>
                  </w:r>
                </w:p>
              </w:tc>
              <w:tc>
                <w:tcPr>
                  <w:tcW w:w="96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DABEB04">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ZJ70D</w:t>
                  </w:r>
                </w:p>
              </w:tc>
              <w:tc>
                <w:tcPr>
                  <w:tcW w:w="4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DD0A1E1">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1</w:t>
                  </w:r>
                </w:p>
              </w:tc>
              <w:tc>
                <w:tcPr>
                  <w:tcW w:w="167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115FB16">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rPr>
                    <w:t>/</w:t>
                  </w:r>
                </w:p>
              </w:tc>
              <w:tc>
                <w:tcPr>
                  <w:tcW w:w="528" w:type="pct"/>
                  <w:vMerge w:val="continue"/>
                  <w:tcBorders>
                    <w:left w:val="single" w:color="auto" w:sz="4" w:space="0"/>
                    <w:right w:val="single" w:color="auto" w:sz="4" w:space="0"/>
                  </w:tcBorders>
                  <w:noWrap w:val="0"/>
                  <w:vAlign w:val="center"/>
                </w:tcPr>
                <w:p w14:paraId="04B68D58">
                  <w:pPr>
                    <w:pStyle w:val="55"/>
                    <w:keepNext w:val="0"/>
                    <w:keepLines w:val="0"/>
                    <w:suppressLineNumbers w:val="0"/>
                    <w:spacing w:before="0" w:beforeAutospacing="0" w:after="0" w:afterAutospacing="0"/>
                    <w:ind w:left="0" w:right="0"/>
                    <w:jc w:val="center"/>
                    <w:rPr>
                      <w:rFonts w:hint="eastAsia" w:eastAsia="宋体"/>
                      <w:color w:val="auto"/>
                      <w:szCs w:val="22"/>
                      <w:lang w:val="en-US" w:eastAsia="zh-CN"/>
                    </w:rPr>
                  </w:pPr>
                </w:p>
              </w:tc>
            </w:tr>
            <w:tr w14:paraId="6DC050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12225AB">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3</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FBDAB8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井架、底座</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A1A0B3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w:t>
                  </w:r>
                  <w:r>
                    <w:rPr>
                      <w:rFonts w:hint="default" w:ascii="Times New Roman" w:hAnsi="Times New Roman" w:cs="Times New Roman"/>
                      <w:color w:val="auto"/>
                    </w:rPr>
                    <w:t>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3AEE572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575B4B26">
                  <w:pPr>
                    <w:keepNext w:val="0"/>
                    <w:keepLines w:val="0"/>
                    <w:suppressLineNumbers w:val="0"/>
                    <w:snapToGrid w:val="0"/>
                    <w:spacing w:before="0" w:beforeAutospacing="0" w:after="0" w:afterAutospacing="0"/>
                    <w:ind w:left="0" w:right="0"/>
                    <w:jc w:val="left"/>
                    <w:rPr>
                      <w:rFonts w:hint="default" w:ascii="Times New Roman" w:hAnsi="Times New Roman" w:eastAsia="宋体" w:cs="Times New Roman"/>
                      <w:color w:val="auto"/>
                    </w:rPr>
                  </w:pPr>
                  <w:r>
                    <w:rPr>
                      <w:rFonts w:hint="default"/>
                      <w:color w:val="auto"/>
                    </w:rPr>
                    <w:t>满立柱后再加载的负荷</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D6CAC31">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49323F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E21C48E">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4</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3E642F9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天车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C7FBBD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w:t>
                  </w:r>
                  <w:r>
                    <w:rPr>
                      <w:rFonts w:hint="default" w:ascii="Times New Roman" w:hAnsi="Times New Roman" w:cs="Times New Roman"/>
                      <w:color w:val="auto"/>
                    </w:rPr>
                    <w:t>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9F0C1A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4B3AACFE">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rPr>
                  </w:pPr>
                  <w:r>
                    <w:rPr>
                      <w:rFonts w:hint="default"/>
                      <w:color w:val="auto"/>
                    </w:rPr>
                    <w:t>满立柱后再加载的负荷</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36C05975">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3E23D1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noWrap w:val="0"/>
                  <w:vAlign w:val="center"/>
                </w:tcPr>
                <w:p w14:paraId="39CE7C9A">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cs="Times New Roman"/>
                      <w:color w:val="auto"/>
                      <w:lang w:val="en-US" w:eastAsia="zh-CN"/>
                    </w:rPr>
                    <w:t>5</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5959D8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游动滑车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32768E4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w:t>
                  </w:r>
                  <w:r>
                    <w:rPr>
                      <w:rFonts w:hint="default" w:ascii="Times New Roman" w:hAnsi="Times New Roman" w:cs="Times New Roman"/>
                      <w:color w:val="auto"/>
                    </w:rPr>
                    <w:t>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2EE925CA">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A06249D">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rPr>
                  </w:pPr>
                  <w:r>
                    <w:rPr>
                      <w:rFonts w:hint="default"/>
                      <w:color w:val="auto"/>
                    </w:rPr>
                    <w:t>满立柱后再加载的负荷</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4DA79197">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436129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B3366C2">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6</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BDBAE6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大钩</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1A01CD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w:t>
                  </w:r>
                  <w:r>
                    <w:rPr>
                      <w:rFonts w:hint="default" w:ascii="Times New Roman" w:hAnsi="Times New Roman" w:cs="Times New Roman"/>
                      <w:color w:val="auto"/>
                    </w:rPr>
                    <w:t>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07E7A3EC">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294B9B6">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rPr>
                  </w:pPr>
                  <w:r>
                    <w:rPr>
                      <w:rFonts w:hint="default"/>
                      <w:color w:val="auto"/>
                    </w:rPr>
                    <w:t>满立柱后再加载的负荷</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2CA2F5C">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2CD9FA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E781FC2">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7</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22F262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水龙头</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7693E67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450t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E74A93C">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13076DA">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szCs w:val="21"/>
                    </w:rPr>
                  </w:pPr>
                  <w:r>
                    <w:rPr>
                      <w:rFonts w:hint="default"/>
                      <w:color w:val="auto"/>
                      <w:szCs w:val="21"/>
                    </w:rPr>
                    <w:t>水龙头和高压管汇耐压≥52MPa（特别是冲管必须达到本额定载荷）</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4FC3C0D">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562D33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E1CCFE">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8</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81E252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转盘</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715BB0F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450t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1F45190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5C112A9D">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szCs w:val="21"/>
                    </w:rPr>
                  </w:pPr>
                  <w:r>
                    <w:rPr>
                      <w:rFonts w:hint="default"/>
                      <w:color w:val="auto"/>
                    </w:rPr>
                    <w:t>满立柱后再加载的负荷，通径满足本井钻头、套管通过的需要</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E0F6330">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45F379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D4C5AD6">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9</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B203B0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绞车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2CDFCC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r>
                    <w:rPr>
                      <w:rFonts w:hint="eastAsia" w:cs="Times New Roman"/>
                      <w:color w:val="auto"/>
                      <w:lang w:val="en-US" w:eastAsia="zh-CN"/>
                    </w:rPr>
                    <w:t>100</w:t>
                  </w:r>
                  <w:r>
                    <w:rPr>
                      <w:rFonts w:hint="default" w:ascii="Times New Roman" w:hAnsi="Times New Roman" w:cs="Times New Roman"/>
                      <w:color w:val="auto"/>
                    </w:rPr>
                    <w:t xml:space="preserve">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2E3F35A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0FDDE6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A572B23">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0015C1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CBE3445">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10</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BA9A79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电磁刹车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B3B541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F5244B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742D4D8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3D3AB7CD">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40F96F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vMerge w:val="restart"/>
                  <w:tcBorders>
                    <w:top w:val="single" w:color="auto" w:sz="4" w:space="0"/>
                    <w:left w:val="single" w:color="auto" w:sz="4" w:space="0"/>
                    <w:right w:val="single" w:color="auto" w:sz="4" w:space="0"/>
                  </w:tcBorders>
                  <w:noWrap w:val="0"/>
                  <w:vAlign w:val="center"/>
                </w:tcPr>
                <w:p w14:paraId="4B2B6FA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11</w:t>
                  </w:r>
                </w:p>
              </w:tc>
              <w:tc>
                <w:tcPr>
                  <w:tcW w:w="943" w:type="pct"/>
                  <w:vMerge w:val="restart"/>
                  <w:tcBorders>
                    <w:top w:val="single" w:color="auto" w:sz="4" w:space="0"/>
                    <w:left w:val="single" w:color="auto" w:sz="4" w:space="0"/>
                    <w:right w:val="single" w:color="auto" w:sz="4" w:space="0"/>
                  </w:tcBorders>
                  <w:noWrap w:val="0"/>
                  <w:vAlign w:val="center"/>
                </w:tcPr>
                <w:p w14:paraId="5EC4921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钻井泵</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1455C07">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eastAsia" w:cs="Times New Roman"/>
                      <w:color w:val="auto"/>
                      <w:lang w:val="en-US" w:eastAsia="zh-CN"/>
                    </w:rPr>
                    <w:t>16</w:t>
                  </w:r>
                  <w:r>
                    <w:rPr>
                      <w:rFonts w:hint="eastAsia" w:ascii="Times New Roman" w:hAnsi="Times New Roman" w:cs="Times New Roman"/>
                      <w:color w:val="auto"/>
                    </w:rPr>
                    <w:t>00hp</w:t>
                  </w:r>
                </w:p>
                <w:p w14:paraId="7EDDED0A">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（单泵功率）</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60A856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cs="Times New Roman"/>
                      <w:color w:val="auto"/>
                      <w:lang w:val="en-US" w:eastAsia="zh-CN"/>
                    </w:rPr>
                    <w:t>1</w:t>
                  </w:r>
                </w:p>
              </w:tc>
              <w:tc>
                <w:tcPr>
                  <w:tcW w:w="1674" w:type="pct"/>
                  <w:vMerge w:val="restart"/>
                  <w:tcBorders>
                    <w:top w:val="single" w:color="auto" w:sz="4" w:space="0"/>
                    <w:left w:val="single" w:color="auto" w:sz="4" w:space="0"/>
                    <w:right w:val="single" w:color="auto" w:sz="4" w:space="0"/>
                  </w:tcBorders>
                  <w:noWrap w:val="0"/>
                  <w:vAlign w:val="center"/>
                </w:tcPr>
                <w:p w14:paraId="161F69DF">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rPr>
                    <w:t>在50MPa以内能开通泵、循环和长期安全工作。三台泵均能在高压情况下长期稳定泵送各种密度、类型的堵漏浆和压井液</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5BA3C65E">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4F87FA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vMerge w:val="continue"/>
                  <w:tcBorders>
                    <w:left w:val="single" w:color="auto" w:sz="4" w:space="0"/>
                    <w:bottom w:val="single" w:color="auto" w:sz="4" w:space="0"/>
                    <w:right w:val="single" w:color="auto" w:sz="4" w:space="0"/>
                  </w:tcBorders>
                  <w:shd w:val="clear" w:color="auto" w:fill="auto"/>
                  <w:noWrap w:val="0"/>
                  <w:vAlign w:val="center"/>
                </w:tcPr>
                <w:p w14:paraId="722462A2">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p>
              </w:tc>
              <w:tc>
                <w:tcPr>
                  <w:tcW w:w="943" w:type="pct"/>
                  <w:vMerge w:val="continue"/>
                  <w:tcBorders>
                    <w:left w:val="single" w:color="auto" w:sz="4" w:space="0"/>
                    <w:bottom w:val="single" w:color="auto" w:sz="4" w:space="0"/>
                    <w:right w:val="single" w:color="auto" w:sz="4" w:space="0"/>
                  </w:tcBorders>
                  <w:noWrap w:val="0"/>
                  <w:vAlign w:val="center"/>
                </w:tcPr>
                <w:p w14:paraId="42094B8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c>
                <w:tcPr>
                  <w:tcW w:w="96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A95227A">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eastAsia" w:ascii="Times New Roman" w:hAnsi="Times New Roman" w:cs="Times New Roman"/>
                      <w:color w:val="auto"/>
                    </w:rPr>
                    <w:t>2</w:t>
                  </w:r>
                  <w:r>
                    <w:rPr>
                      <w:rFonts w:hint="default" w:ascii="Times New Roman" w:hAnsi="Times New Roman" w:cs="Times New Roman"/>
                      <w:color w:val="auto"/>
                    </w:rPr>
                    <w:t>2</w:t>
                  </w:r>
                  <w:r>
                    <w:rPr>
                      <w:rFonts w:hint="eastAsia" w:ascii="Times New Roman" w:hAnsi="Times New Roman" w:cs="Times New Roman"/>
                      <w:color w:val="auto"/>
                    </w:rPr>
                    <w:t>00hp</w:t>
                  </w:r>
                </w:p>
                <w:p w14:paraId="6CBFA4D1">
                  <w:pPr>
                    <w:keepNext w:val="0"/>
                    <w:keepLines w:val="0"/>
                    <w:suppressLineNumbers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（单泵功率）</w:t>
                  </w:r>
                </w:p>
              </w:tc>
              <w:tc>
                <w:tcPr>
                  <w:tcW w:w="4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D31F345">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2</w:t>
                  </w:r>
                </w:p>
              </w:tc>
              <w:tc>
                <w:tcPr>
                  <w:tcW w:w="1674" w:type="pct"/>
                  <w:vMerge w:val="continue"/>
                  <w:tcBorders>
                    <w:left w:val="single" w:color="auto" w:sz="4" w:space="0"/>
                    <w:bottom w:val="single" w:color="auto" w:sz="4" w:space="0"/>
                    <w:right w:val="single" w:color="auto" w:sz="4" w:space="0"/>
                  </w:tcBorders>
                  <w:noWrap w:val="0"/>
                  <w:vAlign w:val="center"/>
                </w:tcPr>
                <w:p w14:paraId="43A041AB">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szCs w:val="21"/>
                    </w:rPr>
                  </w:pP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4B46DF63">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78F0E8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0C3C2BA">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12</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7D0E32B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钻杆水泥头</w:t>
                  </w:r>
                </w:p>
                <w:p w14:paraId="467FA20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及其连接流程</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3A9D3731">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105MPa</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5E6A8F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150E824F">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57A4911">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szCs w:val="21"/>
                    </w:rPr>
                  </w:pPr>
                </w:p>
              </w:tc>
            </w:tr>
            <w:tr w14:paraId="70D20F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C3A3CA3">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13</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F33F36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发电机</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24F2A2A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cs="Times New Roman"/>
                      <w:color w:val="auto"/>
                      <w:lang w:val="en-US" w:eastAsia="zh-CN"/>
                    </w:rPr>
                    <w:t>3</w:t>
                  </w:r>
                  <w:r>
                    <w:rPr>
                      <w:rFonts w:hint="default" w:ascii="Times New Roman" w:hAnsi="Times New Roman" w:cs="Times New Roman"/>
                      <w:color w:val="auto"/>
                    </w:rPr>
                    <w:t>00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75D61C4">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B98C7C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70367F7">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590BB3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8A148B5">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14</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11DFB68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井控装置</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D5F7F4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CE3BA0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1F557F7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5279310">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11EA06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71F631">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1</w:t>
                  </w:r>
                  <w:r>
                    <w:rPr>
                      <w:rFonts w:hint="default" w:ascii="Times New Roman" w:hAnsi="Times New Roman" w:cs="Times New Roman"/>
                      <w:color w:val="auto"/>
                    </w:rPr>
                    <w:t>5</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37F551C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地面高压管汇、水龙带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CF33BD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≥52MPa</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055C321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48BA7BA5">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高压管汇通径≥102mm，加装70MPa单流阀、泄压阀，杜绝高压传到泵，同时不影响放回压</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D21285A">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1FAA00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13EB5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16</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5A69AE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除砂器</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50E19B7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45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C23FF2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E93DA1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20BD50A">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51FF63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FE55A1">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17</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05AFF974">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除泥器</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219B12D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45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1A2987C">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86E87F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F3A898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70957D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13D6C9">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18</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1EDDFE8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振动筛</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7FE7AA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4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AD06464">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766E95C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eastAsia="宋体" w:cs="Times New Roman"/>
                      <w:color w:val="auto"/>
                    </w:rPr>
                    <w:t>处理量≥55L/s</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E24055E">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500C27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4C1FFE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19</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CECDC7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除气器</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09CB8AB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11</w:t>
                  </w:r>
                  <w:r>
                    <w:rPr>
                      <w:rFonts w:hint="eastAsia" w:cs="Times New Roman"/>
                      <w:color w:val="auto"/>
                      <w:lang w:val="en-US" w:eastAsia="zh-CN"/>
                    </w:rPr>
                    <w:t xml:space="preserve"> </w:t>
                  </w:r>
                  <w:r>
                    <w:rPr>
                      <w:rFonts w:hint="eastAsia" w:ascii="Times New Roman" w:hAnsi="Times New Roman" w:cs="Times New Roman"/>
                      <w:color w:val="auto"/>
                      <w:lang w:eastAsia="zh-CN"/>
                    </w:rPr>
                    <w:t>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B4B927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77A534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491AA04D">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72E7C9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FB25DA3">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20</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9C8C25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离心机</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EBC789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69 kW</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0032307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0A365F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3A055A3">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13E868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08EDA2E">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21</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29DF99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液压大钳</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2D533BF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4EFEE65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B96DAD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715A7DC">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6BEB3D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6E4CDE3">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22</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7296DBF4">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灌浆装置</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0B7AB9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534A2B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175914DE">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小罐计量</w:t>
                  </w:r>
                  <w:r>
                    <w:rPr>
                      <w:rFonts w:hint="eastAsia" w:ascii="Times New Roman" w:hAnsi="Times New Roman" w:cs="Times New Roman"/>
                      <w:color w:val="auto"/>
                    </w:rPr>
                    <w:t>，</w:t>
                  </w:r>
                  <w:r>
                    <w:rPr>
                      <w:rFonts w:hint="default" w:ascii="Times New Roman" w:hAnsi="Times New Roman" w:cs="Times New Roman"/>
                      <w:color w:val="auto"/>
                    </w:rPr>
                    <w:t>配备液面自动检测记录装置</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2BD14EE5">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068E24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D597242">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23</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1FFFB06F">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val="en-US" w:eastAsia="zh-CN"/>
                    </w:rPr>
                    <w:t>泥浆</w:t>
                  </w:r>
                  <w:r>
                    <w:rPr>
                      <w:rFonts w:hint="default" w:ascii="Times New Roman" w:hAnsi="Times New Roman" w:cs="Times New Roman"/>
                      <w:color w:val="auto"/>
                    </w:rPr>
                    <w:t>循环罐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9E4D1B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60m</w:t>
                  </w:r>
                  <w:r>
                    <w:rPr>
                      <w:rFonts w:hint="default" w:ascii="Times New Roman" w:hAnsi="Times New Roman" w:cs="Times New Roman"/>
                      <w:color w:val="auto"/>
                      <w:vertAlign w:val="superscript"/>
                    </w:rPr>
                    <w:t>3</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760FF6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6</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ADABCCC">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除锥形罐外，摆在</w:t>
                  </w:r>
                  <w:r>
                    <w:rPr>
                      <w:rFonts w:hint="eastAsia" w:ascii="Times New Roman" w:hAnsi="Times New Roman" w:cs="Times New Roman"/>
                      <w:color w:val="auto"/>
                    </w:rPr>
                    <w:t>高出</w:t>
                  </w:r>
                  <w:r>
                    <w:rPr>
                      <w:rFonts w:hint="default" w:ascii="Times New Roman" w:hAnsi="Times New Roman" w:cs="Times New Roman"/>
                      <w:color w:val="auto"/>
                    </w:rPr>
                    <w:t>地面的</w:t>
                  </w:r>
                  <w:r>
                    <w:rPr>
                      <w:rFonts w:hint="eastAsia" w:ascii="Times New Roman" w:hAnsi="Times New Roman" w:cs="Times New Roman"/>
                      <w:color w:val="auto"/>
                    </w:rPr>
                    <w:t>水泥基础上</w:t>
                  </w:r>
                  <w:r>
                    <w:rPr>
                      <w:rFonts w:hint="default" w:ascii="Times New Roman" w:hAnsi="Times New Roman" w:cs="Times New Roman"/>
                      <w:color w:val="auto"/>
                    </w:rPr>
                    <w:t>的所有罐</w:t>
                  </w:r>
                  <w:r>
                    <w:rPr>
                      <w:rFonts w:hint="eastAsia" w:ascii="Times New Roman" w:hAnsi="Times New Roman" w:cs="Times New Roman"/>
                      <w:color w:val="auto"/>
                    </w:rPr>
                    <w:t>（</w:t>
                  </w:r>
                  <w:r>
                    <w:rPr>
                      <w:rFonts w:hint="default" w:ascii="Times New Roman" w:hAnsi="Times New Roman" w:cs="Times New Roman"/>
                      <w:color w:val="auto"/>
                    </w:rPr>
                    <w:t>特别是灌浆罐</w:t>
                  </w:r>
                  <w:r>
                    <w:rPr>
                      <w:rFonts w:hint="eastAsia" w:ascii="Times New Roman" w:hAnsi="Times New Roman" w:cs="Times New Roman"/>
                      <w:color w:val="auto"/>
                    </w:rPr>
                    <w:t>）</w:t>
                  </w:r>
                  <w:r>
                    <w:rPr>
                      <w:rFonts w:hint="default" w:ascii="Times New Roman" w:hAnsi="Times New Roman" w:cs="Times New Roman"/>
                      <w:color w:val="auto"/>
                    </w:rPr>
                    <w:t>均带搅拌机、均配备液面自动检测记录装置，能装3.00g/cm</w:t>
                  </w:r>
                  <w:r>
                    <w:rPr>
                      <w:rFonts w:hint="default" w:ascii="Times New Roman" w:hAnsi="Times New Roman" w:cs="Times New Roman"/>
                      <w:color w:val="auto"/>
                      <w:szCs w:val="21"/>
                      <w:vertAlign w:val="superscript"/>
                    </w:rPr>
                    <w:t>3</w:t>
                  </w:r>
                  <w:r>
                    <w:rPr>
                      <w:rFonts w:hint="default" w:ascii="Times New Roman" w:hAnsi="Times New Roman" w:cs="Times New Roman"/>
                      <w:color w:val="auto"/>
                    </w:rPr>
                    <w:t>重泥浆</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FCF0DEB">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2D06DA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B08F72">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w:t>
                  </w:r>
                  <w:r>
                    <w:rPr>
                      <w:rFonts w:hint="eastAsia" w:ascii="Times New Roman" w:hAnsi="Times New Roman" w:cs="Times New Roman"/>
                      <w:color w:val="auto"/>
                      <w:lang w:val="en-US" w:eastAsia="zh-CN"/>
                    </w:rPr>
                    <w:t>4</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20EE12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val="en-US" w:eastAsia="zh-CN"/>
                    </w:rPr>
                    <w:t>泥浆</w:t>
                  </w:r>
                  <w:r>
                    <w:rPr>
                      <w:rFonts w:hint="default" w:ascii="Times New Roman" w:hAnsi="Times New Roman" w:cs="Times New Roman"/>
                      <w:color w:val="auto"/>
                    </w:rPr>
                    <w:t>储备罐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75E109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60m</w:t>
                  </w:r>
                  <w:r>
                    <w:rPr>
                      <w:rFonts w:hint="default" w:ascii="Times New Roman" w:hAnsi="Times New Roman" w:cs="Times New Roman"/>
                      <w:color w:val="auto"/>
                      <w:vertAlign w:val="superscript"/>
                    </w:rPr>
                    <w:t>3</w:t>
                  </w:r>
                  <w:r>
                    <w:rPr>
                      <w:rFonts w:hint="default" w:ascii="Times New Roman" w:hAnsi="Times New Roman" w:cs="Times New Roman"/>
                      <w:color w:val="auto"/>
                      <w:szCs w:val="21"/>
                    </w:rPr>
                    <w:t>（按最大泵出50m</w:t>
                  </w:r>
                  <w:r>
                    <w:rPr>
                      <w:rFonts w:hint="default" w:ascii="Times New Roman" w:hAnsi="Times New Roman" w:cs="Times New Roman"/>
                      <w:color w:val="auto"/>
                      <w:szCs w:val="21"/>
                      <w:vertAlign w:val="superscript"/>
                    </w:rPr>
                    <w:t>3</w:t>
                  </w:r>
                  <w:r>
                    <w:rPr>
                      <w:rFonts w:hint="default" w:ascii="Times New Roman" w:hAnsi="Times New Roman" w:cs="Times New Roman"/>
                      <w:color w:val="auto"/>
                      <w:szCs w:val="21"/>
                    </w:rPr>
                    <w:t>计算）</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7DD1A6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lang w:val="en-US" w:eastAsia="zh-CN"/>
                    </w:rPr>
                    <w:t>2</w:t>
                  </w:r>
                  <w:r>
                    <w:rPr>
                      <w:rFonts w:hint="eastAsia" w:cs="Times New Roman"/>
                      <w:color w:val="auto"/>
                      <w:szCs w:val="21"/>
                      <w:lang w:val="en-US" w:eastAsia="zh-CN"/>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C2D2705">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带搅拌机并架高、能装3.00g/cm</w:t>
                  </w:r>
                  <w:r>
                    <w:rPr>
                      <w:rFonts w:hint="default" w:ascii="Times New Roman" w:hAnsi="Times New Roman" w:cs="Times New Roman"/>
                      <w:color w:val="auto"/>
                      <w:vertAlign w:val="superscript"/>
                    </w:rPr>
                    <w:t>3</w:t>
                  </w:r>
                  <w:r>
                    <w:rPr>
                      <w:rFonts w:hint="default" w:ascii="Times New Roman" w:hAnsi="Times New Roman" w:cs="Times New Roman"/>
                      <w:color w:val="auto"/>
                    </w:rPr>
                    <w:t>重泥浆</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DC6A61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6BD506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noWrap w:val="0"/>
                  <w:vAlign w:val="center"/>
                </w:tcPr>
                <w:p w14:paraId="5A2FFD9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25</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A5455F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储</w:t>
                  </w:r>
                  <w:r>
                    <w:rPr>
                      <w:rFonts w:hint="eastAsia" w:ascii="Times New Roman" w:hAnsi="Times New Roman" w:cs="Times New Roman"/>
                      <w:color w:val="auto"/>
                    </w:rPr>
                    <w:t>油罐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7377A8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3</w:t>
                  </w:r>
                  <w:r>
                    <w:rPr>
                      <w:rFonts w:hint="default" w:ascii="Times New Roman" w:hAnsi="Times New Roman" w:cs="Times New Roman"/>
                      <w:color w:val="auto"/>
                    </w:rPr>
                    <w:t>0m</w:t>
                  </w:r>
                  <w:r>
                    <w:rPr>
                      <w:rFonts w:hint="default" w:ascii="Times New Roman" w:hAnsi="Times New Roman" w:cs="Times New Roman"/>
                      <w:color w:val="auto"/>
                      <w:vertAlign w:val="superscript"/>
                    </w:rPr>
                    <w:t>3</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CAB4A84">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451FEB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E6AD20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63D6A5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C345E87">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w:t>
                  </w:r>
                  <w:r>
                    <w:rPr>
                      <w:rFonts w:hint="eastAsia" w:ascii="Times New Roman" w:hAnsi="Times New Roman" w:cs="Times New Roman"/>
                      <w:color w:val="auto"/>
                      <w:lang w:val="en-US" w:eastAsia="zh-CN"/>
                    </w:rPr>
                    <w:t>6</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137D3D4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加重装置</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3F90080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2D53EAA2">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eastAsia" w:cs="Times New Roman"/>
                      <w:color w:val="auto"/>
                      <w:lang w:val="en-US" w:eastAsia="zh-CN"/>
                    </w:rPr>
                    <w:t>2</w:t>
                  </w:r>
                  <w:r>
                    <w:rPr>
                      <w:rFonts w:hint="default" w:ascii="Times New Roman" w:hAnsi="Times New Roman" w:cs="Times New Roman"/>
                      <w:color w:val="auto"/>
                    </w:rPr>
                    <w:t>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6854725">
                  <w:pPr>
                    <w:keepNext w:val="0"/>
                    <w:keepLines w:val="0"/>
                    <w:suppressLineNumbers w:val="0"/>
                    <w:snapToGrid w:val="0"/>
                    <w:spacing w:before="0" w:beforeAutospacing="0" w:after="0" w:afterAutospacing="0"/>
                    <w:ind w:left="0" w:right="0"/>
                    <w:jc w:val="left"/>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气动下料、</w:t>
                  </w:r>
                  <w:r>
                    <w:rPr>
                      <w:rFonts w:hint="eastAsia" w:cs="Times New Roman"/>
                      <w:color w:val="auto"/>
                      <w:lang w:val="en-US" w:eastAsia="zh-CN"/>
                    </w:rPr>
                    <w:t>快速</w:t>
                  </w:r>
                  <w:r>
                    <w:rPr>
                      <w:rFonts w:hint="default" w:ascii="Times New Roman" w:hAnsi="Times New Roman" w:cs="Times New Roman"/>
                      <w:color w:val="auto"/>
                    </w:rPr>
                    <w:t>加重</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511D506C">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416A6D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335E1E">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w:t>
                  </w:r>
                  <w:r>
                    <w:rPr>
                      <w:rFonts w:hint="eastAsia" w:ascii="Times New Roman" w:hAnsi="Times New Roman" w:cs="Times New Roman"/>
                      <w:color w:val="auto"/>
                      <w:lang w:val="en-US" w:eastAsia="zh-CN"/>
                    </w:rPr>
                    <w:t>7</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FFB15D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钻井参数仪</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5A860D2A">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089853B5">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4CD2FE20">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钻压、扭矩、转速、泵压、泵冲、悬重、泥浆体积、钻时等</w:t>
                  </w:r>
                  <w:r>
                    <w:rPr>
                      <w:rFonts w:hint="eastAsia" w:ascii="Times New Roman" w:hAnsi="Times New Roman" w:cs="Times New Roman"/>
                      <w:color w:val="auto"/>
                      <w:lang w:eastAsia="zh-CN"/>
                    </w:rPr>
                    <w:t>八</w:t>
                  </w:r>
                  <w:r>
                    <w:rPr>
                      <w:rFonts w:hint="eastAsia" w:ascii="Times New Roman" w:hAnsi="Times New Roman" w:cs="Times New Roman"/>
                      <w:color w:val="auto"/>
                      <w:lang w:val="en-US" w:eastAsia="zh-CN"/>
                    </w:rPr>
                    <w:t>道</w:t>
                  </w:r>
                  <w:r>
                    <w:rPr>
                      <w:rFonts w:hint="default" w:ascii="Times New Roman" w:hAnsi="Times New Roman" w:cs="Times New Roman"/>
                      <w:color w:val="auto"/>
                    </w:rPr>
                    <w:t>参数以上，司钻台、监督房、工程师房内有显示屏</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7DA06B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1105C0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FD9A2E4">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2</w:t>
                  </w:r>
                  <w:r>
                    <w:rPr>
                      <w:rFonts w:hint="eastAsia" w:ascii="Times New Roman" w:hAnsi="Times New Roman" w:cs="Times New Roman"/>
                      <w:color w:val="auto"/>
                      <w:lang w:val="en-US" w:eastAsia="zh-CN"/>
                    </w:rPr>
                    <w:t>8</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65427660">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二层台逃生装置</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0F05E86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39B6B5B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BCBE3A4">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FEFD9DD">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729751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83E998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29</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9B5E619">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color w:val="auto"/>
                      <w:lang w:val="en-US" w:eastAsia="zh-CN"/>
                    </w:rPr>
                    <w:t>蒸汽</w:t>
                  </w:r>
                  <w:r>
                    <w:rPr>
                      <w:rFonts w:hint="default"/>
                      <w:color w:val="auto"/>
                    </w:rPr>
                    <w:t>锅炉</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2AAB6B1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lang w:val="en-US" w:eastAsia="zh-CN"/>
                    </w:rPr>
                    <w:t>WNS2-1.25-YQ</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2202489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color w:val="auto"/>
                    </w:rPr>
                    <w:t>1套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D07FB4E">
                  <w:pPr>
                    <w:keepNext w:val="0"/>
                    <w:keepLines w:val="0"/>
                    <w:suppressLineNumbers w:val="0"/>
                    <w:snapToGrid w:val="0"/>
                    <w:spacing w:before="0" w:beforeAutospacing="0" w:after="0" w:afterAutospacing="0"/>
                    <w:ind w:left="0" w:right="0"/>
                    <w:rPr>
                      <w:rFonts w:hint="eastAsia" w:ascii="Times New Roman" w:hAnsi="Times New Roman" w:eastAsia="宋体" w:cs="Times New Roman"/>
                      <w:color w:val="auto"/>
                      <w:kern w:val="2"/>
                      <w:sz w:val="21"/>
                      <w:szCs w:val="24"/>
                      <w:lang w:val="en-US" w:eastAsia="zh-CN" w:bidi="ar-SA"/>
                    </w:rPr>
                  </w:pPr>
                  <w:r>
                    <w:rPr>
                      <w:rFonts w:hint="default"/>
                      <w:color w:val="auto"/>
                    </w:rPr>
                    <w:t>满足防冻保温、解冻的需要</w:t>
                  </w:r>
                  <w:r>
                    <w:rPr>
                      <w:rFonts w:hint="eastAsia"/>
                      <w:color w:val="auto"/>
                      <w:lang w:eastAsia="zh-CN"/>
                    </w:rPr>
                    <w:t>（</w:t>
                  </w:r>
                  <w:r>
                    <w:rPr>
                      <w:rFonts w:hint="eastAsia"/>
                      <w:color w:val="auto"/>
                      <w:lang w:val="en-US" w:eastAsia="zh-CN"/>
                    </w:rPr>
                    <w:t>备用</w:t>
                  </w:r>
                  <w:r>
                    <w:rPr>
                      <w:rFonts w:hint="eastAsia"/>
                      <w:color w:val="auto"/>
                      <w:lang w:eastAsia="zh-CN"/>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1F72260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42ED29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C60D146">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3</w:t>
                  </w:r>
                  <w:r>
                    <w:rPr>
                      <w:rFonts w:hint="eastAsia" w:ascii="Times New Roman" w:hAnsi="Times New Roman" w:cs="Times New Roman"/>
                      <w:color w:val="auto"/>
                      <w:lang w:val="en-US" w:eastAsia="zh-CN"/>
                    </w:rPr>
                    <w:t>0</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31F056A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卫星电话</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9B377A1">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04BD389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5DEE2B6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应急通讯用</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3EA60A0B">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71FB50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BB1AB9D">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3</w:t>
                  </w:r>
                  <w:r>
                    <w:rPr>
                      <w:rFonts w:hint="eastAsia" w:ascii="Times New Roman" w:hAnsi="Times New Roman" w:cs="Times New Roman"/>
                      <w:color w:val="auto"/>
                      <w:lang w:val="en-US" w:eastAsia="zh-CN"/>
                    </w:rPr>
                    <w:t>1</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13C553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防爆对讲机</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4C5256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E6996C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330817C">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3EF365BB">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1B18A1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CA4E673">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3</w:t>
                  </w:r>
                  <w:r>
                    <w:rPr>
                      <w:rFonts w:hint="eastAsia" w:ascii="Times New Roman" w:hAnsi="Times New Roman" w:cs="Times New Roman"/>
                      <w:color w:val="auto"/>
                      <w:lang w:val="en-US" w:eastAsia="zh-CN"/>
                    </w:rPr>
                    <w:t>2</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84B755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宋体" w:hAnsi="宋体" w:cs="Times New Roman"/>
                      <w:color w:val="auto"/>
                      <w:szCs w:val="21"/>
                    </w:rPr>
                    <w:t>防爆工具</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208D5E8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98CC86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rPr>
                    <w:t>1</w:t>
                  </w:r>
                  <w:r>
                    <w:rPr>
                      <w:rFonts w:hint="eastAsia" w:ascii="宋体" w:hAnsi="宋体" w:cs="Times New Roman"/>
                      <w:color w:val="auto"/>
                      <w:szCs w:val="21"/>
                    </w:rPr>
                    <w:t>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4DF2CDE3">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6F16F38F">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0B0455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FA5552F">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3</w:t>
                  </w:r>
                  <w:r>
                    <w:rPr>
                      <w:rFonts w:hint="eastAsia" w:ascii="Times New Roman" w:hAnsi="Times New Roman" w:cs="Times New Roman"/>
                      <w:color w:val="auto"/>
                      <w:lang w:val="en-US" w:eastAsia="zh-CN"/>
                    </w:rPr>
                    <w:t>3</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06DCD1DB">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可视监</w:t>
                  </w:r>
                  <w:r>
                    <w:rPr>
                      <w:rFonts w:hint="eastAsia" w:ascii="Times New Roman" w:hAnsi="Times New Roman" w:cs="Times New Roman"/>
                      <w:color w:val="auto"/>
                    </w:rPr>
                    <w:t>控</w:t>
                  </w:r>
                  <w:r>
                    <w:rPr>
                      <w:rFonts w:hint="default" w:ascii="Times New Roman" w:hAnsi="Times New Roman" w:cs="Times New Roman"/>
                      <w:color w:val="auto"/>
                    </w:rPr>
                    <w:t>系统</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93232C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6DEB898">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1</w:t>
                  </w:r>
                  <w:r>
                    <w:rPr>
                      <w:rFonts w:hint="eastAsia" w:ascii="Times New Roman" w:hAnsi="Times New Roman" w:cs="Times New Roman"/>
                      <w:color w:val="auto"/>
                    </w:rPr>
                    <w:t>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75AFF93">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现场重点区域实时图像传输，与基地联通，防火防爆，联网传送至承包</w:t>
                  </w:r>
                  <w:r>
                    <w:rPr>
                      <w:rFonts w:hint="eastAsia" w:ascii="Times New Roman" w:hAnsi="Times New Roman" w:cs="Times New Roman"/>
                      <w:color w:val="auto"/>
                    </w:rPr>
                    <w:t>商</w:t>
                  </w:r>
                  <w:r>
                    <w:rPr>
                      <w:rFonts w:hint="default" w:ascii="Times New Roman" w:hAnsi="Times New Roman" w:cs="Times New Roman"/>
                      <w:color w:val="auto"/>
                    </w:rPr>
                    <w:t>上级单位和勘探分公司指定地点</w:t>
                  </w:r>
                  <w:r>
                    <w:rPr>
                      <w:rFonts w:hint="eastAsia" w:ascii="Times New Roman" w:hAnsi="Times New Roman" w:cs="Times New Roman"/>
                      <w:color w:val="auto"/>
                    </w:rPr>
                    <w:t>；</w:t>
                  </w:r>
                  <w:r>
                    <w:rPr>
                      <w:rFonts w:hint="default" w:ascii="Times New Roman" w:hAnsi="Times New Roman" w:cs="Times New Roman"/>
                      <w:color w:val="auto"/>
                    </w:rPr>
                    <w:t>钻井公司一级实施每天</w:t>
                  </w:r>
                  <w:r>
                    <w:rPr>
                      <w:rFonts w:hint="eastAsia" w:ascii="Times New Roman" w:hAnsi="Times New Roman" w:cs="Times New Roman"/>
                      <w:color w:val="auto"/>
                    </w:rPr>
                    <w:t>24小时连续实时监控。</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5E88097D">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p>
              </w:tc>
            </w:tr>
            <w:tr w14:paraId="49E13A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9C51F5">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3</w:t>
                  </w:r>
                  <w:r>
                    <w:rPr>
                      <w:rFonts w:hint="eastAsia" w:ascii="Times New Roman" w:hAnsi="Times New Roman" w:eastAsia="宋体" w:cs="Times New Roman"/>
                      <w:color w:val="auto"/>
                      <w:lang w:val="en-US" w:eastAsia="zh-CN"/>
                    </w:rPr>
                    <w:t>4</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588D7D0E">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现场指挥室</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354BB437">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A9C28E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1套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DD1FC2F">
                  <w:pPr>
                    <w:keepNext w:val="0"/>
                    <w:keepLines w:val="0"/>
                    <w:suppressLineNumbers w:val="0"/>
                    <w:snapToGrid w:val="0"/>
                    <w:spacing w:before="0" w:beforeAutospacing="0" w:after="0" w:afterAutospacing="0"/>
                    <w:ind w:left="0" w:right="0"/>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rPr>
                    <w:t>安放在井场外上风方向，能实时监测钻井主要参数（立压、套压、进出口钻井液密度、排量、液量等，投影大屏幕显示，能容纳≥</w:t>
                  </w:r>
                  <w:r>
                    <w:rPr>
                      <w:rFonts w:hint="default" w:ascii="Times New Roman" w:hAnsi="Times New Roman" w:cs="Times New Roman"/>
                      <w:color w:val="auto"/>
                    </w:rPr>
                    <w:t>30</w:t>
                  </w:r>
                  <w:r>
                    <w:rPr>
                      <w:rFonts w:hint="eastAsia" w:ascii="Times New Roman" w:hAnsi="Times New Roman" w:cs="Times New Roman"/>
                      <w:color w:val="auto"/>
                    </w:rPr>
                    <w:t>人同时工作）。</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46175D8F">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7E4A23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E8B27F1">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35</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40C33E5E">
                  <w:pPr>
                    <w:pStyle w:val="55"/>
                    <w:keepNext w:val="0"/>
                    <w:keepLines w:val="0"/>
                    <w:suppressLineNumbers w:val="0"/>
                    <w:spacing w:before="0" w:beforeAutospacing="0" w:after="0" w:afterAutospacing="0"/>
                    <w:ind w:left="0" w:right="0"/>
                    <w:rPr>
                      <w:rFonts w:hint="eastAsia"/>
                      <w:color w:val="auto"/>
                    </w:rPr>
                  </w:pPr>
                  <w:r>
                    <w:rPr>
                      <w:rFonts w:hint="eastAsia" w:ascii="宋体" w:hAnsi="宋体" w:eastAsia="宋体" w:cs="宋体"/>
                      <w:color w:val="auto"/>
                    </w:rPr>
                    <w:t>压裂车</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6E3293BB">
                  <w:pPr>
                    <w:keepNext w:val="0"/>
                    <w:keepLines w:val="0"/>
                    <w:suppressLineNumbers w:val="0"/>
                    <w:snapToGrid w:val="0"/>
                    <w:spacing w:before="0" w:beforeAutospacing="0" w:after="0" w:afterAutospacing="0"/>
                    <w:ind w:left="0" w:right="0"/>
                    <w:jc w:val="center"/>
                    <w:rPr>
                      <w:rFonts w:hint="default"/>
                      <w:color w:val="auto"/>
                    </w:rPr>
                  </w:pPr>
                  <w:r>
                    <w:rPr>
                      <w:rFonts w:hint="eastAsia" w:ascii="Times New Roman" w:hAnsi="Times New Roman" w:cs="Times New Roman"/>
                      <w:color w:val="auto"/>
                      <w:szCs w:val="21"/>
                      <w:lang w:val="en-US" w:eastAsia="zh-CN"/>
                    </w:rPr>
                    <w:t>3000型</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582BFB1">
                  <w:pPr>
                    <w:pStyle w:val="55"/>
                    <w:keepNext w:val="0"/>
                    <w:keepLines w:val="0"/>
                    <w:suppressLineNumbers w:val="0"/>
                    <w:spacing w:before="0" w:beforeAutospacing="0" w:after="0" w:afterAutospacing="0"/>
                    <w:ind w:left="0" w:right="0"/>
                    <w:rPr>
                      <w:rFonts w:ascii="Times New Roman" w:hAnsi="Times New Roman" w:eastAsia="宋体" w:cs="Times New Roman"/>
                      <w:color w:val="auto"/>
                      <w:szCs w:val="22"/>
                    </w:rPr>
                  </w:pPr>
                  <w:r>
                    <w:rPr>
                      <w:rFonts w:hint="eastAsia" w:ascii="Times New Roman" w:hAnsi="Times New Roman" w:eastAsia="宋体" w:cs="Times New Roman"/>
                      <w:color w:val="auto"/>
                      <w:szCs w:val="22"/>
                      <w:lang w:val="en-US" w:eastAsia="zh-CN"/>
                    </w:rPr>
                    <w:t>6</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626DF6B5">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default" w:ascii="Times New Roman" w:hAnsi="Times New Roman" w:cs="Times New Roman"/>
                      <w:color w:val="auto"/>
                    </w:rPr>
                    <w:t>/</w:t>
                  </w:r>
                </w:p>
              </w:tc>
              <w:tc>
                <w:tcPr>
                  <w:tcW w:w="528" w:type="pct"/>
                  <w:vMerge w:val="restart"/>
                  <w:tcBorders>
                    <w:top w:val="single" w:color="auto" w:sz="4" w:space="0"/>
                    <w:left w:val="single" w:color="auto" w:sz="4" w:space="0"/>
                    <w:bottom w:val="single" w:color="auto" w:sz="4" w:space="0"/>
                    <w:right w:val="single" w:color="auto" w:sz="4" w:space="0"/>
                  </w:tcBorders>
                  <w:noWrap w:val="0"/>
                  <w:vAlign w:val="center"/>
                </w:tcPr>
                <w:p w14:paraId="3CDB2636">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szCs w:val="22"/>
                    </w:rPr>
                    <w:t>压裂设备</w:t>
                  </w:r>
                </w:p>
              </w:tc>
            </w:tr>
            <w:tr w14:paraId="4390A4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0CB8B5F">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36</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2F28678">
                  <w:pPr>
                    <w:pStyle w:val="55"/>
                    <w:keepNext w:val="0"/>
                    <w:keepLines w:val="0"/>
                    <w:suppressLineNumbers w:val="0"/>
                    <w:spacing w:before="0" w:beforeAutospacing="0" w:after="0" w:afterAutospacing="0"/>
                    <w:ind w:left="0" w:right="0"/>
                    <w:rPr>
                      <w:rFonts w:hint="eastAsia"/>
                      <w:color w:val="auto"/>
                    </w:rPr>
                  </w:pPr>
                  <w:r>
                    <w:rPr>
                      <w:rFonts w:hint="eastAsia" w:ascii="宋体" w:hAnsi="宋体" w:eastAsia="宋体" w:cs="宋体"/>
                      <w:color w:val="auto"/>
                    </w:rPr>
                    <w:t>压裂液罐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7071EAE1">
                  <w:pPr>
                    <w:keepNext w:val="0"/>
                    <w:keepLines w:val="0"/>
                    <w:suppressLineNumbers w:val="0"/>
                    <w:snapToGrid w:val="0"/>
                    <w:spacing w:before="0" w:beforeAutospacing="0" w:after="0" w:afterAutospacing="0"/>
                    <w:ind w:left="0" w:right="0"/>
                    <w:jc w:val="center"/>
                    <w:rPr>
                      <w:rFonts w:hint="default" w:ascii="华文仿宋" w:hAnsi="华文仿宋" w:eastAsia="Times New Roman" w:cs="Courier New"/>
                      <w:color w:val="auto"/>
                      <w:szCs w:val="21"/>
                    </w:rPr>
                  </w:pPr>
                  <w:r>
                    <w:rPr>
                      <w:rFonts w:hint="eastAsia" w:ascii="Times New Roman" w:hAnsi="Times New Roman" w:cs="Times New Roman"/>
                      <w:color w:val="auto"/>
                      <w:szCs w:val="21"/>
                    </w:rPr>
                    <w:t>6</w:t>
                  </w:r>
                  <w:r>
                    <w:rPr>
                      <w:rFonts w:hint="default" w:ascii="Times New Roman" w:hAnsi="Times New Roman" w:cs="Times New Roman"/>
                      <w:color w:val="auto"/>
                      <w:szCs w:val="21"/>
                    </w:rPr>
                    <w:t>0m</w:t>
                  </w:r>
                  <w:r>
                    <w:rPr>
                      <w:rFonts w:hint="default" w:ascii="Times New Roman" w:hAnsi="Times New Roman" w:cs="Times New Roman"/>
                      <w:color w:val="auto"/>
                      <w:szCs w:val="21"/>
                      <w:vertAlign w:val="superscript"/>
                    </w:rPr>
                    <w:t>3</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6EF680F3">
                  <w:pPr>
                    <w:pStyle w:val="55"/>
                    <w:keepNext w:val="0"/>
                    <w:keepLines w:val="0"/>
                    <w:suppressLineNumbers w:val="0"/>
                    <w:spacing w:before="0" w:beforeAutospacing="0" w:after="0" w:afterAutospacing="0"/>
                    <w:ind w:left="0" w:right="0"/>
                    <w:rPr>
                      <w:rFonts w:ascii="Times New Roman" w:hAnsi="Times New Roman" w:eastAsia="宋体" w:cs="Times New Roman"/>
                      <w:color w:val="auto"/>
                      <w:szCs w:val="22"/>
                    </w:rPr>
                  </w:pPr>
                  <w:r>
                    <w:rPr>
                      <w:rFonts w:hint="eastAsia" w:ascii="Times New Roman" w:hAnsi="Times New Roman" w:eastAsia="宋体" w:cs="Times New Roman"/>
                      <w:color w:val="auto"/>
                      <w:szCs w:val="22"/>
                      <w:lang w:val="en-US" w:eastAsia="zh-CN"/>
                    </w:rPr>
                    <w:t>6</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1A9192F1">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default" w:ascii="Times New Roman" w:hAnsi="Times New Roman"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7BCB3DAC">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p>
              </w:tc>
            </w:tr>
            <w:tr w14:paraId="303838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DB5F021">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37</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0B73B14A">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szCs w:val="22"/>
                    </w:rPr>
                  </w:pPr>
                  <w:r>
                    <w:rPr>
                      <w:rFonts w:ascii="Times New Roman" w:hAnsi="Times New Roman" w:eastAsia="宋体" w:cs="Times New Roman"/>
                      <w:color w:val="auto"/>
                    </w:rPr>
                    <w:t>岩屑接收罐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14C9DDF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40</w:t>
                  </w:r>
                  <w:r>
                    <w:rPr>
                      <w:rFonts w:ascii="Times New Roman" w:hAnsi="Times New Roman" w:eastAsia="宋体" w:cs="Times New Roman"/>
                      <w:color w:val="auto"/>
                    </w:rPr>
                    <w:t>m³</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7343AF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25AC1920">
                  <w:pPr>
                    <w:pStyle w:val="55"/>
                    <w:keepNext w:val="0"/>
                    <w:keepLines w:val="0"/>
                    <w:suppressLineNumbers w:val="0"/>
                    <w:spacing w:before="0" w:beforeAutospacing="0" w:after="0" w:afterAutospacing="0"/>
                    <w:ind w:left="0" w:right="0"/>
                    <w:jc w:val="center"/>
                    <w:rPr>
                      <w:rFonts w:hint="eastAsia" w:ascii="Times New Roman" w:hAnsi="Times New Roman" w:cs="Times New Roman"/>
                      <w:color w:val="auto"/>
                    </w:rPr>
                  </w:pPr>
                  <w:r>
                    <w:rPr>
                      <w:rFonts w:ascii="Times New Roman" w:hAnsi="Times New Roman" w:eastAsia="宋体" w:cs="Times New Roman"/>
                      <w:color w:val="auto"/>
                    </w:rPr>
                    <w:t>/</w:t>
                  </w:r>
                </w:p>
              </w:tc>
              <w:tc>
                <w:tcPr>
                  <w:tcW w:w="528" w:type="pct"/>
                  <w:vMerge w:val="restart"/>
                  <w:tcBorders>
                    <w:top w:val="single" w:color="auto" w:sz="4" w:space="0"/>
                    <w:left w:val="single" w:color="auto" w:sz="4" w:space="0"/>
                    <w:bottom w:val="single" w:color="auto" w:sz="4" w:space="0"/>
                    <w:right w:val="single" w:color="auto" w:sz="4" w:space="0"/>
                  </w:tcBorders>
                  <w:noWrap w:val="0"/>
                  <w:vAlign w:val="center"/>
                </w:tcPr>
                <w:p w14:paraId="605BAD56">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default" w:ascii="Times New Roman" w:hAnsi="Times New Roman" w:cs="Times New Roman"/>
                      <w:color w:val="auto"/>
                      <w:szCs w:val="22"/>
                    </w:rPr>
                    <w:t>泥浆不落地操作平台</w:t>
                  </w:r>
                </w:p>
              </w:tc>
            </w:tr>
            <w:tr w14:paraId="0A20A6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A3559A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38</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394ADF54">
                  <w:pPr>
                    <w:pStyle w:val="55"/>
                    <w:keepNext w:val="0"/>
                    <w:keepLines w:val="0"/>
                    <w:suppressLineNumbers w:val="0"/>
                    <w:spacing w:before="0" w:beforeAutospacing="0" w:after="0" w:afterAutospacing="0"/>
                    <w:ind w:left="0" w:right="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岩屑暂存罐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5B3CC742">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40</w:t>
                  </w:r>
                  <w:r>
                    <w:rPr>
                      <w:rFonts w:ascii="Times New Roman" w:hAnsi="Times New Roman" w:eastAsia="宋体" w:cs="Times New Roman"/>
                      <w:color w:val="auto"/>
                    </w:rPr>
                    <w:t>m³</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95BCFD3">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05A1DB4B">
                  <w:pPr>
                    <w:pStyle w:val="55"/>
                    <w:keepNext w:val="0"/>
                    <w:keepLines w:val="0"/>
                    <w:suppressLineNumbers w:val="0"/>
                    <w:spacing w:before="0" w:beforeAutospacing="0" w:after="0" w:afterAutospacing="0"/>
                    <w:ind w:left="0" w:right="0" w:firstLine="0" w:firstLineChars="0"/>
                    <w:jc w:val="center"/>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w:t>
                  </w:r>
                </w:p>
              </w:tc>
              <w:tc>
                <w:tcPr>
                  <w:tcW w:w="528" w:type="pct"/>
                  <w:vMerge w:val="continue"/>
                  <w:tcBorders>
                    <w:left w:val="single" w:color="auto" w:sz="4" w:space="0"/>
                    <w:right w:val="single" w:color="auto" w:sz="4" w:space="0"/>
                  </w:tcBorders>
                  <w:noWrap w:val="0"/>
                  <w:vAlign w:val="center"/>
                </w:tcPr>
                <w:p w14:paraId="19C27BB5">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szCs w:val="22"/>
                    </w:rPr>
                  </w:pPr>
                </w:p>
              </w:tc>
            </w:tr>
            <w:tr w14:paraId="6AF2A9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8D529F6">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39</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2648A8EF">
                  <w:pPr>
                    <w:pStyle w:val="55"/>
                    <w:keepNext w:val="0"/>
                    <w:keepLines w:val="0"/>
                    <w:suppressLineNumbers w:val="0"/>
                    <w:spacing w:before="0" w:beforeAutospacing="0" w:after="0" w:afterAutospacing="0"/>
                    <w:ind w:left="0" w:right="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岩屑脱稳罐</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54E833F8">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40</w:t>
                  </w:r>
                  <w:r>
                    <w:rPr>
                      <w:rFonts w:ascii="Times New Roman" w:hAnsi="Times New Roman" w:eastAsia="宋体" w:cs="Times New Roman"/>
                      <w:color w:val="auto"/>
                    </w:rPr>
                    <w:t>m³</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54C42879">
                  <w:pPr>
                    <w:pStyle w:val="55"/>
                    <w:keepNext w:val="0"/>
                    <w:keepLines w:val="0"/>
                    <w:suppressLineNumbers w:val="0"/>
                    <w:spacing w:before="0" w:beforeAutospacing="0" w:after="0" w:afterAutospacing="0"/>
                    <w:ind w:left="0" w:right="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2</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57D9AF59">
                  <w:pPr>
                    <w:pStyle w:val="55"/>
                    <w:keepNext w:val="0"/>
                    <w:keepLines w:val="0"/>
                    <w:suppressLineNumbers w:val="0"/>
                    <w:spacing w:before="0" w:beforeAutospacing="0" w:after="0" w:afterAutospacing="0"/>
                    <w:ind w:left="0" w:right="0" w:firstLine="0" w:firstLineChars="0"/>
                    <w:jc w:val="center"/>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21E96CE1">
                  <w:pPr>
                    <w:keepNext w:val="0"/>
                    <w:keepLines w:val="0"/>
                    <w:suppressLineNumbers w:val="0"/>
                    <w:snapToGrid w:val="0"/>
                    <w:spacing w:before="0" w:beforeAutospacing="0" w:after="0" w:afterAutospacing="0"/>
                    <w:ind w:left="0" w:right="0"/>
                    <w:rPr>
                      <w:rFonts w:hint="eastAsia" w:ascii="Times New Roman" w:hAnsi="Times New Roman" w:cs="Times New Roman"/>
                      <w:color w:val="auto"/>
                    </w:rPr>
                  </w:pPr>
                </w:p>
              </w:tc>
            </w:tr>
            <w:tr w14:paraId="24C519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22" w:type="pct"/>
                  <w:tcBorders>
                    <w:top w:val="single" w:color="auto" w:sz="4" w:space="0"/>
                    <w:left w:val="single" w:color="auto" w:sz="4" w:space="0"/>
                    <w:bottom w:val="single" w:color="auto" w:sz="4" w:space="0"/>
                    <w:right w:val="single" w:color="auto" w:sz="4" w:space="0"/>
                  </w:tcBorders>
                  <w:noWrap w:val="0"/>
                  <w:vAlign w:val="center"/>
                </w:tcPr>
                <w:p w14:paraId="5FD1D2B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40</w:t>
                  </w:r>
                </w:p>
              </w:tc>
              <w:tc>
                <w:tcPr>
                  <w:tcW w:w="943" w:type="pct"/>
                  <w:tcBorders>
                    <w:top w:val="single" w:color="auto" w:sz="4" w:space="0"/>
                    <w:left w:val="single" w:color="auto" w:sz="4" w:space="0"/>
                    <w:bottom w:val="single" w:color="auto" w:sz="4" w:space="0"/>
                    <w:right w:val="single" w:color="auto" w:sz="4" w:space="0"/>
                  </w:tcBorders>
                  <w:noWrap w:val="0"/>
                  <w:vAlign w:val="center"/>
                </w:tcPr>
                <w:p w14:paraId="730835CD">
                  <w:pPr>
                    <w:pStyle w:val="55"/>
                    <w:keepNext w:val="0"/>
                    <w:keepLines w:val="0"/>
                    <w:suppressLineNumbers w:val="0"/>
                    <w:spacing w:before="0" w:beforeAutospacing="0" w:after="0" w:afterAutospacing="0"/>
                    <w:ind w:left="0" w:right="0"/>
                    <w:rPr>
                      <w:rFonts w:hint="eastAsia" w:ascii="Times New Roman" w:hAnsi="Times New Roman" w:cs="Times New Roman"/>
                      <w:color w:val="auto"/>
                    </w:rPr>
                  </w:pPr>
                  <w:r>
                    <w:rPr>
                      <w:rFonts w:hint="default" w:ascii="Times New Roman" w:hAnsi="Times New Roman" w:eastAsia="宋体" w:cs="Times New Roman"/>
                      <w:color w:val="auto"/>
                      <w:highlight w:val="none"/>
                    </w:rPr>
                    <w:t>板框压滤装置</w:t>
                  </w:r>
                </w:p>
              </w:tc>
              <w:tc>
                <w:tcPr>
                  <w:tcW w:w="966" w:type="pct"/>
                  <w:tcBorders>
                    <w:top w:val="single" w:color="auto" w:sz="4" w:space="0"/>
                    <w:left w:val="single" w:color="auto" w:sz="4" w:space="0"/>
                    <w:bottom w:val="single" w:color="auto" w:sz="4" w:space="0"/>
                    <w:right w:val="single" w:color="auto" w:sz="4" w:space="0"/>
                  </w:tcBorders>
                  <w:noWrap w:val="0"/>
                  <w:vAlign w:val="center"/>
                </w:tcPr>
                <w:p w14:paraId="41A59E39">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464" w:type="pct"/>
                  <w:tcBorders>
                    <w:top w:val="single" w:color="auto" w:sz="4" w:space="0"/>
                    <w:left w:val="single" w:color="auto" w:sz="4" w:space="0"/>
                    <w:bottom w:val="single" w:color="auto" w:sz="4" w:space="0"/>
                    <w:right w:val="single" w:color="auto" w:sz="4" w:space="0"/>
                  </w:tcBorders>
                  <w:noWrap w:val="0"/>
                  <w:vAlign w:val="center"/>
                </w:tcPr>
                <w:p w14:paraId="77C4D3A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1套</w:t>
                  </w:r>
                </w:p>
              </w:tc>
              <w:tc>
                <w:tcPr>
                  <w:tcW w:w="1674" w:type="pct"/>
                  <w:tcBorders>
                    <w:top w:val="single" w:color="auto" w:sz="4" w:space="0"/>
                    <w:left w:val="single" w:color="auto" w:sz="4" w:space="0"/>
                    <w:bottom w:val="single" w:color="auto" w:sz="4" w:space="0"/>
                    <w:right w:val="single" w:color="auto" w:sz="4" w:space="0"/>
                  </w:tcBorders>
                  <w:noWrap w:val="0"/>
                  <w:vAlign w:val="center"/>
                </w:tcPr>
                <w:p w14:paraId="75A539F3">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4E0BE8DF">
                  <w:pPr>
                    <w:keepNext w:val="0"/>
                    <w:keepLines w:val="0"/>
                    <w:suppressLineNumbers w:val="0"/>
                    <w:snapToGrid w:val="0"/>
                    <w:spacing w:before="0" w:beforeAutospacing="0" w:after="0" w:afterAutospacing="0"/>
                    <w:ind w:left="0" w:right="0"/>
                    <w:rPr>
                      <w:rFonts w:hint="eastAsia" w:ascii="Times New Roman" w:hAnsi="Times New Roman" w:cs="Times New Roman"/>
                      <w:color w:val="auto"/>
                    </w:rPr>
                  </w:pPr>
                </w:p>
              </w:tc>
            </w:tr>
          </w:tbl>
          <w:p w14:paraId="708149A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5、主要原辅材料及能源消耗情况</w:t>
            </w:r>
          </w:p>
          <w:p w14:paraId="42501B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本项目钻井作业过程</w:t>
            </w:r>
            <w:r>
              <w:rPr>
                <w:rFonts w:hint="eastAsia" w:ascii="Times New Roman" w:hAnsi="Times New Roman" w:cs="Times New Roman"/>
                <w:color w:val="auto"/>
                <w:sz w:val="24"/>
                <w:lang w:val="en-US" w:eastAsia="zh-CN"/>
              </w:rPr>
              <w:t>中</w:t>
            </w:r>
            <w:r>
              <w:rPr>
                <w:rFonts w:hint="default" w:ascii="Times New Roman" w:hAnsi="Times New Roman" w:cs="Times New Roman"/>
                <w:color w:val="auto"/>
                <w:sz w:val="24"/>
              </w:rPr>
              <w:t>消耗的原辅材料及能源主要有水、钻井液等，</w:t>
            </w:r>
            <w:r>
              <w:rPr>
                <w:rFonts w:hint="eastAsia" w:ascii="Times New Roman" w:hAnsi="Times New Roman" w:cs="Times New Roman"/>
                <w:color w:val="auto"/>
                <w:sz w:val="24"/>
              </w:rPr>
              <w:t>主要原辅料不含重金属</w:t>
            </w:r>
            <w:r>
              <w:rPr>
                <w:rFonts w:hint="default" w:ascii="Times New Roman" w:hAnsi="Times New Roman" w:cs="Times New Roman"/>
                <w:color w:val="auto"/>
                <w:sz w:val="24"/>
              </w:rPr>
              <w:t>、持久性有机污染物</w:t>
            </w:r>
            <w:r>
              <w:rPr>
                <w:rFonts w:hint="eastAsia" w:ascii="Times New Roman" w:hAnsi="Times New Roman" w:cs="Times New Roman"/>
                <w:color w:val="auto"/>
                <w:sz w:val="24"/>
              </w:rPr>
              <w:t>，</w:t>
            </w:r>
            <w:r>
              <w:rPr>
                <w:rFonts w:hint="default" w:ascii="Times New Roman" w:hAnsi="Times New Roman" w:cs="Times New Roman"/>
                <w:color w:val="auto"/>
                <w:sz w:val="24"/>
              </w:rPr>
              <w:t>项目主要原辅材料消耗情况见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3FF676E7">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钻井作业原辅材料消耗一览表</w:t>
            </w:r>
          </w:p>
          <w:tbl>
            <w:tblPr>
              <w:tblStyle w:val="23"/>
              <w:tblW w:w="4972"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152"/>
              <w:gridCol w:w="4116"/>
              <w:gridCol w:w="720"/>
              <w:gridCol w:w="898"/>
            </w:tblGrid>
            <w:tr w14:paraId="42EC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30" w:type="pct"/>
                  <w:noWrap w:val="0"/>
                  <w:vAlign w:val="center"/>
                </w:tcPr>
                <w:p w14:paraId="2ADECE08">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类型</w:t>
                  </w:r>
                </w:p>
              </w:tc>
              <w:tc>
                <w:tcPr>
                  <w:tcW w:w="747" w:type="pct"/>
                  <w:noWrap w:val="0"/>
                  <w:vAlign w:val="center"/>
                </w:tcPr>
                <w:p w14:paraId="29DC40DD">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材料名称</w:t>
                  </w:r>
                </w:p>
              </w:tc>
              <w:tc>
                <w:tcPr>
                  <w:tcW w:w="2671" w:type="pct"/>
                  <w:noWrap w:val="0"/>
                  <w:vAlign w:val="center"/>
                </w:tcPr>
                <w:p w14:paraId="287F0AE6">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规格型号</w:t>
                  </w:r>
                </w:p>
              </w:tc>
              <w:tc>
                <w:tcPr>
                  <w:tcW w:w="467" w:type="pct"/>
                  <w:noWrap w:val="0"/>
                  <w:vAlign w:val="center"/>
                </w:tcPr>
                <w:p w14:paraId="3A14A51B">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582" w:type="pct"/>
                  <w:noWrap w:val="0"/>
                  <w:vAlign w:val="center"/>
                </w:tcPr>
                <w:p w14:paraId="4FC0C6F9">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rPr>
                    <w:t>消耗量</w:t>
                  </w:r>
                </w:p>
              </w:tc>
            </w:tr>
            <w:tr w14:paraId="0074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3048D2A5">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eastAsia="宋体" w:cs="Times New Roman"/>
                      <w:color w:val="auto"/>
                    </w:rPr>
                    <w:t>钻井、固井等作业</w:t>
                  </w:r>
                </w:p>
              </w:tc>
              <w:tc>
                <w:tcPr>
                  <w:tcW w:w="747" w:type="pct"/>
                  <w:vMerge w:val="restart"/>
                  <w:noWrap w:val="0"/>
                  <w:vAlign w:val="center"/>
                </w:tcPr>
                <w:p w14:paraId="293B02C1">
                  <w:pPr>
                    <w:pStyle w:val="55"/>
                    <w:keepNext w:val="0"/>
                    <w:keepLines w:val="0"/>
                    <w:suppressLineNumbers w:val="0"/>
                    <w:spacing w:before="0" w:beforeAutospacing="0" w:after="0" w:afterAutospacing="0"/>
                    <w:ind w:left="0" w:right="0"/>
                    <w:rPr>
                      <w:rFonts w:ascii="Times New Roman" w:hAnsi="Times New Roman" w:cs="Times New Roman"/>
                      <w:color w:val="auto"/>
                    </w:rPr>
                  </w:pPr>
                  <w:r>
                    <w:rPr>
                      <w:color w:val="auto"/>
                    </w:rPr>
                    <w:t>钻头</w:t>
                  </w:r>
                </w:p>
              </w:tc>
              <w:tc>
                <w:tcPr>
                  <w:tcW w:w="2671" w:type="pct"/>
                  <w:noWrap w:val="0"/>
                  <w:vAlign w:val="center"/>
                </w:tcPr>
                <w:p w14:paraId="4232E0B4">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Ф444.5 HJT537GK/ PDC</w:t>
                  </w:r>
                </w:p>
              </w:tc>
              <w:tc>
                <w:tcPr>
                  <w:tcW w:w="467" w:type="pct"/>
                  <w:noWrap w:val="0"/>
                  <w:vAlign w:val="center"/>
                </w:tcPr>
                <w:p w14:paraId="50095C4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只</w:t>
                  </w:r>
                </w:p>
              </w:tc>
              <w:tc>
                <w:tcPr>
                  <w:tcW w:w="582" w:type="pct"/>
                  <w:noWrap w:val="0"/>
                  <w:vAlign w:val="center"/>
                </w:tcPr>
                <w:p w14:paraId="457B6DCC">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1/2</w:t>
                  </w:r>
                </w:p>
              </w:tc>
            </w:tr>
            <w:tr w14:paraId="0476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D01BBAE">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2296B224">
                  <w:pPr>
                    <w:pStyle w:val="55"/>
                    <w:keepNext w:val="0"/>
                    <w:keepLines w:val="0"/>
                    <w:suppressLineNumbers w:val="0"/>
                    <w:spacing w:before="0" w:beforeAutospacing="0" w:after="0" w:afterAutospacing="0"/>
                    <w:ind w:left="0" w:right="0"/>
                    <w:rPr>
                      <w:color w:val="auto"/>
                    </w:rPr>
                  </w:pPr>
                </w:p>
              </w:tc>
              <w:tc>
                <w:tcPr>
                  <w:tcW w:w="2671" w:type="pct"/>
                  <w:noWrap w:val="0"/>
                  <w:vAlign w:val="center"/>
                </w:tcPr>
                <w:p w14:paraId="5AAA45AF">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Ф311.2mm HJT537GK/PDC</w:t>
                  </w:r>
                </w:p>
              </w:tc>
              <w:tc>
                <w:tcPr>
                  <w:tcW w:w="467" w:type="pct"/>
                  <w:noWrap w:val="0"/>
                  <w:vAlign w:val="center"/>
                </w:tcPr>
                <w:p w14:paraId="6C20948A">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只</w:t>
                  </w:r>
                </w:p>
              </w:tc>
              <w:tc>
                <w:tcPr>
                  <w:tcW w:w="582" w:type="pct"/>
                  <w:noWrap w:val="0"/>
                  <w:vAlign w:val="center"/>
                </w:tcPr>
                <w:p w14:paraId="6ACD703D">
                  <w:pPr>
                    <w:keepNext w:val="0"/>
                    <w:keepLines w:val="0"/>
                    <w:suppressLineNumbers w:val="0"/>
                    <w:autoSpaceDE w:val="0"/>
                    <w:autoSpaceDN w:val="0"/>
                    <w:adjustRightInd w:val="0"/>
                    <w:snapToGrid w:val="0"/>
                    <w:spacing w:before="0" w:beforeAutospacing="0" w:after="0" w:afterAutospacing="0" w:line="260" w:lineRule="exact"/>
                    <w:ind w:left="0" w:right="0"/>
                    <w:jc w:val="center"/>
                    <w:textAlignment w:val="baseline"/>
                    <w:rPr>
                      <w:rFonts w:hint="default" w:ascii="Times New Roman" w:hAnsi="Times New Roman" w:eastAsia="宋体" w:cs="Times New Roman"/>
                      <w:color w:val="auto"/>
                      <w:kern w:val="2"/>
                      <w:szCs w:val="24"/>
                    </w:rPr>
                  </w:pPr>
                  <w:r>
                    <w:rPr>
                      <w:rFonts w:hint="default" w:ascii="Times New Roman" w:hAnsi="Times New Roman" w:eastAsia="宋体" w:cs="Times New Roman"/>
                      <w:color w:val="auto"/>
                    </w:rPr>
                    <w:t>1/9</w:t>
                  </w:r>
                </w:p>
              </w:tc>
            </w:tr>
            <w:tr w14:paraId="6228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5832FC0">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0055DFB7">
                  <w:pPr>
                    <w:pStyle w:val="55"/>
                    <w:keepNext w:val="0"/>
                    <w:keepLines w:val="0"/>
                    <w:suppressLineNumbers w:val="0"/>
                    <w:spacing w:before="0" w:beforeAutospacing="0" w:after="0" w:afterAutospacing="0"/>
                    <w:ind w:left="0" w:right="0"/>
                    <w:rPr>
                      <w:color w:val="auto"/>
                    </w:rPr>
                  </w:pPr>
                </w:p>
              </w:tc>
              <w:tc>
                <w:tcPr>
                  <w:tcW w:w="2671" w:type="pct"/>
                  <w:noWrap w:val="0"/>
                  <w:vAlign w:val="center"/>
                </w:tcPr>
                <w:p w14:paraId="76389AF4">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Ф215.9mm HJT537JK /PDC</w:t>
                  </w:r>
                </w:p>
              </w:tc>
              <w:tc>
                <w:tcPr>
                  <w:tcW w:w="467" w:type="pct"/>
                  <w:noWrap w:val="0"/>
                  <w:vAlign w:val="center"/>
                </w:tcPr>
                <w:p w14:paraId="725EE3AE">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rPr>
                    <w:t>只</w:t>
                  </w:r>
                </w:p>
              </w:tc>
              <w:tc>
                <w:tcPr>
                  <w:tcW w:w="582" w:type="pct"/>
                  <w:noWrap w:val="0"/>
                  <w:vAlign w:val="center"/>
                </w:tcPr>
                <w:p w14:paraId="6DA0DED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Cs w:val="24"/>
                    </w:rPr>
                  </w:pPr>
                  <w:r>
                    <w:rPr>
                      <w:rFonts w:hint="default" w:ascii="Times New Roman" w:hAnsi="Times New Roman" w:eastAsia="宋体" w:cs="Times New Roman"/>
                      <w:color w:val="auto"/>
                    </w:rPr>
                    <w:t>1/7</w:t>
                  </w:r>
                </w:p>
              </w:tc>
            </w:tr>
            <w:tr w14:paraId="7462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15A7B59">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restart"/>
                  <w:noWrap w:val="0"/>
                  <w:vAlign w:val="center"/>
                </w:tcPr>
                <w:p w14:paraId="1512652B">
                  <w:pPr>
                    <w:pStyle w:val="55"/>
                    <w:keepNext w:val="0"/>
                    <w:keepLines w:val="0"/>
                    <w:suppressLineNumbers w:val="0"/>
                    <w:spacing w:before="0" w:beforeAutospacing="0" w:after="0" w:afterAutospacing="0"/>
                    <w:ind w:left="0" w:right="0"/>
                    <w:rPr>
                      <w:rFonts w:hint="eastAsia" w:eastAsia="宋体"/>
                      <w:color w:val="auto"/>
                      <w:lang w:val="en-US" w:eastAsia="zh-CN"/>
                    </w:rPr>
                  </w:pPr>
                  <w:r>
                    <w:rPr>
                      <w:rFonts w:hint="eastAsia" w:eastAsia="宋体"/>
                      <w:color w:val="auto"/>
                      <w:lang w:val="en-US" w:eastAsia="zh-CN"/>
                    </w:rPr>
                    <w:t>套管</w:t>
                  </w:r>
                </w:p>
              </w:tc>
              <w:tc>
                <w:tcPr>
                  <w:tcW w:w="2671" w:type="pct"/>
                  <w:shd w:val="clear" w:color="auto" w:fill="auto"/>
                  <w:noWrap w:val="0"/>
                  <w:vAlign w:val="center"/>
                </w:tcPr>
                <w:p w14:paraId="34A5DAA6">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Ф476.25mmN80</w:t>
                  </w:r>
                  <w:r>
                    <w:rPr>
                      <w:rFonts w:hint="default" w:ascii="Times New Roman" w:hAnsi="Times New Roman" w:eastAsia="宋体" w:cs="Times New Roman"/>
                      <w:color w:val="auto"/>
                      <w:lang w:val="en-GB"/>
                    </w:rPr>
                    <w:t>×</w:t>
                  </w:r>
                  <w:r>
                    <w:rPr>
                      <w:rFonts w:hint="default" w:ascii="Times New Roman" w:hAnsi="Times New Roman" w:eastAsia="宋体" w:cs="Times New Roman"/>
                      <w:color w:val="auto"/>
                    </w:rPr>
                    <w:t>12.7</w:t>
                  </w:r>
                </w:p>
              </w:tc>
              <w:tc>
                <w:tcPr>
                  <w:tcW w:w="467" w:type="pct"/>
                  <w:shd w:val="clear" w:color="auto" w:fill="auto"/>
                  <w:noWrap w:val="0"/>
                  <w:vAlign w:val="center"/>
                </w:tcPr>
                <w:p w14:paraId="21DEF040">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25A741D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50</w:t>
                  </w:r>
                </w:p>
              </w:tc>
            </w:tr>
            <w:tr w14:paraId="5C6F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3CC8AF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3065F20F">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0CC4A60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Ф339.7mm P110×12.19</w:t>
                  </w:r>
                </w:p>
              </w:tc>
              <w:tc>
                <w:tcPr>
                  <w:tcW w:w="467" w:type="pct"/>
                  <w:shd w:val="clear" w:color="auto" w:fill="auto"/>
                  <w:noWrap w:val="0"/>
                  <w:vAlign w:val="center"/>
                </w:tcPr>
                <w:p w14:paraId="43FE1901">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255D7EAF">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1050</w:t>
                  </w:r>
                </w:p>
              </w:tc>
            </w:tr>
            <w:tr w14:paraId="3DF8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731AFBD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CD6D356">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2CDAFF4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Ф260.4mmP110×20.52</w:t>
                  </w:r>
                </w:p>
              </w:tc>
              <w:tc>
                <w:tcPr>
                  <w:tcW w:w="467" w:type="pct"/>
                  <w:shd w:val="clear" w:color="auto" w:fill="auto"/>
                  <w:noWrap w:val="0"/>
                  <w:vAlign w:val="center"/>
                </w:tcPr>
                <w:p w14:paraId="01D9186E">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0041F47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1000</w:t>
                  </w:r>
                </w:p>
              </w:tc>
            </w:tr>
            <w:tr w14:paraId="2B55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510857B">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4CA11F1">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4264685C">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Ф244.5mmP110×11.99</w:t>
                  </w:r>
                </w:p>
              </w:tc>
              <w:tc>
                <w:tcPr>
                  <w:tcW w:w="467" w:type="pct"/>
                  <w:shd w:val="clear" w:color="auto" w:fill="auto"/>
                  <w:noWrap w:val="0"/>
                  <w:vAlign w:val="center"/>
                </w:tcPr>
                <w:p w14:paraId="585FCB7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6752AB9B">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2860</w:t>
                  </w:r>
                </w:p>
              </w:tc>
            </w:tr>
            <w:tr w14:paraId="1EFF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ECB7C9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C33E685">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6B709E1F">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Ф139.7mm140V×12.7</w:t>
                  </w:r>
                </w:p>
              </w:tc>
              <w:tc>
                <w:tcPr>
                  <w:tcW w:w="467" w:type="pct"/>
                  <w:shd w:val="clear" w:color="auto" w:fill="auto"/>
                  <w:noWrap w:val="0"/>
                  <w:vAlign w:val="center"/>
                </w:tcPr>
                <w:p w14:paraId="4F39673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26CDDFB0">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4995</w:t>
                  </w:r>
                </w:p>
              </w:tc>
            </w:tr>
            <w:tr w14:paraId="32B1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01D586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CC6B57E">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1FD0A87F">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Ф193.7mm P110×12.7（可选）</w:t>
                  </w:r>
                </w:p>
              </w:tc>
              <w:tc>
                <w:tcPr>
                  <w:tcW w:w="467" w:type="pct"/>
                  <w:shd w:val="clear" w:color="auto" w:fill="auto"/>
                  <w:noWrap w:val="0"/>
                  <w:vAlign w:val="center"/>
                </w:tcPr>
                <w:p w14:paraId="27BA4894">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0FA01CAB">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1120</w:t>
                  </w:r>
                </w:p>
              </w:tc>
            </w:tr>
            <w:tr w14:paraId="7B54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5478CF1">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6CFCDD79">
                  <w:pPr>
                    <w:pStyle w:val="55"/>
                    <w:keepNext w:val="0"/>
                    <w:keepLines w:val="0"/>
                    <w:suppressLineNumbers w:val="0"/>
                    <w:spacing w:before="0" w:beforeAutospacing="0" w:after="0" w:afterAutospacing="0"/>
                    <w:ind w:left="0" w:right="0"/>
                    <w:rPr>
                      <w:rFonts w:hint="eastAsia" w:eastAsia="宋体"/>
                      <w:color w:val="auto"/>
                      <w:lang w:val="en-US" w:eastAsia="zh-CN"/>
                    </w:rPr>
                  </w:pPr>
                </w:p>
              </w:tc>
              <w:tc>
                <w:tcPr>
                  <w:tcW w:w="2671" w:type="pct"/>
                  <w:shd w:val="clear" w:color="auto" w:fill="auto"/>
                  <w:noWrap w:val="0"/>
                  <w:vAlign w:val="center"/>
                </w:tcPr>
                <w:p w14:paraId="1D7F9E73">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Ф127mm 140V×11.1</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可选</w:t>
                  </w:r>
                  <w:r>
                    <w:rPr>
                      <w:rFonts w:hint="eastAsia" w:ascii="Times New Roman" w:hAnsi="Times New Roman" w:eastAsia="宋体" w:cs="Times New Roman"/>
                      <w:color w:val="auto"/>
                      <w:lang w:eastAsia="zh-CN"/>
                    </w:rPr>
                    <w:t>）</w:t>
                  </w:r>
                </w:p>
              </w:tc>
              <w:tc>
                <w:tcPr>
                  <w:tcW w:w="467" w:type="pct"/>
                  <w:shd w:val="clear" w:color="auto" w:fill="auto"/>
                  <w:noWrap w:val="0"/>
                  <w:vAlign w:val="center"/>
                </w:tcPr>
                <w:p w14:paraId="577A5ED6">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m</w:t>
                  </w:r>
                </w:p>
              </w:tc>
              <w:tc>
                <w:tcPr>
                  <w:tcW w:w="582" w:type="pct"/>
                  <w:shd w:val="clear" w:color="auto" w:fill="auto"/>
                  <w:noWrap w:val="0"/>
                  <w:vAlign w:val="center"/>
                </w:tcPr>
                <w:p w14:paraId="6065E71B">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rPr>
                    <w:t>1385</w:t>
                  </w:r>
                </w:p>
              </w:tc>
            </w:tr>
            <w:tr w14:paraId="4422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D84BDFB">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43B84F8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4"/>
                      <w:lang w:val="en-US" w:eastAsia="zh-CN" w:bidi="ar-SA"/>
                    </w:rPr>
                  </w:pPr>
                  <w:r>
                    <w:rPr>
                      <w:rFonts w:hint="default"/>
                      <w:color w:val="auto"/>
                    </w:rPr>
                    <w:t>套管头</w:t>
                  </w:r>
                </w:p>
              </w:tc>
              <w:tc>
                <w:tcPr>
                  <w:tcW w:w="2671" w:type="pct"/>
                  <w:shd w:val="clear" w:color="auto" w:fill="auto"/>
                  <w:noWrap w:val="0"/>
                  <w:vAlign w:val="center"/>
                </w:tcPr>
                <w:p w14:paraId="210EE8D4">
                  <w:pPr>
                    <w:keepNext w:val="0"/>
                    <w:keepLines w:val="0"/>
                    <w:suppressLineNumbers w:val="0"/>
                    <w:snapToGrid w:val="0"/>
                    <w:spacing w:before="0" w:beforeAutospacing="0" w:after="0" w:afterAutospacing="0" w:line="320" w:lineRule="exact"/>
                    <w:ind w:left="0" w:right="0"/>
                    <w:jc w:val="center"/>
                    <w:rPr>
                      <w:rFonts w:hint="default"/>
                      <w:color w:val="auto"/>
                    </w:rPr>
                  </w:pPr>
                  <w:r>
                    <w:rPr>
                      <w:rFonts w:hint="default"/>
                      <w:color w:val="auto"/>
                    </w:rPr>
                    <w:t>13-3/8"-70×1</w:t>
                  </w:r>
                  <w:r>
                    <w:rPr>
                      <w:rFonts w:hint="eastAsia"/>
                      <w:color w:val="auto"/>
                    </w:rPr>
                    <w:t>0</w:t>
                  </w:r>
                  <w:r>
                    <w:rPr>
                      <w:rFonts w:hint="default"/>
                      <w:color w:val="auto"/>
                    </w:rPr>
                    <w:t>-1/</w:t>
                  </w:r>
                  <w:r>
                    <w:rPr>
                      <w:rFonts w:hint="eastAsia"/>
                      <w:color w:val="auto"/>
                    </w:rPr>
                    <w:t>4</w:t>
                  </w:r>
                  <w:r>
                    <w:rPr>
                      <w:rFonts w:hint="default"/>
                      <w:color w:val="auto"/>
                    </w:rPr>
                    <w:t>"-105</w:t>
                  </w:r>
                </w:p>
                <w:p w14:paraId="7FD3ED2D">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+1</w:t>
                  </w:r>
                  <w:r>
                    <w:rPr>
                      <w:rFonts w:hint="eastAsia"/>
                      <w:color w:val="auto"/>
                    </w:rPr>
                    <w:t>0</w:t>
                  </w:r>
                  <w:r>
                    <w:rPr>
                      <w:rFonts w:hint="default"/>
                      <w:color w:val="auto"/>
                    </w:rPr>
                    <w:t>-1/</w:t>
                  </w:r>
                  <w:r>
                    <w:rPr>
                      <w:rFonts w:hint="eastAsia"/>
                      <w:color w:val="auto"/>
                    </w:rPr>
                    <w:t>4</w:t>
                  </w:r>
                  <w:r>
                    <w:rPr>
                      <w:rFonts w:hint="default"/>
                      <w:color w:val="auto"/>
                    </w:rPr>
                    <w:t>"-105×</w:t>
                  </w:r>
                  <w:r>
                    <w:rPr>
                      <w:rFonts w:hint="eastAsia"/>
                      <w:color w:val="auto"/>
                    </w:rPr>
                    <w:t>5</w:t>
                  </w:r>
                  <w:r>
                    <w:rPr>
                      <w:rFonts w:hint="default"/>
                      <w:color w:val="auto"/>
                    </w:rPr>
                    <w:t>-1/</w:t>
                  </w:r>
                  <w:r>
                    <w:rPr>
                      <w:rFonts w:hint="eastAsia"/>
                      <w:color w:val="auto"/>
                    </w:rPr>
                    <w:t>2</w:t>
                  </w:r>
                  <w:r>
                    <w:rPr>
                      <w:rFonts w:hint="default"/>
                      <w:color w:val="auto"/>
                    </w:rPr>
                    <w:t>"-140</w:t>
                  </w:r>
                </w:p>
              </w:tc>
              <w:tc>
                <w:tcPr>
                  <w:tcW w:w="467" w:type="pct"/>
                  <w:shd w:val="clear" w:color="auto" w:fill="auto"/>
                  <w:noWrap w:val="0"/>
                  <w:vAlign w:val="center"/>
                </w:tcPr>
                <w:p w14:paraId="787F2DA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套</w:t>
                  </w:r>
                </w:p>
              </w:tc>
              <w:tc>
                <w:tcPr>
                  <w:tcW w:w="582" w:type="pct"/>
                  <w:shd w:val="clear" w:color="auto" w:fill="auto"/>
                  <w:noWrap w:val="0"/>
                  <w:vAlign w:val="center"/>
                </w:tcPr>
                <w:p w14:paraId="5EE1EEF7">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1</w:t>
                  </w:r>
                </w:p>
              </w:tc>
            </w:tr>
            <w:tr w14:paraId="6F38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3893E1C">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001D6E1D">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rPr>
                    <w:t>油管头</w:t>
                  </w:r>
                </w:p>
              </w:tc>
              <w:tc>
                <w:tcPr>
                  <w:tcW w:w="2671" w:type="pct"/>
                  <w:shd w:val="clear" w:color="auto" w:fill="auto"/>
                  <w:noWrap w:val="0"/>
                  <w:vAlign w:val="center"/>
                </w:tcPr>
                <w:p w14:paraId="1188450C">
                  <w:pPr>
                    <w:keepNext w:val="0"/>
                    <w:keepLines w:val="0"/>
                    <w:suppressLineNumbers w:val="0"/>
                    <w:snapToGrid w:val="0"/>
                    <w:spacing w:before="0" w:beforeAutospacing="0" w:after="0" w:afterAutospacing="0" w:line="32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5-1/2 "-140×</w:t>
                  </w:r>
                  <w:r>
                    <w:rPr>
                      <w:rFonts w:hint="eastAsia"/>
                      <w:color w:val="auto"/>
                    </w:rPr>
                    <w:t>3</w:t>
                  </w:r>
                  <w:r>
                    <w:rPr>
                      <w:rFonts w:hint="default"/>
                      <w:color w:val="auto"/>
                    </w:rPr>
                    <w:t>-1/2"(</w:t>
                  </w:r>
                  <w:r>
                    <w:rPr>
                      <w:rFonts w:hint="eastAsia"/>
                      <w:color w:val="auto"/>
                    </w:rPr>
                    <w:t>或2</w:t>
                  </w:r>
                  <w:r>
                    <w:rPr>
                      <w:rFonts w:hint="default"/>
                      <w:color w:val="auto"/>
                    </w:rPr>
                    <w:t>-</w:t>
                  </w:r>
                  <w:r>
                    <w:rPr>
                      <w:rFonts w:hint="eastAsia"/>
                      <w:color w:val="auto"/>
                    </w:rPr>
                    <w:t>7</w:t>
                  </w:r>
                  <w:r>
                    <w:rPr>
                      <w:rFonts w:hint="default"/>
                      <w:color w:val="auto"/>
                    </w:rPr>
                    <w:t>/</w:t>
                  </w:r>
                  <w:r>
                    <w:rPr>
                      <w:rFonts w:hint="eastAsia"/>
                      <w:color w:val="auto"/>
                    </w:rPr>
                    <w:t>8</w:t>
                  </w:r>
                  <w:r>
                    <w:rPr>
                      <w:rFonts w:hint="default"/>
                      <w:color w:val="auto"/>
                    </w:rPr>
                    <w:t>")-140</w:t>
                  </w:r>
                </w:p>
              </w:tc>
              <w:tc>
                <w:tcPr>
                  <w:tcW w:w="467" w:type="pct"/>
                  <w:shd w:val="clear" w:color="auto" w:fill="auto"/>
                  <w:noWrap w:val="0"/>
                  <w:vAlign w:val="center"/>
                </w:tcPr>
                <w:p w14:paraId="0E1C8DC9">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套</w:t>
                  </w:r>
                </w:p>
              </w:tc>
              <w:tc>
                <w:tcPr>
                  <w:tcW w:w="582" w:type="pct"/>
                  <w:shd w:val="clear" w:color="auto" w:fill="auto"/>
                  <w:noWrap w:val="0"/>
                  <w:vAlign w:val="center"/>
                </w:tcPr>
                <w:p w14:paraId="4376567E">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w:t>
                  </w:r>
                </w:p>
              </w:tc>
            </w:tr>
            <w:tr w14:paraId="6353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F42D388">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601B979A">
                  <w:pPr>
                    <w:keepNext w:val="0"/>
                    <w:keepLines w:val="0"/>
                    <w:suppressLineNumbers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采气树</w:t>
                  </w:r>
                </w:p>
              </w:tc>
              <w:tc>
                <w:tcPr>
                  <w:tcW w:w="2671" w:type="pct"/>
                  <w:shd w:val="clear" w:color="auto" w:fill="auto"/>
                  <w:noWrap w:val="0"/>
                  <w:vAlign w:val="center"/>
                </w:tcPr>
                <w:p w14:paraId="6EAD1B77">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KYS78/65-140</w:t>
                  </w:r>
                </w:p>
              </w:tc>
              <w:tc>
                <w:tcPr>
                  <w:tcW w:w="467" w:type="pct"/>
                  <w:shd w:val="clear" w:color="auto" w:fill="auto"/>
                  <w:noWrap w:val="0"/>
                  <w:vAlign w:val="center"/>
                </w:tcPr>
                <w:p w14:paraId="723B17DE">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套</w:t>
                  </w:r>
                </w:p>
              </w:tc>
              <w:tc>
                <w:tcPr>
                  <w:tcW w:w="582" w:type="pct"/>
                  <w:shd w:val="clear" w:color="auto" w:fill="auto"/>
                  <w:noWrap w:val="0"/>
                  <w:vAlign w:val="center"/>
                </w:tcPr>
                <w:p w14:paraId="7CF59058">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w:t>
                  </w:r>
                </w:p>
              </w:tc>
            </w:tr>
            <w:tr w14:paraId="7F96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CDB174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235B3BA7">
                  <w:pPr>
                    <w:keepNext w:val="0"/>
                    <w:keepLines w:val="0"/>
                    <w:suppressLineNumbers w:val="0"/>
                    <w:adjustRightInd w:val="0"/>
                    <w:snapToGrid w:val="0"/>
                    <w:spacing w:before="0" w:beforeAutospacing="0" w:after="0" w:afterAutospacing="0" w:line="260" w:lineRule="exact"/>
                    <w:ind w:left="0" w:right="0"/>
                    <w:jc w:val="center"/>
                    <w:rPr>
                      <w:rFonts w:hint="default"/>
                      <w:color w:val="auto"/>
                      <w:szCs w:val="21"/>
                    </w:rPr>
                  </w:pPr>
                  <w:r>
                    <w:rPr>
                      <w:rFonts w:hint="default"/>
                      <w:color w:val="auto"/>
                      <w:szCs w:val="21"/>
                    </w:rPr>
                    <w:t>暂缓试气井</w:t>
                  </w:r>
                </w:p>
                <w:p w14:paraId="45616805">
                  <w:pPr>
                    <w:keepNext w:val="0"/>
                    <w:keepLines w:val="0"/>
                    <w:suppressLineNumbers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简易井口</w:t>
                  </w:r>
                </w:p>
              </w:tc>
              <w:tc>
                <w:tcPr>
                  <w:tcW w:w="2671" w:type="pct"/>
                  <w:shd w:val="clear" w:color="auto" w:fill="auto"/>
                  <w:noWrap w:val="0"/>
                  <w:vAlign w:val="center"/>
                </w:tcPr>
                <w:p w14:paraId="76300101">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105MPa</w:t>
                  </w:r>
                </w:p>
              </w:tc>
              <w:tc>
                <w:tcPr>
                  <w:tcW w:w="467" w:type="pct"/>
                  <w:shd w:val="clear" w:color="auto" w:fill="auto"/>
                  <w:noWrap w:val="0"/>
                  <w:vAlign w:val="center"/>
                </w:tcPr>
                <w:p w14:paraId="5982662D">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套</w:t>
                  </w:r>
                </w:p>
              </w:tc>
              <w:tc>
                <w:tcPr>
                  <w:tcW w:w="582" w:type="pct"/>
                  <w:shd w:val="clear" w:color="auto" w:fill="auto"/>
                  <w:noWrap w:val="0"/>
                  <w:vAlign w:val="center"/>
                </w:tcPr>
                <w:p w14:paraId="6FC405A5">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w:t>
                  </w:r>
                </w:p>
              </w:tc>
            </w:tr>
            <w:tr w14:paraId="0086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E5DDA58">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467EA42E">
                  <w:pPr>
                    <w:keepNext w:val="0"/>
                    <w:keepLines w:val="0"/>
                    <w:suppressLineNumbers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无风险废弃井简易井口</w:t>
                  </w:r>
                </w:p>
              </w:tc>
              <w:tc>
                <w:tcPr>
                  <w:tcW w:w="2671" w:type="pct"/>
                  <w:shd w:val="clear" w:color="auto" w:fill="auto"/>
                  <w:noWrap w:val="0"/>
                  <w:vAlign w:val="center"/>
                </w:tcPr>
                <w:p w14:paraId="49D5F2C3">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105MPa</w:t>
                  </w:r>
                </w:p>
              </w:tc>
              <w:tc>
                <w:tcPr>
                  <w:tcW w:w="467" w:type="pct"/>
                  <w:shd w:val="clear" w:color="auto" w:fill="auto"/>
                  <w:noWrap w:val="0"/>
                  <w:vAlign w:val="center"/>
                </w:tcPr>
                <w:p w14:paraId="62755FEB">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套</w:t>
                  </w:r>
                </w:p>
              </w:tc>
              <w:tc>
                <w:tcPr>
                  <w:tcW w:w="582" w:type="pct"/>
                  <w:shd w:val="clear" w:color="auto" w:fill="auto"/>
                  <w:noWrap w:val="0"/>
                  <w:vAlign w:val="center"/>
                </w:tcPr>
                <w:p w14:paraId="431F50DB">
                  <w:pPr>
                    <w:keepNext w:val="0"/>
                    <w:keepLines w:val="0"/>
                    <w:suppressLineNumbers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w:t>
                  </w:r>
                </w:p>
              </w:tc>
            </w:tr>
            <w:tr w14:paraId="737A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7CBCD3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shd w:val="clear" w:color="auto" w:fill="auto"/>
                  <w:noWrap w:val="0"/>
                  <w:vAlign w:val="center"/>
                </w:tcPr>
                <w:p w14:paraId="7DD4E9DB">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固井水泥</w:t>
                  </w:r>
                </w:p>
              </w:tc>
              <w:tc>
                <w:tcPr>
                  <w:tcW w:w="2671" w:type="pct"/>
                  <w:shd w:val="clear" w:color="auto" w:fill="auto"/>
                  <w:noWrap w:val="0"/>
                  <w:vAlign w:val="center"/>
                </w:tcPr>
                <w:p w14:paraId="310B45AE">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G级</w:t>
                  </w:r>
                </w:p>
              </w:tc>
              <w:tc>
                <w:tcPr>
                  <w:tcW w:w="467" w:type="pct"/>
                  <w:shd w:val="clear" w:color="auto" w:fill="auto"/>
                  <w:noWrap w:val="0"/>
                  <w:vAlign w:val="center"/>
                </w:tcPr>
                <w:p w14:paraId="3C749F4F">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default"/>
                      <w:color w:val="auto"/>
                    </w:rPr>
                    <w:t>t</w:t>
                  </w:r>
                </w:p>
              </w:tc>
              <w:tc>
                <w:tcPr>
                  <w:tcW w:w="582" w:type="pct"/>
                  <w:shd w:val="clear" w:color="auto" w:fill="auto"/>
                  <w:noWrap w:val="0"/>
                  <w:vAlign w:val="center"/>
                </w:tcPr>
                <w:p w14:paraId="26625571">
                  <w:pPr>
                    <w:keepNext w:val="0"/>
                    <w:keepLines w:val="0"/>
                    <w:suppressLineNumbers w:val="0"/>
                    <w:autoSpaceDE w:val="0"/>
                    <w:autoSpaceDN w:val="0"/>
                    <w:adjustRightInd w:val="0"/>
                    <w:snapToGrid w:val="0"/>
                    <w:spacing w:before="0" w:beforeAutospacing="0" w:after="0" w:afterAutospacing="0" w:line="260" w:lineRule="exact"/>
                    <w:ind w:left="0" w:right="0"/>
                    <w:jc w:val="center"/>
                    <w:rPr>
                      <w:rFonts w:hint="default" w:ascii="Times New Roman" w:hAnsi="Times New Roman" w:eastAsia="宋体" w:cs="Times New Roman"/>
                      <w:color w:val="auto"/>
                      <w:kern w:val="2"/>
                      <w:sz w:val="21"/>
                      <w:szCs w:val="24"/>
                      <w:lang w:val="en-US" w:eastAsia="zh-CN" w:bidi="ar-SA"/>
                    </w:rPr>
                  </w:pPr>
                  <w:r>
                    <w:rPr>
                      <w:rFonts w:hint="eastAsia"/>
                      <w:color w:val="auto"/>
                    </w:rPr>
                    <w:t>595</w:t>
                  </w:r>
                </w:p>
              </w:tc>
            </w:tr>
            <w:tr w14:paraId="7D55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FEE1675">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restart"/>
                  <w:noWrap w:val="0"/>
                  <w:vAlign w:val="center"/>
                </w:tcPr>
                <w:p w14:paraId="66BBE95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ascii="Times New Roman" w:hAnsi="Times New Roman" w:eastAsia="宋体" w:cs="Times New Roman"/>
                      <w:color w:val="auto"/>
                    </w:rPr>
                    <w:t>钻井液</w:t>
                  </w:r>
                  <w:r>
                    <w:rPr>
                      <w:rFonts w:hint="eastAsia" w:ascii="Times New Roman" w:hAnsi="Times New Roman" w:eastAsia="宋体" w:cs="Times New Roman"/>
                      <w:color w:val="auto"/>
                      <w:lang w:val="en-US" w:eastAsia="zh-CN"/>
                    </w:rPr>
                    <w:t>材料消耗</w:t>
                  </w:r>
                </w:p>
              </w:tc>
              <w:tc>
                <w:tcPr>
                  <w:tcW w:w="2671" w:type="pct"/>
                  <w:shd w:val="clear" w:color="auto" w:fill="auto"/>
                  <w:noWrap w:val="0"/>
                  <w:vAlign w:val="center"/>
                </w:tcPr>
                <w:p w14:paraId="143E2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膨润土粉</w:t>
                  </w:r>
                </w:p>
              </w:tc>
              <w:tc>
                <w:tcPr>
                  <w:tcW w:w="467" w:type="pct"/>
                  <w:noWrap w:val="0"/>
                  <w:vAlign w:val="center"/>
                </w:tcPr>
                <w:p w14:paraId="5211412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0B5E87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45</w:t>
                  </w:r>
                </w:p>
              </w:tc>
            </w:tr>
            <w:tr w14:paraId="1FE1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FF5286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075FA63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08C5CB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纯碱</w:t>
                  </w:r>
                </w:p>
              </w:tc>
              <w:tc>
                <w:tcPr>
                  <w:tcW w:w="467" w:type="pct"/>
                  <w:noWrap w:val="0"/>
                  <w:vAlign w:val="center"/>
                </w:tcPr>
                <w:p w14:paraId="077DA8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22C11B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5</w:t>
                  </w:r>
                </w:p>
              </w:tc>
            </w:tr>
            <w:tr w14:paraId="4EA2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7A9D98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24B63A0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1A940C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氢氧化钠</w:t>
                  </w:r>
                </w:p>
              </w:tc>
              <w:tc>
                <w:tcPr>
                  <w:tcW w:w="467" w:type="pct"/>
                  <w:noWrap w:val="0"/>
                  <w:vAlign w:val="center"/>
                </w:tcPr>
                <w:p w14:paraId="50EF07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7E4BBB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8</w:t>
                  </w:r>
                </w:p>
              </w:tc>
            </w:tr>
            <w:tr w14:paraId="7048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BFF402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C20C9E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13B862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氯化钾</w:t>
                  </w:r>
                </w:p>
              </w:tc>
              <w:tc>
                <w:tcPr>
                  <w:tcW w:w="467" w:type="pct"/>
                  <w:noWrap w:val="0"/>
                  <w:vAlign w:val="center"/>
                </w:tcPr>
                <w:p w14:paraId="3E5AF6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05B75E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35</w:t>
                  </w:r>
                </w:p>
              </w:tc>
            </w:tr>
            <w:tr w14:paraId="1541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A400E6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5A992A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2E25DA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聚丙烯酸钾</w:t>
                  </w:r>
                </w:p>
              </w:tc>
              <w:tc>
                <w:tcPr>
                  <w:tcW w:w="467" w:type="pct"/>
                  <w:noWrap w:val="0"/>
                  <w:vAlign w:val="center"/>
                </w:tcPr>
                <w:p w14:paraId="1BF778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021301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8</w:t>
                  </w:r>
                </w:p>
              </w:tc>
            </w:tr>
            <w:tr w14:paraId="51B9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A12D753">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990125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321AED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高黏羧甲基纤维素钠盐</w:t>
                  </w:r>
                </w:p>
              </w:tc>
              <w:tc>
                <w:tcPr>
                  <w:tcW w:w="467" w:type="pct"/>
                  <w:noWrap w:val="0"/>
                  <w:vAlign w:val="center"/>
                </w:tcPr>
                <w:p w14:paraId="66067D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4AF410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3</w:t>
                  </w:r>
                </w:p>
              </w:tc>
            </w:tr>
            <w:tr w14:paraId="22E4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72632D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642C7C7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8CAEC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天然高分子降</w:t>
                  </w:r>
                  <w:r>
                    <w:rPr>
                      <w:rFonts w:hint="eastAsia"/>
                      <w:color w:val="auto"/>
                      <w:szCs w:val="21"/>
                    </w:rPr>
                    <w:t>滤失</w:t>
                  </w:r>
                  <w:r>
                    <w:rPr>
                      <w:rFonts w:hint="default"/>
                      <w:color w:val="auto"/>
                      <w:szCs w:val="21"/>
                    </w:rPr>
                    <w:t>剂</w:t>
                  </w:r>
                </w:p>
              </w:tc>
              <w:tc>
                <w:tcPr>
                  <w:tcW w:w="467" w:type="pct"/>
                  <w:noWrap w:val="0"/>
                  <w:vAlign w:val="center"/>
                </w:tcPr>
                <w:p w14:paraId="691A5C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2148F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25</w:t>
                  </w:r>
                </w:p>
              </w:tc>
            </w:tr>
            <w:tr w14:paraId="0029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AD31957">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4B8643B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76E1D1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抗高温降黏降滤失剂</w:t>
                  </w:r>
                </w:p>
              </w:tc>
              <w:tc>
                <w:tcPr>
                  <w:tcW w:w="467" w:type="pct"/>
                  <w:noWrap w:val="0"/>
                  <w:vAlign w:val="center"/>
                </w:tcPr>
                <w:p w14:paraId="5DFD75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7F4637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22</w:t>
                  </w:r>
                </w:p>
              </w:tc>
            </w:tr>
            <w:tr w14:paraId="7B01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4E9DBA4">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3C474E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64794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多软化点封堵防塌剂</w:t>
                  </w:r>
                </w:p>
              </w:tc>
              <w:tc>
                <w:tcPr>
                  <w:tcW w:w="467" w:type="pct"/>
                  <w:noWrap w:val="0"/>
                  <w:vAlign w:val="center"/>
                </w:tcPr>
                <w:p w14:paraId="70ACF6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3F2C56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30</w:t>
                  </w:r>
                </w:p>
              </w:tc>
            </w:tr>
            <w:tr w14:paraId="682D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DBFE690">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CE8ADF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68195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聚合醇防塌剂</w:t>
                  </w:r>
                </w:p>
              </w:tc>
              <w:tc>
                <w:tcPr>
                  <w:tcW w:w="467" w:type="pct"/>
                  <w:noWrap w:val="0"/>
                  <w:vAlign w:val="center"/>
                </w:tcPr>
                <w:p w14:paraId="7F93CA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7C85B2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25</w:t>
                  </w:r>
                </w:p>
              </w:tc>
            </w:tr>
            <w:tr w14:paraId="4639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19987F5">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03E8BAA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C7EA6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钻井液用润滑剂（液体）</w:t>
                  </w:r>
                </w:p>
              </w:tc>
              <w:tc>
                <w:tcPr>
                  <w:tcW w:w="467" w:type="pct"/>
                  <w:noWrap w:val="0"/>
                  <w:vAlign w:val="center"/>
                </w:tcPr>
                <w:p w14:paraId="47FE4D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4DE718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48</w:t>
                  </w:r>
                </w:p>
              </w:tc>
            </w:tr>
            <w:tr w14:paraId="3B3D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7DE623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02B3A79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2E3520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kern w:val="0"/>
                    </w:rPr>
                    <w:t>磺酸盐共聚物降滤失剂</w:t>
                  </w:r>
                </w:p>
              </w:tc>
              <w:tc>
                <w:tcPr>
                  <w:tcW w:w="467" w:type="pct"/>
                  <w:noWrap w:val="0"/>
                  <w:vAlign w:val="center"/>
                </w:tcPr>
                <w:p w14:paraId="470FED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47C31C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7</w:t>
                  </w:r>
                </w:p>
              </w:tc>
            </w:tr>
            <w:tr w14:paraId="3B73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2A19AE8">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7DE5FA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08768F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磺化</w:t>
                  </w:r>
                  <w:r>
                    <w:rPr>
                      <w:rFonts w:hint="default"/>
                      <w:color w:val="auto"/>
                      <w:szCs w:val="21"/>
                    </w:rPr>
                    <w:t>褐煤树脂</w:t>
                  </w:r>
                </w:p>
              </w:tc>
              <w:tc>
                <w:tcPr>
                  <w:tcW w:w="467" w:type="pct"/>
                  <w:noWrap w:val="0"/>
                  <w:vAlign w:val="center"/>
                </w:tcPr>
                <w:p w14:paraId="666444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69169B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30</w:t>
                  </w:r>
                </w:p>
              </w:tc>
            </w:tr>
            <w:tr w14:paraId="7BC4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87E6C59">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3172B8A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7A3676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磺化酚醛树脂</w:t>
                  </w:r>
                </w:p>
              </w:tc>
              <w:tc>
                <w:tcPr>
                  <w:tcW w:w="467" w:type="pct"/>
                  <w:noWrap w:val="0"/>
                  <w:vAlign w:val="center"/>
                </w:tcPr>
                <w:p w14:paraId="5940BD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14C1C8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30</w:t>
                  </w:r>
                </w:p>
              </w:tc>
            </w:tr>
            <w:tr w14:paraId="77A9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3672C75">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46A1EB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7E9B8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聚胺抑制剂</w:t>
                  </w:r>
                </w:p>
              </w:tc>
              <w:tc>
                <w:tcPr>
                  <w:tcW w:w="467" w:type="pct"/>
                  <w:noWrap w:val="0"/>
                  <w:vAlign w:val="center"/>
                </w:tcPr>
                <w:p w14:paraId="750343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18E232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5</w:t>
                  </w:r>
                </w:p>
              </w:tc>
            </w:tr>
            <w:tr w14:paraId="6DC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0FFD487">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298B0C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3DAA86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硅醇抑制剂</w:t>
                  </w:r>
                </w:p>
              </w:tc>
              <w:tc>
                <w:tcPr>
                  <w:tcW w:w="467" w:type="pct"/>
                  <w:noWrap w:val="0"/>
                  <w:vAlign w:val="center"/>
                </w:tcPr>
                <w:p w14:paraId="75D141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4E95DB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5</w:t>
                  </w:r>
                </w:p>
              </w:tc>
            </w:tr>
            <w:tr w14:paraId="3D03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5AC7E69">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D3D2A3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4523F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双保型纳米乳液</w:t>
                  </w:r>
                </w:p>
              </w:tc>
              <w:tc>
                <w:tcPr>
                  <w:tcW w:w="467" w:type="pct"/>
                  <w:noWrap w:val="0"/>
                  <w:vAlign w:val="center"/>
                </w:tcPr>
                <w:p w14:paraId="069A33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095839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27</w:t>
                  </w:r>
                </w:p>
              </w:tc>
            </w:tr>
            <w:tr w14:paraId="151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79F9D6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FD1D8D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04DCE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聚合物降黏剂</w:t>
                  </w:r>
                </w:p>
              </w:tc>
              <w:tc>
                <w:tcPr>
                  <w:tcW w:w="467" w:type="pct"/>
                  <w:noWrap w:val="0"/>
                  <w:vAlign w:val="center"/>
                </w:tcPr>
                <w:p w14:paraId="3B3898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7A61C9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11</w:t>
                  </w:r>
                </w:p>
              </w:tc>
            </w:tr>
            <w:tr w14:paraId="771B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E3F649A">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05B09F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5535B0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硅氟</w:t>
                  </w:r>
                  <w:r>
                    <w:rPr>
                      <w:rFonts w:hint="eastAsia"/>
                      <w:color w:val="auto"/>
                      <w:szCs w:val="21"/>
                    </w:rPr>
                    <w:t>降黏剂</w:t>
                  </w:r>
                </w:p>
              </w:tc>
              <w:tc>
                <w:tcPr>
                  <w:tcW w:w="467" w:type="pct"/>
                  <w:noWrap w:val="0"/>
                  <w:vAlign w:val="center"/>
                </w:tcPr>
                <w:p w14:paraId="2E2D47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3379B5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11</w:t>
                  </w:r>
                </w:p>
              </w:tc>
            </w:tr>
            <w:tr w14:paraId="6F37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16C62DB">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1FB0F14">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6F6972B5">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default"/>
                      <w:color w:val="auto"/>
                      <w:kern w:val="0"/>
                    </w:rPr>
                    <w:t>固体润滑剂</w:t>
                  </w:r>
                </w:p>
              </w:tc>
              <w:tc>
                <w:tcPr>
                  <w:tcW w:w="467" w:type="pct"/>
                  <w:noWrap w:val="0"/>
                  <w:vAlign w:val="center"/>
                </w:tcPr>
                <w:p w14:paraId="73CEB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2397B3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9</w:t>
                  </w:r>
                </w:p>
              </w:tc>
            </w:tr>
            <w:tr w14:paraId="07A4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8588B21">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21CD0D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0E202D60">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eastAsia"/>
                      <w:color w:val="auto"/>
                      <w:kern w:val="0"/>
                    </w:rPr>
                    <w:t>塑料小球</w:t>
                  </w:r>
                </w:p>
              </w:tc>
              <w:tc>
                <w:tcPr>
                  <w:tcW w:w="467" w:type="pct"/>
                  <w:noWrap w:val="0"/>
                  <w:vAlign w:val="center"/>
                </w:tcPr>
                <w:p w14:paraId="5A896FD5">
                  <w:pPr>
                    <w:pStyle w:val="55"/>
                    <w:keepNext w:val="0"/>
                    <w:keepLines w:val="0"/>
                    <w:suppressLineNumbers w:val="0"/>
                    <w:spacing w:before="0" w:beforeAutospacing="0" w:after="0" w:afterAutospacing="0"/>
                    <w:ind w:left="0" w:right="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t</w:t>
                  </w:r>
                </w:p>
              </w:tc>
              <w:tc>
                <w:tcPr>
                  <w:tcW w:w="582" w:type="pct"/>
                  <w:shd w:val="clear" w:color="auto" w:fill="auto"/>
                  <w:noWrap w:val="0"/>
                  <w:vAlign w:val="center"/>
                </w:tcPr>
                <w:p w14:paraId="1C19991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5</w:t>
                  </w:r>
                </w:p>
              </w:tc>
            </w:tr>
            <w:tr w14:paraId="20F0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FEDDDC9">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71E9CD7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24E90DD5">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default"/>
                      <w:color w:val="auto"/>
                      <w:szCs w:val="21"/>
                    </w:rPr>
                    <w:t>非渗透处理剂</w:t>
                  </w:r>
                </w:p>
              </w:tc>
              <w:tc>
                <w:tcPr>
                  <w:tcW w:w="467" w:type="pct"/>
                  <w:noWrap w:val="0"/>
                  <w:vAlign w:val="center"/>
                </w:tcPr>
                <w:p w14:paraId="240BCC43">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t</w:t>
                  </w:r>
                </w:p>
              </w:tc>
              <w:tc>
                <w:tcPr>
                  <w:tcW w:w="582" w:type="pct"/>
                  <w:shd w:val="clear" w:color="auto" w:fill="auto"/>
                  <w:noWrap w:val="0"/>
                  <w:vAlign w:val="center"/>
                </w:tcPr>
                <w:p w14:paraId="65DED7A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8</w:t>
                  </w:r>
                </w:p>
              </w:tc>
            </w:tr>
            <w:tr w14:paraId="1077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AA1739D">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42B46D8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53D989C3">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default"/>
                      <w:color w:val="auto"/>
                      <w:szCs w:val="21"/>
                    </w:rPr>
                    <w:t>消泡剂</w:t>
                  </w:r>
                </w:p>
              </w:tc>
              <w:tc>
                <w:tcPr>
                  <w:tcW w:w="467" w:type="pct"/>
                  <w:noWrap w:val="0"/>
                  <w:vAlign w:val="center"/>
                </w:tcPr>
                <w:p w14:paraId="7872C31B">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t</w:t>
                  </w:r>
                </w:p>
              </w:tc>
              <w:tc>
                <w:tcPr>
                  <w:tcW w:w="582" w:type="pct"/>
                  <w:shd w:val="clear" w:color="auto" w:fill="auto"/>
                  <w:noWrap w:val="0"/>
                  <w:vAlign w:val="center"/>
                </w:tcPr>
                <w:p w14:paraId="7FB1AAA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4</w:t>
                  </w:r>
                </w:p>
              </w:tc>
            </w:tr>
            <w:tr w14:paraId="0965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9821478">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536D90B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14E18439">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default"/>
                      <w:color w:val="auto"/>
                      <w:kern w:val="0"/>
                    </w:rPr>
                    <w:t>超细碳酸钙</w:t>
                  </w:r>
                </w:p>
              </w:tc>
              <w:tc>
                <w:tcPr>
                  <w:tcW w:w="467" w:type="pct"/>
                  <w:noWrap w:val="0"/>
                  <w:vAlign w:val="center"/>
                </w:tcPr>
                <w:p w14:paraId="68B9A78C">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t</w:t>
                  </w:r>
                </w:p>
              </w:tc>
              <w:tc>
                <w:tcPr>
                  <w:tcW w:w="582" w:type="pct"/>
                  <w:shd w:val="clear" w:color="auto" w:fill="auto"/>
                  <w:noWrap w:val="0"/>
                  <w:vAlign w:val="center"/>
                </w:tcPr>
                <w:p w14:paraId="0FF856D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28</w:t>
                  </w:r>
                </w:p>
              </w:tc>
            </w:tr>
            <w:tr w14:paraId="0118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F30DD31">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665A708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4E85F305">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default"/>
                      <w:color w:val="auto"/>
                      <w:kern w:val="0"/>
                    </w:rPr>
                    <w:t>随钻堵漏剂</w:t>
                  </w:r>
                </w:p>
              </w:tc>
              <w:tc>
                <w:tcPr>
                  <w:tcW w:w="467" w:type="pct"/>
                  <w:noWrap w:val="0"/>
                  <w:vAlign w:val="center"/>
                </w:tcPr>
                <w:p w14:paraId="32541D9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1538E5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Cs w:val="21"/>
                    </w:rPr>
                    <w:t>1</w:t>
                  </w:r>
                  <w:r>
                    <w:rPr>
                      <w:rFonts w:hint="eastAsia"/>
                      <w:color w:val="auto"/>
                      <w:szCs w:val="21"/>
                    </w:rPr>
                    <w:t>0</w:t>
                  </w:r>
                </w:p>
              </w:tc>
            </w:tr>
            <w:tr w14:paraId="0823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849F305">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20FAEAC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7F2FF6CF">
                  <w:pPr>
                    <w:keepNext w:val="0"/>
                    <w:keepLines w:val="0"/>
                    <w:widowControl/>
                    <w:suppressLineNumbers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4"/>
                      <w:lang w:val="en-US" w:eastAsia="zh-CN" w:bidi="ar-SA"/>
                    </w:rPr>
                  </w:pPr>
                  <w:r>
                    <w:rPr>
                      <w:rFonts w:hint="default"/>
                      <w:color w:val="auto"/>
                      <w:kern w:val="0"/>
                    </w:rPr>
                    <w:t>复合堵漏剂</w:t>
                  </w:r>
                </w:p>
              </w:tc>
              <w:tc>
                <w:tcPr>
                  <w:tcW w:w="467" w:type="pct"/>
                  <w:noWrap w:val="0"/>
                  <w:vAlign w:val="center"/>
                </w:tcPr>
                <w:p w14:paraId="1C2218F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4871CF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rPr>
                    <w:t>30</w:t>
                  </w:r>
                </w:p>
              </w:tc>
            </w:tr>
            <w:tr w14:paraId="18BF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60D615A">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4E5E084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2356B1D8">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刚性堵漏剂</w:t>
                  </w:r>
                </w:p>
              </w:tc>
              <w:tc>
                <w:tcPr>
                  <w:tcW w:w="467" w:type="pct"/>
                  <w:noWrap w:val="0"/>
                  <w:vAlign w:val="center"/>
                </w:tcPr>
                <w:p w14:paraId="3A46FD26">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6F7891D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8</w:t>
                  </w:r>
                </w:p>
              </w:tc>
            </w:tr>
            <w:tr w14:paraId="364E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D22A02E">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13EC2AE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153C6E96">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净水剂</w:t>
                  </w:r>
                </w:p>
              </w:tc>
              <w:tc>
                <w:tcPr>
                  <w:tcW w:w="467" w:type="pct"/>
                  <w:noWrap w:val="0"/>
                  <w:vAlign w:val="center"/>
                </w:tcPr>
                <w:p w14:paraId="364370C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1ABA408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2</w:t>
                  </w:r>
                </w:p>
              </w:tc>
            </w:tr>
            <w:tr w14:paraId="72A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1F654BB">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39ED0D6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2DBC8C2D">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活性炭</w:t>
                  </w:r>
                </w:p>
              </w:tc>
              <w:tc>
                <w:tcPr>
                  <w:tcW w:w="467" w:type="pct"/>
                  <w:noWrap w:val="0"/>
                  <w:vAlign w:val="center"/>
                </w:tcPr>
                <w:p w14:paraId="56241DAB">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1D23122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t>0.2</w:t>
                  </w:r>
                </w:p>
              </w:tc>
            </w:tr>
            <w:tr w14:paraId="17EC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6B0810A">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47" w:type="pct"/>
                  <w:vMerge w:val="continue"/>
                  <w:noWrap w:val="0"/>
                  <w:vAlign w:val="center"/>
                </w:tcPr>
                <w:p w14:paraId="6E22B66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2671" w:type="pct"/>
                  <w:shd w:val="clear" w:color="auto" w:fill="auto"/>
                  <w:noWrap w:val="0"/>
                  <w:vAlign w:val="center"/>
                </w:tcPr>
                <w:p w14:paraId="6F57AD65">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kern w:val="0"/>
                      <w:sz w:val="21"/>
                      <w:szCs w:val="24"/>
                      <w:lang w:val="en-US" w:eastAsia="zh-CN" w:bidi="ar-SA"/>
                    </w:rPr>
                  </w:pPr>
                  <w:r>
                    <w:rPr>
                      <w:rFonts w:hint="eastAsia"/>
                      <w:color w:val="auto"/>
                      <w:szCs w:val="21"/>
                    </w:rPr>
                    <w:t>重晶石粉</w:t>
                  </w:r>
                </w:p>
              </w:tc>
              <w:tc>
                <w:tcPr>
                  <w:tcW w:w="467" w:type="pct"/>
                  <w:shd w:val="clear" w:color="auto" w:fill="auto"/>
                  <w:noWrap w:val="0"/>
                  <w:vAlign w:val="center"/>
                </w:tcPr>
                <w:p w14:paraId="30F6B3D3">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t</w:t>
                  </w:r>
                </w:p>
              </w:tc>
              <w:tc>
                <w:tcPr>
                  <w:tcW w:w="582" w:type="pct"/>
                  <w:shd w:val="clear" w:color="auto" w:fill="auto"/>
                  <w:noWrap w:val="0"/>
                  <w:vAlign w:val="center"/>
                </w:tcPr>
                <w:p w14:paraId="2143548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rPr>
                    <w:fldChar w:fldCharType="begin"/>
                  </w:r>
                  <w:r>
                    <w:rPr>
                      <w:rFonts w:hint="default"/>
                      <w:color w:val="auto"/>
                      <w:szCs w:val="21"/>
                    </w:rPr>
                    <w:instrText xml:space="preserve"> = sum(C33:E33) \* MERGEFORMAT </w:instrText>
                  </w:r>
                  <w:r>
                    <w:rPr>
                      <w:rFonts w:hint="default"/>
                      <w:color w:val="auto"/>
                      <w:szCs w:val="21"/>
                    </w:rPr>
                    <w:fldChar w:fldCharType="separate"/>
                  </w:r>
                  <w:r>
                    <w:rPr>
                      <w:rFonts w:hint="default"/>
                      <w:color w:val="auto"/>
                      <w:szCs w:val="21"/>
                    </w:rPr>
                    <w:t>2009</w:t>
                  </w:r>
                  <w:r>
                    <w:rPr>
                      <w:rFonts w:hint="default"/>
                      <w:color w:val="auto"/>
                      <w:szCs w:val="21"/>
                    </w:rPr>
                    <w:fldChar w:fldCharType="end"/>
                  </w:r>
                </w:p>
              </w:tc>
            </w:tr>
            <w:tr w14:paraId="459A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002AAC4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压裂作业</w:t>
                  </w:r>
                </w:p>
              </w:tc>
              <w:tc>
                <w:tcPr>
                  <w:tcW w:w="747" w:type="pct"/>
                  <w:noWrap w:val="0"/>
                  <w:vAlign w:val="center"/>
                </w:tcPr>
                <w:p w14:paraId="3E266CC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ascii="Times New Roman" w:hAnsi="Times New Roman" w:cs="Times New Roman"/>
                      <w:color w:val="auto"/>
                    </w:rPr>
                    <w:t>低粘滑溜水</w:t>
                  </w:r>
                </w:p>
              </w:tc>
              <w:tc>
                <w:tcPr>
                  <w:tcW w:w="2671" w:type="pct"/>
                  <w:noWrap w:val="0"/>
                  <w:vAlign w:val="center"/>
                </w:tcPr>
                <w:p w14:paraId="31157ED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rPr>
                    <w:t>0.08-0.12</w:t>
                  </w:r>
                  <w:r>
                    <w:rPr>
                      <w:rFonts w:hint="eastAsia" w:ascii="Times New Roman" w:hAnsi="Times New Roman" w:cs="Times New Roman"/>
                      <w:color w:val="auto"/>
                    </w:rPr>
                    <w:t>%水性降阻剂+0.</w:t>
                  </w:r>
                  <w:r>
                    <w:rPr>
                      <w:rFonts w:hint="default" w:ascii="Times New Roman" w:hAnsi="Times New Roman" w:cs="Times New Roman"/>
                      <w:color w:val="auto"/>
                    </w:rPr>
                    <w:t>2</w:t>
                  </w:r>
                  <w:r>
                    <w:rPr>
                      <w:rFonts w:hint="eastAsia" w:ascii="Times New Roman" w:hAnsi="Times New Roman" w:cs="Times New Roman"/>
                      <w:color w:val="auto"/>
                    </w:rPr>
                    <w:t>%破乳剂+0.1%助排剂+0.2%粘土稳定剂+0.</w:t>
                  </w:r>
                  <w:r>
                    <w:rPr>
                      <w:rFonts w:hint="default" w:ascii="Times New Roman" w:hAnsi="Times New Roman" w:cs="Times New Roman"/>
                      <w:color w:val="auto"/>
                    </w:rPr>
                    <w:t>3</w:t>
                  </w:r>
                  <w:r>
                    <w:rPr>
                      <w:rFonts w:hint="eastAsia" w:ascii="Times New Roman" w:hAnsi="Times New Roman" w:cs="Times New Roman"/>
                      <w:color w:val="auto"/>
                    </w:rPr>
                    <w:t>%油气置换剂+0.00</w:t>
                  </w:r>
                  <w:r>
                    <w:rPr>
                      <w:rFonts w:hint="default" w:ascii="Times New Roman" w:hAnsi="Times New Roman" w:cs="Times New Roman"/>
                      <w:color w:val="auto"/>
                    </w:rPr>
                    <w:t>1</w:t>
                  </w:r>
                  <w:r>
                    <w:rPr>
                      <w:rFonts w:hint="eastAsia" w:ascii="Times New Roman" w:hAnsi="Times New Roman" w:cs="Times New Roman"/>
                      <w:color w:val="auto"/>
                    </w:rPr>
                    <w:t>%粘度调节剂</w:t>
                  </w:r>
                </w:p>
              </w:tc>
              <w:tc>
                <w:tcPr>
                  <w:tcW w:w="467" w:type="pct"/>
                  <w:vMerge w:val="restart"/>
                  <w:noWrap w:val="0"/>
                  <w:vAlign w:val="center"/>
                </w:tcPr>
                <w:p w14:paraId="37D2735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kern w:val="0"/>
                      <w:szCs w:val="21"/>
                      <w:lang w:val="en-US" w:eastAsia="zh-CN" w:bidi="ar"/>
                    </w:rPr>
                    <w:t>t</w:t>
                  </w:r>
                </w:p>
              </w:tc>
              <w:tc>
                <w:tcPr>
                  <w:tcW w:w="582" w:type="pct"/>
                  <w:vMerge w:val="restart"/>
                  <w:noWrap w:val="0"/>
                  <w:vAlign w:val="center"/>
                </w:tcPr>
                <w:p w14:paraId="6A78710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ascii="Times New Roman" w:hAnsi="Times New Roman" w:cs="Times New Roman"/>
                      <w:color w:val="auto"/>
                      <w:kern w:val="0"/>
                      <w:szCs w:val="21"/>
                      <w:lang w:bidi="ar"/>
                    </w:rPr>
                    <w:t>650</w:t>
                  </w:r>
                </w:p>
              </w:tc>
            </w:tr>
            <w:tr w14:paraId="73EA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1307B9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47" w:type="pct"/>
                  <w:noWrap w:val="0"/>
                  <w:vAlign w:val="center"/>
                </w:tcPr>
                <w:p w14:paraId="38C30F5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ascii="Times New Roman" w:hAnsi="Times New Roman" w:cs="Times New Roman"/>
                      <w:color w:val="auto"/>
                    </w:rPr>
                    <w:t>中粘滑溜水</w:t>
                  </w:r>
                </w:p>
              </w:tc>
              <w:tc>
                <w:tcPr>
                  <w:tcW w:w="2671" w:type="pct"/>
                  <w:noWrap w:val="0"/>
                  <w:vAlign w:val="center"/>
                </w:tcPr>
                <w:p w14:paraId="373FE3E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rPr>
                    <w:t>0.2-0.4</w:t>
                  </w:r>
                  <w:r>
                    <w:rPr>
                      <w:rFonts w:hint="eastAsia" w:ascii="Times New Roman" w:hAnsi="Times New Roman" w:cs="Times New Roman"/>
                      <w:color w:val="auto"/>
                    </w:rPr>
                    <w:t>%水性降阻剂+0.</w:t>
                  </w:r>
                  <w:r>
                    <w:rPr>
                      <w:rFonts w:hint="default" w:ascii="Times New Roman" w:hAnsi="Times New Roman" w:cs="Times New Roman"/>
                      <w:color w:val="auto"/>
                    </w:rPr>
                    <w:t>2</w:t>
                  </w:r>
                  <w:r>
                    <w:rPr>
                      <w:rFonts w:hint="eastAsia" w:ascii="Times New Roman" w:hAnsi="Times New Roman" w:cs="Times New Roman"/>
                      <w:color w:val="auto"/>
                    </w:rPr>
                    <w:t>%破乳剂+0.1%助排剂+0.2%粘土稳定剂+0.</w:t>
                  </w:r>
                  <w:r>
                    <w:rPr>
                      <w:rFonts w:hint="default" w:ascii="Times New Roman" w:hAnsi="Times New Roman" w:cs="Times New Roman"/>
                      <w:color w:val="auto"/>
                    </w:rPr>
                    <w:t>3</w:t>
                  </w:r>
                  <w:r>
                    <w:rPr>
                      <w:rFonts w:hint="eastAsia" w:ascii="Times New Roman" w:hAnsi="Times New Roman" w:cs="Times New Roman"/>
                      <w:color w:val="auto"/>
                    </w:rPr>
                    <w:t>%油气置换剂+0.00</w:t>
                  </w:r>
                  <w:r>
                    <w:rPr>
                      <w:rFonts w:hint="default" w:ascii="Times New Roman" w:hAnsi="Times New Roman" w:cs="Times New Roman"/>
                      <w:color w:val="auto"/>
                    </w:rPr>
                    <w:t>1</w:t>
                  </w:r>
                  <w:r>
                    <w:rPr>
                      <w:rFonts w:hint="eastAsia" w:ascii="Times New Roman" w:hAnsi="Times New Roman" w:cs="Times New Roman"/>
                      <w:color w:val="auto"/>
                    </w:rPr>
                    <w:t>%粘度调节剂</w:t>
                  </w:r>
                </w:p>
              </w:tc>
              <w:tc>
                <w:tcPr>
                  <w:tcW w:w="467" w:type="pct"/>
                  <w:vMerge w:val="continue"/>
                  <w:noWrap w:val="0"/>
                  <w:vAlign w:val="center"/>
                </w:tcPr>
                <w:p w14:paraId="2DFB9CD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p>
              </w:tc>
              <w:tc>
                <w:tcPr>
                  <w:tcW w:w="582" w:type="pct"/>
                  <w:vMerge w:val="continue"/>
                  <w:noWrap w:val="0"/>
                  <w:vAlign w:val="center"/>
                </w:tcPr>
                <w:p w14:paraId="3199B7A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0C8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745A8D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47" w:type="pct"/>
                  <w:noWrap w:val="0"/>
                  <w:vAlign w:val="center"/>
                </w:tcPr>
                <w:p w14:paraId="00A576F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ascii="Times New Roman" w:hAnsi="Times New Roman" w:cs="Times New Roman"/>
                      <w:color w:val="auto"/>
                    </w:rPr>
                    <w:t>高粘滑溜水</w:t>
                  </w:r>
                </w:p>
              </w:tc>
              <w:tc>
                <w:tcPr>
                  <w:tcW w:w="2671" w:type="pct"/>
                  <w:noWrap w:val="0"/>
                  <w:vAlign w:val="center"/>
                </w:tcPr>
                <w:p w14:paraId="1C25210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rPr>
                    <w:t>0.</w:t>
                  </w:r>
                  <w:r>
                    <w:rPr>
                      <w:rFonts w:hint="eastAsia" w:ascii="Times New Roman" w:hAnsi="Times New Roman" w:cs="Times New Roman"/>
                      <w:color w:val="auto"/>
                    </w:rPr>
                    <w:t>4</w:t>
                  </w:r>
                  <w:r>
                    <w:rPr>
                      <w:rFonts w:hint="default" w:ascii="Times New Roman" w:hAnsi="Times New Roman" w:cs="Times New Roman"/>
                      <w:color w:val="auto"/>
                    </w:rPr>
                    <w:t>-0.</w:t>
                  </w:r>
                  <w:r>
                    <w:rPr>
                      <w:rFonts w:hint="eastAsia" w:ascii="Times New Roman" w:hAnsi="Times New Roman" w:cs="Times New Roman"/>
                      <w:color w:val="auto"/>
                    </w:rPr>
                    <w:t>6%水性降阻剂+0.</w:t>
                  </w:r>
                  <w:r>
                    <w:rPr>
                      <w:rFonts w:hint="default" w:ascii="Times New Roman" w:hAnsi="Times New Roman" w:cs="Times New Roman"/>
                      <w:color w:val="auto"/>
                    </w:rPr>
                    <w:t>2</w:t>
                  </w:r>
                  <w:r>
                    <w:rPr>
                      <w:rFonts w:hint="eastAsia" w:ascii="Times New Roman" w:hAnsi="Times New Roman" w:cs="Times New Roman"/>
                      <w:color w:val="auto"/>
                    </w:rPr>
                    <w:t>%破乳剂+0.1%助排剂+0.2%粘土稳定剂+0.</w:t>
                  </w:r>
                  <w:r>
                    <w:rPr>
                      <w:rFonts w:hint="default" w:ascii="Times New Roman" w:hAnsi="Times New Roman" w:cs="Times New Roman"/>
                      <w:color w:val="auto"/>
                    </w:rPr>
                    <w:t>3</w:t>
                  </w:r>
                  <w:r>
                    <w:rPr>
                      <w:rFonts w:hint="eastAsia" w:ascii="Times New Roman" w:hAnsi="Times New Roman" w:cs="Times New Roman"/>
                      <w:color w:val="auto"/>
                    </w:rPr>
                    <w:t>%油气置换剂+0.00</w:t>
                  </w:r>
                  <w:r>
                    <w:rPr>
                      <w:rFonts w:hint="default" w:ascii="Times New Roman" w:hAnsi="Times New Roman" w:cs="Times New Roman"/>
                      <w:color w:val="auto"/>
                    </w:rPr>
                    <w:t>1</w:t>
                  </w:r>
                  <w:r>
                    <w:rPr>
                      <w:rFonts w:hint="eastAsia" w:ascii="Times New Roman" w:hAnsi="Times New Roman" w:cs="Times New Roman"/>
                      <w:color w:val="auto"/>
                    </w:rPr>
                    <w:t>%粘度调节剂</w:t>
                  </w:r>
                </w:p>
              </w:tc>
              <w:tc>
                <w:tcPr>
                  <w:tcW w:w="467" w:type="pct"/>
                  <w:vMerge w:val="continue"/>
                  <w:noWrap w:val="0"/>
                  <w:vAlign w:val="center"/>
                </w:tcPr>
                <w:p w14:paraId="317F902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p>
              </w:tc>
              <w:tc>
                <w:tcPr>
                  <w:tcW w:w="582" w:type="pct"/>
                  <w:vMerge w:val="continue"/>
                  <w:noWrap w:val="0"/>
                  <w:vAlign w:val="center"/>
                </w:tcPr>
                <w:p w14:paraId="3B33C24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1346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E05F7A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47" w:type="pct"/>
                  <w:noWrap w:val="0"/>
                  <w:vAlign w:val="center"/>
                </w:tcPr>
                <w:p w14:paraId="375E781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稀盐酸</w:t>
                  </w:r>
                </w:p>
              </w:tc>
              <w:tc>
                <w:tcPr>
                  <w:tcW w:w="2671" w:type="pct"/>
                  <w:noWrap w:val="0"/>
                  <w:vAlign w:val="center"/>
                </w:tcPr>
                <w:p w14:paraId="025245F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rPr>
                    <w:t>10%的稀盐酸</w:t>
                  </w:r>
                </w:p>
              </w:tc>
              <w:tc>
                <w:tcPr>
                  <w:tcW w:w="467" w:type="pct"/>
                  <w:noWrap w:val="0"/>
                  <w:vAlign w:val="center"/>
                </w:tcPr>
                <w:p w14:paraId="7F9759D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default" w:ascii="Times New Roman" w:hAnsi="Times New Roman" w:cs="Times New Roman"/>
                      <w:color w:val="auto"/>
                      <w:kern w:val="0"/>
                      <w:szCs w:val="21"/>
                      <w:lang w:bidi="ar"/>
                    </w:rPr>
                    <w:t>m³</w:t>
                  </w:r>
                </w:p>
              </w:tc>
              <w:tc>
                <w:tcPr>
                  <w:tcW w:w="582" w:type="pct"/>
                  <w:noWrap w:val="0"/>
                  <w:vAlign w:val="center"/>
                </w:tcPr>
                <w:p w14:paraId="411ABD9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20</w:t>
                  </w:r>
                </w:p>
              </w:tc>
            </w:tr>
            <w:tr w14:paraId="5B2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0AB63F39">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施工作业</w:t>
                  </w:r>
                </w:p>
              </w:tc>
              <w:tc>
                <w:tcPr>
                  <w:tcW w:w="747" w:type="pct"/>
                  <w:vMerge w:val="restart"/>
                  <w:noWrap w:val="0"/>
                  <w:vAlign w:val="center"/>
                </w:tcPr>
                <w:p w14:paraId="56379B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水</w:t>
                  </w:r>
                </w:p>
              </w:tc>
              <w:tc>
                <w:tcPr>
                  <w:tcW w:w="2671" w:type="pct"/>
                  <w:noWrap w:val="0"/>
                  <w:vAlign w:val="center"/>
                </w:tcPr>
                <w:p w14:paraId="62752542">
                  <w:pPr>
                    <w:keepNext w:val="0"/>
                    <w:keepLines w:val="0"/>
                    <w:widowControl/>
                    <w:suppressLineNumbers w:val="0"/>
                    <w:spacing w:before="0" w:beforeAutospacing="0" w:after="0" w:afterAutospacing="0"/>
                    <w:ind w:left="0" w:right="0"/>
                    <w:jc w:val="left"/>
                    <w:textAlignment w:val="center"/>
                    <w:rPr>
                      <w:rFonts w:hint="eastAsia" w:ascii="Times New Roman" w:hAnsi="Times New Roman" w:cs="Times New Roman"/>
                      <w:color w:val="auto"/>
                    </w:rPr>
                  </w:pPr>
                  <w:r>
                    <w:rPr>
                      <w:rFonts w:hint="eastAsia" w:ascii="Times New Roman" w:hAnsi="Times New Roman" w:eastAsia="宋体" w:cs="Times New Roman"/>
                      <w:color w:val="auto"/>
                      <w:highlight w:val="none"/>
                      <w:lang w:val="en-US" w:eastAsia="zh-CN"/>
                    </w:rPr>
                    <w:t>作业用水来源为井场内</w:t>
                  </w:r>
                  <w:r>
                    <w:rPr>
                      <w:rFonts w:hint="eastAsia" w:cs="Times New Roman"/>
                      <w:color w:val="auto"/>
                      <w:highlight w:val="none"/>
                      <w:lang w:val="en-US" w:eastAsia="zh-CN"/>
                    </w:rPr>
                    <w:t>初期雨水</w:t>
                  </w:r>
                  <w:r>
                    <w:rPr>
                      <w:rFonts w:hint="eastAsia" w:ascii="Times New Roman" w:hAnsi="Times New Roman" w:eastAsia="宋体" w:cs="Times New Roman"/>
                      <w:color w:val="auto"/>
                      <w:highlight w:val="none"/>
                      <w:lang w:val="en-US" w:eastAsia="zh-CN"/>
                    </w:rPr>
                    <w:t>，周边池塘、河流等，在取用前需取得相关取水手续，由施工作业单位负责办理</w:t>
                  </w:r>
                </w:p>
              </w:tc>
              <w:tc>
                <w:tcPr>
                  <w:tcW w:w="467" w:type="pct"/>
                  <w:noWrap w:val="0"/>
                  <w:vAlign w:val="center"/>
                </w:tcPr>
                <w:p w14:paraId="57C47D8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m³</w:t>
                  </w:r>
                </w:p>
              </w:tc>
              <w:tc>
                <w:tcPr>
                  <w:tcW w:w="582" w:type="pct"/>
                  <w:noWrap w:val="0"/>
                  <w:vAlign w:val="center"/>
                </w:tcPr>
                <w:p w14:paraId="3F7CD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7600</w:t>
                  </w:r>
                </w:p>
              </w:tc>
            </w:tr>
            <w:tr w14:paraId="2815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B6F1E4B">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p>
              </w:tc>
              <w:tc>
                <w:tcPr>
                  <w:tcW w:w="747" w:type="pct"/>
                  <w:vMerge w:val="continue"/>
                  <w:noWrap w:val="0"/>
                  <w:vAlign w:val="center"/>
                </w:tcPr>
                <w:p w14:paraId="7B63D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eastAsia="zh-CN"/>
                    </w:rPr>
                  </w:pPr>
                </w:p>
              </w:tc>
              <w:tc>
                <w:tcPr>
                  <w:tcW w:w="2671" w:type="pct"/>
                  <w:noWrap w:val="0"/>
                  <w:vAlign w:val="center"/>
                </w:tcPr>
                <w:p w14:paraId="3B1D4990">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color w:val="auto"/>
                      <w:lang w:val="en-US" w:eastAsia="zh-CN"/>
                    </w:rPr>
                  </w:pPr>
                  <w:r>
                    <w:rPr>
                      <w:rFonts w:hint="default" w:ascii="Times New Roman" w:hAnsi="Times New Roman" w:cs="Times New Roman"/>
                      <w:color w:val="auto"/>
                    </w:rPr>
                    <w:t>生活用水</w:t>
                  </w:r>
                  <w:r>
                    <w:rPr>
                      <w:rFonts w:hint="eastAsia" w:ascii="Times New Roman" w:hAnsi="Times New Roman" w:cs="Times New Roman"/>
                      <w:color w:val="auto"/>
                      <w:lang w:val="en-US" w:eastAsia="zh-CN"/>
                    </w:rPr>
                    <w:t>外购自来水和</w:t>
                  </w:r>
                  <w:r>
                    <w:rPr>
                      <w:rFonts w:hint="default" w:ascii="Times New Roman" w:hAnsi="Times New Roman" w:cs="Times New Roman"/>
                      <w:color w:val="auto"/>
                    </w:rPr>
                    <w:t>桶装水</w:t>
                  </w:r>
                  <w:r>
                    <w:rPr>
                      <w:rFonts w:hint="eastAsia" w:cs="Times New Roman"/>
                      <w:color w:val="auto"/>
                      <w:lang w:eastAsia="zh-CN"/>
                    </w:rPr>
                    <w:t>车载运输</w:t>
                  </w:r>
                  <w:r>
                    <w:rPr>
                      <w:rFonts w:hint="default" w:ascii="Times New Roman" w:hAnsi="Times New Roman" w:cs="Times New Roman"/>
                      <w:color w:val="auto"/>
                    </w:rPr>
                    <w:t>至场地</w:t>
                  </w:r>
                  <w:r>
                    <w:rPr>
                      <w:rFonts w:hint="eastAsia" w:ascii="Times New Roman" w:hAnsi="Times New Roman" w:cs="Times New Roman"/>
                      <w:color w:val="auto"/>
                      <w:lang w:val="en-US" w:eastAsia="zh-CN"/>
                    </w:rPr>
                    <w:t>使用</w:t>
                  </w:r>
                </w:p>
              </w:tc>
              <w:tc>
                <w:tcPr>
                  <w:tcW w:w="467" w:type="pct"/>
                  <w:noWrap w:val="0"/>
                  <w:vAlign w:val="center"/>
                </w:tcPr>
                <w:p w14:paraId="03557EC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Cs w:val="21"/>
                      <w:lang w:eastAsia="zh-CN" w:bidi="ar"/>
                    </w:rPr>
                  </w:pPr>
                  <w:r>
                    <w:rPr>
                      <w:rFonts w:hint="default" w:ascii="Times New Roman" w:hAnsi="Times New Roman" w:cs="Times New Roman"/>
                      <w:color w:val="auto"/>
                      <w:kern w:val="0"/>
                      <w:szCs w:val="21"/>
                      <w:lang w:bidi="ar"/>
                    </w:rPr>
                    <w:t>m³</w:t>
                  </w:r>
                </w:p>
              </w:tc>
              <w:tc>
                <w:tcPr>
                  <w:tcW w:w="582" w:type="pct"/>
                  <w:noWrap w:val="0"/>
                  <w:vAlign w:val="center"/>
                </w:tcPr>
                <w:p w14:paraId="253C1E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1</w:t>
                  </w:r>
                  <w:r>
                    <w:rPr>
                      <w:rFonts w:hint="eastAsia" w:cs="Times New Roman"/>
                      <w:color w:val="auto"/>
                      <w:szCs w:val="21"/>
                      <w:lang w:val="en-US" w:eastAsia="zh-CN"/>
                    </w:rPr>
                    <w:t>6</w:t>
                  </w:r>
                  <w:r>
                    <w:rPr>
                      <w:rFonts w:hint="eastAsia" w:ascii="Times New Roman" w:hAnsi="Times New Roman" w:cs="Times New Roman"/>
                      <w:color w:val="auto"/>
                      <w:szCs w:val="21"/>
                      <w:lang w:val="en-US" w:eastAsia="zh-CN"/>
                    </w:rPr>
                    <w:t>00</w:t>
                  </w:r>
                </w:p>
              </w:tc>
            </w:tr>
          </w:tbl>
          <w:p w14:paraId="7157BB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（1）钻井泥浆性质及作用</w:t>
            </w:r>
          </w:p>
          <w:p w14:paraId="47CAF9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泥浆是钻探过程中，孔内使用的循环冲洗介质。钻井泥浆是钻井的血液，又称钻孔冲洗液。钻井泥浆按组成成分可分为清水、泥浆、无粘土相冲洗液、乳状液、泡沫和压缩空气等。泥浆是广泛使用的钻井液，主要适用于松散、裂隙发育、易坍塌掉块、遇水膨胀剥落等孔壁不稳定岩层。</w:t>
            </w:r>
          </w:p>
          <w:p w14:paraId="477148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液主要功用是：①冷却钻头、清净孔底、带出岩屑。②润滑钻具。③停钻时悬浮岩屑，保护孔壁防止坍塌，平衡地层压力、压住高压油气水层。④输送岩心，为孔底动力机传递破碎孔底岩石需要的动力等。钻井中钻井液的循环程序包括：钻井、液罐、经泵→地面、管汇→立管→水龙带、水龙头→钻柱内→钻头→钻柱外环形空间→井口、泥浆</w:t>
            </w:r>
            <w:r>
              <w:rPr>
                <w:rFonts w:hint="eastAsia" w:ascii="Times New Roman" w:hAnsi="Times New Roman" w:cs="Times New Roman"/>
                <w:color w:val="auto"/>
                <w:sz w:val="24"/>
              </w:rPr>
              <w:t>（</w:t>
            </w:r>
            <w:r>
              <w:rPr>
                <w:rFonts w:hint="default" w:ascii="Times New Roman" w:hAnsi="Times New Roman" w:cs="Times New Roman"/>
                <w:color w:val="auto"/>
                <w:sz w:val="24"/>
              </w:rPr>
              <w:t>钻井液</w:t>
            </w:r>
            <w:r>
              <w:rPr>
                <w:rFonts w:hint="eastAsia" w:ascii="Times New Roman" w:hAnsi="Times New Roman" w:cs="Times New Roman"/>
                <w:color w:val="auto"/>
                <w:sz w:val="24"/>
              </w:rPr>
              <w:t>）</w:t>
            </w:r>
            <w:r>
              <w:rPr>
                <w:rFonts w:hint="default" w:ascii="Times New Roman" w:hAnsi="Times New Roman" w:cs="Times New Roman"/>
                <w:color w:val="auto"/>
                <w:sz w:val="24"/>
              </w:rPr>
              <w:t>槽→钻井液净化设备→钻井液罐。</w:t>
            </w:r>
          </w:p>
          <w:p w14:paraId="4A18D4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（2）钻井泥浆类型及本工程泥浆组成</w:t>
            </w:r>
          </w:p>
          <w:p w14:paraId="3D2902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钻井泥浆的类型较多，根据不同的地层地质情况，选用不同的泥浆。</w:t>
            </w:r>
            <w:r>
              <w:rPr>
                <w:rFonts w:hint="eastAsia" w:ascii="Times New Roman" w:hAnsi="Times New Roman" w:cs="Times New Roman"/>
                <w:color w:val="auto"/>
                <w:sz w:val="24"/>
              </w:rPr>
              <w:t>泥浆主要分为水基泥浆和油基泥浆两种基本类型，本工程钻井采用</w:t>
            </w: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水基</w:t>
            </w:r>
            <w:r>
              <w:rPr>
                <w:rFonts w:hint="eastAsia" w:ascii="Times New Roman" w:hAnsi="Times New Roman" w:cs="Times New Roman"/>
                <w:color w:val="auto"/>
                <w:sz w:val="24"/>
              </w:rPr>
              <w:t>钻井液相结合的方式进行钻进</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本项目导管</w:t>
            </w:r>
            <w:r>
              <w:rPr>
                <w:rFonts w:hint="eastAsia" w:cs="Times New Roman"/>
                <w:color w:val="auto"/>
                <w:sz w:val="24"/>
                <w:lang w:val="en-US" w:eastAsia="zh-CN"/>
              </w:rPr>
              <w:t>段使用旋挖机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一开</w:t>
            </w:r>
            <w:r>
              <w:rPr>
                <w:rFonts w:hint="eastAsia" w:ascii="Times New Roman" w:hAnsi="Times New Roman" w:cs="Times New Roman"/>
                <w:color w:val="auto"/>
                <w:sz w:val="24"/>
                <w:lang w:val="en-US" w:eastAsia="zh-CN"/>
              </w:rPr>
              <w:t>使用</w:t>
            </w:r>
            <w:r>
              <w:rPr>
                <w:rFonts w:hint="eastAsia" w:ascii="Times New Roman" w:hAnsi="Times New Roman" w:cs="Times New Roman"/>
                <w:color w:val="auto"/>
                <w:sz w:val="24"/>
              </w:rPr>
              <w:t>聚合物钻井液体系</w:t>
            </w:r>
            <w:r>
              <w:rPr>
                <w:rFonts w:hint="eastAsia" w:cs="Times New Roman"/>
                <w:color w:val="auto"/>
                <w:sz w:val="24"/>
                <w:lang w:eastAsia="zh-CN"/>
              </w:rPr>
              <w:t>（</w:t>
            </w:r>
            <w:r>
              <w:rPr>
                <w:rFonts w:hint="eastAsia" w:cs="Times New Roman"/>
                <w:color w:val="auto"/>
                <w:sz w:val="24"/>
                <w:lang w:val="en-US" w:eastAsia="zh-CN"/>
              </w:rPr>
              <w:t>水基钻井液</w:t>
            </w:r>
            <w:r>
              <w:rPr>
                <w:rFonts w:hint="eastAsia" w:cs="Times New Roman"/>
                <w:color w:val="auto"/>
                <w:sz w:val="24"/>
                <w:lang w:eastAsia="zh-CN"/>
              </w:rPr>
              <w:t>）</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二开</w:t>
            </w:r>
            <w:r>
              <w:rPr>
                <w:rFonts w:hint="eastAsia" w:ascii="Times New Roman" w:hAnsi="Times New Roman" w:cs="Times New Roman"/>
                <w:color w:val="auto"/>
                <w:sz w:val="24"/>
                <w:lang w:val="en-US" w:eastAsia="zh-CN"/>
              </w:rPr>
              <w:t>使用</w:t>
            </w:r>
            <w:r>
              <w:rPr>
                <w:rFonts w:hint="eastAsia" w:ascii="Times New Roman" w:hAnsi="Times New Roman" w:cs="Times New Roman"/>
                <w:color w:val="auto"/>
                <w:sz w:val="24"/>
              </w:rPr>
              <w:t>聚磺封堵防塌钻井液</w:t>
            </w:r>
            <w:r>
              <w:rPr>
                <w:rFonts w:hint="eastAsia" w:ascii="Times New Roman" w:hAnsi="Times New Roman" w:cs="Times New Roman"/>
                <w:color w:val="auto"/>
                <w:sz w:val="24"/>
                <w:lang w:val="en-US" w:eastAsia="zh-CN"/>
              </w:rPr>
              <w:t>体系</w:t>
            </w:r>
            <w:r>
              <w:rPr>
                <w:rFonts w:hint="eastAsia" w:cs="Times New Roman"/>
                <w:color w:val="auto"/>
                <w:sz w:val="24"/>
                <w:lang w:eastAsia="zh-CN"/>
              </w:rPr>
              <w:t>（</w:t>
            </w:r>
            <w:r>
              <w:rPr>
                <w:rFonts w:hint="eastAsia" w:cs="Times New Roman"/>
                <w:color w:val="auto"/>
                <w:sz w:val="24"/>
                <w:lang w:val="en-US" w:eastAsia="zh-CN"/>
              </w:rPr>
              <w:t>水基钻井液</w:t>
            </w:r>
            <w:r>
              <w:rPr>
                <w:rFonts w:hint="eastAsia" w:cs="Times New Roman"/>
                <w:color w:val="auto"/>
                <w:sz w:val="24"/>
                <w:lang w:eastAsia="zh-CN"/>
              </w:rPr>
              <w:t>），</w:t>
            </w:r>
            <w:r>
              <w:rPr>
                <w:rFonts w:hint="default" w:ascii="Times New Roman" w:hAnsi="Times New Roman" w:cs="Times New Roman"/>
                <w:color w:val="auto"/>
                <w:sz w:val="24"/>
              </w:rPr>
              <w:t>三开</w:t>
            </w:r>
            <w:r>
              <w:rPr>
                <w:rFonts w:hint="eastAsia" w:ascii="Times New Roman" w:hAnsi="Times New Roman" w:cs="Times New Roman"/>
                <w:color w:val="auto"/>
                <w:sz w:val="24"/>
                <w:lang w:val="en-US" w:eastAsia="zh-CN"/>
              </w:rPr>
              <w:t>使用</w:t>
            </w:r>
            <w:r>
              <w:rPr>
                <w:rFonts w:hint="eastAsia" w:ascii="Times New Roman" w:hAnsi="Times New Roman" w:cs="Times New Roman"/>
                <w:color w:val="auto"/>
                <w:sz w:val="24"/>
              </w:rPr>
              <w:t>聚磺润滑封堵防塌钻井液</w:t>
            </w:r>
            <w:r>
              <w:rPr>
                <w:rFonts w:hint="eastAsia" w:ascii="Times New Roman" w:hAnsi="Times New Roman" w:cs="Times New Roman"/>
                <w:color w:val="auto"/>
                <w:sz w:val="24"/>
                <w:lang w:val="en-US" w:eastAsia="zh-CN"/>
              </w:rPr>
              <w:t>体系</w:t>
            </w:r>
            <w:r>
              <w:rPr>
                <w:rFonts w:hint="eastAsia" w:cs="Times New Roman"/>
                <w:color w:val="auto"/>
                <w:sz w:val="24"/>
                <w:lang w:eastAsia="zh-CN"/>
              </w:rPr>
              <w:t>（</w:t>
            </w:r>
            <w:r>
              <w:rPr>
                <w:rFonts w:hint="eastAsia" w:cs="Times New Roman"/>
                <w:color w:val="auto"/>
                <w:sz w:val="24"/>
                <w:lang w:val="en-US" w:eastAsia="zh-CN"/>
              </w:rPr>
              <w:t>水基钻井液</w:t>
            </w:r>
            <w:r>
              <w:rPr>
                <w:rFonts w:hint="eastAsia" w:cs="Times New Roman"/>
                <w:color w:val="auto"/>
                <w:sz w:val="24"/>
                <w:lang w:eastAsia="zh-CN"/>
              </w:rPr>
              <w:t>）</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本项目钻井阶段每开使用的钻井泥浆体系及配方见下表。</w:t>
            </w:r>
          </w:p>
          <w:p w14:paraId="560495D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本工程钻井泥浆体系及配方</w:t>
            </w:r>
          </w:p>
          <w:tbl>
            <w:tblPr>
              <w:tblStyle w:val="23"/>
              <w:tblW w:w="495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54"/>
              <w:gridCol w:w="1069"/>
              <w:gridCol w:w="1268"/>
              <w:gridCol w:w="991"/>
              <w:gridCol w:w="3681"/>
            </w:tblGrid>
            <w:tr w14:paraId="04E79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26" w:type="pct"/>
                  <w:tcBorders>
                    <w:top w:val="single" w:color="auto" w:sz="4" w:space="0"/>
                    <w:left w:val="single" w:color="auto" w:sz="4" w:space="0"/>
                    <w:bottom w:val="single" w:color="auto" w:sz="4" w:space="0"/>
                    <w:right w:val="single" w:color="auto" w:sz="4" w:space="0"/>
                  </w:tcBorders>
                  <w:noWrap w:val="0"/>
                  <w:vAlign w:val="center"/>
                </w:tcPr>
                <w:p w14:paraId="4ACE394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开钻序号</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40EAE23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井眼尺寸（mm）</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2116AC7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井段（m）</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34FFE7B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钻井液体系</w:t>
                  </w:r>
                </w:p>
              </w:tc>
              <w:tc>
                <w:tcPr>
                  <w:tcW w:w="2401" w:type="pct"/>
                  <w:tcBorders>
                    <w:top w:val="single" w:color="auto" w:sz="4" w:space="0"/>
                    <w:left w:val="single" w:color="auto" w:sz="4" w:space="0"/>
                    <w:bottom w:val="single" w:color="auto" w:sz="4" w:space="0"/>
                    <w:right w:val="single" w:color="auto" w:sz="4" w:space="0"/>
                  </w:tcBorders>
                  <w:noWrap w:val="0"/>
                  <w:vAlign w:val="center"/>
                </w:tcPr>
                <w:p w14:paraId="681477A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钻井液配方</w:t>
                  </w:r>
                </w:p>
              </w:tc>
            </w:tr>
            <w:tr w14:paraId="361AB6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26" w:type="pct"/>
                  <w:tcBorders>
                    <w:top w:val="single" w:color="auto" w:sz="4" w:space="0"/>
                    <w:left w:val="single" w:color="auto" w:sz="4" w:space="0"/>
                    <w:bottom w:val="single" w:color="auto" w:sz="4" w:space="0"/>
                    <w:right w:val="single" w:color="auto" w:sz="4" w:space="0"/>
                  </w:tcBorders>
                  <w:noWrap w:val="0"/>
                  <w:vAlign w:val="center"/>
                </w:tcPr>
                <w:p w14:paraId="5C895E4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导管</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431BEA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565.15</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1B7DCE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w:t>
                  </w:r>
                  <w:r>
                    <w:rPr>
                      <w:rFonts w:hint="eastAsia"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0</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4203502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清水</w:t>
                  </w:r>
                </w:p>
              </w:tc>
              <w:tc>
                <w:tcPr>
                  <w:tcW w:w="2401" w:type="pct"/>
                  <w:tcBorders>
                    <w:top w:val="single" w:color="auto" w:sz="4" w:space="0"/>
                    <w:left w:val="single" w:color="auto" w:sz="4" w:space="0"/>
                    <w:bottom w:val="single" w:color="auto" w:sz="4" w:space="0"/>
                    <w:right w:val="single" w:color="auto" w:sz="4" w:space="0"/>
                  </w:tcBorders>
                  <w:noWrap w:val="0"/>
                  <w:vAlign w:val="center"/>
                </w:tcPr>
                <w:p w14:paraId="4740AB20">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5C92FD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26" w:type="pct"/>
                  <w:tcBorders>
                    <w:top w:val="single" w:color="auto" w:sz="4" w:space="0"/>
                    <w:left w:val="single" w:color="auto" w:sz="4" w:space="0"/>
                    <w:bottom w:val="single" w:color="auto" w:sz="4" w:space="0"/>
                    <w:right w:val="single" w:color="auto" w:sz="4" w:space="0"/>
                  </w:tcBorders>
                  <w:noWrap w:val="0"/>
                  <w:vAlign w:val="center"/>
                </w:tcPr>
                <w:p w14:paraId="72B64812">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sz w:val="21"/>
                      <w:szCs w:val="21"/>
                    </w:rPr>
                    <w:t>一开</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7125B758">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444.5</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5C74EE2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1051</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1C113E0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聚合物</w:t>
                  </w:r>
                  <w:r>
                    <w:rPr>
                      <w:rFonts w:hint="default" w:ascii="Times New Roman" w:hAnsi="Times New Roman" w:eastAsia="宋体" w:cs="Times New Roman"/>
                      <w:color w:val="auto"/>
                      <w:sz w:val="21"/>
                      <w:szCs w:val="21"/>
                    </w:rPr>
                    <w:t>钻井液</w:t>
                  </w:r>
                  <w:r>
                    <w:rPr>
                      <w:rFonts w:hint="eastAsia" w:ascii="Times New Roman" w:hAnsi="Times New Roman" w:eastAsia="宋体" w:cs="Times New Roman"/>
                      <w:color w:val="auto"/>
                      <w:sz w:val="21"/>
                      <w:szCs w:val="21"/>
                    </w:rPr>
                    <w:t>体系</w:t>
                  </w:r>
                </w:p>
              </w:tc>
              <w:tc>
                <w:tcPr>
                  <w:tcW w:w="2401" w:type="pct"/>
                  <w:tcBorders>
                    <w:top w:val="single" w:color="auto" w:sz="4" w:space="0"/>
                    <w:left w:val="single" w:color="auto" w:sz="4" w:space="0"/>
                    <w:bottom w:val="single" w:color="auto" w:sz="4" w:space="0"/>
                    <w:right w:val="single" w:color="auto" w:sz="4" w:space="0"/>
                  </w:tcBorders>
                  <w:noWrap w:val="0"/>
                  <w:vAlign w:val="center"/>
                </w:tcPr>
                <w:p w14:paraId="1856DE71">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4</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5</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膨润土</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0.3</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0.5</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纯碱</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0.2</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0.3</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高黏羧甲基纤维素钠盐</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0.2</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0.3</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聚丙烯酸钾</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1.5</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天然高分子降滤失剂</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rPr>
                    <w:t>多软化点封堵防塌剂。</w:t>
                  </w:r>
                </w:p>
                <w:p w14:paraId="5C397A23">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其它添加剂：</w:t>
                  </w:r>
                  <w:r>
                    <w:rPr>
                      <w:rFonts w:hint="eastAsia" w:ascii="Times New Roman" w:hAnsi="Times New Roman" w:eastAsia="宋体" w:cs="Times New Roman"/>
                      <w:color w:val="auto"/>
                      <w:sz w:val="21"/>
                      <w:szCs w:val="21"/>
                    </w:rPr>
                    <w:t>烧碱、降粘剂、加重剂、堵漏剂等。</w:t>
                  </w:r>
                </w:p>
              </w:tc>
            </w:tr>
            <w:tr w14:paraId="7FA911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2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578CB62">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sz w:val="21"/>
                      <w:szCs w:val="21"/>
                    </w:rPr>
                    <w:t>二开</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4A59B88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311.2</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5CE7480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1051~3862</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736901DB">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聚磺封堵</w:t>
                  </w:r>
                  <w:r>
                    <w:rPr>
                      <w:rFonts w:hint="default" w:ascii="Times New Roman" w:hAnsi="Times New Roman" w:eastAsia="宋体" w:cs="Times New Roman"/>
                      <w:color w:val="auto"/>
                      <w:sz w:val="21"/>
                      <w:szCs w:val="21"/>
                    </w:rPr>
                    <w:t>防塌钻井液</w:t>
                  </w:r>
                  <w:r>
                    <w:rPr>
                      <w:rFonts w:hint="eastAsia" w:ascii="Times New Roman" w:hAnsi="Times New Roman" w:eastAsia="宋体" w:cs="Times New Roman"/>
                      <w:color w:val="auto"/>
                      <w:sz w:val="21"/>
                      <w:szCs w:val="21"/>
                    </w:rPr>
                    <w:t>体系</w:t>
                  </w:r>
                </w:p>
              </w:tc>
              <w:tc>
                <w:tcPr>
                  <w:tcW w:w="2401" w:type="pct"/>
                  <w:tcBorders>
                    <w:top w:val="single" w:color="auto" w:sz="4" w:space="0"/>
                    <w:left w:val="single" w:color="auto" w:sz="4" w:space="0"/>
                    <w:bottom w:val="single" w:color="auto" w:sz="4" w:space="0"/>
                    <w:right w:val="single" w:color="auto" w:sz="4" w:space="0"/>
                  </w:tcBorders>
                  <w:noWrap w:val="0"/>
                  <w:vAlign w:val="center"/>
                </w:tcPr>
                <w:p w14:paraId="28A0CA09">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4）%膨润土+（0.2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0.3）%聚丙烯酸钾+（1</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1.5）%抗高温降黏降滤失剂+（0.5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1.5）%磺酸盐共聚物降滤失剂+（3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4）%磺化酚醛树脂+（3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4）%磺化褐煤树脂+（2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3）%双保型纳米乳液+（2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3）%多软化点封堵防塌剂+（2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3）%聚合醇防塌剂+（2.5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3.5）%超细碳酸钙。</w:t>
                  </w:r>
                </w:p>
                <w:p w14:paraId="0EAB1318">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其它添加剂：烧碱、降粘剂、加重剂、堵漏剂等。</w:t>
                  </w:r>
                </w:p>
              </w:tc>
            </w:tr>
            <w:tr w14:paraId="381314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26" w:type="pct"/>
                  <w:tcBorders>
                    <w:top w:val="single" w:color="auto" w:sz="4" w:space="0"/>
                    <w:left w:val="single" w:color="auto" w:sz="4" w:space="0"/>
                    <w:bottom w:val="single" w:color="auto" w:sz="4" w:space="0"/>
                    <w:right w:val="single" w:color="auto" w:sz="4" w:space="0"/>
                  </w:tcBorders>
                  <w:noWrap w:val="0"/>
                  <w:vAlign w:val="center"/>
                </w:tcPr>
                <w:p w14:paraId="3639BCAC">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三开</w:t>
                  </w:r>
                </w:p>
              </w:tc>
              <w:tc>
                <w:tcPr>
                  <w:tcW w:w="697" w:type="pct"/>
                  <w:tcBorders>
                    <w:top w:val="single" w:color="auto" w:sz="4" w:space="0"/>
                    <w:left w:val="single" w:color="auto" w:sz="4" w:space="0"/>
                    <w:bottom w:val="single" w:color="auto" w:sz="4" w:space="0"/>
                    <w:right w:val="single" w:color="auto" w:sz="4" w:space="0"/>
                  </w:tcBorders>
                  <w:noWrap w:val="0"/>
                  <w:vAlign w:val="center"/>
                </w:tcPr>
                <w:p w14:paraId="57E1B25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215.9</w:t>
                  </w:r>
                </w:p>
              </w:tc>
              <w:tc>
                <w:tcPr>
                  <w:tcW w:w="827" w:type="pct"/>
                  <w:tcBorders>
                    <w:top w:val="single" w:color="auto" w:sz="4" w:space="0"/>
                    <w:left w:val="single" w:color="auto" w:sz="4" w:space="0"/>
                    <w:bottom w:val="single" w:color="auto" w:sz="4" w:space="0"/>
                    <w:right w:val="single" w:color="auto" w:sz="4" w:space="0"/>
                  </w:tcBorders>
                  <w:noWrap w:val="0"/>
                  <w:vAlign w:val="center"/>
                </w:tcPr>
                <w:p w14:paraId="3879F4B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3862~4998</w:t>
                  </w:r>
                </w:p>
              </w:tc>
              <w:tc>
                <w:tcPr>
                  <w:tcW w:w="646" w:type="pct"/>
                  <w:tcBorders>
                    <w:top w:val="single" w:color="auto" w:sz="4" w:space="0"/>
                    <w:left w:val="single" w:color="auto" w:sz="4" w:space="0"/>
                    <w:bottom w:val="single" w:color="auto" w:sz="4" w:space="0"/>
                    <w:right w:val="single" w:color="auto" w:sz="4" w:space="0"/>
                  </w:tcBorders>
                  <w:noWrap w:val="0"/>
                  <w:vAlign w:val="center"/>
                </w:tcPr>
                <w:p w14:paraId="62D6A76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聚磺</w:t>
                  </w:r>
                  <w:r>
                    <w:rPr>
                      <w:rFonts w:hint="default" w:ascii="Times New Roman" w:hAnsi="Times New Roman" w:eastAsia="宋体" w:cs="Times New Roman"/>
                      <w:color w:val="auto"/>
                      <w:sz w:val="21"/>
                      <w:szCs w:val="21"/>
                    </w:rPr>
                    <w:t>润滑封堵防塌钻井液</w:t>
                  </w:r>
                  <w:r>
                    <w:rPr>
                      <w:rFonts w:hint="eastAsia" w:ascii="Times New Roman" w:hAnsi="Times New Roman" w:eastAsia="宋体" w:cs="Times New Roman"/>
                      <w:color w:val="auto"/>
                      <w:sz w:val="21"/>
                      <w:szCs w:val="21"/>
                    </w:rPr>
                    <w:t>体系</w:t>
                  </w:r>
                </w:p>
              </w:tc>
              <w:tc>
                <w:tcPr>
                  <w:tcW w:w="2401" w:type="pct"/>
                  <w:tcBorders>
                    <w:top w:val="single" w:color="auto" w:sz="4" w:space="0"/>
                    <w:left w:val="single" w:color="auto" w:sz="4" w:space="0"/>
                    <w:bottom w:val="single" w:color="auto" w:sz="4" w:space="0"/>
                    <w:right w:val="single" w:color="auto" w:sz="4" w:space="0"/>
                  </w:tcBorders>
                  <w:noWrap w:val="0"/>
                  <w:vAlign w:val="center"/>
                </w:tcPr>
                <w:p w14:paraId="3831B0DF">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4）%膨润土+（0.2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0.3）%聚丙烯酸钾+（1</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1.5）%抗高温降黏降滤失剂+</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0.5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%聚胺抑制剂+</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0.5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%硅醇抑制剂+（5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7）%氯化钾+（0.5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1.5）%磺酸盐共聚物降滤失剂+（3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4）%磺化酚醛树脂+（3</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4）%磺化褐煤树脂+（2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3）%双保型纳米乳液+（2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3）%多软化点封堵防塌剂+（2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3）%聚合醇防塌剂+（0.5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1）%非渗透处理剂+（2</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6）%钻井液用润滑剂（液体）+（2.5</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rPr>
                    <w:t>3.5）%超细碳酸钙。</w:t>
                  </w:r>
                </w:p>
                <w:p w14:paraId="493900E4">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其它添加剂：烧碱、降黏剂、消泡剂、堵漏剂、固体润滑剂、加重剂等。</w:t>
                  </w:r>
                </w:p>
              </w:tc>
            </w:tr>
          </w:tbl>
          <w:p w14:paraId="3B27C5E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项目钻井泥浆主要材料成分见下表。</w:t>
            </w:r>
          </w:p>
          <w:p w14:paraId="6355925E">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钻井液主要材料物理化学特性</w:t>
            </w:r>
          </w:p>
          <w:tbl>
            <w:tblPr>
              <w:tblStyle w:val="23"/>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04"/>
              <w:gridCol w:w="5911"/>
            </w:tblGrid>
            <w:tr w14:paraId="6F73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1489DBF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16374B9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材料名称</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7ECF209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物理化学特性</w:t>
                  </w:r>
                </w:p>
              </w:tc>
            </w:tr>
            <w:tr w14:paraId="59A2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093385C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33CDDCC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膨润土</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66AE484C">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以蒙脱石为主要矿物成分（</w:t>
                  </w:r>
                  <w:r>
                    <w:rPr>
                      <w:rFonts w:hint="eastAsia" w:ascii="Times New Roman" w:hAnsi="Times New Roman" w:eastAsia="宋体" w:cs="Times New Roman"/>
                      <w:color w:val="auto"/>
                    </w:rPr>
                    <w:t>85%~90%</w:t>
                  </w:r>
                  <w:r>
                    <w:rPr>
                      <w:rFonts w:ascii="Times New Roman" w:hAnsi="Times New Roman" w:eastAsia="宋体" w:cs="Times New Roman"/>
                      <w:color w:val="auto"/>
                    </w:rPr>
                    <w:t>），由两个硅氧四面体夹一层铝氧八面体组成的</w:t>
                  </w:r>
                  <w:r>
                    <w:rPr>
                      <w:rFonts w:ascii="Times New Roman" w:hAnsi="Times New Roman" w:cs="Times New Roman"/>
                      <w:color w:val="auto"/>
                    </w:rPr>
                    <w:t>2</w:t>
                  </w:r>
                  <w:r>
                    <w:rPr>
                      <w:rFonts w:hint="eastAsia" w:ascii="Times New Roman" w:hAnsi="Times New Roman" w:eastAsia="宋体" w:cs="Times New Roman"/>
                      <w:color w:val="auto"/>
                      <w:lang w:val="en-US" w:eastAsia="zh-CN"/>
                    </w:rPr>
                    <w:t>:</w:t>
                  </w:r>
                  <w:r>
                    <w:rPr>
                      <w:rFonts w:ascii="Times New Roman" w:hAnsi="Times New Roman" w:cs="Times New Roman"/>
                      <w:color w:val="auto"/>
                    </w:rPr>
                    <w:t>1</w:t>
                  </w:r>
                  <w:r>
                    <w:rPr>
                      <w:rFonts w:ascii="Times New Roman" w:hAnsi="Times New Roman" w:eastAsia="宋体" w:cs="Times New Roman"/>
                      <w:color w:val="auto"/>
                    </w:rPr>
                    <w:t>型晶体结构，</w:t>
                  </w:r>
                  <w:r>
                    <w:rPr>
                      <w:rFonts w:hint="eastAsia" w:ascii="Times New Roman" w:hAnsi="Times New Roman" w:eastAsia="宋体" w:cs="Times New Roman"/>
                      <w:color w:val="auto"/>
                    </w:rPr>
                    <w:t>呈</w:t>
                  </w:r>
                  <w:r>
                    <w:rPr>
                      <w:rFonts w:ascii="Times New Roman" w:hAnsi="Times New Roman" w:eastAsia="宋体" w:cs="Times New Roman"/>
                      <w:color w:val="auto"/>
                    </w:rPr>
                    <w:t>黄绿、黄白、灰、白色等各种颜色</w:t>
                  </w:r>
                </w:p>
              </w:tc>
            </w:tr>
            <w:tr w14:paraId="1019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42DB384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76F4C68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纯碱</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7917C995">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碳酸钠（</w:t>
                  </w:r>
                  <w:r>
                    <w:rPr>
                      <w:rFonts w:ascii="Times New Roman" w:hAnsi="Times New Roman" w:cs="Times New Roman"/>
                      <w:color w:val="auto"/>
                    </w:rPr>
                    <w:t>Na</w:t>
                  </w:r>
                  <w:r>
                    <w:rPr>
                      <w:rFonts w:ascii="Times New Roman" w:hAnsi="Times New Roman" w:cs="Times New Roman"/>
                      <w:color w:val="auto"/>
                      <w:vertAlign w:val="subscript"/>
                    </w:rPr>
                    <w:t>2</w:t>
                  </w:r>
                  <w:r>
                    <w:rPr>
                      <w:rFonts w:ascii="Times New Roman" w:hAnsi="Times New Roman" w:cs="Times New Roman"/>
                      <w:color w:val="auto"/>
                    </w:rPr>
                    <w:t>CO</w:t>
                  </w:r>
                  <w:r>
                    <w:rPr>
                      <w:rFonts w:ascii="Times New Roman" w:hAnsi="Times New Roman" w:cs="Times New Roman"/>
                      <w:color w:val="auto"/>
                      <w:vertAlign w:val="subscript"/>
                    </w:rPr>
                    <w:t>3</w:t>
                  </w:r>
                  <w:r>
                    <w:rPr>
                      <w:rFonts w:ascii="Times New Roman" w:hAnsi="Times New Roman" w:eastAsia="宋体" w:cs="Times New Roman"/>
                      <w:color w:val="auto"/>
                    </w:rPr>
                    <w:t>），分子量</w:t>
                  </w:r>
                  <w:r>
                    <w:rPr>
                      <w:rFonts w:ascii="Times New Roman" w:hAnsi="Times New Roman" w:cs="Times New Roman"/>
                      <w:color w:val="auto"/>
                    </w:rPr>
                    <w:t>105.99</w:t>
                  </w:r>
                  <w:r>
                    <w:rPr>
                      <w:rFonts w:ascii="Times New Roman" w:hAnsi="Times New Roman" w:eastAsia="宋体" w:cs="Times New Roman"/>
                      <w:color w:val="auto"/>
                    </w:rPr>
                    <w:t>。化学品的纯度多在</w:t>
                  </w:r>
                  <w:r>
                    <w:rPr>
                      <w:rFonts w:ascii="Times New Roman" w:hAnsi="Times New Roman" w:cs="Times New Roman"/>
                      <w:color w:val="auto"/>
                    </w:rPr>
                    <w:t>99.5%</w:t>
                  </w:r>
                  <w:r>
                    <w:rPr>
                      <w:rFonts w:ascii="Times New Roman" w:hAnsi="Times New Roman" w:eastAsia="宋体" w:cs="Times New Roman"/>
                      <w:color w:val="auto"/>
                    </w:rPr>
                    <w:t>以上（质量分数），又叫纯碱，但分类属于盐，不属于碱。国际贸易中又名苏打或碱灰。溶解性易溶于水，水溶液呈弱碱性。在</w:t>
                  </w:r>
                  <w:r>
                    <w:rPr>
                      <w:rFonts w:ascii="Times New Roman" w:hAnsi="Times New Roman" w:cs="Times New Roman"/>
                      <w:color w:val="auto"/>
                    </w:rPr>
                    <w:t>35.4</w:t>
                  </w:r>
                  <w:r>
                    <w:rPr>
                      <w:rFonts w:ascii="Times New Roman" w:hAnsi="Times New Roman" w:eastAsia="宋体" w:cs="Times New Roman"/>
                      <w:color w:val="auto"/>
                    </w:rPr>
                    <w:t>℃其溶解度最大，每</w:t>
                  </w:r>
                  <w:r>
                    <w:rPr>
                      <w:rFonts w:ascii="Times New Roman" w:hAnsi="Times New Roman" w:cs="Times New Roman"/>
                      <w:color w:val="auto"/>
                    </w:rPr>
                    <w:t>100g</w:t>
                  </w:r>
                  <w:r>
                    <w:rPr>
                      <w:rFonts w:ascii="Times New Roman" w:hAnsi="Times New Roman" w:eastAsia="宋体" w:cs="Times New Roman"/>
                      <w:color w:val="auto"/>
                    </w:rPr>
                    <w:t>水中可溶解</w:t>
                  </w:r>
                  <w:r>
                    <w:rPr>
                      <w:rFonts w:ascii="Times New Roman" w:hAnsi="Times New Roman" w:cs="Times New Roman"/>
                      <w:color w:val="auto"/>
                    </w:rPr>
                    <w:t>49.7g</w:t>
                  </w:r>
                  <w:r>
                    <w:rPr>
                      <w:rFonts w:ascii="Times New Roman" w:hAnsi="Times New Roman" w:eastAsia="宋体" w:cs="Times New Roman"/>
                      <w:color w:val="auto"/>
                    </w:rPr>
                    <w:t>碳酸钠（</w:t>
                  </w:r>
                  <w:r>
                    <w:rPr>
                      <w:rFonts w:ascii="Times New Roman" w:hAnsi="Times New Roman" w:cs="Times New Roman"/>
                      <w:color w:val="auto"/>
                    </w:rPr>
                    <w:t>0</w:t>
                  </w:r>
                  <w:r>
                    <w:rPr>
                      <w:rFonts w:ascii="Times New Roman" w:hAnsi="Times New Roman" w:eastAsia="宋体" w:cs="Times New Roman"/>
                      <w:color w:val="auto"/>
                    </w:rPr>
                    <w:t>℃时为</w:t>
                  </w:r>
                  <w:r>
                    <w:rPr>
                      <w:rFonts w:ascii="Times New Roman" w:hAnsi="Times New Roman" w:cs="Times New Roman"/>
                      <w:color w:val="auto"/>
                    </w:rPr>
                    <w:t>7.0g</w:t>
                  </w:r>
                  <w:r>
                    <w:rPr>
                      <w:rFonts w:ascii="Times New Roman" w:hAnsi="Times New Roman" w:eastAsia="宋体" w:cs="Times New Roman"/>
                      <w:color w:val="auto"/>
                    </w:rPr>
                    <w:t>，</w:t>
                  </w:r>
                  <w:r>
                    <w:rPr>
                      <w:rFonts w:ascii="Times New Roman" w:hAnsi="Times New Roman" w:cs="Times New Roman"/>
                      <w:color w:val="auto"/>
                    </w:rPr>
                    <w:t>100</w:t>
                  </w:r>
                  <w:r>
                    <w:rPr>
                      <w:rFonts w:ascii="Times New Roman" w:hAnsi="Times New Roman" w:eastAsia="宋体" w:cs="Times New Roman"/>
                      <w:color w:val="auto"/>
                    </w:rPr>
                    <w:t>℃为</w:t>
                  </w:r>
                  <w:r>
                    <w:rPr>
                      <w:rFonts w:ascii="Times New Roman" w:hAnsi="Times New Roman" w:cs="Times New Roman"/>
                      <w:color w:val="auto"/>
                    </w:rPr>
                    <w:t>45.5g</w:t>
                  </w:r>
                  <w:r>
                    <w:rPr>
                      <w:rFonts w:ascii="Times New Roman" w:hAnsi="Times New Roman" w:eastAsia="宋体" w:cs="Times New Roman"/>
                      <w:color w:val="auto"/>
                    </w:rPr>
                    <w:t>）。微溶于无水乙醇，不溶于丙醇</w:t>
                  </w:r>
                </w:p>
              </w:tc>
            </w:tr>
            <w:tr w14:paraId="6325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6529C29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1D7C8B2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氢氧化钠</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535E81BA">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fldChar w:fldCharType="begin"/>
                  </w:r>
                  <w:r>
                    <w:rPr>
                      <w:rFonts w:ascii="Times New Roman" w:hAnsi="Times New Roman" w:eastAsia="宋体" w:cs="Times New Roman"/>
                      <w:color w:val="auto"/>
                    </w:rPr>
                    <w:instrText xml:space="preserve"> HYPERLINK "https://baike.baidu.com/item/%E6%97%A0%E6%9C%BA%E5%8C%96%E5%90%88%E7%89%A9/10716655" \t "https://baike.baidu.com/item/%E6%B0%A2%E6%B0%A7%E5%8C%96%E9%92%A0/_blank" </w:instrText>
                  </w:r>
                  <w:r>
                    <w:rPr>
                      <w:rFonts w:ascii="Times New Roman" w:hAnsi="Times New Roman" w:eastAsia="宋体" w:cs="Times New Roman"/>
                      <w:color w:val="auto"/>
                    </w:rPr>
                    <w:fldChar w:fldCharType="separate"/>
                  </w:r>
                  <w:r>
                    <w:rPr>
                      <w:rFonts w:ascii="Times New Roman" w:hAnsi="Times New Roman" w:eastAsia="宋体" w:cs="Times New Roman"/>
                      <w:color w:val="auto"/>
                    </w:rPr>
                    <w:t>无机化合物</w:t>
                  </w:r>
                  <w:r>
                    <w:rPr>
                      <w:rFonts w:ascii="Times New Roman" w:hAnsi="Times New Roman" w:eastAsia="宋体" w:cs="Times New Roman"/>
                      <w:color w:val="auto"/>
                    </w:rPr>
                    <w:fldChar w:fldCharType="end"/>
                  </w:r>
                  <w:r>
                    <w:rPr>
                      <w:rFonts w:ascii="Times New Roman" w:hAnsi="Times New Roman" w:eastAsia="宋体" w:cs="Times New Roman"/>
                      <w:color w:val="auto"/>
                    </w:rPr>
                    <w:t>，化学式</w:t>
                  </w:r>
                  <w:r>
                    <w:rPr>
                      <w:rFonts w:ascii="Times New Roman" w:hAnsi="Times New Roman" w:cs="Times New Roman"/>
                      <w:color w:val="auto"/>
                    </w:rPr>
                    <w:t>NaOH</w:t>
                  </w:r>
                  <w:r>
                    <w:rPr>
                      <w:rFonts w:ascii="Times New Roman" w:hAnsi="Times New Roman" w:eastAsia="宋体" w:cs="Times New Roman"/>
                      <w:color w:val="auto"/>
                    </w:rPr>
                    <w:t>，也称苛性钠、烧碱、固碱、火碱、苛性苏打。氢氧化钠具有强碱性，腐蚀性极强，可作酸中和剂、</w:t>
                  </w:r>
                  <w:r>
                    <w:rPr>
                      <w:rFonts w:ascii="Times New Roman" w:hAnsi="Times New Roman" w:cs="Times New Roman"/>
                      <w:color w:val="auto"/>
                    </w:rPr>
                    <w:t xml:space="preserve"> </w:t>
                  </w:r>
                  <w:r>
                    <w:rPr>
                      <w:rFonts w:ascii="Times New Roman" w:hAnsi="Times New Roman" w:eastAsia="宋体" w:cs="Times New Roman"/>
                      <w:color w:val="auto"/>
                    </w:rPr>
                    <w:t>配合掩蔽剂、沉淀剂、沉淀掩蔽剂、显色剂、皂化剂、去皮剂、洗涤剂等，用途非常广泛</w:t>
                  </w:r>
                </w:p>
              </w:tc>
            </w:tr>
            <w:tr w14:paraId="68D2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68AB11B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4</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27CF7CE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kern w:val="0"/>
                      <w:szCs w:val="21"/>
                      <w:lang w:bidi="ar"/>
                    </w:rPr>
                    <w:t>聚丙烯酸钾</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41F77419">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kern w:val="0"/>
                      <w:szCs w:val="21"/>
                      <w:lang w:bidi="ar"/>
                    </w:rPr>
                    <w:t>该产品是一种无毒、无腐蚀的井壁稳定剂，易溶于水。具有抑制泥页岩及钻屑分散作用，兼有降失水、改善流型和增加润滑等性能。可以有效</w:t>
                  </w:r>
                  <w:r>
                    <w:rPr>
                      <w:rFonts w:hint="eastAsia" w:ascii="Times New Roman" w:hAnsi="Times New Roman" w:cs="Times New Roman"/>
                      <w:color w:val="auto"/>
                      <w:kern w:val="0"/>
                      <w:szCs w:val="21"/>
                      <w:lang w:bidi="ar"/>
                    </w:rPr>
                    <w:t>地</w:t>
                  </w:r>
                  <w:r>
                    <w:rPr>
                      <w:rFonts w:hint="default" w:ascii="Times New Roman" w:hAnsi="Times New Roman" w:cs="Times New Roman"/>
                      <w:color w:val="auto"/>
                      <w:kern w:val="0"/>
                      <w:szCs w:val="21"/>
                      <w:lang w:bidi="ar"/>
                    </w:rPr>
                    <w:t>抑制地层造浆并能与多种处理剂配伍，是一种应用广、较理想的井壁稳定剂。外观呈白色或淡黄色粉末。</w:t>
                  </w:r>
                </w:p>
              </w:tc>
            </w:tr>
            <w:tr w14:paraId="3C98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7FC77BE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5</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17F69E8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超细碳酸钙</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3D08B2A2">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碳酸钙粉体平均粒径0.02um&lt;d≤0.1um的碳酸钙，可广泛应用于塑料工业的电线、皮布、成型品、硬管、异形压出、地砖、薄膜、EVA海绵，涂料工业的粉末涂料、合成树脂、釉药、油性漆、乳漆、初层漆，橡胶工业的鞋类、电线电缆、轮胎、海绵、胶质糊、橡胶里布、皮带软管、造纸，工业的涂布、填充以及燃料颜色剂、牙膏、化妆品、食品添加剂、酸中和剂等</w:t>
                  </w:r>
                </w:p>
              </w:tc>
            </w:tr>
            <w:tr w14:paraId="4A20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15D3EBA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6</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0793A2E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加重剂</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3A1C4012">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cs="Times New Roman"/>
                      <w:color w:val="auto"/>
                    </w:rPr>
                    <w:t>BaSO</w:t>
                  </w:r>
                  <w:r>
                    <w:rPr>
                      <w:rFonts w:ascii="Times New Roman" w:hAnsi="Times New Roman" w:cs="Times New Roman"/>
                      <w:color w:val="auto"/>
                      <w:vertAlign w:val="subscript"/>
                    </w:rPr>
                    <w:t>4</w:t>
                  </w:r>
                  <w:r>
                    <w:rPr>
                      <w:rFonts w:ascii="Times New Roman" w:hAnsi="Times New Roman" w:eastAsia="宋体" w:cs="Times New Roman"/>
                      <w:color w:val="auto"/>
                    </w:rPr>
                    <w:t>，常作为钻井</w:t>
                  </w:r>
                  <w:r>
                    <w:rPr>
                      <w:rFonts w:hint="eastAsia" w:ascii="Times New Roman" w:hAnsi="Times New Roman" w:eastAsia="宋体" w:cs="Times New Roman"/>
                      <w:color w:val="auto"/>
                    </w:rPr>
                    <w:t>泥浆</w:t>
                  </w:r>
                  <w:r>
                    <w:rPr>
                      <w:rFonts w:ascii="Times New Roman" w:hAnsi="Times New Roman" w:eastAsia="宋体" w:cs="Times New Roman"/>
                      <w:color w:val="auto"/>
                    </w:rPr>
                    <w:t>加重剂使用</w:t>
                  </w:r>
                </w:p>
              </w:tc>
            </w:tr>
            <w:tr w14:paraId="2F54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22C5EA53">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7</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2A0D75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CaCl</w:t>
                  </w:r>
                  <w:r>
                    <w:rPr>
                      <w:rFonts w:hint="default" w:ascii="Times New Roman" w:hAnsi="Times New Roman" w:cs="Times New Roman"/>
                      <w:color w:val="auto"/>
                      <w:szCs w:val="21"/>
                      <w:vertAlign w:val="subscript"/>
                    </w:rPr>
                    <w:t>2</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6536288F">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微苦。它是典型的离子型卤化物，室温下为白色、硬质碎块或颗粒。它常见应用包括制冷设备所用的盐水、道路融冰剂和干燥剂</w:t>
                  </w:r>
                </w:p>
              </w:tc>
            </w:tr>
            <w:tr w14:paraId="7429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7284F94A">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8</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62E0F16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有机土</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18D23332">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用季铵盐类阳离子表面活性剂处理后制成的亲油膨润土</w:t>
                  </w:r>
                </w:p>
              </w:tc>
            </w:tr>
            <w:tr w14:paraId="5715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51C2447C">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9</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60CC40B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降滤失剂</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5E0FAF3B">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丙烯酰胺</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AM</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、丙烯酸</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AA</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、甲基丙烯磺酸钠</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SMS</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、乙烯基铵盐阳离子单体</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CM</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等为原料，通过优化合成条件及配方合成，作用为降滤失剂，具有抗温、降滤失、黏切和防塌等功效</w:t>
                  </w:r>
                </w:p>
              </w:tc>
            </w:tr>
            <w:tr w14:paraId="3AC6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232BCDA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10</w:t>
                  </w:r>
                </w:p>
              </w:tc>
              <w:tc>
                <w:tcPr>
                  <w:tcW w:w="713" w:type="pct"/>
                  <w:tcBorders>
                    <w:top w:val="single" w:color="auto" w:sz="4" w:space="0"/>
                    <w:left w:val="single" w:color="auto" w:sz="4" w:space="0"/>
                    <w:bottom w:val="single" w:color="auto" w:sz="4" w:space="0"/>
                    <w:right w:val="single" w:color="auto" w:sz="4" w:space="0"/>
                  </w:tcBorders>
                  <w:noWrap w:val="0"/>
                  <w:vAlign w:val="center"/>
                </w:tcPr>
                <w:p w14:paraId="64D1D2A2">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val="pt-BR"/>
                    </w:rPr>
                  </w:pPr>
                  <w:r>
                    <w:rPr>
                      <w:rFonts w:ascii="Times New Roman" w:hAnsi="Times New Roman" w:eastAsia="宋体" w:cs="Times New Roman"/>
                      <w:color w:val="auto"/>
                    </w:rPr>
                    <w:t>堵漏剂</w:t>
                  </w:r>
                </w:p>
              </w:tc>
              <w:tc>
                <w:tcPr>
                  <w:tcW w:w="3821" w:type="pct"/>
                  <w:tcBorders>
                    <w:top w:val="single" w:color="auto" w:sz="4" w:space="0"/>
                    <w:left w:val="single" w:color="auto" w:sz="4" w:space="0"/>
                    <w:bottom w:val="single" w:color="auto" w:sz="4" w:space="0"/>
                    <w:right w:val="single" w:color="auto" w:sz="4" w:space="0"/>
                  </w:tcBorders>
                  <w:noWrap w:val="0"/>
                  <w:vAlign w:val="center"/>
                </w:tcPr>
                <w:p w14:paraId="450CF51B">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不同粒径的棉纤维粉、木质纤维粉和矿物纤维的复配物</w:t>
                  </w:r>
                </w:p>
              </w:tc>
            </w:tr>
          </w:tbl>
          <w:p w14:paraId="2CC184B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根据</w:t>
            </w:r>
            <w:r>
              <w:rPr>
                <w:rFonts w:hint="eastAsia" w:ascii="Times New Roman" w:hAnsi="Times New Roman" w:cs="Times New Roman"/>
                <w:bCs/>
                <w:color w:val="auto"/>
                <w:sz w:val="24"/>
                <w:lang w:val="en-US" w:eastAsia="zh-CN"/>
              </w:rPr>
              <w:t>项目</w:t>
            </w:r>
            <w:r>
              <w:rPr>
                <w:rFonts w:hint="default" w:ascii="Times New Roman" w:hAnsi="Times New Roman" w:cs="Times New Roman"/>
                <w:bCs/>
                <w:color w:val="auto"/>
                <w:sz w:val="24"/>
              </w:rPr>
              <w:t>钻井液使用材料判断，</w:t>
            </w:r>
            <w:r>
              <w:rPr>
                <w:rFonts w:hint="eastAsia" w:ascii="Times New Roman" w:hAnsi="Times New Roman" w:cs="Times New Roman"/>
                <w:bCs/>
                <w:color w:val="auto"/>
                <w:sz w:val="24"/>
              </w:rPr>
              <w:t>工程所用钻井液成分不含重金属等有毒有害物质，项目使用的</w:t>
            </w:r>
            <w:r>
              <w:rPr>
                <w:rFonts w:hint="default" w:ascii="Times New Roman" w:hAnsi="Times New Roman" w:cs="Times New Roman"/>
                <w:bCs/>
                <w:color w:val="auto"/>
                <w:sz w:val="24"/>
              </w:rPr>
              <w:t>钻井液的组成物质化学性质稳定，以无毒无害的无机盐和大型聚合物为主，产生的废水主要污染物以COD、SS、pH、盐分、Cl</w:t>
            </w:r>
            <w:r>
              <w:rPr>
                <w:rFonts w:hint="default" w:ascii="Times New Roman" w:hAnsi="Times New Roman" w:cs="Times New Roman"/>
                <w:bCs/>
                <w:color w:val="auto"/>
                <w:sz w:val="24"/>
                <w:vertAlign w:val="superscript"/>
              </w:rPr>
              <w:t>-</w:t>
            </w:r>
            <w:r>
              <w:rPr>
                <w:rFonts w:hint="default" w:ascii="Times New Roman" w:hAnsi="Times New Roman" w:cs="Times New Roman"/>
                <w:bCs/>
                <w:color w:val="auto"/>
                <w:sz w:val="24"/>
              </w:rPr>
              <w:t>为主，不含汞、铬、铅等</w:t>
            </w:r>
            <w:r>
              <w:rPr>
                <w:rFonts w:hint="eastAsia" w:cs="Times New Roman"/>
                <w:bCs/>
                <w:color w:val="auto"/>
                <w:sz w:val="24"/>
                <w:lang w:val="en-US" w:eastAsia="zh-CN"/>
              </w:rPr>
              <w:t>重点</w:t>
            </w:r>
            <w:r>
              <w:rPr>
                <w:rFonts w:hint="default" w:ascii="Times New Roman" w:hAnsi="Times New Roman" w:cs="Times New Roman"/>
                <w:bCs/>
                <w:color w:val="auto"/>
                <w:sz w:val="24"/>
              </w:rPr>
              <w:t>重金属有毒有害物质。</w:t>
            </w:r>
          </w:p>
          <w:p w14:paraId="1D24D79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szCs w:val="21"/>
              </w:rPr>
            </w:pPr>
            <w:r>
              <w:rPr>
                <w:rFonts w:hint="default" w:ascii="Times New Roman" w:hAnsi="Times New Roman" w:cs="Times New Roman"/>
                <w:b/>
                <w:color w:val="auto"/>
                <w:kern w:val="0"/>
                <w:sz w:val="24"/>
                <w:szCs w:val="21"/>
              </w:rPr>
              <w:t>6、公用工程</w:t>
            </w:r>
          </w:p>
          <w:p w14:paraId="6CFCEB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（1）供电</w:t>
            </w:r>
          </w:p>
          <w:p w14:paraId="6254CC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采用电网供电</w:t>
            </w:r>
            <w:r>
              <w:rPr>
                <w:rFonts w:hint="default" w:ascii="Times New Roman" w:hAnsi="Times New Roman" w:cs="Times New Roman"/>
                <w:color w:val="auto"/>
                <w:sz w:val="24"/>
              </w:rPr>
              <w:t>，当</w:t>
            </w:r>
            <w:r>
              <w:rPr>
                <w:rFonts w:hint="eastAsia" w:ascii="Times New Roman" w:hAnsi="Times New Roman" w:cs="Times New Roman"/>
                <w:color w:val="auto"/>
                <w:sz w:val="24"/>
                <w:lang w:val="en-US" w:eastAsia="zh-CN"/>
              </w:rPr>
              <w:t>停电</w:t>
            </w:r>
            <w:r>
              <w:rPr>
                <w:rFonts w:hint="default" w:ascii="Times New Roman" w:hAnsi="Times New Roman" w:cs="Times New Roman"/>
                <w:color w:val="auto"/>
                <w:sz w:val="24"/>
              </w:rPr>
              <w:t>时采用柴油发电机发电</w:t>
            </w:r>
            <w:r>
              <w:rPr>
                <w:rFonts w:hint="eastAsia" w:ascii="Times New Roman" w:hAnsi="Times New Roman" w:cs="Times New Roman"/>
                <w:color w:val="auto"/>
                <w:sz w:val="24"/>
                <w:lang w:val="en-US" w:eastAsia="zh-CN"/>
              </w:rPr>
              <w:t>应急</w:t>
            </w:r>
            <w:r>
              <w:rPr>
                <w:rFonts w:hint="default" w:ascii="Times New Roman" w:hAnsi="Times New Roman" w:cs="Times New Roman"/>
                <w:color w:val="auto"/>
                <w:sz w:val="24"/>
              </w:rPr>
              <w:t>，本项目配置</w:t>
            </w:r>
            <w:r>
              <w:rPr>
                <w:rFonts w:hint="eastAsia" w:ascii="Times New Roman" w:hAnsi="Times New Roman" w:cs="Times New Roman"/>
                <w:color w:val="auto"/>
                <w:sz w:val="24"/>
              </w:rPr>
              <w:t>2</w:t>
            </w:r>
            <w:r>
              <w:rPr>
                <w:rFonts w:hint="default" w:ascii="Times New Roman" w:hAnsi="Times New Roman" w:cs="Times New Roman"/>
                <w:color w:val="auto"/>
                <w:sz w:val="24"/>
              </w:rPr>
              <w:t>台</w:t>
            </w:r>
            <w:r>
              <w:rPr>
                <w:rFonts w:hint="eastAsia" w:cs="Times New Roman"/>
                <w:color w:val="auto"/>
                <w:sz w:val="24"/>
                <w:lang w:val="en-US" w:eastAsia="zh-CN"/>
              </w:rPr>
              <w:t>3</w:t>
            </w:r>
            <w:r>
              <w:rPr>
                <w:rFonts w:hint="default" w:ascii="Times New Roman" w:hAnsi="Times New Roman" w:cs="Times New Roman"/>
                <w:color w:val="auto"/>
                <w:sz w:val="24"/>
              </w:rPr>
              <w:t>00kW的备用发电机，发电机机组设置在发电机房内</w:t>
            </w:r>
            <w:r>
              <w:rPr>
                <w:rFonts w:hint="default" w:ascii="Times New Roman" w:hAnsi="Times New Roman" w:cs="Times New Roman"/>
                <w:color w:val="auto"/>
                <w:sz w:val="24"/>
                <w:szCs w:val="21"/>
              </w:rPr>
              <w:t>。</w:t>
            </w:r>
          </w:p>
          <w:p w14:paraId="4ABD4D7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（2）给水工程</w:t>
            </w:r>
          </w:p>
          <w:p w14:paraId="1ECF9A6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val="en-US" w:eastAsia="zh-CN"/>
              </w:rPr>
              <w:t>本项目给水</w:t>
            </w:r>
            <w:r>
              <w:rPr>
                <w:rFonts w:hint="default" w:ascii="Times New Roman" w:hAnsi="Times New Roman" w:cs="Times New Roman"/>
                <w:color w:val="auto"/>
                <w:sz w:val="24"/>
              </w:rPr>
              <w:t>分为作业用水和生活用水，作业用水包括钻井、洗井</w:t>
            </w:r>
            <w:r>
              <w:rPr>
                <w:rFonts w:hint="eastAsia" w:ascii="Times New Roman" w:hAnsi="Times New Roman" w:cs="Times New Roman"/>
                <w:color w:val="auto"/>
                <w:sz w:val="24"/>
              </w:rPr>
              <w:t>、压裂</w:t>
            </w:r>
            <w:r>
              <w:rPr>
                <w:rFonts w:hint="eastAsia" w:ascii="Times New Roman" w:hAnsi="Times New Roman" w:cs="Times New Roman"/>
                <w:color w:val="auto"/>
                <w:sz w:val="24"/>
                <w:lang w:val="en-US" w:eastAsia="zh-CN"/>
              </w:rPr>
              <w:t>用水</w:t>
            </w:r>
            <w:r>
              <w:rPr>
                <w:rFonts w:hint="eastAsia" w:cs="Times New Roman"/>
                <w:color w:val="auto"/>
                <w:sz w:val="24"/>
                <w:lang w:val="en-US" w:eastAsia="zh-CN"/>
              </w:rPr>
              <w:t>，测试放喷阶段备用的蒸汽锅炉用水</w:t>
            </w:r>
            <w:r>
              <w:rPr>
                <w:rFonts w:hint="default" w:ascii="Times New Roman" w:hAnsi="Times New Roman" w:cs="Times New Roman"/>
                <w:color w:val="auto"/>
                <w:sz w:val="24"/>
              </w:rPr>
              <w:t>。</w:t>
            </w:r>
          </w:p>
          <w:p w14:paraId="20C709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生活用水</w:t>
            </w:r>
            <w:r>
              <w:rPr>
                <w:rFonts w:hint="eastAsia" w:ascii="Times New Roman" w:hAnsi="Times New Roman" w:eastAsia="宋体" w:cs="Times New Roman"/>
                <w:color w:val="auto"/>
                <w:sz w:val="24"/>
                <w:lang w:val="en-US" w:eastAsia="zh-CN"/>
              </w:rPr>
              <w:t>外购自来水和</w:t>
            </w:r>
            <w:r>
              <w:rPr>
                <w:rFonts w:hint="default" w:ascii="Times New Roman" w:hAnsi="Times New Roman" w:eastAsia="宋体" w:cs="Times New Roman"/>
                <w:color w:val="auto"/>
                <w:sz w:val="24"/>
              </w:rPr>
              <w:t>桶装水</w:t>
            </w:r>
            <w:r>
              <w:rPr>
                <w:rFonts w:hint="eastAsia" w:cs="Times New Roman"/>
                <w:color w:val="auto"/>
                <w:sz w:val="24"/>
                <w:lang w:eastAsia="zh-CN"/>
              </w:rPr>
              <w:t>车载运输</w:t>
            </w:r>
            <w:r>
              <w:rPr>
                <w:rFonts w:hint="default" w:ascii="Times New Roman" w:hAnsi="Times New Roman" w:eastAsia="宋体" w:cs="Times New Roman"/>
                <w:color w:val="auto"/>
                <w:sz w:val="24"/>
              </w:rPr>
              <w:t>至场地</w:t>
            </w:r>
            <w:r>
              <w:rPr>
                <w:rFonts w:hint="eastAsia" w:ascii="Times New Roman" w:hAnsi="Times New Roman" w:eastAsia="宋体" w:cs="Times New Roman"/>
                <w:color w:val="auto"/>
                <w:sz w:val="24"/>
                <w:lang w:val="en-US" w:eastAsia="zh-CN"/>
              </w:rPr>
              <w:t>使用</w:t>
            </w:r>
            <w:r>
              <w:rPr>
                <w:rFonts w:hint="default" w:ascii="Times New Roman" w:hAnsi="Times New Roman" w:eastAsia="宋体" w:cs="Times New Roman"/>
                <w:color w:val="auto"/>
                <w:sz w:val="24"/>
              </w:rPr>
              <w:t>。</w:t>
            </w:r>
          </w:p>
          <w:p w14:paraId="230B63D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s="Times New Roman"/>
                <w:color w:val="auto"/>
                <w:sz w:val="24"/>
                <w:lang w:val="en-US" w:eastAsia="zh-CN"/>
              </w:rPr>
              <w:t>作业用水中备用蒸汽锅炉用水外购自来水，其余</w:t>
            </w:r>
            <w:r>
              <w:rPr>
                <w:rFonts w:hint="eastAsia" w:ascii="Times New Roman" w:hAnsi="Times New Roman" w:eastAsia="宋体" w:cs="Times New Roman"/>
                <w:color w:val="auto"/>
                <w:sz w:val="24"/>
                <w:lang w:val="en-US" w:eastAsia="zh-CN"/>
              </w:rPr>
              <w:t>作业用水来源为井场内</w:t>
            </w:r>
            <w:r>
              <w:rPr>
                <w:rFonts w:hint="eastAsia" w:cs="Times New Roman"/>
                <w:color w:val="auto"/>
                <w:sz w:val="24"/>
                <w:lang w:val="en-US" w:eastAsia="zh-CN"/>
              </w:rPr>
              <w:t>初期雨水</w:t>
            </w:r>
            <w:r>
              <w:rPr>
                <w:rFonts w:hint="eastAsia" w:ascii="Times New Roman" w:hAnsi="Times New Roman" w:eastAsia="宋体" w:cs="Times New Roman"/>
                <w:color w:val="auto"/>
                <w:sz w:val="24"/>
                <w:lang w:val="en-US" w:eastAsia="zh-CN"/>
              </w:rPr>
              <w:t>，周边池塘、河流等，在取用前由施工作业单位</w:t>
            </w:r>
            <w:r>
              <w:rPr>
                <w:rFonts w:hint="eastAsia" w:ascii="Times New Roman" w:hAnsi="Times New Roman" w:eastAsia="宋体" w:cs="Times New Roman"/>
                <w:color w:val="auto"/>
                <w:sz w:val="24"/>
              </w:rPr>
              <w:t>按照</w:t>
            </w:r>
            <w:r>
              <w:rPr>
                <w:rFonts w:hint="default" w:ascii="Times New Roman" w:hAnsi="Times New Roman" w:eastAsia="宋体" w:cs="Times New Roman"/>
                <w:color w:val="auto"/>
                <w:sz w:val="24"/>
              </w:rPr>
              <w:t>《取水许可和水资源费征收管理条例</w:t>
            </w:r>
            <w:r>
              <w:rPr>
                <w:rFonts w:hint="eastAsia" w:ascii="Times New Roman" w:hAnsi="Times New Roman" w:eastAsia="宋体" w:cs="Times New Roman"/>
                <w:color w:val="auto"/>
                <w:sz w:val="24"/>
                <w:lang w:eastAsia="zh-CN"/>
              </w:rPr>
              <w:t>》和</w:t>
            </w:r>
            <w:r>
              <w:rPr>
                <w:rFonts w:hint="default" w:ascii="Times New Roman" w:hAnsi="Times New Roman" w:eastAsia="宋体" w:cs="Times New Roman"/>
                <w:color w:val="auto"/>
                <w:sz w:val="24"/>
              </w:rPr>
              <w:t>《四川省水资源条例</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等相关要求办理取水手续</w:t>
            </w:r>
            <w:r>
              <w:rPr>
                <w:rFonts w:hint="eastAsia" w:ascii="Times New Roman" w:hAnsi="Times New Roman" w:cs="Times New Roman"/>
                <w:color w:val="auto"/>
                <w:sz w:val="24"/>
              </w:rPr>
              <w:t>。</w:t>
            </w:r>
          </w:p>
          <w:p w14:paraId="67F9FC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（3）排水工程</w:t>
            </w:r>
          </w:p>
          <w:p w14:paraId="4B09CD3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default" w:ascii="Times New Roman" w:hAnsi="Times New Roman" w:cs="Times New Roman"/>
                <w:color w:val="auto"/>
                <w:sz w:val="24"/>
              </w:rPr>
              <w:t>工程废水主要是钻井废水、洗井废水、</w:t>
            </w:r>
            <w:r>
              <w:rPr>
                <w:rFonts w:hint="eastAsia" w:ascii="Times New Roman" w:hAnsi="Times New Roman" w:cs="Times New Roman"/>
                <w:color w:val="auto"/>
                <w:sz w:val="24"/>
                <w:lang w:val="en-US" w:eastAsia="zh-CN"/>
              </w:rPr>
              <w:t>井场内</w:t>
            </w:r>
            <w:r>
              <w:rPr>
                <w:rFonts w:hint="eastAsia" w:cs="Times New Roman"/>
                <w:color w:val="auto"/>
                <w:sz w:val="24"/>
                <w:lang w:val="en-US" w:eastAsia="zh-CN"/>
              </w:rPr>
              <w:t>初期雨水</w:t>
            </w:r>
            <w:r>
              <w:rPr>
                <w:rFonts w:hint="eastAsia" w:ascii="Times New Roman" w:hAnsi="Times New Roman" w:cs="Times New Roman"/>
                <w:color w:val="auto"/>
                <w:sz w:val="24"/>
                <w:lang w:val="en-US" w:eastAsia="zh-CN"/>
              </w:rPr>
              <w:t>、压裂废水</w:t>
            </w:r>
            <w:r>
              <w:rPr>
                <w:rFonts w:hint="eastAsia" w:ascii="Times New Roman" w:hAnsi="Times New Roman" w:cs="Times New Roman"/>
                <w:color w:val="auto"/>
                <w:sz w:val="24"/>
                <w:lang w:eastAsia="zh-CN"/>
              </w:rPr>
              <w:t>、</w:t>
            </w:r>
            <w:r>
              <w:rPr>
                <w:rFonts w:hint="eastAsia" w:cs="Times New Roman"/>
                <w:color w:val="auto"/>
                <w:sz w:val="24"/>
                <w:lang w:val="en-US" w:eastAsia="zh-CN"/>
              </w:rPr>
              <w:t>蒸汽冷凝水、</w:t>
            </w:r>
            <w:r>
              <w:rPr>
                <w:rFonts w:hint="default" w:ascii="Times New Roman" w:hAnsi="Times New Roman" w:cs="Times New Roman"/>
                <w:color w:val="auto"/>
                <w:sz w:val="24"/>
              </w:rPr>
              <w:t>生活污水</w:t>
            </w:r>
            <w:r>
              <w:rPr>
                <w:rFonts w:hint="eastAsia" w:ascii="Times New Roman" w:hAnsi="Times New Roman" w:cs="Times New Roman"/>
                <w:color w:val="auto"/>
                <w:sz w:val="24"/>
              </w:rPr>
              <w:t>。</w:t>
            </w:r>
          </w:p>
          <w:p w14:paraId="442A3F6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cs="Times New Roman"/>
                <w:color w:val="auto"/>
                <w:sz w:val="24"/>
                <w:vertAlign w:val="superscript"/>
                <w:lang w:val="en-US" w:eastAsia="zh-CN"/>
              </w:rPr>
              <w:t>3</w:t>
            </w:r>
            <w:r>
              <w:rPr>
                <w:rFonts w:hint="eastAsia" w:ascii="Times New Roman" w:hAnsi="Times New Roman" w:cs="Times New Roman"/>
                <w:color w:val="auto"/>
                <w:sz w:val="24"/>
                <w:lang w:val="en-US" w:eastAsia="zh-CN"/>
              </w:rPr>
              <w:t>）及切换闸，初期雨水通过重力流排入污水池（</w:t>
            </w:r>
            <w:r>
              <w:rPr>
                <w:rFonts w:hint="default" w:ascii="Times New Roman" w:hAnsi="Times New Roman" w:cs="Times New Roman"/>
                <w:color w:val="auto"/>
                <w:sz w:val="24"/>
                <w:lang w:val="en-US" w:eastAsia="zh-CN"/>
              </w:rPr>
              <w:t>多功能网格池</w:t>
            </w:r>
            <w:r>
              <w:rPr>
                <w:rFonts w:hint="eastAsia" w:ascii="Times New Roman" w:hAnsi="Times New Roman" w:cs="Times New Roman"/>
                <w:color w:val="auto"/>
                <w:sz w:val="24"/>
                <w:lang w:val="en-US" w:eastAsia="zh-CN"/>
              </w:rPr>
              <w:t>组），</w:t>
            </w:r>
            <w:r>
              <w:rPr>
                <w:rFonts w:hint="eastAsia" w:cs="Times New Roman"/>
                <w:color w:val="auto"/>
                <w:sz w:val="24"/>
                <w:lang w:val="en-US" w:eastAsia="zh-CN"/>
              </w:rPr>
              <w:t>后期清洁雨水</w:t>
            </w:r>
            <w:r>
              <w:rPr>
                <w:rFonts w:hint="eastAsia" w:ascii="Times New Roman" w:hAnsi="Times New Roman" w:cs="Times New Roman"/>
                <w:color w:val="auto"/>
                <w:sz w:val="24"/>
                <w:lang w:val="en-US" w:eastAsia="zh-CN"/>
              </w:rPr>
              <w:t>通过重力流排向周边环境。</w:t>
            </w:r>
          </w:p>
          <w:p w14:paraId="7BB03E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井场外</w:t>
            </w:r>
            <w:r>
              <w:rPr>
                <w:rFonts w:hint="eastAsia" w:ascii="Times New Roman" w:hAnsi="Times New Roman" w:cs="Times New Roman"/>
                <w:color w:val="auto"/>
                <w:sz w:val="24"/>
                <w:lang w:val="en-US" w:eastAsia="zh-CN"/>
              </w:rPr>
              <w:t>北侧</w:t>
            </w:r>
            <w:r>
              <w:rPr>
                <w:rFonts w:hint="default" w:ascii="Times New Roman" w:hAnsi="Times New Roman" w:cs="Times New Roman"/>
                <w:color w:val="auto"/>
                <w:sz w:val="24"/>
                <w:lang w:val="en-US" w:eastAsia="zh-CN"/>
              </w:rPr>
              <w:t>设截水沟</w:t>
            </w:r>
            <w:r>
              <w:rPr>
                <w:rFonts w:hint="eastAsia" w:ascii="Times New Roman" w:hAnsi="Times New Roman" w:cs="Times New Roman"/>
                <w:color w:val="auto"/>
                <w:sz w:val="24"/>
                <w:lang w:val="en-US" w:eastAsia="zh-CN"/>
              </w:rPr>
              <w:t>及场外清水沟</w:t>
            </w:r>
            <w:r>
              <w:rPr>
                <w:rFonts w:hint="default" w:ascii="Times New Roman" w:hAnsi="Times New Roman" w:cs="Times New Roman"/>
                <w:color w:val="auto"/>
                <w:sz w:val="24"/>
                <w:lang w:val="en-US" w:eastAsia="zh-CN"/>
              </w:rPr>
              <w:t>，</w:t>
            </w:r>
            <w:r>
              <w:rPr>
                <w:rFonts w:hint="eastAsia" w:ascii="Times New Roman" w:hAnsi="Times New Roman" w:cs="Times New Roman"/>
                <w:color w:val="auto"/>
                <w:sz w:val="24"/>
                <w:lang w:val="en-US" w:eastAsia="zh-CN"/>
              </w:rPr>
              <w:t>设截水沟128m、场外清水沟233m，井场外</w:t>
            </w:r>
            <w:r>
              <w:rPr>
                <w:rFonts w:hint="default" w:ascii="Times New Roman" w:hAnsi="Times New Roman" w:cs="Times New Roman"/>
                <w:color w:val="auto"/>
                <w:sz w:val="24"/>
              </w:rPr>
              <w:t>雨水</w:t>
            </w:r>
            <w:r>
              <w:rPr>
                <w:rFonts w:hint="eastAsia" w:ascii="Times New Roman" w:hAnsi="Times New Roman" w:cs="Times New Roman"/>
                <w:color w:val="auto"/>
                <w:sz w:val="24"/>
                <w:lang w:val="en-US" w:eastAsia="zh-CN"/>
              </w:rPr>
              <w:t>由</w:t>
            </w:r>
            <w:r>
              <w:rPr>
                <w:rFonts w:hint="default" w:ascii="Times New Roman" w:hAnsi="Times New Roman" w:cs="Times New Roman"/>
                <w:color w:val="auto"/>
                <w:sz w:val="24"/>
              </w:rPr>
              <w:t>截水沟</w:t>
            </w:r>
            <w:r>
              <w:rPr>
                <w:rFonts w:hint="eastAsia" w:ascii="Times New Roman" w:hAnsi="Times New Roman" w:cs="Times New Roman"/>
                <w:color w:val="auto"/>
                <w:sz w:val="24"/>
                <w:lang w:val="en-US" w:eastAsia="zh-CN"/>
              </w:rPr>
              <w:t>截留</w:t>
            </w:r>
            <w:r>
              <w:rPr>
                <w:rFonts w:hint="default" w:ascii="Times New Roman" w:hAnsi="Times New Roman" w:cs="Times New Roman"/>
                <w:color w:val="auto"/>
                <w:sz w:val="24"/>
              </w:rPr>
              <w:t>，再</w:t>
            </w:r>
            <w:r>
              <w:rPr>
                <w:rFonts w:hint="eastAsia" w:ascii="Times New Roman" w:hAnsi="Times New Roman" w:cs="Times New Roman"/>
                <w:color w:val="auto"/>
                <w:sz w:val="24"/>
                <w:lang w:val="en-US" w:eastAsia="zh-CN"/>
              </w:rPr>
              <w:t>通过场外清水沟</w:t>
            </w:r>
            <w:r>
              <w:rPr>
                <w:rFonts w:hint="default" w:ascii="Times New Roman" w:hAnsi="Times New Roman" w:cs="Times New Roman"/>
                <w:color w:val="auto"/>
                <w:sz w:val="24"/>
              </w:rPr>
              <w:t>排向</w:t>
            </w:r>
            <w:r>
              <w:rPr>
                <w:rFonts w:hint="eastAsia" w:ascii="Times New Roman" w:hAnsi="Times New Roman" w:cs="Times New Roman"/>
                <w:color w:val="auto"/>
                <w:sz w:val="24"/>
              </w:rPr>
              <w:t>周边</w:t>
            </w:r>
            <w:r>
              <w:rPr>
                <w:rFonts w:hint="eastAsia" w:ascii="Times New Roman" w:hAnsi="Times New Roman" w:cs="Times New Roman"/>
                <w:color w:val="auto"/>
                <w:sz w:val="24"/>
                <w:lang w:val="en-US" w:eastAsia="zh-CN"/>
              </w:rPr>
              <w:t>环境，以</w:t>
            </w:r>
            <w:r>
              <w:rPr>
                <w:rFonts w:hint="default" w:ascii="Times New Roman" w:hAnsi="Times New Roman" w:cs="Times New Roman"/>
                <w:color w:val="auto"/>
                <w:sz w:val="24"/>
                <w:lang w:val="en-US" w:eastAsia="zh-CN"/>
              </w:rPr>
              <w:t>防止场外雨水通过地面漫流等形式进入井场内</w:t>
            </w:r>
            <w:r>
              <w:rPr>
                <w:rFonts w:hint="eastAsia" w:ascii="Times New Roman" w:hAnsi="Times New Roman" w:cs="Times New Roman"/>
                <w:color w:val="auto"/>
                <w:sz w:val="24"/>
                <w:lang w:val="en-US" w:eastAsia="zh-CN"/>
              </w:rPr>
              <w:t>。</w:t>
            </w:r>
          </w:p>
          <w:p w14:paraId="027417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其中</w:t>
            </w:r>
            <w:r>
              <w:rPr>
                <w:rFonts w:hint="default" w:ascii="Times New Roman" w:hAnsi="Times New Roman" w:eastAsia="宋体" w:cs="Times New Roman"/>
                <w:color w:val="auto"/>
                <w:sz w:val="24"/>
              </w:rPr>
              <w:t>钻井废水</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井场内</w:t>
            </w:r>
            <w:r>
              <w:rPr>
                <w:rFonts w:hint="eastAsia" w:cs="Times New Roman"/>
                <w:color w:val="auto"/>
                <w:sz w:val="24"/>
                <w:lang w:val="en-US" w:eastAsia="zh-CN"/>
              </w:rPr>
              <w:t>初期雨水优先回用于</w:t>
            </w:r>
            <w:r>
              <w:rPr>
                <w:rFonts w:hint="eastAsia" w:ascii="Times New Roman" w:hAnsi="Times New Roman" w:eastAsia="宋体" w:cs="Times New Roman"/>
                <w:color w:val="auto"/>
                <w:sz w:val="24"/>
                <w:lang w:val="en-US" w:eastAsia="zh-CN"/>
              </w:rPr>
              <w:t>钻井泥浆</w:t>
            </w:r>
            <w:r>
              <w:rPr>
                <w:rFonts w:hint="eastAsia" w:cs="Times New Roman"/>
                <w:color w:val="auto"/>
                <w:sz w:val="24"/>
                <w:lang w:val="en-US" w:eastAsia="zh-CN"/>
              </w:rPr>
              <w:t>配制</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未</w:t>
            </w:r>
            <w:r>
              <w:rPr>
                <w:rFonts w:hint="default" w:ascii="Times New Roman" w:hAnsi="Times New Roman" w:eastAsia="宋体" w:cs="Times New Roman"/>
                <w:color w:val="auto"/>
                <w:sz w:val="24"/>
              </w:rPr>
              <w:t>能回用的</w:t>
            </w:r>
            <w:r>
              <w:rPr>
                <w:rFonts w:hint="eastAsia" w:ascii="Times New Roman" w:hAnsi="Times New Roman" w:eastAsia="宋体" w:cs="Times New Roman"/>
                <w:color w:val="auto"/>
                <w:sz w:val="24"/>
                <w:lang w:val="en-US" w:eastAsia="zh-CN"/>
              </w:rPr>
              <w:t>钻井废水和井场内</w:t>
            </w:r>
            <w:r>
              <w:rPr>
                <w:rFonts w:hint="eastAsia" w:cs="Times New Roman"/>
                <w:color w:val="auto"/>
                <w:sz w:val="24"/>
                <w:lang w:val="en-US" w:eastAsia="zh-CN"/>
              </w:rPr>
              <w:t>初期雨水</w:t>
            </w:r>
            <w:r>
              <w:rPr>
                <w:rFonts w:hint="eastAsia" w:ascii="Times New Roman" w:hAnsi="Times New Roman" w:eastAsia="宋体" w:cs="Times New Roman"/>
                <w:color w:val="auto"/>
                <w:sz w:val="24"/>
                <w:lang w:val="en-US" w:eastAsia="zh-CN"/>
              </w:rPr>
              <w:t>、洗井废水、压裂废水</w:t>
            </w:r>
            <w:r>
              <w:rPr>
                <w:rFonts w:hint="default" w:ascii="Times New Roman" w:hAnsi="Times New Roman" w:eastAsia="宋体" w:cs="Times New Roman"/>
                <w:color w:val="auto"/>
                <w:sz w:val="24"/>
                <w:lang w:val="en-US" w:eastAsia="zh-CN"/>
              </w:rPr>
              <w:t>交由符合环保要求且有处理能力的</w:t>
            </w:r>
            <w:r>
              <w:rPr>
                <w:rFonts w:hint="eastAsia" w:ascii="Times New Roman" w:hAnsi="Times New Roman" w:eastAsia="宋体" w:cs="Times New Roman"/>
                <w:color w:val="auto"/>
                <w:sz w:val="24"/>
                <w:lang w:val="en-US" w:eastAsia="zh-CN"/>
              </w:rPr>
              <w:t>钻井</w:t>
            </w:r>
            <w:r>
              <w:rPr>
                <w:rFonts w:hint="eastAsia" w:ascii="Times New Roman" w:hAnsi="Times New Roman" w:eastAsia="宋体" w:cs="Times New Roman"/>
                <w:color w:val="auto"/>
                <w:sz w:val="24"/>
                <w:lang w:eastAsia="zh-CN"/>
              </w:rPr>
              <w:t>废水</w:t>
            </w:r>
            <w:r>
              <w:rPr>
                <w:rFonts w:hint="eastAsia" w:ascii="Times New Roman" w:hAnsi="Times New Roman" w:eastAsia="宋体" w:cs="Times New Roman"/>
                <w:color w:val="auto"/>
                <w:sz w:val="24"/>
                <w:lang w:val="en-US" w:eastAsia="zh-CN"/>
              </w:rPr>
              <w:t>处理</w:t>
            </w:r>
            <w:r>
              <w:rPr>
                <w:rFonts w:hint="eastAsia" w:ascii="Times New Roman" w:hAnsi="Times New Roman" w:eastAsia="宋体" w:cs="Times New Roman"/>
                <w:color w:val="auto"/>
                <w:sz w:val="24"/>
                <w:lang w:eastAsia="zh-CN"/>
              </w:rPr>
              <w:t>公司进行处理</w:t>
            </w:r>
            <w:r>
              <w:rPr>
                <w:rFonts w:hint="eastAsia" w:cs="Times New Roman"/>
                <w:color w:val="auto"/>
                <w:sz w:val="24"/>
                <w:lang w:eastAsia="zh-CN"/>
              </w:rPr>
              <w:t>；</w:t>
            </w:r>
            <w:r>
              <w:rPr>
                <w:rFonts w:hint="eastAsia" w:cs="Times New Roman"/>
                <w:color w:val="auto"/>
                <w:sz w:val="24"/>
                <w:lang w:val="en-US" w:eastAsia="zh-CN"/>
              </w:rPr>
              <w:t>蒸汽冷凝水在场内汇集至环状雨水沟后进入多功能网格池组</w:t>
            </w:r>
            <w:r>
              <w:rPr>
                <w:rFonts w:hint="eastAsia" w:cs="Times New Roman"/>
                <w:color w:val="auto"/>
                <w:sz w:val="24"/>
                <w:lang w:eastAsia="zh-CN"/>
              </w:rPr>
              <w:t>；</w:t>
            </w:r>
            <w:r>
              <w:rPr>
                <w:rFonts w:hint="eastAsia" w:ascii="Times New Roman" w:hAnsi="Times New Roman" w:eastAsia="宋体" w:cs="Times New Roman"/>
                <w:color w:val="auto"/>
                <w:sz w:val="24"/>
                <w:lang w:val="en-US" w:eastAsia="zh-CN"/>
              </w:rPr>
              <w:t>生活污水通过环保厕所收集后转运至</w:t>
            </w:r>
            <w:r>
              <w:rPr>
                <w:rFonts w:hint="eastAsia" w:cs="Times New Roman"/>
                <w:color w:val="auto"/>
                <w:sz w:val="24"/>
                <w:lang w:val="en-US" w:eastAsia="zh-CN"/>
              </w:rPr>
              <w:t>上八庙</w:t>
            </w:r>
            <w:r>
              <w:rPr>
                <w:rFonts w:hint="eastAsia" w:ascii="Times New Roman" w:hAnsi="Times New Roman" w:eastAsia="宋体" w:cs="Times New Roman"/>
                <w:color w:val="auto"/>
                <w:sz w:val="24"/>
                <w:lang w:val="en-US" w:eastAsia="zh-CN"/>
              </w:rPr>
              <w:t>镇污水处理站处理。</w:t>
            </w:r>
          </w:p>
          <w:p w14:paraId="7246D1C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7、工程占地与土石方平衡</w:t>
            </w:r>
          </w:p>
          <w:p w14:paraId="0A7728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（1）工程占地情况</w:t>
            </w:r>
          </w:p>
          <w:p w14:paraId="53217298">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default" w:ascii="Times New Roman" w:hAnsi="Times New Roman" w:cs="Times New Roman"/>
                <w:color w:val="auto"/>
                <w:sz w:val="24"/>
              </w:rPr>
              <w:t>本</w:t>
            </w:r>
            <w:r>
              <w:rPr>
                <w:rFonts w:hint="eastAsia" w:cs="Times New Roman"/>
                <w:color w:val="auto"/>
                <w:sz w:val="24"/>
                <w:lang w:val="en-US" w:eastAsia="zh-CN"/>
              </w:rPr>
              <w:t>项目</w:t>
            </w:r>
            <w:r>
              <w:rPr>
                <w:rFonts w:hint="default" w:ascii="Times New Roman" w:hAnsi="Times New Roman" w:cs="Times New Roman"/>
                <w:color w:val="auto"/>
                <w:sz w:val="24"/>
              </w:rPr>
              <w:t>占地面积约</w:t>
            </w:r>
            <w:r>
              <w:rPr>
                <w:rFonts w:hint="eastAsia" w:cs="Times New Roman"/>
                <w:color w:val="auto"/>
                <w:sz w:val="24"/>
                <w:lang w:val="en-US" w:eastAsia="zh-CN"/>
              </w:rPr>
              <w:t>1.6780</w:t>
            </w:r>
            <w:r>
              <w:rPr>
                <w:rFonts w:hint="eastAsia" w:ascii="Times New Roman" w:hAnsi="Times New Roman" w:cs="Times New Roman"/>
                <w:color w:val="auto"/>
                <w:sz w:val="24"/>
                <w:lang w:val="en-US" w:eastAsia="zh-CN"/>
              </w:rPr>
              <w:t>h</w:t>
            </w:r>
            <w:r>
              <w:rPr>
                <w:rFonts w:hint="default" w:ascii="Times New Roman" w:hAnsi="Times New Roman" w:cs="Times New Roman"/>
                <w:color w:val="auto"/>
                <w:sz w:val="24"/>
              </w:rPr>
              <w:t>m</w:t>
            </w:r>
            <w:r>
              <w:rPr>
                <w:rFonts w:hint="default" w:ascii="Times New Roman" w:hAnsi="Times New Roman" w:eastAsia="微软雅黑" w:cs="Times New Roman"/>
                <w:color w:val="auto"/>
                <w:sz w:val="24"/>
              </w:rPr>
              <w:t>²</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均为</w:t>
            </w:r>
            <w:r>
              <w:rPr>
                <w:rFonts w:hint="default" w:ascii="Times New Roman" w:hAnsi="Times New Roman" w:eastAsia="宋体" w:cs="Times New Roman"/>
                <w:color w:val="auto"/>
                <w:sz w:val="24"/>
                <w:highlight w:val="none"/>
                <w:lang w:val="en-US" w:eastAsia="zh-CN"/>
              </w:rPr>
              <w:t>临时占地</w:t>
            </w:r>
            <w:r>
              <w:rPr>
                <w:rFonts w:hint="eastAsia" w:ascii="Times New Roman" w:hAnsi="Times New Roman" w:cs="Times New Roman"/>
                <w:b w:val="0"/>
                <w:bCs w:val="0"/>
                <w:color w:val="auto"/>
                <w:sz w:val="24"/>
                <w:szCs w:val="28"/>
                <w:highlight w:val="none"/>
                <w:lang w:val="en-US" w:eastAsia="zh-CN"/>
              </w:rPr>
              <w:t>，项目</w:t>
            </w:r>
            <w:r>
              <w:rPr>
                <w:rFonts w:hint="default" w:ascii="Times New Roman" w:hAnsi="Times New Roman" w:cs="Times New Roman"/>
                <w:color w:val="auto"/>
                <w:sz w:val="24"/>
                <w:highlight w:val="none"/>
              </w:rPr>
              <w:t>用地范围</w:t>
            </w:r>
            <w:r>
              <w:rPr>
                <w:rFonts w:hint="eastAsia" w:ascii="Times New Roman" w:hAnsi="Times New Roman" w:cs="Times New Roman"/>
                <w:color w:val="auto"/>
                <w:sz w:val="24"/>
                <w:highlight w:val="none"/>
                <w:lang w:val="en-US" w:eastAsia="zh-CN"/>
              </w:rPr>
              <w:t>不涉及占用</w:t>
            </w:r>
            <w:r>
              <w:rPr>
                <w:rFonts w:hint="default" w:ascii="Times New Roman" w:hAnsi="Times New Roman" w:cs="Times New Roman"/>
                <w:color w:val="auto"/>
                <w:sz w:val="24"/>
                <w:highlight w:val="none"/>
              </w:rPr>
              <w:t>生态保护红线，位于城镇开发边界</w:t>
            </w:r>
            <w:r>
              <w:rPr>
                <w:rFonts w:hint="eastAsia" w:ascii="Times New Roman" w:hAnsi="Times New Roman" w:cs="Times New Roman"/>
                <w:color w:val="auto"/>
                <w:sz w:val="24"/>
                <w:highlight w:val="none"/>
                <w:lang w:val="en-US" w:eastAsia="zh-CN"/>
              </w:rPr>
              <w:t>外，</w:t>
            </w:r>
            <w:r>
              <w:rPr>
                <w:rFonts w:hint="default" w:ascii="Times New Roman" w:hAnsi="Times New Roman" w:cs="Times New Roman"/>
                <w:color w:val="auto"/>
                <w:sz w:val="24"/>
              </w:rPr>
              <w:t>工程占地情况见下表。</w:t>
            </w:r>
          </w:p>
          <w:p w14:paraId="0D720433">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项目占地面积一览表</w:t>
            </w:r>
          </w:p>
          <w:tbl>
            <w:tblPr>
              <w:tblStyle w:val="23"/>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259"/>
              <w:gridCol w:w="1894"/>
              <w:gridCol w:w="2609"/>
              <w:gridCol w:w="1160"/>
            </w:tblGrid>
            <w:tr w14:paraId="310C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73" w:type="pct"/>
                  <w:tcBorders>
                    <w:tl2br w:val="nil"/>
                    <w:tr2bl w:val="nil"/>
                  </w:tcBorders>
                  <w:noWrap w:val="0"/>
                  <w:vAlign w:val="center"/>
                </w:tcPr>
                <w:p w14:paraId="579E52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061" w:type="pct"/>
                  <w:gridSpan w:val="2"/>
                  <w:tcBorders>
                    <w:tl2br w:val="nil"/>
                    <w:tr2bl w:val="nil"/>
                  </w:tcBorders>
                  <w:noWrap w:val="0"/>
                  <w:vAlign w:val="center"/>
                </w:tcPr>
                <w:p w14:paraId="1FE64DD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用地项目</w:t>
                  </w:r>
                </w:p>
              </w:tc>
              <w:tc>
                <w:tcPr>
                  <w:tcW w:w="1706" w:type="pct"/>
                  <w:tcBorders>
                    <w:tl2br w:val="nil"/>
                    <w:tr2bl w:val="nil"/>
                  </w:tcBorders>
                  <w:noWrap w:val="0"/>
                  <w:vAlign w:val="center"/>
                </w:tcPr>
                <w:p w14:paraId="114A499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用地面积（</w:t>
                  </w:r>
                  <w:r>
                    <w:rPr>
                      <w:rFonts w:hint="eastAsia" w:ascii="Times New Roman" w:hAnsi="Times New Roman" w:cs="Times New Roman"/>
                      <w:b/>
                      <w:color w:val="auto"/>
                      <w:szCs w:val="20"/>
                      <w:lang w:val="en-US" w:eastAsia="zh-CN"/>
                    </w:rPr>
                    <w:t>hm</w:t>
                  </w:r>
                  <w:r>
                    <w:rPr>
                      <w:rFonts w:hint="eastAsia" w:ascii="Times New Roman" w:hAnsi="Times New Roman" w:cs="Times New Roman"/>
                      <w:b/>
                      <w:color w:val="auto"/>
                      <w:szCs w:val="20"/>
                      <w:vertAlign w:val="superscript"/>
                      <w:lang w:val="en-US" w:eastAsia="zh-CN"/>
                    </w:rPr>
                    <w:t>2</w:t>
                  </w:r>
                  <w:r>
                    <w:rPr>
                      <w:rFonts w:hint="default" w:ascii="Times New Roman" w:hAnsi="Times New Roman" w:cs="Times New Roman"/>
                      <w:b/>
                      <w:color w:val="auto"/>
                      <w:szCs w:val="20"/>
                    </w:rPr>
                    <w:t>）</w:t>
                  </w:r>
                </w:p>
              </w:tc>
              <w:tc>
                <w:tcPr>
                  <w:tcW w:w="758" w:type="pct"/>
                  <w:tcBorders>
                    <w:tl2br w:val="nil"/>
                    <w:tr2bl w:val="nil"/>
                  </w:tcBorders>
                  <w:noWrap w:val="0"/>
                  <w:vAlign w:val="center"/>
                </w:tcPr>
                <w:p w14:paraId="66CBC8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5117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noWrap w:val="0"/>
                  <w:vAlign w:val="center"/>
                </w:tcPr>
                <w:p w14:paraId="4C7F2D6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1</w:t>
                  </w:r>
                </w:p>
              </w:tc>
              <w:tc>
                <w:tcPr>
                  <w:tcW w:w="823" w:type="pct"/>
                  <w:vMerge w:val="restart"/>
                  <w:tcBorders>
                    <w:tl2br w:val="nil"/>
                    <w:tr2bl w:val="nil"/>
                  </w:tcBorders>
                  <w:noWrap w:val="0"/>
                  <w:vAlign w:val="center"/>
                </w:tcPr>
                <w:p w14:paraId="44FA3EB3">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钻井场地红线内</w:t>
                  </w:r>
                </w:p>
              </w:tc>
              <w:tc>
                <w:tcPr>
                  <w:tcW w:w="1238" w:type="pct"/>
                  <w:tcBorders>
                    <w:tl2br w:val="nil"/>
                    <w:tr2bl w:val="nil"/>
                  </w:tcBorders>
                  <w:shd w:val="clear" w:color="auto" w:fill="auto"/>
                  <w:noWrap w:val="0"/>
                  <w:vAlign w:val="center"/>
                </w:tcPr>
                <w:p w14:paraId="39121754">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bCs/>
                      <w:color w:val="auto"/>
                    </w:rPr>
                    <w:t>井场</w:t>
                  </w:r>
                  <w:r>
                    <w:rPr>
                      <w:rFonts w:hint="eastAsia" w:ascii="Times New Roman" w:hAnsi="Times New Roman" w:eastAsia="宋体" w:cs="Times New Roman"/>
                      <w:bCs/>
                      <w:color w:val="auto"/>
                      <w:lang w:val="en-US" w:eastAsia="zh-CN"/>
                    </w:rPr>
                    <w:t>占地</w:t>
                  </w:r>
                </w:p>
              </w:tc>
              <w:tc>
                <w:tcPr>
                  <w:tcW w:w="1706" w:type="pct"/>
                  <w:tcBorders>
                    <w:tl2br w:val="nil"/>
                    <w:tr2bl w:val="nil"/>
                  </w:tcBorders>
                  <w:noWrap w:val="0"/>
                  <w:vAlign w:val="center"/>
                </w:tcPr>
                <w:p w14:paraId="3AB7107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bCs/>
                      <w:color w:val="auto"/>
                      <w:lang w:val="en-US" w:eastAsia="zh-CN"/>
                    </w:rPr>
                    <w:t>0.7200</w:t>
                  </w:r>
                </w:p>
              </w:tc>
              <w:tc>
                <w:tcPr>
                  <w:tcW w:w="758" w:type="pct"/>
                  <w:vMerge w:val="restart"/>
                  <w:tcBorders>
                    <w:tl2br w:val="nil"/>
                    <w:tr2bl w:val="nil"/>
                  </w:tcBorders>
                  <w:noWrap w:val="0"/>
                  <w:vAlign w:val="center"/>
                </w:tcPr>
                <w:p w14:paraId="6FB4390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临时用地</w:t>
                  </w:r>
                </w:p>
              </w:tc>
            </w:tr>
            <w:tr w14:paraId="7360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2A2D8E75">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bCs/>
                      <w:color w:val="auto"/>
                    </w:rPr>
                    <w:t>2</w:t>
                  </w:r>
                </w:p>
              </w:tc>
              <w:tc>
                <w:tcPr>
                  <w:tcW w:w="823" w:type="pct"/>
                  <w:vMerge w:val="continue"/>
                  <w:tcBorders>
                    <w:tl2br w:val="nil"/>
                    <w:tr2bl w:val="nil"/>
                  </w:tcBorders>
                  <w:shd w:val="clear" w:color="auto" w:fill="auto"/>
                  <w:noWrap w:val="0"/>
                  <w:vAlign w:val="center"/>
                </w:tcPr>
                <w:p w14:paraId="459F52EE">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p>
              </w:tc>
              <w:tc>
                <w:tcPr>
                  <w:tcW w:w="1238" w:type="pct"/>
                  <w:tcBorders>
                    <w:tl2br w:val="nil"/>
                    <w:tr2bl w:val="nil"/>
                  </w:tcBorders>
                  <w:shd w:val="clear" w:color="auto" w:fill="auto"/>
                  <w:noWrap w:val="0"/>
                  <w:vAlign w:val="center"/>
                </w:tcPr>
                <w:p w14:paraId="4ECB5DF5">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lang w:val="en-US" w:eastAsia="zh-CN"/>
                    </w:rPr>
                    <w:t>多功能池组</w:t>
                  </w:r>
                </w:p>
              </w:tc>
              <w:tc>
                <w:tcPr>
                  <w:tcW w:w="1706" w:type="pct"/>
                  <w:tcBorders>
                    <w:tl2br w:val="nil"/>
                    <w:tr2bl w:val="nil"/>
                  </w:tcBorders>
                  <w:shd w:val="clear" w:color="auto" w:fill="auto"/>
                  <w:noWrap w:val="0"/>
                  <w:vAlign w:val="center"/>
                </w:tcPr>
                <w:p w14:paraId="5E6C7BC1">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0.0458</w:t>
                  </w:r>
                </w:p>
              </w:tc>
              <w:tc>
                <w:tcPr>
                  <w:tcW w:w="758" w:type="pct"/>
                  <w:vMerge w:val="continue"/>
                  <w:tcBorders>
                    <w:tl2br w:val="nil"/>
                    <w:tr2bl w:val="nil"/>
                  </w:tcBorders>
                  <w:noWrap w:val="0"/>
                  <w:vAlign w:val="center"/>
                </w:tcPr>
                <w:p w14:paraId="46CC1D7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5C5F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5F6FEBF4">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bCs/>
                      <w:color w:val="auto"/>
                    </w:rPr>
                    <w:t>3</w:t>
                  </w:r>
                </w:p>
              </w:tc>
              <w:tc>
                <w:tcPr>
                  <w:tcW w:w="823" w:type="pct"/>
                  <w:vMerge w:val="continue"/>
                  <w:tcBorders>
                    <w:tl2br w:val="nil"/>
                    <w:tr2bl w:val="nil"/>
                  </w:tcBorders>
                  <w:shd w:val="clear" w:color="auto" w:fill="auto"/>
                  <w:noWrap w:val="0"/>
                  <w:vAlign w:val="center"/>
                </w:tcPr>
                <w:p w14:paraId="7AEACB3E">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p>
              </w:tc>
              <w:tc>
                <w:tcPr>
                  <w:tcW w:w="1238" w:type="pct"/>
                  <w:tcBorders>
                    <w:tl2br w:val="nil"/>
                    <w:tr2bl w:val="nil"/>
                  </w:tcBorders>
                  <w:shd w:val="clear" w:color="auto" w:fill="auto"/>
                  <w:noWrap w:val="0"/>
                  <w:vAlign w:val="center"/>
                </w:tcPr>
                <w:p w14:paraId="720341DB">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rPr>
                    <w:t>清水池</w:t>
                  </w:r>
                </w:p>
              </w:tc>
              <w:tc>
                <w:tcPr>
                  <w:tcW w:w="1706" w:type="pct"/>
                  <w:tcBorders>
                    <w:tl2br w:val="nil"/>
                    <w:tr2bl w:val="nil"/>
                  </w:tcBorders>
                  <w:shd w:val="clear" w:color="auto" w:fill="auto"/>
                  <w:noWrap w:val="0"/>
                  <w:vAlign w:val="center"/>
                </w:tcPr>
                <w:p w14:paraId="40BA5C43">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lang w:val="en-US" w:eastAsia="zh-CN"/>
                    </w:rPr>
                    <w:t>0.1073</w:t>
                  </w:r>
                </w:p>
              </w:tc>
              <w:tc>
                <w:tcPr>
                  <w:tcW w:w="758" w:type="pct"/>
                  <w:vMerge w:val="continue"/>
                  <w:tcBorders>
                    <w:tl2br w:val="nil"/>
                    <w:tr2bl w:val="nil"/>
                  </w:tcBorders>
                  <w:noWrap w:val="0"/>
                  <w:vAlign w:val="center"/>
                </w:tcPr>
                <w:p w14:paraId="447FC0D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F34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16DE72ED">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4</w:t>
                  </w:r>
                </w:p>
              </w:tc>
              <w:tc>
                <w:tcPr>
                  <w:tcW w:w="823" w:type="pct"/>
                  <w:vMerge w:val="continue"/>
                  <w:tcBorders>
                    <w:tl2br w:val="nil"/>
                    <w:tr2bl w:val="nil"/>
                  </w:tcBorders>
                  <w:shd w:val="clear" w:color="auto" w:fill="auto"/>
                  <w:noWrap w:val="0"/>
                  <w:vAlign w:val="center"/>
                </w:tcPr>
                <w:p w14:paraId="67CEF2FE">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p>
              </w:tc>
              <w:tc>
                <w:tcPr>
                  <w:tcW w:w="1238" w:type="pct"/>
                  <w:tcBorders>
                    <w:tl2br w:val="nil"/>
                    <w:tr2bl w:val="nil"/>
                  </w:tcBorders>
                  <w:shd w:val="clear" w:color="auto" w:fill="auto"/>
                  <w:noWrap w:val="0"/>
                  <w:vAlign w:val="center"/>
                </w:tcPr>
                <w:p w14:paraId="6051C190">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bCs/>
                      <w:color w:val="auto"/>
                    </w:rPr>
                    <w:t>放喷</w:t>
                  </w:r>
                  <w:r>
                    <w:rPr>
                      <w:rFonts w:hint="eastAsia" w:ascii="Times New Roman" w:hAnsi="Times New Roman" w:eastAsia="宋体" w:cs="Times New Roman"/>
                      <w:bCs/>
                      <w:color w:val="auto"/>
                    </w:rPr>
                    <w:t>池</w:t>
                  </w:r>
                  <w:r>
                    <w:rPr>
                      <w:rFonts w:hint="eastAsia" w:ascii="Times New Roman" w:hAnsi="Times New Roman" w:eastAsia="宋体" w:cs="Times New Roman"/>
                      <w:bCs/>
                      <w:color w:val="auto"/>
                      <w:lang w:val="en-US" w:eastAsia="zh-CN"/>
                    </w:rPr>
                    <w:t>用地</w:t>
                  </w:r>
                </w:p>
              </w:tc>
              <w:tc>
                <w:tcPr>
                  <w:tcW w:w="1706" w:type="pct"/>
                  <w:tcBorders>
                    <w:tl2br w:val="nil"/>
                    <w:tr2bl w:val="nil"/>
                  </w:tcBorders>
                  <w:shd w:val="clear" w:color="auto" w:fill="auto"/>
                  <w:noWrap w:val="0"/>
                  <w:vAlign w:val="center"/>
                </w:tcPr>
                <w:p w14:paraId="327BD525">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lang w:val="en-US" w:eastAsia="zh-CN"/>
                    </w:rPr>
                    <w:t>0.0274</w:t>
                  </w:r>
                </w:p>
              </w:tc>
              <w:tc>
                <w:tcPr>
                  <w:tcW w:w="758" w:type="pct"/>
                  <w:vMerge w:val="continue"/>
                  <w:tcBorders>
                    <w:tl2br w:val="nil"/>
                    <w:tr2bl w:val="nil"/>
                  </w:tcBorders>
                  <w:noWrap w:val="0"/>
                  <w:vAlign w:val="center"/>
                </w:tcPr>
                <w:p w14:paraId="1F06326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4D6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173BA4BF">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lang w:val="en-US" w:eastAsia="zh-CN"/>
                    </w:rPr>
                    <w:t>5</w:t>
                  </w:r>
                </w:p>
              </w:tc>
              <w:tc>
                <w:tcPr>
                  <w:tcW w:w="823" w:type="pct"/>
                  <w:vMerge w:val="continue"/>
                  <w:tcBorders>
                    <w:tl2br w:val="nil"/>
                    <w:tr2bl w:val="nil"/>
                  </w:tcBorders>
                  <w:shd w:val="clear" w:color="auto" w:fill="auto"/>
                  <w:noWrap w:val="0"/>
                  <w:vAlign w:val="center"/>
                </w:tcPr>
                <w:p w14:paraId="272C7001">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p>
              </w:tc>
              <w:tc>
                <w:tcPr>
                  <w:tcW w:w="1238" w:type="pct"/>
                  <w:tcBorders>
                    <w:tl2br w:val="nil"/>
                    <w:tr2bl w:val="nil"/>
                  </w:tcBorders>
                  <w:shd w:val="clear" w:color="auto" w:fill="auto"/>
                  <w:noWrap w:val="0"/>
                  <w:vAlign w:val="center"/>
                </w:tcPr>
                <w:p w14:paraId="0851AFF7">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油罐区用地</w:t>
                  </w:r>
                </w:p>
              </w:tc>
              <w:tc>
                <w:tcPr>
                  <w:tcW w:w="1706" w:type="pct"/>
                  <w:tcBorders>
                    <w:tl2br w:val="nil"/>
                    <w:tr2bl w:val="nil"/>
                  </w:tcBorders>
                  <w:shd w:val="clear" w:color="auto" w:fill="auto"/>
                  <w:noWrap w:val="0"/>
                  <w:vAlign w:val="center"/>
                </w:tcPr>
                <w:p w14:paraId="629BD723">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0.0100</w:t>
                  </w:r>
                </w:p>
              </w:tc>
              <w:tc>
                <w:tcPr>
                  <w:tcW w:w="758" w:type="pct"/>
                  <w:vMerge w:val="continue"/>
                  <w:tcBorders>
                    <w:tl2br w:val="nil"/>
                    <w:tr2bl w:val="nil"/>
                  </w:tcBorders>
                  <w:noWrap w:val="0"/>
                  <w:vAlign w:val="center"/>
                </w:tcPr>
                <w:p w14:paraId="0CD534B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3ED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70CF05BD">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6</w:t>
                  </w:r>
                </w:p>
              </w:tc>
              <w:tc>
                <w:tcPr>
                  <w:tcW w:w="823" w:type="pct"/>
                  <w:vMerge w:val="continue"/>
                  <w:tcBorders>
                    <w:tl2br w:val="nil"/>
                    <w:tr2bl w:val="nil"/>
                  </w:tcBorders>
                  <w:noWrap w:val="0"/>
                  <w:vAlign w:val="center"/>
                </w:tcPr>
                <w:p w14:paraId="6E0E3B76">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p>
              </w:tc>
              <w:tc>
                <w:tcPr>
                  <w:tcW w:w="1238" w:type="pct"/>
                  <w:tcBorders>
                    <w:tl2br w:val="nil"/>
                    <w:tr2bl w:val="nil"/>
                  </w:tcBorders>
                  <w:shd w:val="clear" w:color="auto" w:fill="auto"/>
                  <w:noWrap w:val="0"/>
                  <w:vAlign w:val="center"/>
                </w:tcPr>
                <w:p w14:paraId="59AD60BE">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Cs/>
                      <w:color w:val="auto"/>
                      <w:lang w:val="en-US" w:eastAsia="zh-CN"/>
                    </w:rPr>
                    <w:t>道路、边坡及其他空地</w:t>
                  </w:r>
                </w:p>
              </w:tc>
              <w:tc>
                <w:tcPr>
                  <w:tcW w:w="1706" w:type="pct"/>
                  <w:tcBorders>
                    <w:tl2br w:val="nil"/>
                    <w:tr2bl w:val="nil"/>
                  </w:tcBorders>
                  <w:noWrap w:val="0"/>
                  <w:vAlign w:val="center"/>
                </w:tcPr>
                <w:p w14:paraId="783CBD5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bCs/>
                      <w:color w:val="auto"/>
                      <w:lang w:val="en-US" w:eastAsia="zh-CN"/>
                    </w:rPr>
                    <w:t>0.5992</w:t>
                  </w:r>
                </w:p>
              </w:tc>
              <w:tc>
                <w:tcPr>
                  <w:tcW w:w="758" w:type="pct"/>
                  <w:vMerge w:val="continue"/>
                  <w:tcBorders>
                    <w:tl2br w:val="nil"/>
                    <w:tr2bl w:val="nil"/>
                  </w:tcBorders>
                  <w:noWrap w:val="0"/>
                  <w:vAlign w:val="center"/>
                </w:tcPr>
                <w:p w14:paraId="46E21BF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78D8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shd w:val="clear" w:color="auto" w:fill="auto"/>
                  <w:noWrap w:val="0"/>
                  <w:vAlign w:val="center"/>
                </w:tcPr>
                <w:p w14:paraId="70119100">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eastAsia="zh-CN"/>
                    </w:rPr>
                    <w:t>7</w:t>
                  </w:r>
                </w:p>
              </w:tc>
              <w:tc>
                <w:tcPr>
                  <w:tcW w:w="823" w:type="pct"/>
                  <w:vMerge w:val="continue"/>
                  <w:tcBorders>
                    <w:tl2br w:val="nil"/>
                    <w:tr2bl w:val="nil"/>
                  </w:tcBorders>
                  <w:noWrap w:val="0"/>
                  <w:vAlign w:val="center"/>
                </w:tcPr>
                <w:p w14:paraId="7E52DC04">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p>
              </w:tc>
              <w:tc>
                <w:tcPr>
                  <w:tcW w:w="1238" w:type="pct"/>
                  <w:tcBorders>
                    <w:tl2br w:val="nil"/>
                    <w:tr2bl w:val="nil"/>
                  </w:tcBorders>
                  <w:shd w:val="clear" w:color="auto" w:fill="auto"/>
                  <w:noWrap w:val="0"/>
                  <w:vAlign w:val="center"/>
                </w:tcPr>
                <w:p w14:paraId="145E60F1">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表土堆场用地</w:t>
                  </w:r>
                </w:p>
              </w:tc>
              <w:tc>
                <w:tcPr>
                  <w:tcW w:w="1706" w:type="pct"/>
                  <w:tcBorders>
                    <w:tl2br w:val="nil"/>
                    <w:tr2bl w:val="nil"/>
                  </w:tcBorders>
                  <w:noWrap w:val="0"/>
                  <w:vAlign w:val="center"/>
                </w:tcPr>
                <w:p w14:paraId="7403E8CE">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0.1013</w:t>
                  </w:r>
                </w:p>
              </w:tc>
              <w:tc>
                <w:tcPr>
                  <w:tcW w:w="758" w:type="pct"/>
                  <w:vMerge w:val="continue"/>
                  <w:tcBorders>
                    <w:tl2br w:val="nil"/>
                    <w:tr2bl w:val="nil"/>
                  </w:tcBorders>
                  <w:noWrap w:val="0"/>
                  <w:vAlign w:val="center"/>
                </w:tcPr>
                <w:p w14:paraId="3A3EE79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12B9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3" w:type="pct"/>
                  <w:tcBorders>
                    <w:tl2br w:val="nil"/>
                    <w:tr2bl w:val="nil"/>
                  </w:tcBorders>
                  <w:noWrap w:val="0"/>
                  <w:vAlign w:val="center"/>
                </w:tcPr>
                <w:p w14:paraId="4BECAA9B">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8</w:t>
                  </w:r>
                </w:p>
              </w:tc>
              <w:tc>
                <w:tcPr>
                  <w:tcW w:w="823" w:type="pct"/>
                  <w:tcBorders>
                    <w:tl2br w:val="nil"/>
                    <w:tr2bl w:val="nil"/>
                  </w:tcBorders>
                  <w:noWrap w:val="0"/>
                  <w:vAlign w:val="center"/>
                </w:tcPr>
                <w:p w14:paraId="1A5506B5">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钻井场地红线外</w:t>
                  </w:r>
                </w:p>
              </w:tc>
              <w:tc>
                <w:tcPr>
                  <w:tcW w:w="1238" w:type="pct"/>
                  <w:tcBorders>
                    <w:tl2br w:val="nil"/>
                    <w:tr2bl w:val="nil"/>
                  </w:tcBorders>
                  <w:shd w:val="clear" w:color="auto" w:fill="auto"/>
                  <w:noWrap w:val="0"/>
                  <w:vAlign w:val="center"/>
                </w:tcPr>
                <w:p w14:paraId="4EC0DFF5">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生活营地</w:t>
                  </w:r>
                </w:p>
              </w:tc>
              <w:tc>
                <w:tcPr>
                  <w:tcW w:w="1706" w:type="pct"/>
                  <w:tcBorders>
                    <w:tl2br w:val="nil"/>
                    <w:tr2bl w:val="nil"/>
                  </w:tcBorders>
                  <w:noWrap w:val="0"/>
                  <w:vAlign w:val="center"/>
                </w:tcPr>
                <w:p w14:paraId="245EA384">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0.0670</w:t>
                  </w:r>
                </w:p>
              </w:tc>
              <w:tc>
                <w:tcPr>
                  <w:tcW w:w="758" w:type="pct"/>
                  <w:vMerge w:val="continue"/>
                  <w:tcBorders>
                    <w:tl2br w:val="nil"/>
                    <w:tr2bl w:val="nil"/>
                  </w:tcBorders>
                  <w:noWrap w:val="0"/>
                  <w:vAlign w:val="center"/>
                </w:tcPr>
                <w:p w14:paraId="0CE013E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B58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35" w:type="pct"/>
                  <w:gridSpan w:val="3"/>
                  <w:tcBorders>
                    <w:tl2br w:val="nil"/>
                    <w:tr2bl w:val="nil"/>
                  </w:tcBorders>
                  <w:noWrap w:val="0"/>
                  <w:vAlign w:val="center"/>
                </w:tcPr>
                <w:p w14:paraId="42075A9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Cs/>
                      <w:color w:val="auto"/>
                    </w:rPr>
                    <w:t>总计</w:t>
                  </w:r>
                </w:p>
              </w:tc>
              <w:tc>
                <w:tcPr>
                  <w:tcW w:w="1706" w:type="pct"/>
                  <w:tcBorders>
                    <w:tl2br w:val="nil"/>
                    <w:tr2bl w:val="nil"/>
                  </w:tcBorders>
                  <w:noWrap w:val="0"/>
                  <w:vAlign w:val="center"/>
                </w:tcPr>
                <w:p w14:paraId="2D065B78">
                  <w:pPr>
                    <w:pStyle w:val="55"/>
                    <w:keepNext w:val="0"/>
                    <w:keepLines w:val="0"/>
                    <w:suppressLineNumbers w:val="0"/>
                    <w:spacing w:before="0" w:beforeAutospacing="0" w:after="0" w:afterAutospacing="0"/>
                    <w:ind w:left="0" w:right="0"/>
                    <w:rPr>
                      <w:rFonts w:hint="default" w:ascii="Times New Roman" w:hAnsi="Times New Roman" w:eastAsia="宋体" w:cs="Times New Roman"/>
                      <w:b/>
                      <w:bCs/>
                      <w:color w:val="auto"/>
                      <w:lang w:val="en-US"/>
                    </w:rPr>
                  </w:pPr>
                  <w:r>
                    <w:rPr>
                      <w:rFonts w:hint="eastAsia" w:ascii="Times New Roman" w:hAnsi="Times New Roman" w:eastAsia="宋体" w:cs="Times New Roman"/>
                      <w:bCs/>
                      <w:color w:val="auto"/>
                      <w:lang w:val="en-US" w:eastAsia="zh-CN"/>
                    </w:rPr>
                    <w:t>1.6780</w:t>
                  </w:r>
                </w:p>
              </w:tc>
              <w:tc>
                <w:tcPr>
                  <w:tcW w:w="758" w:type="pct"/>
                  <w:vMerge w:val="continue"/>
                  <w:tcBorders>
                    <w:tl2br w:val="nil"/>
                    <w:tr2bl w:val="nil"/>
                  </w:tcBorders>
                  <w:noWrap w:val="0"/>
                  <w:vAlign w:val="center"/>
                </w:tcPr>
                <w:p w14:paraId="0857EC9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bl>
          <w:p w14:paraId="1048C3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rPr>
              <w:t>项目主要占用耕地（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永久基本农田）、林地、</w:t>
            </w:r>
            <w:r>
              <w:rPr>
                <w:rFonts w:hint="eastAsia" w:cs="Times New Roman"/>
                <w:color w:val="auto"/>
                <w:sz w:val="24"/>
                <w:lang w:val="en-US" w:eastAsia="zh-CN"/>
              </w:rPr>
              <w:t>坑塘水面</w:t>
            </w:r>
            <w:r>
              <w:rPr>
                <w:rFonts w:hint="eastAsia" w:ascii="Times New Roman" w:hAnsi="Times New Roman" w:cs="Times New Roman"/>
                <w:color w:val="auto"/>
                <w:sz w:val="24"/>
              </w:rPr>
              <w:t>、农村宅基地</w:t>
            </w:r>
            <w:r>
              <w:rPr>
                <w:rFonts w:hint="eastAsia" w:ascii="Times New Roman" w:hAnsi="Times New Roman" w:cs="Times New Roman"/>
                <w:color w:val="auto"/>
                <w:sz w:val="24"/>
                <w:lang w:val="en-US" w:eastAsia="zh-CN"/>
              </w:rPr>
              <w:t>等</w:t>
            </w:r>
            <w:r>
              <w:rPr>
                <w:rFonts w:hint="eastAsia" w:ascii="Times New Roman" w:hAnsi="Times New Roman" w:cs="Times New Roman"/>
                <w:color w:val="auto"/>
                <w:sz w:val="24"/>
              </w:rPr>
              <w:t>，其中林地多为杂树、柏树，未见</w:t>
            </w:r>
            <w:r>
              <w:rPr>
                <w:rFonts w:hint="eastAsia" w:ascii="Times New Roman" w:hAnsi="Times New Roman" w:cs="Times New Roman"/>
                <w:color w:val="auto"/>
                <w:sz w:val="24"/>
                <w:lang w:val="en-US" w:eastAsia="zh-CN"/>
              </w:rPr>
              <w:t>珍稀</w:t>
            </w:r>
            <w:r>
              <w:rPr>
                <w:rFonts w:hint="eastAsia" w:ascii="Times New Roman" w:hAnsi="Times New Roman" w:cs="Times New Roman"/>
                <w:color w:val="auto"/>
                <w:sz w:val="24"/>
              </w:rPr>
              <w:t>名贵</w:t>
            </w:r>
            <w:r>
              <w:rPr>
                <w:rFonts w:hint="eastAsia" w:ascii="Times New Roman" w:hAnsi="Times New Roman" w:cs="Times New Roman"/>
                <w:color w:val="auto"/>
                <w:sz w:val="24"/>
                <w:lang w:val="en-US" w:eastAsia="zh-CN"/>
              </w:rPr>
              <w:t>植物</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kern w:val="0"/>
                <w:sz w:val="24"/>
                <w:szCs w:val="24"/>
                <w:highlight w:val="none"/>
                <w:lang w:val="en-US" w:eastAsia="zh-CN" w:bidi="ar-SA"/>
              </w:rPr>
              <w:t>不涉及天然林、公益林</w:t>
            </w:r>
            <w:r>
              <w:rPr>
                <w:rFonts w:hint="eastAsia" w:ascii="Times New Roman" w:hAnsi="Times New Roman" w:cs="Times New Roman"/>
                <w:color w:val="auto"/>
                <w:sz w:val="24"/>
              </w:rPr>
              <w:t>。根据</w:t>
            </w:r>
            <w:r>
              <w:rPr>
                <w:rFonts w:hint="eastAsia" w:ascii="Times New Roman" w:hAnsi="Times New Roman" w:cs="Times New Roman"/>
                <w:color w:val="auto"/>
                <w:sz w:val="24"/>
                <w:lang w:val="en-US" w:eastAsia="zh-CN"/>
              </w:rPr>
              <w:t>相关设计资料</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占林地用地面积约</w:t>
            </w:r>
            <w:r>
              <w:rPr>
                <w:rFonts w:hint="eastAsia" w:cs="Times New Roman"/>
                <w:color w:val="auto"/>
                <w:sz w:val="24"/>
                <w:lang w:val="en-US" w:eastAsia="zh-CN"/>
              </w:rPr>
              <w:t>0.2464</w:t>
            </w:r>
            <w:r>
              <w:rPr>
                <w:rFonts w:hint="eastAsia" w:ascii="Times New Roman" w:hAnsi="Times New Roman" w:cs="Times New Roman"/>
                <w:color w:val="auto"/>
                <w:sz w:val="24"/>
                <w:lang w:val="en-US" w:eastAsia="zh-CN"/>
              </w:rPr>
              <w:t>h</w:t>
            </w:r>
            <w:r>
              <w:rPr>
                <w:rFonts w:hint="eastAsia" w:ascii="Times New Roman" w:hAnsi="Times New Roman" w:cs="Times New Roman"/>
                <w:color w:val="auto"/>
                <w:sz w:val="24"/>
              </w:rPr>
              <w:t>m</w:t>
            </w:r>
            <w:r>
              <w:rPr>
                <w:rFonts w:hint="eastAsia" w:ascii="Times New Roman" w:hAnsi="Times New Roman" w:cs="Times New Roman"/>
                <w:color w:val="auto"/>
                <w:sz w:val="24"/>
                <w:vertAlign w:val="superscript"/>
              </w:rPr>
              <w:t>2</w:t>
            </w:r>
            <w:r>
              <w:rPr>
                <w:rFonts w:hint="eastAsia" w:ascii="Times New Roman" w:hAnsi="Times New Roman" w:cs="Times New Roman"/>
                <w:color w:val="auto"/>
                <w:sz w:val="24"/>
              </w:rPr>
              <w:t>，占耕地面积约</w:t>
            </w:r>
            <w:r>
              <w:rPr>
                <w:rFonts w:hint="eastAsia" w:ascii="Times New Roman" w:hAnsi="Times New Roman" w:cs="Times New Roman"/>
                <w:color w:val="auto"/>
                <w:sz w:val="24"/>
                <w:lang w:val="en-US" w:eastAsia="zh-CN"/>
              </w:rPr>
              <w:t>1.</w:t>
            </w:r>
            <w:r>
              <w:rPr>
                <w:rFonts w:hint="eastAsia" w:cs="Times New Roman"/>
                <w:color w:val="auto"/>
                <w:sz w:val="24"/>
                <w:lang w:val="en-US" w:eastAsia="zh-CN"/>
              </w:rPr>
              <w:t>2726</w:t>
            </w:r>
            <w:r>
              <w:rPr>
                <w:rFonts w:hint="eastAsia" w:ascii="Times New Roman" w:hAnsi="Times New Roman" w:cs="Times New Roman"/>
                <w:color w:val="auto"/>
                <w:sz w:val="24"/>
                <w:lang w:val="en-US" w:eastAsia="zh-CN"/>
              </w:rPr>
              <w:t>h</w:t>
            </w:r>
            <w:r>
              <w:rPr>
                <w:rFonts w:hint="eastAsia" w:ascii="Times New Roman" w:hAnsi="Times New Roman" w:cs="Times New Roman"/>
                <w:color w:val="auto"/>
                <w:sz w:val="24"/>
              </w:rPr>
              <w:t>m</w:t>
            </w:r>
            <w:r>
              <w:rPr>
                <w:rFonts w:hint="eastAsia" w:ascii="Times New Roman" w:hAnsi="Times New Roman" w:cs="Times New Roman"/>
                <w:color w:val="auto"/>
                <w:sz w:val="24"/>
                <w:vertAlign w:val="superscript"/>
              </w:rPr>
              <w:t>2</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耕地中</w:t>
            </w:r>
            <w:r>
              <w:rPr>
                <w:rFonts w:hint="eastAsia" w:cs="Times New Roman"/>
                <w:color w:val="auto"/>
                <w:sz w:val="24"/>
                <w:lang w:val="en-US" w:eastAsia="zh-CN"/>
              </w:rPr>
              <w:t>0.9557</w:t>
            </w:r>
            <w:r>
              <w:rPr>
                <w:rFonts w:hint="eastAsia" w:ascii="Times New Roman" w:hAnsi="Times New Roman" w:cs="Times New Roman"/>
                <w:color w:val="auto"/>
                <w:sz w:val="24"/>
                <w:lang w:val="en-US" w:eastAsia="zh-CN"/>
              </w:rPr>
              <w:t>hm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为永久基本农田。</w:t>
            </w:r>
          </w:p>
          <w:p w14:paraId="50845FC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项目占地类型一览表    单位：hm</w:t>
            </w:r>
            <w:r>
              <w:rPr>
                <w:rFonts w:hint="eastAsia" w:ascii="Times New Roman" w:hAnsi="Times New Roman" w:eastAsia="宋体" w:cs="Times New Roman"/>
                <w:b/>
                <w:color w:val="auto"/>
                <w:vertAlign w:val="superscript"/>
                <w:lang w:val="en-US" w:eastAsia="zh-CN"/>
              </w:rPr>
              <w:t>2</w:t>
            </w:r>
          </w:p>
          <w:tbl>
            <w:tblPr>
              <w:tblStyle w:val="23"/>
              <w:tblW w:w="48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091"/>
              <w:gridCol w:w="1432"/>
              <w:gridCol w:w="1512"/>
              <w:gridCol w:w="2860"/>
            </w:tblGrid>
            <w:tr w14:paraId="0E5E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41" w:type="pct"/>
                  <w:tcBorders>
                    <w:tl2br w:val="nil"/>
                    <w:tr2bl w:val="nil"/>
                  </w:tcBorders>
                  <w:noWrap w:val="0"/>
                  <w:vAlign w:val="center"/>
                </w:tcPr>
                <w:p w14:paraId="24B9B00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1667" w:type="pct"/>
                  <w:gridSpan w:val="2"/>
                  <w:tcBorders>
                    <w:tl2br w:val="nil"/>
                    <w:tr2bl w:val="nil"/>
                  </w:tcBorders>
                  <w:noWrap w:val="0"/>
                  <w:vAlign w:val="center"/>
                </w:tcPr>
                <w:p w14:paraId="22E1BAD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用地项目</w:t>
                  </w:r>
                </w:p>
              </w:tc>
              <w:tc>
                <w:tcPr>
                  <w:tcW w:w="999" w:type="pct"/>
                  <w:tcBorders>
                    <w:tl2br w:val="nil"/>
                    <w:tr2bl w:val="nil"/>
                  </w:tcBorders>
                  <w:noWrap w:val="0"/>
                  <w:vAlign w:val="center"/>
                </w:tcPr>
                <w:p w14:paraId="443E351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用地面积</w:t>
                  </w:r>
                </w:p>
              </w:tc>
              <w:tc>
                <w:tcPr>
                  <w:tcW w:w="1890" w:type="pct"/>
                  <w:tcBorders>
                    <w:tl2br w:val="nil"/>
                    <w:tr2bl w:val="nil"/>
                  </w:tcBorders>
                  <w:noWrap w:val="0"/>
                  <w:vAlign w:val="center"/>
                </w:tcPr>
                <w:p w14:paraId="32C05C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14D4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vMerge w:val="restart"/>
                  <w:tcBorders>
                    <w:tl2br w:val="nil"/>
                    <w:tr2bl w:val="nil"/>
                  </w:tcBorders>
                  <w:noWrap w:val="0"/>
                  <w:vAlign w:val="center"/>
                </w:tcPr>
                <w:p w14:paraId="59941B5B">
                  <w:pPr>
                    <w:pStyle w:val="55"/>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r>
                    <w:rPr>
                      <w:rFonts w:hint="eastAsia" w:ascii="Times New Roman" w:hAnsi="Times New Roman" w:eastAsia="宋体" w:cs="Times New Roman"/>
                      <w:bCs/>
                      <w:color w:val="auto"/>
                    </w:rPr>
                    <w:t>1</w:t>
                  </w:r>
                </w:p>
              </w:tc>
              <w:tc>
                <w:tcPr>
                  <w:tcW w:w="721" w:type="pct"/>
                  <w:vMerge w:val="restart"/>
                  <w:tcBorders>
                    <w:tl2br w:val="nil"/>
                    <w:tr2bl w:val="nil"/>
                  </w:tcBorders>
                  <w:noWrap w:val="0"/>
                  <w:vAlign w:val="center"/>
                </w:tcPr>
                <w:p w14:paraId="5B2C295B">
                  <w:pPr>
                    <w:pStyle w:val="55"/>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r>
                    <w:rPr>
                      <w:rFonts w:hint="eastAsia" w:ascii="Times New Roman" w:hAnsi="Times New Roman" w:eastAsia="宋体" w:cs="Times New Roman"/>
                      <w:bCs/>
                      <w:color w:val="auto"/>
                      <w:sz w:val="21"/>
                      <w:lang w:val="en-US" w:eastAsia="zh-CN"/>
                    </w:rPr>
                    <w:t>农用地</w:t>
                  </w:r>
                </w:p>
              </w:tc>
              <w:tc>
                <w:tcPr>
                  <w:tcW w:w="946" w:type="pct"/>
                  <w:tcBorders>
                    <w:tl2br w:val="nil"/>
                    <w:tr2bl w:val="nil"/>
                  </w:tcBorders>
                  <w:noWrap w:val="0"/>
                  <w:vAlign w:val="center"/>
                </w:tcPr>
                <w:p w14:paraId="47402D9C">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1"/>
                      <w:lang w:val="en-US" w:eastAsia="zh-CN"/>
                    </w:rPr>
                  </w:pPr>
                  <w:r>
                    <w:rPr>
                      <w:rFonts w:hint="eastAsia" w:ascii="Times New Roman" w:hAnsi="Times New Roman" w:eastAsia="宋体" w:cs="Times New Roman"/>
                      <w:bCs/>
                      <w:color w:val="auto"/>
                      <w:sz w:val="21"/>
                      <w:lang w:val="en-US" w:eastAsia="zh-CN"/>
                    </w:rPr>
                    <w:t>耕地</w:t>
                  </w:r>
                </w:p>
              </w:tc>
              <w:tc>
                <w:tcPr>
                  <w:tcW w:w="999" w:type="pct"/>
                  <w:tcBorders>
                    <w:tl2br w:val="nil"/>
                    <w:tr2bl w:val="nil"/>
                  </w:tcBorders>
                  <w:noWrap w:val="0"/>
                  <w:vAlign w:val="center"/>
                </w:tcPr>
                <w:p w14:paraId="589B4CF7">
                  <w:pPr>
                    <w:pStyle w:val="55"/>
                    <w:keepNext w:val="0"/>
                    <w:keepLines w:val="0"/>
                    <w:suppressLineNumbers w:val="0"/>
                    <w:spacing w:before="0" w:beforeAutospacing="0" w:after="0" w:afterAutospacing="0"/>
                    <w:ind w:left="0" w:right="0"/>
                    <w:rPr>
                      <w:rFonts w:hint="eastAsia" w:ascii="Times New Roman" w:hAnsi="Times New Roman" w:eastAsia="宋体" w:cs="Times New Roman"/>
                      <w:b w:val="0"/>
                      <w:bCs/>
                      <w:color w:val="auto"/>
                      <w:lang w:val="en-US" w:eastAsia="zh-CN"/>
                    </w:rPr>
                  </w:pPr>
                  <w:r>
                    <w:rPr>
                      <w:rFonts w:hint="eastAsia" w:ascii="Times New Roman" w:hAnsi="Times New Roman" w:eastAsia="宋体" w:cs="Times New Roman"/>
                      <w:b w:val="0"/>
                      <w:bCs/>
                      <w:color w:val="auto"/>
                      <w:lang w:val="en-US" w:eastAsia="zh-CN"/>
                    </w:rPr>
                    <w:t>1.2726</w:t>
                  </w:r>
                </w:p>
              </w:tc>
              <w:tc>
                <w:tcPr>
                  <w:tcW w:w="1890" w:type="pct"/>
                  <w:tcBorders>
                    <w:tl2br w:val="nil"/>
                    <w:tr2bl w:val="nil"/>
                  </w:tcBorders>
                  <w:noWrap w:val="0"/>
                  <w:vAlign w:val="center"/>
                </w:tcPr>
                <w:p w14:paraId="2006AF60">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含永久基本农</w:t>
                  </w:r>
                  <w:r>
                    <w:rPr>
                      <w:rFonts w:hint="eastAsia" w:ascii="Times New Roman" w:hAnsi="Times New Roman" w:eastAsia="宋体" w:cs="Times New Roman"/>
                      <w:b w:val="0"/>
                      <w:bCs/>
                      <w:color w:val="auto"/>
                      <w:lang w:val="en-US" w:eastAsia="zh-CN"/>
                    </w:rPr>
                    <w:t>田0.9557</w:t>
                  </w:r>
                </w:p>
              </w:tc>
            </w:tr>
            <w:tr w14:paraId="5701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vMerge w:val="continue"/>
                  <w:tcBorders>
                    <w:tl2br w:val="nil"/>
                    <w:tr2bl w:val="nil"/>
                  </w:tcBorders>
                  <w:noWrap w:val="0"/>
                  <w:vAlign w:val="center"/>
                </w:tcPr>
                <w:p w14:paraId="28B381AC">
                  <w:pPr>
                    <w:pStyle w:val="55"/>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p>
              </w:tc>
              <w:tc>
                <w:tcPr>
                  <w:tcW w:w="721" w:type="pct"/>
                  <w:vMerge w:val="continue"/>
                  <w:tcBorders>
                    <w:tl2br w:val="nil"/>
                    <w:tr2bl w:val="nil"/>
                  </w:tcBorders>
                  <w:noWrap w:val="0"/>
                  <w:vAlign w:val="center"/>
                </w:tcPr>
                <w:p w14:paraId="5D77E343">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p>
              </w:tc>
              <w:tc>
                <w:tcPr>
                  <w:tcW w:w="946" w:type="pct"/>
                  <w:tcBorders>
                    <w:tl2br w:val="nil"/>
                    <w:tr2bl w:val="nil"/>
                  </w:tcBorders>
                  <w:noWrap w:val="0"/>
                  <w:vAlign w:val="center"/>
                </w:tcPr>
                <w:p w14:paraId="2B1861DA">
                  <w:pPr>
                    <w:pStyle w:val="55"/>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sz w:val="21"/>
                      <w:lang w:val="en-US" w:eastAsia="zh-CN"/>
                    </w:rPr>
                    <w:t>林地</w:t>
                  </w:r>
                </w:p>
              </w:tc>
              <w:tc>
                <w:tcPr>
                  <w:tcW w:w="999" w:type="pct"/>
                  <w:tcBorders>
                    <w:tl2br w:val="nil"/>
                    <w:tr2bl w:val="nil"/>
                  </w:tcBorders>
                  <w:noWrap w:val="0"/>
                  <w:vAlign w:val="center"/>
                </w:tcPr>
                <w:p w14:paraId="5494C0C3">
                  <w:pPr>
                    <w:keepNext w:val="0"/>
                    <w:keepLines w:val="0"/>
                    <w:suppressLineNumbers w:val="0"/>
                    <w:spacing w:before="0" w:beforeAutospacing="0" w:after="0" w:afterAutospacing="0"/>
                    <w:ind w:left="0" w:right="0"/>
                    <w:jc w:val="center"/>
                    <w:rPr>
                      <w:rFonts w:hint="default"/>
                      <w:color w:val="auto"/>
                      <w:lang w:val="en-US" w:eastAsia="zh-CN"/>
                    </w:rPr>
                  </w:pPr>
                  <w:r>
                    <w:rPr>
                      <w:rFonts w:hint="eastAsia" w:cs="Times New Roman"/>
                      <w:b w:val="0"/>
                      <w:bCs/>
                      <w:color w:val="auto"/>
                      <w:lang w:val="en-US" w:eastAsia="zh-CN"/>
                    </w:rPr>
                    <w:t>0.2464</w:t>
                  </w:r>
                </w:p>
              </w:tc>
              <w:tc>
                <w:tcPr>
                  <w:tcW w:w="1890" w:type="pct"/>
                  <w:vMerge w:val="restart"/>
                  <w:tcBorders>
                    <w:tl2br w:val="nil"/>
                    <w:tr2bl w:val="nil"/>
                  </w:tcBorders>
                  <w:noWrap w:val="0"/>
                  <w:vAlign w:val="center"/>
                </w:tcPr>
                <w:p w14:paraId="361BDFA9">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井场区域占用</w:t>
                  </w:r>
                </w:p>
              </w:tc>
            </w:tr>
            <w:tr w14:paraId="7047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vMerge w:val="continue"/>
                  <w:tcBorders>
                    <w:tl2br w:val="nil"/>
                    <w:tr2bl w:val="nil"/>
                  </w:tcBorders>
                  <w:noWrap w:val="0"/>
                  <w:vAlign w:val="center"/>
                </w:tcPr>
                <w:p w14:paraId="28469616">
                  <w:pPr>
                    <w:pStyle w:val="55"/>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p>
              </w:tc>
              <w:tc>
                <w:tcPr>
                  <w:tcW w:w="721" w:type="pct"/>
                  <w:vMerge w:val="continue"/>
                  <w:tcBorders>
                    <w:tl2br w:val="nil"/>
                    <w:tr2bl w:val="nil"/>
                  </w:tcBorders>
                  <w:noWrap w:val="0"/>
                  <w:vAlign w:val="center"/>
                </w:tcPr>
                <w:p w14:paraId="7057F178">
                  <w:pPr>
                    <w:pStyle w:val="55"/>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p>
              </w:tc>
              <w:tc>
                <w:tcPr>
                  <w:tcW w:w="946" w:type="pct"/>
                  <w:tcBorders>
                    <w:tl2br w:val="nil"/>
                    <w:tr2bl w:val="nil"/>
                  </w:tcBorders>
                  <w:noWrap w:val="0"/>
                  <w:vAlign w:val="center"/>
                </w:tcPr>
                <w:p w14:paraId="123D5146">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sz w:val="21"/>
                      <w:lang w:val="en-US" w:eastAsia="zh-CN"/>
                    </w:rPr>
                    <w:t>坑塘水面</w:t>
                  </w:r>
                </w:p>
              </w:tc>
              <w:tc>
                <w:tcPr>
                  <w:tcW w:w="999" w:type="pct"/>
                  <w:tcBorders>
                    <w:tl2br w:val="nil"/>
                    <w:tr2bl w:val="nil"/>
                  </w:tcBorders>
                  <w:noWrap w:val="0"/>
                  <w:vAlign w:val="center"/>
                </w:tcPr>
                <w:p w14:paraId="3C8AD2EA">
                  <w:pPr>
                    <w:pStyle w:val="55"/>
                    <w:keepNext w:val="0"/>
                    <w:keepLines w:val="0"/>
                    <w:suppressLineNumbers w:val="0"/>
                    <w:spacing w:before="0" w:beforeAutospacing="0" w:after="0" w:afterAutospacing="0"/>
                    <w:ind w:left="0" w:right="0" w:firstLine="0" w:firstLineChars="0"/>
                    <w:rPr>
                      <w:rFonts w:hint="default"/>
                      <w:color w:val="auto"/>
                      <w:lang w:val="en-US" w:eastAsia="zh-CN"/>
                    </w:rPr>
                  </w:pPr>
                  <w:r>
                    <w:rPr>
                      <w:rFonts w:hint="eastAsia" w:ascii="Times New Roman" w:hAnsi="Times New Roman" w:eastAsia="宋体" w:cs="Times New Roman"/>
                      <w:b w:val="0"/>
                      <w:bCs/>
                      <w:color w:val="auto"/>
                      <w:lang w:val="en-US" w:eastAsia="zh-CN"/>
                    </w:rPr>
                    <w:t>0.1254</w:t>
                  </w:r>
                </w:p>
              </w:tc>
              <w:tc>
                <w:tcPr>
                  <w:tcW w:w="1890" w:type="pct"/>
                  <w:vMerge w:val="continue"/>
                  <w:tcBorders>
                    <w:tl2br w:val="nil"/>
                    <w:tr2bl w:val="nil"/>
                  </w:tcBorders>
                  <w:noWrap w:val="0"/>
                  <w:vAlign w:val="center"/>
                </w:tcPr>
                <w:p w14:paraId="4A77F7E0">
                  <w:pPr>
                    <w:pStyle w:val="55"/>
                    <w:keepNext w:val="0"/>
                    <w:keepLines w:val="0"/>
                    <w:suppressLineNumbers w:val="0"/>
                    <w:spacing w:before="0" w:beforeAutospacing="0" w:after="0" w:afterAutospacing="0"/>
                    <w:ind w:left="0" w:right="0" w:firstLine="0" w:firstLineChars="0"/>
                    <w:outlineLvl w:val="9"/>
                    <w:rPr>
                      <w:rFonts w:hint="default" w:ascii="Times New Roman" w:hAnsi="Times New Roman" w:eastAsia="Times New Roman" w:cs="Times New Roman"/>
                      <w:b w:val="0"/>
                      <w:color w:val="auto"/>
                      <w:kern w:val="2"/>
                      <w:sz w:val="21"/>
                      <w:szCs w:val="21"/>
                      <w:lang w:val="en-US" w:eastAsia="zh-CN" w:bidi="ar-SA"/>
                    </w:rPr>
                  </w:pPr>
                </w:p>
              </w:tc>
            </w:tr>
            <w:tr w14:paraId="7E0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tcBorders>
                    <w:tl2br w:val="nil"/>
                    <w:tr2bl w:val="nil"/>
                  </w:tcBorders>
                  <w:noWrap w:val="0"/>
                  <w:vAlign w:val="center"/>
                </w:tcPr>
                <w:p w14:paraId="34E46D5F">
                  <w:pPr>
                    <w:pStyle w:val="55"/>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eastAsia="zh-CN"/>
                    </w:rPr>
                  </w:pPr>
                  <w:r>
                    <w:rPr>
                      <w:rFonts w:hint="eastAsia" w:ascii="Times New Roman" w:hAnsi="Times New Roman" w:eastAsia="宋体" w:cs="Times New Roman"/>
                      <w:bCs/>
                      <w:color w:val="auto"/>
                      <w:lang w:val="en-US" w:eastAsia="zh-CN"/>
                    </w:rPr>
                    <w:t>2</w:t>
                  </w:r>
                </w:p>
              </w:tc>
              <w:tc>
                <w:tcPr>
                  <w:tcW w:w="721" w:type="pct"/>
                  <w:tcBorders>
                    <w:tl2br w:val="nil"/>
                    <w:tr2bl w:val="nil"/>
                  </w:tcBorders>
                  <w:noWrap w:val="0"/>
                  <w:vAlign w:val="center"/>
                </w:tcPr>
                <w:p w14:paraId="059F43FD">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建设用地</w:t>
                  </w:r>
                </w:p>
              </w:tc>
              <w:tc>
                <w:tcPr>
                  <w:tcW w:w="946" w:type="pct"/>
                  <w:tcBorders>
                    <w:tl2br w:val="nil"/>
                    <w:tr2bl w:val="nil"/>
                  </w:tcBorders>
                  <w:noWrap w:val="0"/>
                  <w:vAlign w:val="center"/>
                </w:tcPr>
                <w:p w14:paraId="6FAB2EA8">
                  <w:pPr>
                    <w:pStyle w:val="55"/>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sz w:val="21"/>
                    </w:rPr>
                    <w:t>农村宅基地</w:t>
                  </w:r>
                </w:p>
              </w:tc>
              <w:tc>
                <w:tcPr>
                  <w:tcW w:w="999" w:type="pct"/>
                  <w:tcBorders>
                    <w:tl2br w:val="nil"/>
                    <w:tr2bl w:val="nil"/>
                  </w:tcBorders>
                  <w:noWrap w:val="0"/>
                  <w:vAlign w:val="center"/>
                </w:tcPr>
                <w:p w14:paraId="73AE6061">
                  <w:pPr>
                    <w:pStyle w:val="55"/>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lang w:val="en-US" w:eastAsia="zh-CN"/>
                    </w:rPr>
                    <w:t>0.0336</w:t>
                  </w:r>
                </w:p>
              </w:tc>
              <w:tc>
                <w:tcPr>
                  <w:tcW w:w="1890" w:type="pct"/>
                  <w:vMerge w:val="continue"/>
                  <w:tcBorders>
                    <w:tl2br w:val="nil"/>
                    <w:tr2bl w:val="nil"/>
                  </w:tcBorders>
                  <w:noWrap w:val="0"/>
                  <w:vAlign w:val="center"/>
                </w:tcPr>
                <w:p w14:paraId="5E8F9154">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p>
              </w:tc>
            </w:tr>
            <w:tr w14:paraId="4814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1" w:type="pct"/>
                  <w:tcBorders>
                    <w:tl2br w:val="nil"/>
                    <w:tr2bl w:val="nil"/>
                  </w:tcBorders>
                  <w:noWrap w:val="0"/>
                  <w:vAlign w:val="center"/>
                </w:tcPr>
                <w:p w14:paraId="5382CC58">
                  <w:pPr>
                    <w:pStyle w:val="55"/>
                    <w:keepNext w:val="0"/>
                    <w:keepLines w:val="0"/>
                    <w:suppressLineNumbers w:val="0"/>
                    <w:spacing w:before="0" w:beforeAutospacing="0" w:after="0" w:afterAutospacing="0"/>
                    <w:ind w:left="0" w:right="0"/>
                    <w:rPr>
                      <w:rFonts w:ascii="Times New Roman" w:hAnsi="Times New Roman" w:eastAsia="宋体" w:cs="Times New Roman"/>
                      <w:b/>
                      <w:bCs/>
                      <w:color w:val="auto"/>
                    </w:rPr>
                  </w:pPr>
                  <w:r>
                    <w:rPr>
                      <w:rFonts w:hint="eastAsia" w:ascii="Times New Roman" w:hAnsi="Times New Roman" w:eastAsia="宋体" w:cs="Times New Roman"/>
                      <w:b/>
                      <w:bCs/>
                      <w:color w:val="auto"/>
                    </w:rPr>
                    <w:t>/</w:t>
                  </w:r>
                </w:p>
              </w:tc>
              <w:tc>
                <w:tcPr>
                  <w:tcW w:w="721" w:type="pct"/>
                  <w:tcBorders>
                    <w:tl2br w:val="nil"/>
                    <w:tr2bl w:val="nil"/>
                  </w:tcBorders>
                  <w:noWrap w:val="0"/>
                  <w:vAlign w:val="center"/>
                </w:tcPr>
                <w:p w14:paraId="225BA810">
                  <w:pPr>
                    <w:pStyle w:val="55"/>
                    <w:keepNext w:val="0"/>
                    <w:keepLines w:val="0"/>
                    <w:suppressLineNumbers w:val="0"/>
                    <w:spacing w:before="0" w:beforeAutospacing="0" w:after="0" w:afterAutospacing="0"/>
                    <w:ind w:left="0" w:right="0"/>
                    <w:rPr>
                      <w:rFonts w:ascii="Times New Roman" w:hAnsi="Times New Roman" w:cs="Times New Roman"/>
                      <w:b w:val="0"/>
                      <w:bCs/>
                      <w:color w:val="auto"/>
                    </w:rPr>
                  </w:pPr>
                  <w:r>
                    <w:rPr>
                      <w:rFonts w:ascii="Times New Roman" w:hAnsi="Times New Roman" w:eastAsia="宋体" w:cs="Times New Roman"/>
                      <w:b w:val="0"/>
                      <w:bCs/>
                      <w:color w:val="auto"/>
                    </w:rPr>
                    <w:t>总计</w:t>
                  </w:r>
                </w:p>
              </w:tc>
              <w:tc>
                <w:tcPr>
                  <w:tcW w:w="946" w:type="pct"/>
                  <w:tcBorders>
                    <w:tl2br w:val="nil"/>
                    <w:tr2bl w:val="nil"/>
                  </w:tcBorders>
                  <w:noWrap w:val="0"/>
                  <w:vAlign w:val="center"/>
                </w:tcPr>
                <w:p w14:paraId="2DE10A1A">
                  <w:pPr>
                    <w:pStyle w:val="55"/>
                    <w:keepNext w:val="0"/>
                    <w:keepLines w:val="0"/>
                    <w:suppressLineNumbers w:val="0"/>
                    <w:spacing w:before="0" w:beforeAutospacing="0" w:after="0" w:afterAutospacing="0"/>
                    <w:ind w:left="0" w:right="0"/>
                    <w:rPr>
                      <w:rFonts w:hint="eastAsia" w:ascii="Times New Roman" w:hAnsi="Times New Roman" w:eastAsia="宋体" w:cs="Times New Roman"/>
                      <w:b w:val="0"/>
                      <w:bCs/>
                      <w:color w:val="auto"/>
                      <w:lang w:val="en-US" w:eastAsia="zh-CN"/>
                    </w:rPr>
                  </w:pPr>
                  <w:r>
                    <w:rPr>
                      <w:rFonts w:hint="eastAsia" w:ascii="Times New Roman" w:hAnsi="Times New Roman" w:eastAsia="宋体" w:cs="Times New Roman"/>
                      <w:b w:val="0"/>
                      <w:bCs/>
                      <w:color w:val="auto"/>
                      <w:lang w:val="en-US" w:eastAsia="zh-CN"/>
                    </w:rPr>
                    <w:t>/</w:t>
                  </w:r>
                </w:p>
              </w:tc>
              <w:tc>
                <w:tcPr>
                  <w:tcW w:w="999" w:type="pct"/>
                  <w:tcBorders>
                    <w:tl2br w:val="nil"/>
                    <w:tr2bl w:val="nil"/>
                  </w:tcBorders>
                  <w:noWrap w:val="0"/>
                  <w:vAlign w:val="center"/>
                </w:tcPr>
                <w:p w14:paraId="3104C538">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lang w:val="en-US" w:eastAsia="zh-CN"/>
                    </w:rPr>
                  </w:pPr>
                  <w:r>
                    <w:rPr>
                      <w:rFonts w:hint="eastAsia" w:ascii="Times New Roman" w:hAnsi="Times New Roman" w:eastAsia="宋体" w:cs="Times New Roman"/>
                      <w:bCs/>
                      <w:color w:val="auto"/>
                      <w:lang w:val="en-US" w:eastAsia="zh-CN"/>
                    </w:rPr>
                    <w:t>1.6780</w:t>
                  </w:r>
                </w:p>
              </w:tc>
              <w:tc>
                <w:tcPr>
                  <w:tcW w:w="1890" w:type="pct"/>
                  <w:tcBorders>
                    <w:tl2br w:val="nil"/>
                    <w:tr2bl w:val="nil"/>
                  </w:tcBorders>
                  <w:noWrap w:val="0"/>
                  <w:vAlign w:val="center"/>
                </w:tcPr>
                <w:p w14:paraId="503B66F2">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bl>
          <w:p w14:paraId="3588BC3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（2）土石方平衡</w:t>
            </w:r>
          </w:p>
          <w:p w14:paraId="7D4C89F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本工程土石方主要</w:t>
            </w:r>
            <w:r>
              <w:rPr>
                <w:rFonts w:hint="eastAsia" w:ascii="Times New Roman" w:hAnsi="Times New Roman" w:cs="Times New Roman"/>
                <w:color w:val="auto"/>
                <w:sz w:val="24"/>
                <w:lang w:eastAsia="zh-CN"/>
              </w:rPr>
              <w:t>来自</w:t>
            </w:r>
            <w:r>
              <w:rPr>
                <w:rFonts w:hint="eastAsia" w:ascii="Times New Roman" w:hAnsi="Times New Roman" w:cs="Times New Roman"/>
                <w:color w:val="auto"/>
                <w:sz w:val="24"/>
              </w:rPr>
              <w:t>井场平整、结构基础及</w:t>
            </w:r>
            <w:r>
              <w:rPr>
                <w:rFonts w:hint="eastAsia" w:ascii="Times New Roman" w:hAnsi="Times New Roman" w:cs="Times New Roman"/>
                <w:color w:val="auto"/>
                <w:sz w:val="24"/>
                <w:lang w:val="en-US" w:eastAsia="zh-CN"/>
              </w:rPr>
              <w:t>钻前</w:t>
            </w:r>
            <w:r>
              <w:rPr>
                <w:rFonts w:hint="eastAsia" w:ascii="Times New Roman" w:hAnsi="Times New Roman" w:cs="Times New Roman"/>
                <w:color w:val="auto"/>
                <w:sz w:val="24"/>
              </w:rPr>
              <w:t>工程，</w:t>
            </w:r>
            <w:r>
              <w:rPr>
                <w:rFonts w:hint="eastAsia" w:ascii="Times New Roman" w:hAnsi="Times New Roman" w:cs="Times New Roman"/>
                <w:color w:val="auto"/>
                <w:sz w:val="24"/>
                <w:lang w:val="en-US" w:eastAsia="zh-CN"/>
              </w:rPr>
              <w:t>其中表土堆场区需对排水边沟、多功能网格池组处进行表土剥离，其余工程所涉及的占地均需先期进行表土剥离。</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cs="Times New Roman"/>
                <w:bCs/>
                <w:color w:val="auto"/>
                <w:sz w:val="24"/>
                <w:lang w:val="en-US" w:eastAsia="zh-CN"/>
              </w:rPr>
              <w:t>单独堆放</w:t>
            </w:r>
            <w:r>
              <w:rPr>
                <w:rFonts w:hint="eastAsia" w:ascii="Times New Roman" w:hAnsi="Times New Roman" w:cs="Times New Roman"/>
                <w:bCs/>
                <w:color w:val="auto"/>
                <w:sz w:val="24"/>
              </w:rPr>
              <w:t>，并对堆场表层进行撒草绿化</w:t>
            </w:r>
            <w:r>
              <w:rPr>
                <w:rFonts w:hint="eastAsia" w:ascii="Times New Roman" w:hAnsi="Times New Roman" w:cs="Times New Roman"/>
                <w:color w:val="auto"/>
                <w:sz w:val="24"/>
              </w:rPr>
              <w:t>，待工程结束后对井场进行复耕复绿。</w:t>
            </w:r>
          </w:p>
          <w:p w14:paraId="06A7DF28">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kern w:val="0"/>
                <w:sz w:val="24"/>
                <w:lang w:bidi="ar"/>
              </w:rPr>
            </w:pPr>
            <w:r>
              <w:rPr>
                <w:rFonts w:hint="eastAsia" w:ascii="Times New Roman" w:hAnsi="Times New Roman" w:cs="Times New Roman"/>
                <w:color w:val="auto"/>
                <w:sz w:val="24"/>
              </w:rPr>
              <w:t>根据设计资料，</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挖方总量为</w:t>
            </w:r>
            <w:r>
              <w:rPr>
                <w:rFonts w:hint="eastAsia" w:cs="Times New Roman"/>
                <w:color w:val="auto"/>
                <w:sz w:val="24"/>
                <w:lang w:val="en-US" w:eastAsia="zh-CN"/>
              </w:rPr>
              <w:t>20301</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（含剥离表土</w:t>
            </w:r>
            <w:r>
              <w:rPr>
                <w:rFonts w:hint="eastAsia" w:cs="Times New Roman"/>
                <w:color w:val="auto"/>
                <w:kern w:val="0"/>
                <w:sz w:val="24"/>
                <w:lang w:val="en-US" w:eastAsia="zh-CN" w:bidi="ar"/>
              </w:rPr>
              <w:t>5550</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土石方</w:t>
            </w:r>
            <w:r>
              <w:rPr>
                <w:rFonts w:hint="eastAsia" w:cs="Times New Roman"/>
                <w:color w:val="auto"/>
                <w:kern w:val="0"/>
                <w:sz w:val="24"/>
                <w:lang w:val="en-US" w:eastAsia="zh-CN" w:bidi="ar"/>
              </w:rPr>
              <w:t>填方量14751</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cs="Times New Roman"/>
                <w:color w:val="auto"/>
                <w:kern w:val="0"/>
                <w:sz w:val="24"/>
                <w:lang w:eastAsia="zh-CN" w:bidi="ar"/>
              </w:rPr>
              <w:t>，</w:t>
            </w:r>
            <w:r>
              <w:rPr>
                <w:rFonts w:hint="eastAsia" w:cs="Times New Roman"/>
                <w:color w:val="auto"/>
                <w:kern w:val="0"/>
                <w:sz w:val="24"/>
                <w:lang w:val="en-US" w:eastAsia="zh-CN" w:bidi="ar"/>
              </w:rPr>
              <w:t>无余方产生</w:t>
            </w:r>
            <w:r>
              <w:rPr>
                <w:rFonts w:hint="eastAsia" w:ascii="Times New Roman" w:hAnsi="Times New Roman" w:cs="Times New Roman"/>
                <w:color w:val="auto"/>
                <w:kern w:val="0"/>
                <w:sz w:val="24"/>
                <w:lang w:val="en-US" w:eastAsia="zh-CN" w:bidi="ar"/>
              </w:rPr>
              <w:t>。</w:t>
            </w:r>
            <w:r>
              <w:rPr>
                <w:rFonts w:hint="eastAsia" w:cs="Times New Roman"/>
                <w:color w:val="auto"/>
                <w:kern w:val="0"/>
                <w:sz w:val="24"/>
                <w:lang w:val="en-US" w:eastAsia="zh-CN" w:bidi="ar"/>
              </w:rPr>
              <w:t>项目剥离的表土全部</w:t>
            </w:r>
            <w:r>
              <w:rPr>
                <w:rFonts w:hint="eastAsia" w:ascii="Times New Roman" w:hAnsi="Times New Roman" w:cs="Times New Roman"/>
                <w:color w:val="auto"/>
                <w:kern w:val="0"/>
                <w:sz w:val="24"/>
                <w:lang w:val="en-US" w:eastAsia="zh-CN" w:bidi="ar"/>
              </w:rPr>
              <w:t>暂存于表土堆场，用于</w:t>
            </w:r>
            <w:r>
              <w:rPr>
                <w:rFonts w:hint="eastAsia" w:cs="Times New Roman"/>
                <w:color w:val="auto"/>
                <w:kern w:val="0"/>
                <w:sz w:val="24"/>
                <w:lang w:val="en-US" w:eastAsia="zh-CN" w:bidi="ar"/>
              </w:rPr>
              <w:t>后期本项目临时用地</w:t>
            </w:r>
            <w:r>
              <w:rPr>
                <w:rFonts w:hint="eastAsia" w:ascii="Times New Roman" w:hAnsi="Times New Roman" w:cs="Times New Roman"/>
                <w:color w:val="auto"/>
                <w:kern w:val="0"/>
                <w:sz w:val="24"/>
                <w:lang w:val="en-US" w:eastAsia="zh-CN" w:bidi="ar"/>
              </w:rPr>
              <w:t>迹地恢复使用。</w:t>
            </w:r>
          </w:p>
          <w:p w14:paraId="793E1F8F">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项目土石方平衡表    单位：m</w:t>
            </w:r>
            <w:r>
              <w:rPr>
                <w:rFonts w:hint="eastAsia" w:ascii="Times New Roman" w:hAnsi="Times New Roman" w:eastAsia="宋体" w:cs="Times New Roman"/>
                <w:b/>
                <w:color w:val="auto"/>
                <w:vertAlign w:val="superscript"/>
                <w:lang w:val="en-US" w:eastAsia="zh-CN"/>
              </w:rPr>
              <w:t>3</w:t>
            </w:r>
          </w:p>
          <w:tbl>
            <w:tblPr>
              <w:tblStyle w:val="23"/>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1222"/>
              <w:gridCol w:w="834"/>
              <w:gridCol w:w="873"/>
              <w:gridCol w:w="669"/>
              <w:gridCol w:w="805"/>
              <w:gridCol w:w="766"/>
              <w:gridCol w:w="620"/>
              <w:gridCol w:w="786"/>
              <w:gridCol w:w="593"/>
            </w:tblGrid>
            <w:tr w14:paraId="512E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73" w:type="pct"/>
                  <w:vMerge w:val="restart"/>
                  <w:tcBorders>
                    <w:tl2br w:val="nil"/>
                    <w:tr2bl w:val="nil"/>
                  </w:tcBorders>
                  <w:noWrap w:val="0"/>
                  <w:vAlign w:val="center"/>
                </w:tcPr>
                <w:p w14:paraId="7D7BCF79">
                  <w:pPr>
                    <w:pStyle w:val="5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序号</w:t>
                  </w:r>
                </w:p>
              </w:tc>
              <w:tc>
                <w:tcPr>
                  <w:tcW w:w="788" w:type="pct"/>
                  <w:vMerge w:val="restart"/>
                  <w:tcBorders>
                    <w:tl2br w:val="nil"/>
                    <w:tr2bl w:val="nil"/>
                  </w:tcBorders>
                  <w:noWrap w:val="0"/>
                  <w:vAlign w:val="center"/>
                </w:tcPr>
                <w:p w14:paraId="7AF4C908">
                  <w:pPr>
                    <w:pStyle w:val="5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名称</w:t>
                  </w:r>
                </w:p>
              </w:tc>
              <w:tc>
                <w:tcPr>
                  <w:tcW w:w="1101" w:type="pct"/>
                  <w:gridSpan w:val="2"/>
                  <w:tcBorders>
                    <w:tl2br w:val="nil"/>
                    <w:tr2bl w:val="nil"/>
                  </w:tcBorders>
                  <w:noWrap w:val="0"/>
                  <w:vAlign w:val="center"/>
                </w:tcPr>
                <w:p w14:paraId="4C842D5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土石方开挖</w:t>
                  </w:r>
                </w:p>
              </w:tc>
              <w:tc>
                <w:tcPr>
                  <w:tcW w:w="951" w:type="pct"/>
                  <w:gridSpan w:val="2"/>
                  <w:tcBorders>
                    <w:tl2br w:val="nil"/>
                    <w:tr2bl w:val="nil"/>
                  </w:tcBorders>
                  <w:noWrap w:val="0"/>
                  <w:vAlign w:val="center"/>
                </w:tcPr>
                <w:p w14:paraId="4FAD74D4">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土石方回填</w:t>
                  </w:r>
                </w:p>
              </w:tc>
              <w:tc>
                <w:tcPr>
                  <w:tcW w:w="894" w:type="pct"/>
                  <w:gridSpan w:val="2"/>
                  <w:tcBorders>
                    <w:tl2br w:val="nil"/>
                    <w:tr2bl w:val="nil"/>
                  </w:tcBorders>
                  <w:noWrap w:val="0"/>
                  <w:vAlign w:val="center"/>
                </w:tcPr>
                <w:p w14:paraId="28033F6B">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表土去向</w:t>
                  </w:r>
                </w:p>
              </w:tc>
              <w:tc>
                <w:tcPr>
                  <w:tcW w:w="890" w:type="pct"/>
                  <w:gridSpan w:val="2"/>
                  <w:tcBorders>
                    <w:tl2br w:val="nil"/>
                    <w:tr2bl w:val="nil"/>
                  </w:tcBorders>
                  <w:noWrap w:val="0"/>
                  <w:vAlign w:val="center"/>
                </w:tcPr>
                <w:p w14:paraId="118560B2">
                  <w:pPr>
                    <w:pStyle w:val="5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color w:val="auto"/>
                      <w:kern w:val="2"/>
                      <w:sz w:val="18"/>
                      <w:szCs w:val="18"/>
                      <w:lang w:val="en-US" w:eastAsia="zh-CN" w:bidi="ar-SA"/>
                    </w:rPr>
                  </w:pPr>
                  <w:r>
                    <w:rPr>
                      <w:rFonts w:hint="eastAsia" w:ascii="Times New Roman" w:hAnsi="Times New Roman" w:eastAsia="宋体" w:cs="Times New Roman"/>
                      <w:b/>
                      <w:color w:val="auto"/>
                      <w:kern w:val="2"/>
                      <w:sz w:val="18"/>
                      <w:szCs w:val="18"/>
                      <w:lang w:val="en-US" w:eastAsia="zh-CN" w:bidi="ar-SA"/>
                    </w:rPr>
                    <w:t>土石方去向</w:t>
                  </w:r>
                </w:p>
              </w:tc>
            </w:tr>
            <w:tr w14:paraId="5A82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373" w:type="pct"/>
                  <w:vMerge w:val="continue"/>
                  <w:tcBorders>
                    <w:tl2br w:val="nil"/>
                    <w:tr2bl w:val="nil"/>
                  </w:tcBorders>
                  <w:noWrap w:val="0"/>
                  <w:vAlign w:val="center"/>
                </w:tcPr>
                <w:p w14:paraId="30E33374">
                  <w:pPr>
                    <w:pStyle w:val="5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788" w:type="pct"/>
                  <w:vMerge w:val="continue"/>
                  <w:tcBorders>
                    <w:tl2br w:val="nil"/>
                    <w:tr2bl w:val="nil"/>
                  </w:tcBorders>
                  <w:noWrap w:val="0"/>
                  <w:vAlign w:val="center"/>
                </w:tcPr>
                <w:p w14:paraId="55EC0042">
                  <w:pPr>
                    <w:pStyle w:val="5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538" w:type="pct"/>
                  <w:tcBorders>
                    <w:tl2br w:val="nil"/>
                    <w:tr2bl w:val="nil"/>
                  </w:tcBorders>
                  <w:noWrap w:val="0"/>
                  <w:vAlign w:val="center"/>
                </w:tcPr>
                <w:p w14:paraId="71920C74">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表土</w:t>
                  </w:r>
                </w:p>
              </w:tc>
              <w:tc>
                <w:tcPr>
                  <w:tcW w:w="563" w:type="pct"/>
                  <w:tcBorders>
                    <w:tl2br w:val="nil"/>
                    <w:tr2bl w:val="nil"/>
                  </w:tcBorders>
                  <w:noWrap w:val="0"/>
                  <w:vAlign w:val="center"/>
                </w:tcPr>
                <w:p w14:paraId="1C61D341">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土石方</w:t>
                  </w:r>
                </w:p>
              </w:tc>
              <w:tc>
                <w:tcPr>
                  <w:tcW w:w="431" w:type="pct"/>
                  <w:tcBorders>
                    <w:tl2br w:val="nil"/>
                    <w:tr2bl w:val="nil"/>
                  </w:tcBorders>
                  <w:noWrap w:val="0"/>
                  <w:vAlign w:val="center"/>
                </w:tcPr>
                <w:p w14:paraId="2A930D74">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表土</w:t>
                  </w:r>
                </w:p>
              </w:tc>
              <w:tc>
                <w:tcPr>
                  <w:tcW w:w="519" w:type="pct"/>
                  <w:tcBorders>
                    <w:tl2br w:val="nil"/>
                    <w:tr2bl w:val="nil"/>
                  </w:tcBorders>
                  <w:noWrap w:val="0"/>
                  <w:vAlign w:val="center"/>
                </w:tcPr>
                <w:p w14:paraId="6275BD01">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土石方</w:t>
                  </w:r>
                </w:p>
              </w:tc>
              <w:tc>
                <w:tcPr>
                  <w:tcW w:w="494" w:type="pct"/>
                  <w:tcBorders>
                    <w:tl2br w:val="nil"/>
                    <w:tr2bl w:val="nil"/>
                  </w:tcBorders>
                  <w:noWrap w:val="0"/>
                  <w:vAlign w:val="center"/>
                </w:tcPr>
                <w:p w14:paraId="083C82B2">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数量</w:t>
                  </w:r>
                </w:p>
              </w:tc>
              <w:tc>
                <w:tcPr>
                  <w:tcW w:w="400" w:type="pct"/>
                  <w:tcBorders>
                    <w:tl2br w:val="nil"/>
                    <w:tr2bl w:val="nil"/>
                  </w:tcBorders>
                  <w:noWrap w:val="0"/>
                  <w:vAlign w:val="center"/>
                </w:tcPr>
                <w:p w14:paraId="2FBC06D6">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去向</w:t>
                  </w:r>
                </w:p>
              </w:tc>
              <w:tc>
                <w:tcPr>
                  <w:tcW w:w="507" w:type="pct"/>
                  <w:tcBorders>
                    <w:tl2br w:val="nil"/>
                    <w:tr2bl w:val="nil"/>
                  </w:tcBorders>
                  <w:noWrap w:val="0"/>
                  <w:vAlign w:val="center"/>
                </w:tcPr>
                <w:p w14:paraId="6DFC87BA">
                  <w:pPr>
                    <w:pStyle w:val="5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color w:val="auto"/>
                      <w:kern w:val="2"/>
                      <w:sz w:val="18"/>
                      <w:szCs w:val="18"/>
                      <w:lang w:val="en-US" w:eastAsia="zh-CN" w:bidi="ar-SA"/>
                    </w:rPr>
                  </w:pPr>
                  <w:r>
                    <w:rPr>
                      <w:rFonts w:hint="default" w:ascii="Times New Roman" w:hAnsi="Times New Roman" w:eastAsia="宋体" w:cs="Times New Roman"/>
                      <w:b/>
                      <w:color w:val="auto"/>
                      <w:kern w:val="2"/>
                      <w:sz w:val="18"/>
                      <w:szCs w:val="18"/>
                      <w:lang w:val="en-US" w:eastAsia="zh-CN" w:bidi="ar-SA"/>
                    </w:rPr>
                    <w:t>数量</w:t>
                  </w:r>
                </w:p>
              </w:tc>
              <w:tc>
                <w:tcPr>
                  <w:tcW w:w="382" w:type="pct"/>
                  <w:tcBorders>
                    <w:tl2br w:val="nil"/>
                    <w:tr2bl w:val="nil"/>
                  </w:tcBorders>
                  <w:noWrap w:val="0"/>
                  <w:vAlign w:val="center"/>
                </w:tcPr>
                <w:p w14:paraId="674BED0E">
                  <w:pPr>
                    <w:pStyle w:val="5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color w:val="auto"/>
                      <w:kern w:val="2"/>
                      <w:sz w:val="18"/>
                      <w:szCs w:val="18"/>
                      <w:lang w:val="en-US" w:eastAsia="zh-CN" w:bidi="ar-SA"/>
                    </w:rPr>
                  </w:pPr>
                  <w:r>
                    <w:rPr>
                      <w:rFonts w:hint="default" w:ascii="Times New Roman" w:hAnsi="Times New Roman" w:eastAsia="宋体" w:cs="Times New Roman"/>
                      <w:b/>
                      <w:color w:val="auto"/>
                      <w:kern w:val="2"/>
                      <w:sz w:val="18"/>
                      <w:szCs w:val="18"/>
                      <w:lang w:val="en-US" w:eastAsia="zh-CN" w:bidi="ar-SA"/>
                    </w:rPr>
                    <w:t>去向</w:t>
                  </w:r>
                </w:p>
              </w:tc>
            </w:tr>
            <w:tr w14:paraId="5038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23ED07B8">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①</w:t>
                  </w:r>
                </w:p>
              </w:tc>
              <w:tc>
                <w:tcPr>
                  <w:tcW w:w="788" w:type="pct"/>
                  <w:tcBorders>
                    <w:tl2br w:val="nil"/>
                    <w:tr2bl w:val="nil"/>
                  </w:tcBorders>
                  <w:noWrap w:val="0"/>
                  <w:vAlign w:val="center"/>
                </w:tcPr>
                <w:p w14:paraId="2C60A670">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井架基础</w:t>
                  </w:r>
                </w:p>
              </w:tc>
              <w:tc>
                <w:tcPr>
                  <w:tcW w:w="538" w:type="pct"/>
                  <w:tcBorders>
                    <w:tl2br w:val="nil"/>
                    <w:tr2bl w:val="nil"/>
                  </w:tcBorders>
                  <w:noWrap w:val="0"/>
                  <w:vAlign w:val="center"/>
                </w:tcPr>
                <w:p w14:paraId="6B1827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color w:val="auto"/>
                      <w:kern w:val="2"/>
                      <w:sz w:val="18"/>
                      <w:szCs w:val="18"/>
                      <w:lang w:val="en-US" w:eastAsia="zh-CN" w:bidi="ar-SA"/>
                    </w:rPr>
                  </w:pPr>
                  <w:r>
                    <w:rPr>
                      <w:rFonts w:hint="eastAsia" w:cs="Times New Roman"/>
                      <w:i w:val="0"/>
                      <w:iCs w:val="0"/>
                      <w:color w:val="auto"/>
                      <w:kern w:val="0"/>
                      <w:sz w:val="18"/>
                      <w:szCs w:val="18"/>
                      <w:u w:val="none"/>
                      <w:lang w:val="en-US" w:eastAsia="zh-CN" w:bidi="ar"/>
                    </w:rPr>
                    <w:t>4</w:t>
                  </w:r>
                  <w:r>
                    <w:rPr>
                      <w:rFonts w:hint="default" w:ascii="Times New Roman" w:hAnsi="Times New Roman" w:eastAsia="宋体" w:cs="Times New Roman"/>
                      <w:i w:val="0"/>
                      <w:iCs w:val="0"/>
                      <w:color w:val="auto"/>
                      <w:kern w:val="0"/>
                      <w:sz w:val="18"/>
                      <w:szCs w:val="18"/>
                      <w:u w:val="none"/>
                      <w:lang w:val="en-US" w:eastAsia="zh-CN" w:bidi="ar"/>
                    </w:rPr>
                    <w:t>5</w:t>
                  </w:r>
                  <w:r>
                    <w:rPr>
                      <w:rFonts w:hint="eastAsia" w:cs="Times New Roman"/>
                      <w:i w:val="0"/>
                      <w:iCs w:val="0"/>
                      <w:color w:val="auto"/>
                      <w:kern w:val="0"/>
                      <w:sz w:val="18"/>
                      <w:szCs w:val="18"/>
                      <w:u w:val="none"/>
                      <w:lang w:val="en-US" w:eastAsia="zh-CN" w:bidi="ar"/>
                    </w:rPr>
                    <w:t>0</w:t>
                  </w:r>
                </w:p>
              </w:tc>
              <w:tc>
                <w:tcPr>
                  <w:tcW w:w="563" w:type="pct"/>
                  <w:tcBorders>
                    <w:tl2br w:val="nil"/>
                    <w:tr2bl w:val="nil"/>
                  </w:tcBorders>
                  <w:noWrap w:val="0"/>
                  <w:vAlign w:val="center"/>
                </w:tcPr>
                <w:p w14:paraId="63E123CA">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750</w:t>
                  </w:r>
                </w:p>
              </w:tc>
              <w:tc>
                <w:tcPr>
                  <w:tcW w:w="431" w:type="pct"/>
                  <w:tcBorders>
                    <w:tl2br w:val="nil"/>
                    <w:tr2bl w:val="nil"/>
                  </w:tcBorders>
                  <w:noWrap w:val="0"/>
                  <w:vAlign w:val="center"/>
                </w:tcPr>
                <w:p w14:paraId="7F707C94">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noWrap w:val="0"/>
                  <w:vAlign w:val="center"/>
                </w:tcPr>
                <w:p w14:paraId="703ABE18">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494" w:type="pct"/>
                  <w:tcBorders>
                    <w:tl2br w:val="nil"/>
                    <w:tr2bl w:val="nil"/>
                  </w:tcBorders>
                  <w:noWrap w:val="0"/>
                  <w:vAlign w:val="center"/>
                </w:tcPr>
                <w:p w14:paraId="39BE32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i w:val="0"/>
                      <w:iCs w:val="0"/>
                      <w:color w:val="auto"/>
                      <w:kern w:val="0"/>
                      <w:sz w:val="18"/>
                      <w:szCs w:val="18"/>
                      <w:u w:val="none"/>
                      <w:lang w:val="en-US" w:eastAsia="zh-CN" w:bidi="ar"/>
                    </w:rPr>
                    <w:t>450</w:t>
                  </w:r>
                </w:p>
              </w:tc>
              <w:tc>
                <w:tcPr>
                  <w:tcW w:w="400" w:type="pct"/>
                  <w:tcBorders>
                    <w:tl2br w:val="nil"/>
                    <w:tr2bl w:val="nil"/>
                  </w:tcBorders>
                  <w:noWrap w:val="0"/>
                  <w:vAlign w:val="center"/>
                </w:tcPr>
                <w:p w14:paraId="503792AD">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noWrap w:val="0"/>
                  <w:vAlign w:val="center"/>
                </w:tcPr>
                <w:p w14:paraId="25EE242A">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750</w:t>
                  </w:r>
                </w:p>
              </w:tc>
              <w:tc>
                <w:tcPr>
                  <w:tcW w:w="382" w:type="pct"/>
                  <w:tcBorders>
                    <w:tl2br w:val="nil"/>
                    <w:tr2bl w:val="nil"/>
                  </w:tcBorders>
                  <w:noWrap w:val="0"/>
                  <w:vAlign w:val="center"/>
                </w:tcPr>
                <w:p w14:paraId="77AA85DA">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⑥</w:t>
                  </w:r>
                </w:p>
              </w:tc>
            </w:tr>
            <w:tr w14:paraId="27F0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189DD137">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②</w:t>
                  </w:r>
                </w:p>
              </w:tc>
              <w:tc>
                <w:tcPr>
                  <w:tcW w:w="788" w:type="pct"/>
                  <w:tcBorders>
                    <w:tl2br w:val="nil"/>
                    <w:tr2bl w:val="nil"/>
                  </w:tcBorders>
                  <w:shd w:val="clear" w:color="auto" w:fill="auto"/>
                  <w:noWrap w:val="0"/>
                  <w:vAlign w:val="center"/>
                </w:tcPr>
                <w:p w14:paraId="7E602518">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截水沟、边沟</w:t>
                  </w:r>
                </w:p>
              </w:tc>
              <w:tc>
                <w:tcPr>
                  <w:tcW w:w="538" w:type="pct"/>
                  <w:tcBorders>
                    <w:tl2br w:val="nil"/>
                    <w:tr2bl w:val="nil"/>
                  </w:tcBorders>
                  <w:shd w:val="clear" w:color="auto" w:fill="auto"/>
                  <w:noWrap w:val="0"/>
                  <w:vAlign w:val="center"/>
                </w:tcPr>
                <w:p w14:paraId="069ED9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18"/>
                      <w:szCs w:val="18"/>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1</w:t>
                  </w:r>
                  <w:r>
                    <w:rPr>
                      <w:rFonts w:hint="eastAsia" w:cs="Times New Roman"/>
                      <w:i w:val="0"/>
                      <w:iCs w:val="0"/>
                      <w:color w:val="auto"/>
                      <w:kern w:val="0"/>
                      <w:sz w:val="18"/>
                      <w:szCs w:val="18"/>
                      <w:u w:val="none"/>
                      <w:lang w:val="en-US" w:eastAsia="zh-CN" w:bidi="ar"/>
                    </w:rPr>
                    <w:t>81</w:t>
                  </w:r>
                </w:p>
              </w:tc>
              <w:tc>
                <w:tcPr>
                  <w:tcW w:w="563" w:type="pct"/>
                  <w:tcBorders>
                    <w:tl2br w:val="nil"/>
                    <w:tr2bl w:val="nil"/>
                  </w:tcBorders>
                  <w:shd w:val="clear" w:color="auto" w:fill="auto"/>
                  <w:noWrap w:val="0"/>
                  <w:vAlign w:val="center"/>
                </w:tcPr>
                <w:p w14:paraId="7BA5E7D5">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431" w:type="pct"/>
                  <w:tcBorders>
                    <w:tl2br w:val="nil"/>
                    <w:tr2bl w:val="nil"/>
                  </w:tcBorders>
                  <w:shd w:val="clear" w:color="auto" w:fill="auto"/>
                  <w:noWrap w:val="0"/>
                  <w:vAlign w:val="center"/>
                </w:tcPr>
                <w:p w14:paraId="4455E5A3">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67B6FADB">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494" w:type="pct"/>
                  <w:tcBorders>
                    <w:tl2br w:val="nil"/>
                    <w:tr2bl w:val="nil"/>
                  </w:tcBorders>
                  <w:shd w:val="clear" w:color="auto" w:fill="auto"/>
                  <w:noWrap w:val="0"/>
                  <w:vAlign w:val="center"/>
                </w:tcPr>
                <w:p w14:paraId="64D220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i w:val="0"/>
                      <w:iCs w:val="0"/>
                      <w:color w:val="auto"/>
                      <w:kern w:val="0"/>
                      <w:sz w:val="18"/>
                      <w:szCs w:val="18"/>
                      <w:u w:val="none"/>
                      <w:lang w:val="en-US" w:eastAsia="zh-CN" w:bidi="ar"/>
                    </w:rPr>
                    <w:t>181</w:t>
                  </w:r>
                </w:p>
              </w:tc>
              <w:tc>
                <w:tcPr>
                  <w:tcW w:w="400" w:type="pct"/>
                  <w:tcBorders>
                    <w:tl2br w:val="nil"/>
                    <w:tr2bl w:val="nil"/>
                  </w:tcBorders>
                  <w:shd w:val="clear" w:color="auto" w:fill="auto"/>
                  <w:noWrap w:val="0"/>
                  <w:vAlign w:val="center"/>
                </w:tcPr>
                <w:p w14:paraId="5E6F2048">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6A459776">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382" w:type="pct"/>
                  <w:tcBorders>
                    <w:tl2br w:val="nil"/>
                    <w:tr2bl w:val="nil"/>
                  </w:tcBorders>
                  <w:shd w:val="clear" w:color="auto" w:fill="auto"/>
                  <w:noWrap w:val="0"/>
                  <w:vAlign w:val="center"/>
                </w:tcPr>
                <w:p w14:paraId="2BC6C9B0">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w:t>
                  </w:r>
                </w:p>
              </w:tc>
            </w:tr>
            <w:tr w14:paraId="5761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618D48A3">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③</w:t>
                  </w:r>
                </w:p>
              </w:tc>
              <w:tc>
                <w:tcPr>
                  <w:tcW w:w="788" w:type="pct"/>
                  <w:tcBorders>
                    <w:tl2br w:val="nil"/>
                    <w:tr2bl w:val="nil"/>
                  </w:tcBorders>
                  <w:shd w:val="clear" w:color="auto" w:fill="auto"/>
                  <w:noWrap w:val="0"/>
                  <w:vAlign w:val="center"/>
                </w:tcPr>
                <w:p w14:paraId="3DF6392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多功能网格池组</w:t>
                  </w:r>
                </w:p>
              </w:tc>
              <w:tc>
                <w:tcPr>
                  <w:tcW w:w="538" w:type="pct"/>
                  <w:tcBorders>
                    <w:tl2br w:val="nil"/>
                    <w:tr2bl w:val="nil"/>
                  </w:tcBorders>
                  <w:shd w:val="clear" w:color="auto" w:fill="auto"/>
                  <w:noWrap w:val="0"/>
                  <w:vAlign w:val="center"/>
                </w:tcPr>
                <w:p w14:paraId="049A2C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18"/>
                      <w:szCs w:val="18"/>
                      <w:lang w:val="en-US" w:eastAsia="zh-CN" w:bidi="ar-SA"/>
                    </w:rPr>
                  </w:pPr>
                  <w:r>
                    <w:rPr>
                      <w:rFonts w:hint="eastAsia" w:cs="Times New Roman"/>
                      <w:b w:val="0"/>
                      <w:color w:val="auto"/>
                      <w:kern w:val="2"/>
                      <w:sz w:val="18"/>
                      <w:szCs w:val="18"/>
                      <w:lang w:val="en-US" w:eastAsia="zh-CN" w:bidi="ar-SA"/>
                    </w:rPr>
                    <w:t>200</w:t>
                  </w:r>
                </w:p>
              </w:tc>
              <w:tc>
                <w:tcPr>
                  <w:tcW w:w="563" w:type="pct"/>
                  <w:tcBorders>
                    <w:tl2br w:val="nil"/>
                    <w:tr2bl w:val="nil"/>
                  </w:tcBorders>
                  <w:shd w:val="clear" w:color="auto" w:fill="auto"/>
                  <w:noWrap w:val="0"/>
                  <w:vAlign w:val="center"/>
                </w:tcPr>
                <w:p w14:paraId="312BC2F1">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1300</w:t>
                  </w:r>
                </w:p>
              </w:tc>
              <w:tc>
                <w:tcPr>
                  <w:tcW w:w="431" w:type="pct"/>
                  <w:tcBorders>
                    <w:tl2br w:val="nil"/>
                    <w:tr2bl w:val="nil"/>
                  </w:tcBorders>
                  <w:shd w:val="clear" w:color="auto" w:fill="auto"/>
                  <w:noWrap w:val="0"/>
                  <w:vAlign w:val="center"/>
                </w:tcPr>
                <w:p w14:paraId="4B396221">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56FCBDD2">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300</w:t>
                  </w:r>
                </w:p>
              </w:tc>
              <w:tc>
                <w:tcPr>
                  <w:tcW w:w="494" w:type="pct"/>
                  <w:tcBorders>
                    <w:tl2br w:val="nil"/>
                    <w:tr2bl w:val="nil"/>
                  </w:tcBorders>
                  <w:shd w:val="clear" w:color="auto" w:fill="auto"/>
                  <w:noWrap w:val="0"/>
                  <w:vAlign w:val="center"/>
                </w:tcPr>
                <w:p w14:paraId="5B1B20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i w:val="0"/>
                      <w:iCs w:val="0"/>
                      <w:color w:val="auto"/>
                      <w:kern w:val="0"/>
                      <w:sz w:val="18"/>
                      <w:szCs w:val="18"/>
                      <w:u w:val="none"/>
                      <w:lang w:val="en-US" w:eastAsia="zh-CN" w:bidi="ar"/>
                    </w:rPr>
                    <w:t>200</w:t>
                  </w:r>
                </w:p>
              </w:tc>
              <w:tc>
                <w:tcPr>
                  <w:tcW w:w="400" w:type="pct"/>
                  <w:tcBorders>
                    <w:tl2br w:val="nil"/>
                    <w:tr2bl w:val="nil"/>
                  </w:tcBorders>
                  <w:shd w:val="clear" w:color="auto" w:fill="auto"/>
                  <w:noWrap w:val="0"/>
                  <w:vAlign w:val="center"/>
                </w:tcPr>
                <w:p w14:paraId="0C83900A">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1C0A9292">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default" w:ascii="Times New Roman" w:hAnsi="Times New Roman" w:eastAsia="宋体" w:cs="Times New Roman"/>
                      <w:b w:val="0"/>
                      <w:color w:val="auto"/>
                      <w:kern w:val="2"/>
                      <w:sz w:val="18"/>
                      <w:szCs w:val="18"/>
                      <w:lang w:val="en-US" w:eastAsia="zh-CN" w:bidi="ar-SA"/>
                    </w:rPr>
                    <w:t>1</w:t>
                  </w:r>
                  <w:r>
                    <w:rPr>
                      <w:rFonts w:hint="eastAsia" w:ascii="Times New Roman" w:hAnsi="Times New Roman" w:eastAsia="宋体" w:cs="Times New Roman"/>
                      <w:b w:val="0"/>
                      <w:color w:val="auto"/>
                      <w:kern w:val="2"/>
                      <w:sz w:val="18"/>
                      <w:szCs w:val="18"/>
                      <w:lang w:val="en-US" w:eastAsia="zh-CN" w:bidi="ar-SA"/>
                    </w:rPr>
                    <w:t>00</w:t>
                  </w:r>
                  <w:r>
                    <w:rPr>
                      <w:rFonts w:hint="default" w:ascii="Times New Roman" w:hAnsi="Times New Roman" w:eastAsia="宋体" w:cs="Times New Roman"/>
                      <w:b w:val="0"/>
                      <w:color w:val="auto"/>
                      <w:kern w:val="2"/>
                      <w:sz w:val="18"/>
                      <w:szCs w:val="18"/>
                      <w:lang w:val="en-US" w:eastAsia="zh-CN" w:bidi="ar-SA"/>
                    </w:rPr>
                    <w:t>0</w:t>
                  </w:r>
                </w:p>
              </w:tc>
              <w:tc>
                <w:tcPr>
                  <w:tcW w:w="382" w:type="pct"/>
                  <w:tcBorders>
                    <w:tl2br w:val="nil"/>
                    <w:tr2bl w:val="nil"/>
                  </w:tcBorders>
                  <w:shd w:val="clear" w:color="auto" w:fill="auto"/>
                  <w:noWrap w:val="0"/>
                  <w:vAlign w:val="center"/>
                </w:tcPr>
                <w:p w14:paraId="33B0F692">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⑥</w:t>
                  </w:r>
                </w:p>
              </w:tc>
            </w:tr>
            <w:tr w14:paraId="793F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3D489B71">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④</w:t>
                  </w:r>
                </w:p>
              </w:tc>
              <w:tc>
                <w:tcPr>
                  <w:tcW w:w="788" w:type="pct"/>
                  <w:tcBorders>
                    <w:tl2br w:val="nil"/>
                    <w:tr2bl w:val="nil"/>
                  </w:tcBorders>
                  <w:shd w:val="clear" w:color="auto" w:fill="auto"/>
                  <w:noWrap w:val="0"/>
                  <w:vAlign w:val="center"/>
                </w:tcPr>
                <w:p w14:paraId="6CCB3C7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清水池</w:t>
                  </w:r>
                </w:p>
              </w:tc>
              <w:tc>
                <w:tcPr>
                  <w:tcW w:w="538" w:type="pct"/>
                  <w:tcBorders>
                    <w:tl2br w:val="nil"/>
                    <w:tr2bl w:val="nil"/>
                  </w:tcBorders>
                  <w:shd w:val="clear" w:color="auto" w:fill="auto"/>
                  <w:noWrap w:val="0"/>
                  <w:vAlign w:val="center"/>
                </w:tcPr>
                <w:p w14:paraId="7FA320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18"/>
                      <w:szCs w:val="18"/>
                      <w:lang w:val="en-US" w:eastAsia="zh-CN" w:bidi="ar-SA"/>
                    </w:rPr>
                  </w:pPr>
                  <w:r>
                    <w:rPr>
                      <w:rFonts w:hint="eastAsia" w:cs="Times New Roman"/>
                      <w:i w:val="0"/>
                      <w:iCs w:val="0"/>
                      <w:color w:val="auto"/>
                      <w:kern w:val="0"/>
                      <w:sz w:val="18"/>
                      <w:szCs w:val="18"/>
                      <w:u w:val="none"/>
                      <w:lang w:val="en-US" w:eastAsia="zh-CN" w:bidi="ar"/>
                    </w:rPr>
                    <w:t>5</w:t>
                  </w:r>
                  <w:r>
                    <w:rPr>
                      <w:rFonts w:hint="default" w:ascii="Times New Roman" w:hAnsi="Times New Roman" w:eastAsia="宋体" w:cs="Times New Roman"/>
                      <w:i w:val="0"/>
                      <w:iCs w:val="0"/>
                      <w:color w:val="auto"/>
                      <w:kern w:val="0"/>
                      <w:sz w:val="18"/>
                      <w:szCs w:val="18"/>
                      <w:u w:val="none"/>
                      <w:lang w:val="en-US" w:eastAsia="zh-CN" w:bidi="ar"/>
                    </w:rPr>
                    <w:t>30</w:t>
                  </w:r>
                </w:p>
              </w:tc>
              <w:tc>
                <w:tcPr>
                  <w:tcW w:w="563" w:type="pct"/>
                  <w:tcBorders>
                    <w:tl2br w:val="nil"/>
                    <w:tr2bl w:val="nil"/>
                  </w:tcBorders>
                  <w:shd w:val="clear" w:color="auto" w:fill="auto"/>
                  <w:noWrap w:val="0"/>
                  <w:vAlign w:val="center"/>
                </w:tcPr>
                <w:p w14:paraId="4D4E5534">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1770</w:t>
                  </w:r>
                </w:p>
              </w:tc>
              <w:tc>
                <w:tcPr>
                  <w:tcW w:w="431" w:type="pct"/>
                  <w:tcBorders>
                    <w:tl2br w:val="nil"/>
                    <w:tr2bl w:val="nil"/>
                  </w:tcBorders>
                  <w:shd w:val="clear" w:color="auto" w:fill="auto"/>
                  <w:noWrap w:val="0"/>
                  <w:vAlign w:val="center"/>
                </w:tcPr>
                <w:p w14:paraId="6DC7CAE7">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22368DFD">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400</w:t>
                  </w:r>
                </w:p>
              </w:tc>
              <w:tc>
                <w:tcPr>
                  <w:tcW w:w="494" w:type="pct"/>
                  <w:tcBorders>
                    <w:tl2br w:val="nil"/>
                    <w:tr2bl w:val="nil"/>
                  </w:tcBorders>
                  <w:shd w:val="clear" w:color="auto" w:fill="auto"/>
                  <w:noWrap w:val="0"/>
                  <w:vAlign w:val="center"/>
                </w:tcPr>
                <w:p w14:paraId="38481D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i w:val="0"/>
                      <w:iCs w:val="0"/>
                      <w:color w:val="auto"/>
                      <w:kern w:val="0"/>
                      <w:sz w:val="18"/>
                      <w:szCs w:val="18"/>
                      <w:u w:val="none"/>
                      <w:lang w:val="en-US" w:eastAsia="zh-CN" w:bidi="ar"/>
                    </w:rPr>
                    <w:t>530</w:t>
                  </w:r>
                </w:p>
              </w:tc>
              <w:tc>
                <w:tcPr>
                  <w:tcW w:w="400" w:type="pct"/>
                  <w:tcBorders>
                    <w:tl2br w:val="nil"/>
                    <w:tr2bl w:val="nil"/>
                  </w:tcBorders>
                  <w:shd w:val="clear" w:color="auto" w:fill="auto"/>
                  <w:noWrap w:val="0"/>
                  <w:vAlign w:val="center"/>
                </w:tcPr>
                <w:p w14:paraId="56A62B47">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75CAE4C4">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1370</w:t>
                  </w:r>
                </w:p>
              </w:tc>
              <w:tc>
                <w:tcPr>
                  <w:tcW w:w="382" w:type="pct"/>
                  <w:tcBorders>
                    <w:tl2br w:val="nil"/>
                    <w:tr2bl w:val="nil"/>
                  </w:tcBorders>
                  <w:shd w:val="clear" w:color="auto" w:fill="auto"/>
                  <w:noWrap w:val="0"/>
                  <w:vAlign w:val="center"/>
                </w:tcPr>
                <w:p w14:paraId="391EE102">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⑥</w:t>
                  </w:r>
                </w:p>
              </w:tc>
            </w:tr>
            <w:tr w14:paraId="0F01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4E88A19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⑤</w:t>
                  </w:r>
                </w:p>
              </w:tc>
              <w:tc>
                <w:tcPr>
                  <w:tcW w:w="788" w:type="pct"/>
                  <w:tcBorders>
                    <w:tl2br w:val="nil"/>
                    <w:tr2bl w:val="nil"/>
                  </w:tcBorders>
                  <w:shd w:val="clear" w:color="auto" w:fill="auto"/>
                  <w:noWrap w:val="0"/>
                  <w:vAlign w:val="center"/>
                </w:tcPr>
                <w:p w14:paraId="7BAFBDF6">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放喷池</w:t>
                  </w:r>
                </w:p>
              </w:tc>
              <w:tc>
                <w:tcPr>
                  <w:tcW w:w="538" w:type="pct"/>
                  <w:tcBorders>
                    <w:tl2br w:val="nil"/>
                    <w:tr2bl w:val="nil"/>
                  </w:tcBorders>
                  <w:shd w:val="clear" w:color="auto" w:fill="auto"/>
                  <w:noWrap w:val="0"/>
                  <w:vAlign w:val="center"/>
                </w:tcPr>
                <w:p w14:paraId="6E39C5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18"/>
                      <w:szCs w:val="18"/>
                      <w:lang w:val="en-US" w:eastAsia="zh-CN" w:bidi="ar-SA"/>
                    </w:rPr>
                  </w:pPr>
                  <w:r>
                    <w:rPr>
                      <w:rFonts w:hint="eastAsia" w:cs="Times New Roman"/>
                      <w:i w:val="0"/>
                      <w:iCs w:val="0"/>
                      <w:color w:val="auto"/>
                      <w:kern w:val="0"/>
                      <w:sz w:val="18"/>
                      <w:szCs w:val="18"/>
                      <w:u w:val="none"/>
                      <w:lang w:val="en-US" w:eastAsia="zh-CN" w:bidi="ar"/>
                    </w:rPr>
                    <w:t>13</w:t>
                  </w:r>
                  <w:r>
                    <w:rPr>
                      <w:rFonts w:hint="default" w:ascii="Times New Roman" w:hAnsi="Times New Roman" w:eastAsia="宋体" w:cs="Times New Roman"/>
                      <w:i w:val="0"/>
                      <w:iCs w:val="0"/>
                      <w:color w:val="auto"/>
                      <w:kern w:val="0"/>
                      <w:sz w:val="18"/>
                      <w:szCs w:val="18"/>
                      <w:u w:val="none"/>
                      <w:lang w:val="en-US" w:eastAsia="zh-CN" w:bidi="ar"/>
                    </w:rPr>
                    <w:t>5</w:t>
                  </w:r>
                </w:p>
              </w:tc>
              <w:tc>
                <w:tcPr>
                  <w:tcW w:w="563" w:type="pct"/>
                  <w:tcBorders>
                    <w:tl2br w:val="nil"/>
                    <w:tr2bl w:val="nil"/>
                  </w:tcBorders>
                  <w:shd w:val="clear" w:color="auto" w:fill="auto"/>
                  <w:noWrap w:val="0"/>
                  <w:vAlign w:val="center"/>
                </w:tcPr>
                <w:p w14:paraId="0FED5138">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355</w:t>
                  </w:r>
                </w:p>
              </w:tc>
              <w:tc>
                <w:tcPr>
                  <w:tcW w:w="431" w:type="pct"/>
                  <w:tcBorders>
                    <w:tl2br w:val="nil"/>
                    <w:tr2bl w:val="nil"/>
                  </w:tcBorders>
                  <w:shd w:val="clear" w:color="auto" w:fill="auto"/>
                  <w:noWrap w:val="0"/>
                  <w:vAlign w:val="center"/>
                </w:tcPr>
                <w:p w14:paraId="47B4666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3E30AF24">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220</w:t>
                  </w:r>
                </w:p>
              </w:tc>
              <w:tc>
                <w:tcPr>
                  <w:tcW w:w="494" w:type="pct"/>
                  <w:tcBorders>
                    <w:tl2br w:val="nil"/>
                    <w:tr2bl w:val="nil"/>
                  </w:tcBorders>
                  <w:shd w:val="clear" w:color="auto" w:fill="auto"/>
                  <w:noWrap w:val="0"/>
                  <w:vAlign w:val="center"/>
                </w:tcPr>
                <w:p w14:paraId="6CD18D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lang w:val="en-US" w:eastAsia="zh-CN" w:bidi="ar-SA"/>
                    </w:rPr>
                  </w:pPr>
                  <w:r>
                    <w:rPr>
                      <w:rFonts w:hint="eastAsia" w:cs="Times New Roman"/>
                      <w:i w:val="0"/>
                      <w:iCs w:val="0"/>
                      <w:color w:val="auto"/>
                      <w:kern w:val="0"/>
                      <w:sz w:val="18"/>
                      <w:szCs w:val="18"/>
                      <w:u w:val="none"/>
                      <w:lang w:val="en-US" w:eastAsia="zh-CN" w:bidi="ar"/>
                    </w:rPr>
                    <w:t>135</w:t>
                  </w:r>
                </w:p>
              </w:tc>
              <w:tc>
                <w:tcPr>
                  <w:tcW w:w="400" w:type="pct"/>
                  <w:tcBorders>
                    <w:tl2br w:val="nil"/>
                    <w:tr2bl w:val="nil"/>
                  </w:tcBorders>
                  <w:shd w:val="clear" w:color="auto" w:fill="auto"/>
                  <w:noWrap w:val="0"/>
                  <w:vAlign w:val="center"/>
                </w:tcPr>
                <w:p w14:paraId="69F545DB">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55E52A66">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135</w:t>
                  </w:r>
                </w:p>
              </w:tc>
              <w:tc>
                <w:tcPr>
                  <w:tcW w:w="382" w:type="pct"/>
                  <w:tcBorders>
                    <w:tl2br w:val="nil"/>
                    <w:tr2bl w:val="nil"/>
                  </w:tcBorders>
                  <w:shd w:val="clear" w:color="auto" w:fill="auto"/>
                  <w:noWrap w:val="0"/>
                  <w:vAlign w:val="center"/>
                </w:tcPr>
                <w:p w14:paraId="19BCF00D">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⑥</w:t>
                  </w:r>
                </w:p>
              </w:tc>
            </w:tr>
            <w:tr w14:paraId="6599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41B4FFFA">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⑥</w:t>
                  </w:r>
                </w:p>
              </w:tc>
              <w:tc>
                <w:tcPr>
                  <w:tcW w:w="788" w:type="pct"/>
                  <w:tcBorders>
                    <w:tl2br w:val="nil"/>
                    <w:tr2bl w:val="nil"/>
                  </w:tcBorders>
                  <w:shd w:val="clear" w:color="auto" w:fill="auto"/>
                  <w:noWrap w:val="0"/>
                  <w:vAlign w:val="center"/>
                </w:tcPr>
                <w:p w14:paraId="41A5AD77">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平场施工</w:t>
                  </w:r>
                </w:p>
              </w:tc>
              <w:tc>
                <w:tcPr>
                  <w:tcW w:w="538" w:type="pct"/>
                  <w:tcBorders>
                    <w:tl2br w:val="nil"/>
                    <w:tr2bl w:val="nil"/>
                  </w:tcBorders>
                  <w:shd w:val="clear" w:color="auto" w:fill="auto"/>
                  <w:noWrap w:val="0"/>
                  <w:vAlign w:val="center"/>
                </w:tcPr>
                <w:p w14:paraId="2C1380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3924</w:t>
                  </w:r>
                </w:p>
              </w:tc>
              <w:tc>
                <w:tcPr>
                  <w:tcW w:w="563" w:type="pct"/>
                  <w:tcBorders>
                    <w:tl2br w:val="nil"/>
                    <w:tr2bl w:val="nil"/>
                  </w:tcBorders>
                  <w:shd w:val="clear" w:color="auto" w:fill="auto"/>
                  <w:noWrap w:val="0"/>
                  <w:vAlign w:val="center"/>
                </w:tcPr>
                <w:p w14:paraId="23A5E1E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cs="Times New Roman"/>
                      <w:i w:val="0"/>
                      <w:iCs w:val="0"/>
                      <w:color w:val="auto"/>
                      <w:kern w:val="0"/>
                      <w:sz w:val="18"/>
                      <w:szCs w:val="18"/>
                      <w:u w:val="none"/>
                      <w:lang w:val="en-US" w:eastAsia="zh-CN" w:bidi="ar"/>
                    </w:rPr>
                    <w:t>10576</w:t>
                  </w:r>
                </w:p>
              </w:tc>
              <w:tc>
                <w:tcPr>
                  <w:tcW w:w="431" w:type="pct"/>
                  <w:tcBorders>
                    <w:tl2br w:val="nil"/>
                    <w:tr2bl w:val="nil"/>
                  </w:tcBorders>
                  <w:shd w:val="clear" w:color="auto" w:fill="auto"/>
                  <w:noWrap w:val="0"/>
                  <w:vAlign w:val="center"/>
                </w:tcPr>
                <w:p w14:paraId="429316A4">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0638BC09">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13831</w:t>
                  </w:r>
                </w:p>
              </w:tc>
              <w:tc>
                <w:tcPr>
                  <w:tcW w:w="494" w:type="pct"/>
                  <w:tcBorders>
                    <w:tl2br w:val="nil"/>
                    <w:tr2bl w:val="nil"/>
                  </w:tcBorders>
                  <w:shd w:val="clear" w:color="auto" w:fill="auto"/>
                  <w:noWrap w:val="0"/>
                  <w:vAlign w:val="center"/>
                </w:tcPr>
                <w:p w14:paraId="46E9DD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3924</w:t>
                  </w:r>
                </w:p>
              </w:tc>
              <w:tc>
                <w:tcPr>
                  <w:tcW w:w="400" w:type="pct"/>
                  <w:tcBorders>
                    <w:tl2br w:val="nil"/>
                    <w:tr2bl w:val="nil"/>
                  </w:tcBorders>
                  <w:shd w:val="clear" w:color="auto" w:fill="auto"/>
                  <w:noWrap w:val="0"/>
                  <w:vAlign w:val="center"/>
                </w:tcPr>
                <w:p w14:paraId="54C0ECE0">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64543BA3">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382" w:type="pct"/>
                  <w:tcBorders>
                    <w:tl2br w:val="nil"/>
                    <w:tr2bl w:val="nil"/>
                  </w:tcBorders>
                  <w:shd w:val="clear" w:color="auto" w:fill="auto"/>
                  <w:noWrap w:val="0"/>
                  <w:vAlign w:val="center"/>
                </w:tcPr>
                <w:p w14:paraId="5E254A2A">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w:t>
                  </w:r>
                </w:p>
              </w:tc>
            </w:tr>
            <w:tr w14:paraId="1CFD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3" w:type="pct"/>
                  <w:tcBorders>
                    <w:tl2br w:val="nil"/>
                    <w:tr2bl w:val="nil"/>
                  </w:tcBorders>
                  <w:noWrap w:val="0"/>
                  <w:vAlign w:val="center"/>
                </w:tcPr>
                <w:p w14:paraId="09ADCA4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⑦</w:t>
                  </w:r>
                </w:p>
              </w:tc>
              <w:tc>
                <w:tcPr>
                  <w:tcW w:w="788" w:type="pct"/>
                  <w:tcBorders>
                    <w:tl2br w:val="nil"/>
                    <w:tr2bl w:val="nil"/>
                  </w:tcBorders>
                  <w:shd w:val="clear" w:color="auto" w:fill="auto"/>
                  <w:noWrap w:val="0"/>
                  <w:vAlign w:val="center"/>
                </w:tcPr>
                <w:p w14:paraId="555AE98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表土堆场区</w:t>
                  </w:r>
                </w:p>
              </w:tc>
              <w:tc>
                <w:tcPr>
                  <w:tcW w:w="538" w:type="pct"/>
                  <w:tcBorders>
                    <w:tl2br w:val="nil"/>
                    <w:tr2bl w:val="nil"/>
                  </w:tcBorders>
                  <w:shd w:val="clear" w:color="auto" w:fill="auto"/>
                  <w:noWrap w:val="0"/>
                  <w:vAlign w:val="center"/>
                </w:tcPr>
                <w:p w14:paraId="250F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130</w:t>
                  </w:r>
                </w:p>
              </w:tc>
              <w:tc>
                <w:tcPr>
                  <w:tcW w:w="563" w:type="pct"/>
                  <w:tcBorders>
                    <w:tl2br w:val="nil"/>
                    <w:tr2bl w:val="nil"/>
                  </w:tcBorders>
                  <w:shd w:val="clear" w:color="auto" w:fill="auto"/>
                  <w:noWrap w:val="0"/>
                  <w:vAlign w:val="center"/>
                </w:tcPr>
                <w:p w14:paraId="73627777">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431" w:type="pct"/>
                  <w:tcBorders>
                    <w:tl2br w:val="nil"/>
                    <w:tr2bl w:val="nil"/>
                  </w:tcBorders>
                  <w:shd w:val="clear" w:color="auto" w:fill="auto"/>
                  <w:noWrap w:val="0"/>
                  <w:vAlign w:val="center"/>
                </w:tcPr>
                <w:p w14:paraId="5A4A52D2">
                  <w:pPr>
                    <w:pStyle w:val="55"/>
                    <w:keepNext w:val="0"/>
                    <w:keepLines w:val="0"/>
                    <w:suppressLineNumbers w:val="0"/>
                    <w:spacing w:before="0" w:beforeAutospacing="0" w:after="0" w:afterAutospacing="0"/>
                    <w:ind w:left="0" w:leftChars="0" w:right="0" w:rightChars="0" w:firstLine="0" w:firstLineChars="0"/>
                    <w:jc w:val="center"/>
                    <w:rPr>
                      <w:rFonts w:hint="eastAsia"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shd w:val="clear" w:color="auto" w:fill="auto"/>
                  <w:noWrap w:val="0"/>
                  <w:vAlign w:val="center"/>
                </w:tcPr>
                <w:p w14:paraId="28392C30">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494" w:type="pct"/>
                  <w:tcBorders>
                    <w:tl2br w:val="nil"/>
                    <w:tr2bl w:val="nil"/>
                  </w:tcBorders>
                  <w:shd w:val="clear" w:color="auto" w:fill="auto"/>
                  <w:noWrap w:val="0"/>
                  <w:vAlign w:val="center"/>
                </w:tcPr>
                <w:p w14:paraId="4CD3D5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cs="Times New Roman"/>
                      <w:i w:val="0"/>
                      <w:iCs w:val="0"/>
                      <w:color w:val="auto"/>
                      <w:kern w:val="0"/>
                      <w:sz w:val="18"/>
                      <w:szCs w:val="18"/>
                      <w:u w:val="none"/>
                      <w:lang w:val="en-US" w:eastAsia="zh-CN" w:bidi="ar"/>
                    </w:rPr>
                    <w:t>130</w:t>
                  </w:r>
                </w:p>
              </w:tc>
              <w:tc>
                <w:tcPr>
                  <w:tcW w:w="400" w:type="pct"/>
                  <w:tcBorders>
                    <w:tl2br w:val="nil"/>
                    <w:tr2bl w:val="nil"/>
                  </w:tcBorders>
                  <w:shd w:val="clear" w:color="auto" w:fill="auto"/>
                  <w:noWrap w:val="0"/>
                  <w:vAlign w:val="center"/>
                </w:tcPr>
                <w:p w14:paraId="4C2CCD71">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shd w:val="clear" w:color="auto" w:fill="auto"/>
                  <w:noWrap w:val="0"/>
                  <w:vAlign w:val="center"/>
                </w:tcPr>
                <w:p w14:paraId="05A88131">
                  <w:pPr>
                    <w:pStyle w:val="55"/>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382" w:type="pct"/>
                  <w:tcBorders>
                    <w:tl2br w:val="nil"/>
                    <w:tr2bl w:val="nil"/>
                  </w:tcBorders>
                  <w:shd w:val="clear" w:color="auto" w:fill="auto"/>
                  <w:noWrap w:val="0"/>
                  <w:vAlign w:val="center"/>
                </w:tcPr>
                <w:p w14:paraId="32182DBF">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w:t>
                  </w:r>
                </w:p>
              </w:tc>
            </w:tr>
            <w:tr w14:paraId="2D10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62" w:type="pct"/>
                  <w:gridSpan w:val="2"/>
                  <w:tcBorders>
                    <w:tl2br w:val="nil"/>
                    <w:tr2bl w:val="nil"/>
                  </w:tcBorders>
                  <w:noWrap w:val="0"/>
                  <w:vAlign w:val="center"/>
                </w:tcPr>
                <w:p w14:paraId="15CC5F34">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合计</w:t>
                  </w:r>
                </w:p>
              </w:tc>
              <w:tc>
                <w:tcPr>
                  <w:tcW w:w="538" w:type="pct"/>
                  <w:tcBorders>
                    <w:tl2br w:val="nil"/>
                    <w:tr2bl w:val="nil"/>
                  </w:tcBorders>
                  <w:noWrap w:val="0"/>
                  <w:vAlign w:val="center"/>
                </w:tcPr>
                <w:p w14:paraId="65531744">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5550</w:t>
                  </w:r>
                </w:p>
              </w:tc>
              <w:tc>
                <w:tcPr>
                  <w:tcW w:w="563" w:type="pct"/>
                  <w:tcBorders>
                    <w:tl2br w:val="nil"/>
                    <w:tr2bl w:val="nil"/>
                  </w:tcBorders>
                  <w:noWrap w:val="0"/>
                  <w:vAlign w:val="center"/>
                </w:tcPr>
                <w:p w14:paraId="5F48706D">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14751</w:t>
                  </w:r>
                </w:p>
              </w:tc>
              <w:tc>
                <w:tcPr>
                  <w:tcW w:w="431" w:type="pct"/>
                  <w:tcBorders>
                    <w:tl2br w:val="nil"/>
                    <w:tr2bl w:val="nil"/>
                  </w:tcBorders>
                  <w:noWrap w:val="0"/>
                  <w:vAlign w:val="center"/>
                </w:tcPr>
                <w:p w14:paraId="4858EB8B">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0</w:t>
                  </w:r>
                </w:p>
              </w:tc>
              <w:tc>
                <w:tcPr>
                  <w:tcW w:w="519" w:type="pct"/>
                  <w:tcBorders>
                    <w:tl2br w:val="nil"/>
                    <w:tr2bl w:val="nil"/>
                  </w:tcBorders>
                  <w:noWrap w:val="0"/>
                  <w:vAlign w:val="center"/>
                </w:tcPr>
                <w:p w14:paraId="6AE9B66D">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14751</w:t>
                  </w:r>
                </w:p>
              </w:tc>
              <w:tc>
                <w:tcPr>
                  <w:tcW w:w="494" w:type="pct"/>
                  <w:tcBorders>
                    <w:tl2br w:val="nil"/>
                    <w:tr2bl w:val="nil"/>
                  </w:tcBorders>
                  <w:noWrap w:val="0"/>
                  <w:vAlign w:val="center"/>
                </w:tcPr>
                <w:p w14:paraId="5DF803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18"/>
                      <w:szCs w:val="18"/>
                      <w:lang w:val="en-US" w:eastAsia="zh-CN"/>
                    </w:rPr>
                  </w:pPr>
                  <w:r>
                    <w:rPr>
                      <w:rFonts w:hint="eastAsia" w:cs="Times New Roman"/>
                      <w:i w:val="0"/>
                      <w:iCs w:val="0"/>
                      <w:color w:val="auto"/>
                      <w:kern w:val="0"/>
                      <w:sz w:val="18"/>
                      <w:szCs w:val="18"/>
                      <w:u w:val="none"/>
                      <w:lang w:val="en-US" w:eastAsia="zh-CN" w:bidi="ar"/>
                    </w:rPr>
                    <w:t>5550</w:t>
                  </w:r>
                </w:p>
              </w:tc>
              <w:tc>
                <w:tcPr>
                  <w:tcW w:w="400" w:type="pct"/>
                  <w:tcBorders>
                    <w:tl2br w:val="nil"/>
                    <w:tr2bl w:val="nil"/>
                  </w:tcBorders>
                  <w:noWrap w:val="0"/>
                  <w:vAlign w:val="center"/>
                </w:tcPr>
                <w:p w14:paraId="01248633">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⑦</w:t>
                  </w:r>
                </w:p>
              </w:tc>
              <w:tc>
                <w:tcPr>
                  <w:tcW w:w="507" w:type="pct"/>
                  <w:tcBorders>
                    <w:tl2br w:val="nil"/>
                    <w:tr2bl w:val="nil"/>
                  </w:tcBorders>
                  <w:noWrap w:val="0"/>
                  <w:vAlign w:val="center"/>
                </w:tcPr>
                <w:p w14:paraId="444428B8">
                  <w:pPr>
                    <w:pStyle w:val="55"/>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3255</w:t>
                  </w:r>
                </w:p>
              </w:tc>
              <w:tc>
                <w:tcPr>
                  <w:tcW w:w="382" w:type="pct"/>
                  <w:tcBorders>
                    <w:tl2br w:val="nil"/>
                    <w:tr2bl w:val="nil"/>
                  </w:tcBorders>
                  <w:noWrap w:val="0"/>
                  <w:vAlign w:val="center"/>
                </w:tcPr>
                <w:p w14:paraId="03DB7509">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color w:val="auto"/>
                      <w:sz w:val="18"/>
                      <w:szCs w:val="18"/>
                      <w:lang w:val="en-US" w:eastAsia="zh-CN"/>
                    </w:rPr>
                    <w:t>⑥</w:t>
                  </w:r>
                </w:p>
              </w:tc>
            </w:tr>
          </w:tbl>
          <w:p w14:paraId="48F1036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rPr>
            </w:pPr>
            <w:r>
              <w:rPr>
                <w:rFonts w:hint="default" w:ascii="Times New Roman" w:hAnsi="Times New Roman" w:cs="Times New Roman"/>
                <w:b/>
                <w:color w:val="auto"/>
                <w:sz w:val="24"/>
              </w:rPr>
              <w:t>8、</w:t>
            </w:r>
            <w:r>
              <w:rPr>
                <w:rFonts w:hint="default" w:ascii="Times New Roman" w:hAnsi="Times New Roman" w:cs="Times New Roman"/>
                <w:b/>
                <w:color w:val="auto"/>
                <w:kern w:val="0"/>
                <w:sz w:val="24"/>
              </w:rPr>
              <w:t>组织机构及劳动定员、工期</w:t>
            </w:r>
          </w:p>
          <w:p w14:paraId="0348BA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rPr>
            </w:pPr>
            <w:r>
              <w:rPr>
                <w:rFonts w:hint="default" w:ascii="Times New Roman" w:hAnsi="Times New Roman" w:cs="Times New Roman"/>
                <w:b w:val="0"/>
                <w:bCs/>
                <w:color w:val="auto"/>
                <w:kern w:val="0"/>
                <w:sz w:val="24"/>
              </w:rPr>
              <w:t>（1）组织机构及定员</w:t>
            </w:r>
          </w:p>
          <w:p w14:paraId="73D7648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钻前工程：主要为土建施工，由施工单位组织当地民工施工作业为主，高峰时每天施工人员约50人。仅白天施工，夜间不作业。</w:t>
            </w:r>
          </w:p>
          <w:p w14:paraId="4C82F80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color w:val="auto"/>
                <w:kern w:val="0"/>
                <w:sz w:val="24"/>
              </w:rPr>
              <w:t>钻井工程：钻井队编制为50人，钻井队</w:t>
            </w:r>
            <w:r>
              <w:rPr>
                <w:rFonts w:hint="eastAsia" w:ascii="Times New Roman" w:hAnsi="Times New Roman" w:cs="Times New Roman"/>
                <w:color w:val="auto"/>
                <w:kern w:val="0"/>
                <w:sz w:val="24"/>
              </w:rPr>
              <w:t>钻井期间</w:t>
            </w:r>
            <w:r>
              <w:rPr>
                <w:rFonts w:hint="default" w:ascii="Times New Roman" w:hAnsi="Times New Roman" w:cs="Times New Roman"/>
                <w:color w:val="auto"/>
                <w:kern w:val="0"/>
                <w:sz w:val="24"/>
              </w:rPr>
              <w:t>24h连续工作</w:t>
            </w:r>
            <w:r>
              <w:rPr>
                <w:rFonts w:hint="eastAsia" w:ascii="Times New Roman" w:hAnsi="Times New Roman" w:cs="Times New Roman"/>
                <w:color w:val="auto"/>
                <w:kern w:val="0"/>
                <w:sz w:val="24"/>
              </w:rPr>
              <w:t>。</w:t>
            </w:r>
          </w:p>
          <w:p w14:paraId="078DC5E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cs="Times New Roman"/>
                <w:color w:val="auto"/>
                <w:kern w:val="0"/>
                <w:sz w:val="24"/>
              </w:rPr>
              <w:t>压裂作业：</w:t>
            </w:r>
            <w:r>
              <w:rPr>
                <w:rFonts w:hint="default" w:ascii="Times New Roman" w:hAnsi="Times New Roman" w:cs="Times New Roman"/>
                <w:bCs/>
                <w:color w:val="auto"/>
                <w:sz w:val="24"/>
              </w:rPr>
              <w:t>均在白天进行，一天最长压裂作业时间不超过15h，并且最迟在22</w:t>
            </w:r>
            <w:r>
              <w:rPr>
                <w:rFonts w:hint="eastAsia" w:cs="Times New Roman"/>
                <w:bCs/>
                <w:color w:val="auto"/>
                <w:sz w:val="24"/>
                <w:lang w:val="en-US" w:eastAsia="zh-CN"/>
              </w:rPr>
              <w:t>:</w:t>
            </w:r>
            <w:r>
              <w:rPr>
                <w:rFonts w:hint="default" w:ascii="Times New Roman" w:hAnsi="Times New Roman" w:cs="Times New Roman"/>
                <w:bCs/>
                <w:color w:val="auto"/>
                <w:sz w:val="24"/>
              </w:rPr>
              <w:t>00点之前停止压裂作业</w:t>
            </w:r>
            <w:r>
              <w:rPr>
                <w:rFonts w:hint="default" w:ascii="Times New Roman" w:hAnsi="Times New Roman" w:cs="Times New Roman"/>
                <w:color w:val="auto"/>
                <w:kern w:val="0"/>
                <w:sz w:val="24"/>
              </w:rPr>
              <w:t>。</w:t>
            </w:r>
          </w:p>
          <w:p w14:paraId="57607A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rPr>
            </w:pPr>
            <w:r>
              <w:rPr>
                <w:rFonts w:hint="default" w:ascii="Times New Roman" w:hAnsi="Times New Roman" w:cs="Times New Roman"/>
                <w:b w:val="0"/>
                <w:bCs/>
                <w:color w:val="auto"/>
                <w:kern w:val="0"/>
                <w:sz w:val="24"/>
              </w:rPr>
              <w:t>（2）施工</w:t>
            </w:r>
            <w:r>
              <w:rPr>
                <w:rFonts w:hint="eastAsia" w:ascii="Times New Roman" w:hAnsi="Times New Roman" w:cs="Times New Roman"/>
                <w:b w:val="0"/>
                <w:bCs/>
                <w:color w:val="auto"/>
                <w:kern w:val="0"/>
                <w:sz w:val="24"/>
                <w:lang w:val="en-US" w:eastAsia="zh-CN"/>
              </w:rPr>
              <w:t>时</w:t>
            </w:r>
            <w:r>
              <w:rPr>
                <w:rFonts w:hint="default" w:ascii="Times New Roman" w:hAnsi="Times New Roman" w:cs="Times New Roman"/>
                <w:b w:val="0"/>
                <w:bCs/>
                <w:color w:val="auto"/>
                <w:kern w:val="0"/>
                <w:sz w:val="24"/>
              </w:rPr>
              <w:t>序及工期</w:t>
            </w:r>
          </w:p>
          <w:p w14:paraId="3251123E">
            <w:pPr>
              <w:keepNext w:val="0"/>
              <w:keepLines w:val="0"/>
              <w:suppressLineNumbers w:val="0"/>
              <w:spacing w:before="0" w:beforeAutospacing="0" w:after="0" w:afterAutospacing="0" w:line="360" w:lineRule="auto"/>
              <w:ind w:left="0" w:right="0" w:firstLine="488" w:firstLineChars="200"/>
              <w:rPr>
                <w:rFonts w:hint="default" w:ascii="Times New Roman" w:hAnsi="Times New Roman" w:cs="Times New Roman"/>
                <w:color w:val="auto"/>
                <w:kern w:val="0"/>
                <w:sz w:val="24"/>
              </w:rPr>
            </w:pPr>
            <w:r>
              <w:rPr>
                <w:rFonts w:hint="eastAsia" w:ascii="Times New Roman" w:hAnsi="Times New Roman" w:cs="Times New Roman"/>
                <w:bCs/>
                <w:color w:val="auto"/>
                <w:spacing w:val="2"/>
                <w:sz w:val="24"/>
                <w:highlight w:val="none"/>
                <w:lang w:val="en-US" w:eastAsia="zh-CN"/>
              </w:rPr>
              <w:t>本项目分为钻前施工、钻井施工及储层改造工程，分阶段依次施工，</w:t>
            </w:r>
            <w:r>
              <w:rPr>
                <w:rFonts w:hint="default" w:ascii="Times New Roman" w:hAnsi="Times New Roman" w:cs="Times New Roman"/>
                <w:bCs/>
                <w:color w:val="auto"/>
                <w:spacing w:val="2"/>
                <w:sz w:val="24"/>
              </w:rPr>
              <w:t>本项目施工周期：钻前工程</w:t>
            </w:r>
            <w:r>
              <w:rPr>
                <w:rFonts w:hint="default" w:ascii="Times New Roman" w:hAnsi="Times New Roman" w:cs="Times New Roman"/>
                <w:bCs/>
                <w:color w:val="auto"/>
                <w:sz w:val="24"/>
              </w:rPr>
              <w:t>9</w:t>
            </w:r>
            <w:r>
              <w:rPr>
                <w:rFonts w:hint="eastAsia" w:ascii="Times New Roman" w:hAnsi="Times New Roman" w:cs="Times New Roman"/>
                <w:bCs/>
                <w:color w:val="auto"/>
                <w:sz w:val="24"/>
              </w:rPr>
              <w:t>0</w:t>
            </w:r>
            <w:r>
              <w:rPr>
                <w:rFonts w:hint="default" w:ascii="Times New Roman" w:hAnsi="Times New Roman" w:cs="Times New Roman"/>
                <w:bCs/>
                <w:color w:val="auto"/>
                <w:sz w:val="24"/>
              </w:rPr>
              <w:t>天、钻井</w:t>
            </w:r>
            <w:r>
              <w:rPr>
                <w:rFonts w:hint="eastAsia" w:ascii="Times New Roman" w:hAnsi="Times New Roman" w:cs="Times New Roman"/>
                <w:bCs/>
                <w:color w:val="auto"/>
                <w:sz w:val="24"/>
              </w:rPr>
              <w:t>施工</w:t>
            </w:r>
            <w:r>
              <w:rPr>
                <w:rFonts w:hint="default" w:ascii="Times New Roman" w:hAnsi="Times New Roman" w:cs="Times New Roman"/>
                <w:bCs/>
                <w:color w:val="auto"/>
                <w:sz w:val="24"/>
              </w:rPr>
              <w:t>工程</w:t>
            </w:r>
            <w:r>
              <w:rPr>
                <w:rFonts w:hint="eastAsia" w:ascii="Times New Roman" w:hAnsi="Times New Roman" w:cs="Times New Roman"/>
                <w:bCs/>
                <w:color w:val="auto"/>
                <w:sz w:val="24"/>
              </w:rPr>
              <w:t>300</w:t>
            </w:r>
            <w:r>
              <w:rPr>
                <w:rFonts w:hint="default" w:ascii="Times New Roman" w:hAnsi="Times New Roman" w:cs="Times New Roman"/>
                <w:bCs/>
                <w:color w:val="auto"/>
                <w:sz w:val="24"/>
              </w:rPr>
              <w:t>天、试气工程</w:t>
            </w:r>
            <w:r>
              <w:rPr>
                <w:rFonts w:hint="eastAsia" w:ascii="Times New Roman" w:hAnsi="Times New Roman" w:cs="Times New Roman"/>
                <w:bCs/>
                <w:color w:val="auto"/>
                <w:sz w:val="24"/>
              </w:rPr>
              <w:t>约80天</w:t>
            </w:r>
            <w:r>
              <w:rPr>
                <w:rFonts w:hint="default" w:ascii="Times New Roman" w:hAnsi="Times New Roman" w:cs="Times New Roman"/>
                <w:bCs/>
                <w:color w:val="auto"/>
                <w:sz w:val="24"/>
              </w:rPr>
              <w:t>。</w:t>
            </w:r>
            <w:r>
              <w:rPr>
                <w:rFonts w:hint="default" w:ascii="Times New Roman" w:hAnsi="Times New Roman" w:cs="Times New Roman"/>
                <w:color w:val="auto"/>
                <w:kern w:val="0"/>
                <w:sz w:val="24"/>
              </w:rPr>
              <w:t>完钻测试、设备搬迁、场地清理时间约</w:t>
            </w:r>
            <w:r>
              <w:rPr>
                <w:rFonts w:hint="eastAsia" w:ascii="Times New Roman" w:hAnsi="Times New Roman" w:cs="Times New Roman"/>
                <w:color w:val="auto"/>
                <w:kern w:val="0"/>
                <w:sz w:val="24"/>
              </w:rPr>
              <w:t>15天</w:t>
            </w:r>
            <w:r>
              <w:rPr>
                <w:rFonts w:hint="default" w:ascii="Times New Roman" w:hAnsi="Times New Roman" w:cs="Times New Roman"/>
                <w:color w:val="auto"/>
                <w:kern w:val="0"/>
                <w:sz w:val="24"/>
              </w:rPr>
              <w:t>。</w:t>
            </w:r>
          </w:p>
          <w:p w14:paraId="6BB7989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9、</w:t>
            </w:r>
            <w:r>
              <w:rPr>
                <w:rFonts w:hint="default" w:ascii="Times New Roman" w:hAnsi="Times New Roman" w:eastAsia="宋体" w:cs="Times New Roman"/>
                <w:b/>
                <w:bCs/>
                <w:color w:val="auto"/>
                <w:kern w:val="0"/>
                <w:sz w:val="24"/>
                <w:highlight w:val="none"/>
              </w:rPr>
              <w:t>施工</w:t>
            </w:r>
            <w:r>
              <w:rPr>
                <w:rFonts w:hint="eastAsia" w:ascii="Times New Roman" w:hAnsi="Times New Roman" w:eastAsia="宋体" w:cs="Times New Roman"/>
                <w:b/>
                <w:bCs/>
                <w:color w:val="auto"/>
                <w:kern w:val="0"/>
                <w:sz w:val="24"/>
                <w:highlight w:val="none"/>
                <w:lang w:val="en-US" w:eastAsia="zh-CN"/>
              </w:rPr>
              <w:t>组织方案</w:t>
            </w:r>
          </w:p>
          <w:p w14:paraId="15FE06A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1</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对外交通</w:t>
            </w:r>
          </w:p>
          <w:p w14:paraId="1562C1E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szCs w:val="24"/>
              </w:rPr>
            </w:pPr>
            <w:r>
              <w:rPr>
                <w:rFonts w:hint="eastAsia" w:ascii="Times New Roman" w:hAnsi="Times New Roman" w:eastAsia="宋体" w:cs="Times New Roman"/>
                <w:color w:val="auto"/>
                <w:sz w:val="24"/>
                <w:highlight w:val="none"/>
                <w:lang w:val="en-US" w:eastAsia="zh-CN"/>
              </w:rPr>
              <w:t>对外交通根据施工需要进行部分改建，</w:t>
            </w:r>
            <w:r>
              <w:rPr>
                <w:rFonts w:hint="eastAsia" w:ascii="Times New Roman" w:hAnsi="Times New Roman" w:cs="Times New Roman"/>
                <w:color w:val="auto"/>
                <w:sz w:val="24"/>
                <w:szCs w:val="24"/>
                <w:lang w:val="en-US" w:eastAsia="zh-CN"/>
              </w:rPr>
              <w:t>施工人员、设备、材料可通过以上道路运输至工程区，</w:t>
            </w:r>
            <w:r>
              <w:rPr>
                <w:rFonts w:hint="eastAsia" w:ascii="Times New Roman" w:hAnsi="Times New Roman" w:cs="Times New Roman"/>
                <w:color w:val="auto"/>
                <w:sz w:val="24"/>
                <w:szCs w:val="24"/>
              </w:rPr>
              <w:t>运输方便。</w:t>
            </w:r>
          </w:p>
          <w:p w14:paraId="775E476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2</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进场道路</w:t>
            </w:r>
          </w:p>
          <w:p w14:paraId="3E333D1E">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按照四级公路要求对现有进场农村公路（长约</w:t>
            </w:r>
            <w:r>
              <w:rPr>
                <w:rFonts w:hint="default" w:ascii="Times New Roman" w:hAnsi="Times New Roman" w:eastAsia="宋体" w:cs="Times New Roman"/>
                <w:b w:val="0"/>
                <w:bCs w:val="0"/>
                <w:color w:val="auto"/>
                <w:sz w:val="24"/>
                <w:szCs w:val="24"/>
                <w:lang w:val="en-US" w:eastAsia="zh-CN"/>
              </w:rPr>
              <w:t>5.5km</w:t>
            </w:r>
            <w:r>
              <w:rPr>
                <w:rFonts w:hint="eastAsia" w:ascii="Times New Roman" w:hAnsi="Times New Roman" w:eastAsia="宋体" w:cs="Times New Roman"/>
                <w:b w:val="0"/>
                <w:bCs w:val="0"/>
                <w:color w:val="auto"/>
                <w:sz w:val="24"/>
                <w:szCs w:val="24"/>
                <w:lang w:val="en-US" w:eastAsia="zh-CN"/>
              </w:rPr>
              <w:t>、宽3.5m）进行改建，外部道路依托已建道路。</w:t>
            </w:r>
          </w:p>
          <w:p w14:paraId="5B1984F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对现有进场农村公路进行修补</w:t>
            </w:r>
            <w:r>
              <w:rPr>
                <w:rFonts w:hint="default"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en-US" w:eastAsia="zh-CN"/>
              </w:rPr>
              <w:t>破损路面修补3250m</w:t>
            </w:r>
            <w:r>
              <w:rPr>
                <w:rFonts w:hint="eastAsia" w:ascii="Times New Roman" w:hAnsi="Times New Roman" w:eastAsia="宋体" w:cs="Times New Roman"/>
                <w:b w:val="0"/>
                <w:bCs w:val="0"/>
                <w:color w:val="auto"/>
                <w:sz w:val="24"/>
                <w:szCs w:val="24"/>
                <w:vertAlign w:val="superscript"/>
                <w:lang w:val="en-US" w:eastAsia="zh-CN"/>
              </w:rPr>
              <w:t>2</w:t>
            </w:r>
            <w:r>
              <w:rPr>
                <w:rFonts w:hint="eastAsia" w:ascii="Times New Roman" w:hAnsi="Times New Roman" w:eastAsia="宋体" w:cs="Times New Roman"/>
                <w:b w:val="0"/>
                <w:bCs w:val="0"/>
                <w:color w:val="auto"/>
                <w:sz w:val="24"/>
                <w:szCs w:val="24"/>
                <w:lang w:val="en-US" w:eastAsia="zh-CN"/>
              </w:rPr>
              <w:t>。对沿线8处弯道进行加宽处理。其中K1+500~K1+510处弯道最大宽度由5.5m加宽到7.5m、K3+251~K3+281处弯道最大宽度由4.5m加宽到9.8m、K4+170~K4+190处弯道最大宽度由3.5m加宽到5.5m、K4+390~K4+410处弯道最大宽度由3.5m加宽到6.5m、K4+470~K4+510处弯道最大宽度由3.5m加宽到4.5m、K4+720~K4+738处弯道最大宽度由3.5m加宽到7.0m、K4+960~K4+984处弯道最大宽度由3.5m加宽到5.0m、K5+040~K5+075处弯道最大宽度由3.5m加宽到8.0m。道路结构均为200mm沙砾石+200mm厚C25混凝土层。</w:t>
            </w:r>
          </w:p>
          <w:p w14:paraId="25CA215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新建进场道路</w:t>
            </w:r>
            <w:r>
              <w:rPr>
                <w:rFonts w:hint="eastAsia" w:ascii="Times New Roman" w:hAnsi="Times New Roman" w:eastAsia="宋体" w:cs="Times New Roman"/>
                <w:b w:val="0"/>
                <w:bCs w:val="0"/>
                <w:color w:val="auto"/>
                <w:sz w:val="24"/>
                <w:szCs w:val="24"/>
                <w:lang w:val="en-US" w:eastAsia="zh-CN"/>
              </w:rPr>
              <w:t>长约</w:t>
            </w:r>
            <w:r>
              <w:rPr>
                <w:rFonts w:hint="default" w:ascii="Times New Roman" w:hAnsi="Times New Roman" w:eastAsia="宋体" w:cs="Times New Roman"/>
                <w:b w:val="0"/>
                <w:bCs w:val="0"/>
                <w:color w:val="auto"/>
                <w:sz w:val="24"/>
                <w:szCs w:val="24"/>
                <w:lang w:val="en-US" w:eastAsia="zh-CN"/>
              </w:rPr>
              <w:t>64m</w:t>
            </w:r>
            <w:r>
              <w:rPr>
                <w:rFonts w:hint="eastAsia" w:ascii="Times New Roman" w:hAnsi="Times New Roman" w:eastAsia="宋体" w:cs="Times New Roman"/>
                <w:b w:val="0"/>
                <w:bCs w:val="0"/>
                <w:color w:val="auto"/>
                <w:sz w:val="24"/>
                <w:szCs w:val="24"/>
                <w:lang w:val="en-US" w:eastAsia="zh-CN"/>
              </w:rPr>
              <w:t>、宽4.0m，平均坡度为9.72%，道路结构为200mm沙砾石+200mm厚C25混凝土层。</w:t>
            </w:r>
          </w:p>
          <w:p w14:paraId="39D3322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（3）运输组织</w:t>
            </w:r>
          </w:p>
          <w:p w14:paraId="5A07ABC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施工期材料运输必须服从统一调度，运输路线应尽量避开人口聚集区，避免对现有交通产生较大影响，按照有关部门的要求和指定路线、时间、方式运输。运输过</w:t>
            </w:r>
            <w:r>
              <w:rPr>
                <w:rFonts w:hint="eastAsia" w:ascii="Times New Roman" w:hAnsi="Times New Roman" w:cs="Times New Roman"/>
                <w:color w:val="auto"/>
                <w:sz w:val="24"/>
                <w:szCs w:val="24"/>
                <w:lang w:eastAsia="zh-CN"/>
              </w:rPr>
              <w:t>程中</w:t>
            </w:r>
            <w:r>
              <w:rPr>
                <w:rFonts w:hint="default" w:ascii="Times New Roman" w:hAnsi="Times New Roman" w:cs="Times New Roman"/>
                <w:color w:val="auto"/>
                <w:sz w:val="24"/>
                <w:szCs w:val="24"/>
              </w:rPr>
              <w:t>严禁超限超载，材料车</w:t>
            </w:r>
            <w:r>
              <w:rPr>
                <w:rFonts w:hint="eastAsia" w:ascii="Times New Roman" w:hAnsi="Times New Roman" w:cs="Times New Roman"/>
                <w:color w:val="auto"/>
                <w:sz w:val="24"/>
                <w:szCs w:val="24"/>
              </w:rPr>
              <w:t>需</w:t>
            </w:r>
            <w:r>
              <w:rPr>
                <w:rFonts w:hint="default" w:ascii="Times New Roman" w:hAnsi="Times New Roman" w:cs="Times New Roman"/>
                <w:color w:val="auto"/>
                <w:sz w:val="24"/>
                <w:szCs w:val="24"/>
              </w:rPr>
              <w:t>用</w:t>
            </w:r>
            <w:r>
              <w:rPr>
                <w:rFonts w:hint="eastAsia" w:ascii="Times New Roman" w:hAnsi="Times New Roman" w:cs="Times New Roman"/>
                <w:color w:val="auto"/>
                <w:sz w:val="24"/>
                <w:szCs w:val="24"/>
                <w:lang w:eastAsia="zh-CN"/>
              </w:rPr>
              <w:t>篷布</w:t>
            </w:r>
            <w:r>
              <w:rPr>
                <w:rFonts w:hint="default" w:ascii="Times New Roman" w:hAnsi="Times New Roman" w:cs="Times New Roman"/>
                <w:color w:val="auto"/>
                <w:sz w:val="24"/>
                <w:szCs w:val="24"/>
              </w:rPr>
              <w:t>覆盖运输，减少物料洒落，产生扬尘等，不得出现超载、撒漏、不到指定地点清运等现象，途经人口聚集点时降低车速。</w:t>
            </w:r>
          </w:p>
          <w:p w14:paraId="1BB3EDA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同时，</w:t>
            </w:r>
            <w:r>
              <w:rPr>
                <w:rFonts w:hint="eastAsia" w:ascii="Times New Roman" w:hAnsi="Times New Roman" w:cs="Times New Roman"/>
                <w:color w:val="auto"/>
                <w:sz w:val="24"/>
                <w:szCs w:val="24"/>
              </w:rPr>
              <w:t>本次评价</w:t>
            </w:r>
            <w:r>
              <w:rPr>
                <w:rFonts w:hint="default" w:ascii="Times New Roman" w:hAnsi="Times New Roman" w:cs="Times New Roman"/>
                <w:color w:val="auto"/>
                <w:sz w:val="24"/>
                <w:szCs w:val="24"/>
              </w:rPr>
              <w:t>要求运输车辆还应严格落实以下要求：</w:t>
            </w:r>
          </w:p>
          <w:p w14:paraId="18052FD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1）运输车辆在驶离施工现场时，必须清扫车体，清洗轮胎，严禁轮胎带泥上路</w:t>
            </w:r>
            <w:r>
              <w:rPr>
                <w:rFonts w:hint="eastAsia" w:ascii="Times New Roman" w:hAnsi="Times New Roman" w:cs="Times New Roman"/>
                <w:color w:val="auto"/>
                <w:sz w:val="24"/>
                <w:szCs w:val="24"/>
              </w:rPr>
              <w:t>。</w:t>
            </w:r>
          </w:p>
          <w:p w14:paraId="59C665B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2）运输车辆装填高度不得超出</w:t>
            </w:r>
            <w:r>
              <w:rPr>
                <w:rFonts w:hint="eastAsia" w:ascii="Times New Roman" w:hAnsi="Times New Roman" w:cs="Times New Roman"/>
                <w:color w:val="auto"/>
                <w:sz w:val="24"/>
                <w:szCs w:val="24"/>
                <w:lang w:eastAsia="zh-CN"/>
              </w:rPr>
              <w:t>车厢</w:t>
            </w:r>
            <w:r>
              <w:rPr>
                <w:rFonts w:hint="default" w:ascii="Times New Roman" w:hAnsi="Times New Roman" w:cs="Times New Roman"/>
                <w:color w:val="auto"/>
                <w:sz w:val="24"/>
                <w:szCs w:val="24"/>
              </w:rPr>
              <w:t>外缘，必须使用防尘布覆盖或密闭运输。</w:t>
            </w:r>
          </w:p>
          <w:p w14:paraId="41A3852E">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3）必须保持运输车辆车况良好，车容车貌整洁，</w:t>
            </w:r>
            <w:r>
              <w:rPr>
                <w:rFonts w:hint="eastAsia" w:ascii="Times New Roman" w:hAnsi="Times New Roman" w:cs="Times New Roman"/>
                <w:color w:val="auto"/>
                <w:sz w:val="24"/>
                <w:szCs w:val="24"/>
                <w:lang w:eastAsia="zh-CN"/>
              </w:rPr>
              <w:t>车厢</w:t>
            </w:r>
            <w:r>
              <w:rPr>
                <w:rFonts w:hint="default" w:ascii="Times New Roman" w:hAnsi="Times New Roman" w:cs="Times New Roman"/>
                <w:color w:val="auto"/>
                <w:sz w:val="24"/>
                <w:szCs w:val="24"/>
              </w:rPr>
              <w:t>完好无损，严禁</w:t>
            </w:r>
            <w:r>
              <w:rPr>
                <w:rFonts w:hint="eastAsia" w:ascii="Times New Roman" w:hAnsi="Times New Roman" w:cs="Times New Roman"/>
                <w:color w:val="auto"/>
                <w:sz w:val="24"/>
                <w:szCs w:val="24"/>
                <w:lang w:val="en-US" w:eastAsia="zh-CN"/>
              </w:rPr>
              <w:t>车厢</w:t>
            </w:r>
            <w:r>
              <w:rPr>
                <w:rFonts w:hint="default" w:ascii="Times New Roman" w:hAnsi="Times New Roman" w:cs="Times New Roman"/>
                <w:color w:val="auto"/>
                <w:sz w:val="24"/>
                <w:szCs w:val="24"/>
              </w:rPr>
              <w:t>底板和四周以及缝隙泄漏泥、砂等污物；必须配备后</w:t>
            </w:r>
            <w:r>
              <w:rPr>
                <w:rFonts w:hint="eastAsia" w:ascii="Times New Roman" w:hAnsi="Times New Roman" w:cs="Times New Roman"/>
                <w:color w:val="auto"/>
                <w:sz w:val="24"/>
                <w:szCs w:val="24"/>
                <w:lang w:eastAsia="zh-CN"/>
              </w:rPr>
              <w:t>车厢</w:t>
            </w:r>
            <w:r>
              <w:rPr>
                <w:rFonts w:hint="default" w:ascii="Times New Roman" w:hAnsi="Times New Roman" w:cs="Times New Roman"/>
                <w:color w:val="auto"/>
                <w:sz w:val="24"/>
                <w:szCs w:val="24"/>
              </w:rPr>
              <w:t>挡板，凡无后</w:t>
            </w:r>
            <w:r>
              <w:rPr>
                <w:rFonts w:hint="eastAsia" w:ascii="Times New Roman" w:hAnsi="Times New Roman" w:cs="Times New Roman"/>
                <w:color w:val="auto"/>
                <w:sz w:val="24"/>
                <w:szCs w:val="24"/>
                <w:lang w:val="en-US" w:eastAsia="zh-CN"/>
              </w:rPr>
              <w:t>车厢挡板</w:t>
            </w:r>
            <w:r>
              <w:rPr>
                <w:rFonts w:hint="default" w:ascii="Times New Roman" w:hAnsi="Times New Roman" w:cs="Times New Roman"/>
                <w:color w:val="auto"/>
                <w:sz w:val="24"/>
                <w:szCs w:val="24"/>
              </w:rPr>
              <w:t>的车辆，不准从事运输作业。</w:t>
            </w:r>
          </w:p>
          <w:p w14:paraId="35CB0B1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4）运输车辆不得超载、超宽、超高运输，禁止风速大于4m/s时进行渣土</w:t>
            </w:r>
            <w:r>
              <w:rPr>
                <w:rFonts w:hint="eastAsia" w:cs="Times New Roman"/>
                <w:color w:val="auto"/>
                <w:sz w:val="24"/>
                <w:szCs w:val="24"/>
                <w:lang w:val="en-US" w:eastAsia="zh-CN"/>
              </w:rPr>
              <w:t>装载</w:t>
            </w:r>
            <w:r>
              <w:rPr>
                <w:rFonts w:hint="default" w:ascii="Times New Roman" w:hAnsi="Times New Roman" w:cs="Times New Roman"/>
                <w:color w:val="auto"/>
                <w:sz w:val="24"/>
                <w:szCs w:val="24"/>
              </w:rPr>
              <w:t>作业。</w:t>
            </w:r>
          </w:p>
          <w:p w14:paraId="580A9E7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val="0"/>
                <w:bCs w:val="0"/>
                <w:color w:val="auto"/>
                <w:kern w:val="0"/>
                <w:sz w:val="24"/>
                <w:szCs w:val="24"/>
              </w:rPr>
            </w:pPr>
            <w:r>
              <w:rPr>
                <w:rFonts w:hint="eastAsia" w:ascii="Times New Roman" w:hAnsi="Times New Roman" w:cs="Times New Roman"/>
                <w:b w:val="0"/>
                <w:bCs w:val="0"/>
                <w:color w:val="auto"/>
                <w:kern w:val="0"/>
                <w:sz w:val="24"/>
                <w:szCs w:val="24"/>
                <w:lang w:eastAsia="zh-CN"/>
              </w:rPr>
              <w:t>（</w:t>
            </w:r>
            <w:r>
              <w:rPr>
                <w:rFonts w:hint="eastAsia" w:ascii="Times New Roman" w:hAnsi="Times New Roman" w:cs="Times New Roman"/>
                <w:b w:val="0"/>
                <w:bCs w:val="0"/>
                <w:color w:val="auto"/>
                <w:kern w:val="0"/>
                <w:sz w:val="24"/>
                <w:szCs w:val="24"/>
                <w:lang w:val="en-US" w:eastAsia="zh-CN"/>
              </w:rPr>
              <w:t>4</w:t>
            </w:r>
            <w:r>
              <w:rPr>
                <w:rFonts w:hint="eastAsia" w:ascii="Times New Roman" w:hAnsi="Times New Roman" w:cs="Times New Roman"/>
                <w:b w:val="0"/>
                <w:bCs w:val="0"/>
                <w:color w:val="auto"/>
                <w:kern w:val="0"/>
                <w:sz w:val="24"/>
                <w:szCs w:val="24"/>
                <w:lang w:eastAsia="zh-CN"/>
              </w:rPr>
              <w:t>）</w:t>
            </w:r>
            <w:r>
              <w:rPr>
                <w:rFonts w:hint="eastAsia" w:ascii="Times New Roman" w:hAnsi="Times New Roman" w:cs="Times New Roman"/>
                <w:b w:val="0"/>
                <w:bCs w:val="0"/>
                <w:color w:val="auto"/>
                <w:kern w:val="0"/>
                <w:sz w:val="24"/>
                <w:szCs w:val="24"/>
              </w:rPr>
              <w:t>施工管理</w:t>
            </w:r>
          </w:p>
          <w:p w14:paraId="2CBB5A36">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1）工程管理要求</w:t>
            </w:r>
          </w:p>
          <w:p w14:paraId="3C58B8C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为确保本项目工程质量和建设工期要求，必须组建精干有效的管理机构，严格控制施工进度和质量。施工单位</w:t>
            </w:r>
            <w:r>
              <w:rPr>
                <w:rFonts w:hint="eastAsia" w:ascii="Times New Roman" w:hAnsi="Times New Roman" w:cs="Times New Roman"/>
                <w:color w:val="auto"/>
                <w:sz w:val="24"/>
                <w:szCs w:val="24"/>
                <w:lang w:val="en-US" w:eastAsia="zh-CN"/>
              </w:rPr>
              <w:t>由中石油专业施工单位负责。</w:t>
            </w:r>
          </w:p>
          <w:p w14:paraId="5D07337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工程实施</w:t>
            </w:r>
            <w:r>
              <w:rPr>
                <w:rFonts w:hint="eastAsia" w:ascii="Times New Roman" w:hAnsi="Times New Roman" w:cs="Times New Roman"/>
                <w:color w:val="auto"/>
                <w:sz w:val="24"/>
                <w:szCs w:val="24"/>
                <w:lang w:eastAsia="zh-CN"/>
              </w:rPr>
              <w:t>工作</w:t>
            </w:r>
            <w:r>
              <w:rPr>
                <w:rFonts w:hint="default" w:ascii="Times New Roman" w:hAnsi="Times New Roman" w:cs="Times New Roman"/>
                <w:color w:val="auto"/>
                <w:sz w:val="24"/>
                <w:szCs w:val="24"/>
              </w:rPr>
              <w:t>中必须认真贯彻国家有关方针和质量法规，组织优秀精良的施工队伍，配备先进的施工机械设备，采购充足且质量合格的筑路材料，同时加强各分项工程施工的衔接配合，切实采取有效措施保证施工的顺利推进。</w:t>
            </w:r>
          </w:p>
          <w:p w14:paraId="17024C7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2）环境管理要求</w:t>
            </w:r>
          </w:p>
          <w:p w14:paraId="7842809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sz w:val="24"/>
                <w:szCs w:val="24"/>
                <w:lang w:val="en-US" w:eastAsia="zh-CN"/>
              </w:rPr>
              <w:t>钻前施工应对表土资源进行剥离保护，单独堆放于规划的临时堆场，临时堆土场应</w:t>
            </w:r>
            <w:r>
              <w:rPr>
                <w:rFonts w:hint="eastAsia" w:ascii="Times New Roman" w:hAnsi="Times New Roman" w:eastAsia="宋体" w:cs="Times New Roman"/>
                <w:color w:val="auto"/>
                <w:kern w:val="0"/>
                <w:sz w:val="24"/>
                <w:highlight w:val="none"/>
                <w:lang w:val="en-US" w:eastAsia="zh-CN"/>
              </w:rPr>
              <w:t>按要求</w:t>
            </w:r>
            <w:r>
              <w:rPr>
                <w:rFonts w:hint="eastAsia" w:cs="Times New Roman"/>
                <w:color w:val="auto"/>
                <w:kern w:val="0"/>
                <w:sz w:val="24"/>
                <w:highlight w:val="none"/>
                <w:lang w:val="en-US" w:eastAsia="zh-CN"/>
              </w:rPr>
              <w:t>建设</w:t>
            </w:r>
            <w:r>
              <w:rPr>
                <w:rFonts w:hint="eastAsia" w:ascii="Times New Roman" w:hAnsi="Times New Roman" w:eastAsia="宋体" w:cs="Times New Roman"/>
                <w:color w:val="auto"/>
                <w:kern w:val="0"/>
                <w:sz w:val="24"/>
                <w:highlight w:val="none"/>
                <w:lang w:val="en-US" w:eastAsia="zh-CN"/>
              </w:rPr>
              <w:t>截排水沟</w:t>
            </w:r>
            <w:r>
              <w:rPr>
                <w:rFonts w:hint="eastAsia" w:cs="Times New Roman"/>
                <w:color w:val="auto"/>
                <w:kern w:val="0"/>
                <w:sz w:val="24"/>
                <w:highlight w:val="none"/>
                <w:lang w:val="en-US" w:eastAsia="zh-CN"/>
              </w:rPr>
              <w:t>，同时应</w:t>
            </w:r>
            <w:r>
              <w:rPr>
                <w:rFonts w:hint="eastAsia" w:ascii="Times New Roman" w:hAnsi="Times New Roman" w:eastAsia="宋体" w:cs="Times New Roman"/>
                <w:color w:val="auto"/>
                <w:kern w:val="0"/>
                <w:sz w:val="24"/>
                <w:highlight w:val="none"/>
                <w:lang w:val="en-US" w:eastAsia="zh-CN"/>
              </w:rPr>
              <w:t>采取铺设密目网、撒草籽、浇水养护的方式防止水土流失。</w:t>
            </w:r>
          </w:p>
        </w:tc>
      </w:tr>
      <w:tr w14:paraId="0EFCC5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026" w:type="dxa"/>
            <w:noWrap w:val="0"/>
            <w:vAlign w:val="center"/>
          </w:tcPr>
          <w:p w14:paraId="6DE6ACB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总平面及现场布置</w:t>
            </w:r>
          </w:p>
        </w:tc>
        <w:tc>
          <w:tcPr>
            <w:tcW w:w="7973" w:type="dxa"/>
            <w:noWrap w:val="0"/>
            <w:vAlign w:val="center"/>
          </w:tcPr>
          <w:p w14:paraId="5E5B177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default" w:ascii="Times New Roman" w:hAnsi="Times New Roman" w:cs="Times New Roman"/>
                <w:b/>
                <w:color w:val="auto"/>
                <w:sz w:val="24"/>
              </w:rPr>
              <w:t>1、井场内布置</w:t>
            </w:r>
          </w:p>
          <w:p w14:paraId="61154A5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color w:val="auto"/>
                <w:sz w:val="24"/>
                <w:highlight w:val="yellow"/>
              </w:rPr>
            </w:pPr>
            <w:r>
              <w:rPr>
                <w:rFonts w:hint="default" w:ascii="Times New Roman" w:hAnsi="Times New Roman" w:cs="Times New Roman"/>
                <w:color w:val="auto"/>
                <w:sz w:val="24"/>
              </w:rPr>
              <w:t>井场内布置主要为井口区设备布置，井场</w:t>
            </w:r>
            <w:r>
              <w:rPr>
                <w:rFonts w:hint="eastAsia" w:cs="Times New Roman"/>
                <w:color w:val="auto"/>
                <w:sz w:val="24"/>
                <w:lang w:val="en-US" w:eastAsia="zh-CN"/>
              </w:rPr>
              <w:t>后场</w:t>
            </w:r>
            <w:r>
              <w:rPr>
                <w:rFonts w:hint="eastAsia" w:ascii="Times New Roman" w:hAnsi="Times New Roman" w:cs="Times New Roman"/>
                <w:color w:val="auto"/>
                <w:sz w:val="24"/>
                <w:lang w:val="en-US" w:eastAsia="zh-CN"/>
              </w:rPr>
              <w:t>整体位于井场北侧，设置有</w:t>
            </w:r>
            <w:r>
              <w:rPr>
                <w:rFonts w:hint="default" w:ascii="Times New Roman" w:hAnsi="Times New Roman" w:cs="Times New Roman"/>
                <w:color w:val="auto"/>
                <w:sz w:val="24"/>
              </w:rPr>
              <w:t>井架基础、泥浆泵基础</w:t>
            </w:r>
            <w:r>
              <w:rPr>
                <w:rFonts w:hint="eastAsia" w:ascii="Times New Roman" w:hAnsi="Times New Roman" w:cs="Times New Roman"/>
                <w:color w:val="auto"/>
                <w:sz w:val="24"/>
              </w:rPr>
              <w:t>（泵房基础）</w:t>
            </w:r>
            <w:r>
              <w:rPr>
                <w:rFonts w:hint="default" w:ascii="Times New Roman" w:hAnsi="Times New Roman" w:cs="Times New Roman"/>
                <w:color w:val="auto"/>
                <w:sz w:val="24"/>
              </w:rPr>
              <w:t>、循环罐基础、储备罐基础</w:t>
            </w:r>
            <w:r>
              <w:rPr>
                <w:rFonts w:hint="eastAsia" w:ascii="Times New Roman" w:hAnsi="Times New Roman" w:cs="Times New Roman"/>
                <w:color w:val="auto"/>
                <w:sz w:val="24"/>
              </w:rPr>
              <w:t>（泥浆储备</w:t>
            </w:r>
            <w:r>
              <w:rPr>
                <w:rFonts w:hint="eastAsia" w:cs="Times New Roman"/>
                <w:color w:val="auto"/>
                <w:sz w:val="24"/>
                <w:lang w:eastAsia="zh-CN"/>
              </w:rPr>
              <w:t>）</w:t>
            </w:r>
            <w:r>
              <w:rPr>
                <w:rFonts w:hint="default" w:ascii="Times New Roman" w:hAnsi="Times New Roman" w:cs="Times New Roman"/>
                <w:color w:val="auto"/>
                <w:sz w:val="24"/>
              </w:rPr>
              <w:t>、泥浆不落地基础（环保装置区）、</w:t>
            </w:r>
            <w:r>
              <w:rPr>
                <w:rFonts w:hint="eastAsia" w:ascii="Times New Roman" w:hAnsi="Times New Roman" w:cs="Times New Roman"/>
                <w:color w:val="auto"/>
                <w:sz w:val="24"/>
              </w:rPr>
              <w:t>机房基础（</w:t>
            </w:r>
            <w:r>
              <w:rPr>
                <w:rFonts w:hint="default" w:ascii="Times New Roman" w:hAnsi="Times New Roman" w:cs="Times New Roman"/>
                <w:color w:val="auto"/>
                <w:sz w:val="24"/>
              </w:rPr>
              <w:t>发电机房及</w:t>
            </w:r>
            <w:r>
              <w:rPr>
                <w:rFonts w:hint="eastAsia" w:cs="Times New Roman"/>
                <w:color w:val="auto"/>
                <w:sz w:val="24"/>
                <w:lang w:val="en-US" w:eastAsia="zh-CN"/>
              </w:rPr>
              <w:t>高低压配电房基础</w:t>
            </w:r>
            <w:r>
              <w:rPr>
                <w:rFonts w:hint="eastAsia" w:ascii="Times New Roman" w:hAnsi="Times New Roman" w:cs="Times New Roman"/>
                <w:color w:val="auto"/>
                <w:sz w:val="24"/>
              </w:rPr>
              <w:t>）</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危废暂存间等</w:t>
            </w:r>
            <w:r>
              <w:rPr>
                <w:rFonts w:hint="default" w:ascii="Times New Roman" w:hAnsi="Times New Roman" w:cs="Times New Roman"/>
                <w:color w:val="auto"/>
                <w:sz w:val="24"/>
              </w:rPr>
              <w:t>。</w:t>
            </w:r>
          </w:p>
          <w:p w14:paraId="3566029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color w:val="auto"/>
                <w:sz w:val="24"/>
              </w:rPr>
            </w:pPr>
            <w:r>
              <w:rPr>
                <w:rFonts w:hint="default" w:ascii="Times New Roman" w:hAnsi="Times New Roman" w:cs="Times New Roman"/>
                <w:b/>
                <w:color w:val="auto"/>
                <w:sz w:val="24"/>
              </w:rPr>
              <w:t>2、井场外布置</w:t>
            </w:r>
          </w:p>
          <w:p w14:paraId="6119A0E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①放喷池：</w:t>
            </w:r>
            <w:r>
              <w:rPr>
                <w:rFonts w:hint="default" w:ascii="Times New Roman" w:hAnsi="Times New Roman" w:cs="Times New Roman"/>
                <w:color w:val="auto"/>
                <w:kern w:val="0"/>
                <w:sz w:val="24"/>
                <w:szCs w:val="21"/>
              </w:rPr>
              <w:t>在井场外</w:t>
            </w:r>
            <w:r>
              <w:rPr>
                <w:rFonts w:hint="eastAsia" w:cs="Times New Roman"/>
                <w:color w:val="auto"/>
                <w:kern w:val="0"/>
                <w:sz w:val="24"/>
                <w:szCs w:val="21"/>
                <w:lang w:val="en-US" w:eastAsia="zh-CN"/>
              </w:rPr>
              <w:t>东</w:t>
            </w:r>
            <w:r>
              <w:rPr>
                <w:rFonts w:hint="eastAsia" w:ascii="Times New Roman" w:hAnsi="Times New Roman" w:cs="Times New Roman"/>
                <w:color w:val="auto"/>
                <w:kern w:val="0"/>
                <w:sz w:val="24"/>
                <w:szCs w:val="21"/>
                <w:lang w:val="en-US" w:eastAsia="zh-CN"/>
              </w:rPr>
              <w:t>北侧</w:t>
            </w:r>
            <w:r>
              <w:rPr>
                <w:rFonts w:hint="default" w:ascii="Times New Roman" w:hAnsi="Times New Roman" w:cs="Times New Roman"/>
                <w:color w:val="auto"/>
                <w:kern w:val="0"/>
                <w:sz w:val="24"/>
                <w:szCs w:val="21"/>
              </w:rPr>
              <w:t>设置1座放喷池。放喷池</w:t>
            </w:r>
            <w:r>
              <w:rPr>
                <w:rFonts w:hint="eastAsia" w:cs="Times New Roman"/>
                <w:color w:val="auto"/>
                <w:kern w:val="0"/>
                <w:sz w:val="24"/>
                <w:szCs w:val="21"/>
                <w:lang w:val="en-US" w:eastAsia="zh-CN"/>
              </w:rPr>
              <w:t>放喷管线出口</w:t>
            </w:r>
            <w:r>
              <w:rPr>
                <w:rFonts w:hint="default" w:ascii="Times New Roman" w:hAnsi="Times New Roman" w:cs="Times New Roman"/>
                <w:color w:val="auto"/>
                <w:kern w:val="0"/>
                <w:sz w:val="24"/>
                <w:szCs w:val="21"/>
              </w:rPr>
              <w:t>距井口</w:t>
            </w:r>
            <w:r>
              <w:rPr>
                <w:rFonts w:hint="eastAsia" w:cs="Times New Roman"/>
                <w:color w:val="auto"/>
                <w:kern w:val="0"/>
                <w:sz w:val="24"/>
                <w:szCs w:val="21"/>
                <w:lang w:val="en-US" w:eastAsia="zh-CN"/>
              </w:rPr>
              <w:t>距离为78m</w:t>
            </w:r>
            <w:r>
              <w:rPr>
                <w:rFonts w:hint="default" w:ascii="Times New Roman" w:hAnsi="Times New Roman" w:cs="Times New Roman"/>
                <w:color w:val="auto"/>
                <w:kern w:val="0"/>
                <w:sz w:val="24"/>
                <w:szCs w:val="21"/>
              </w:rPr>
              <w:t>，放喷池容积</w:t>
            </w:r>
            <w:r>
              <w:rPr>
                <w:rFonts w:hint="eastAsia" w:cs="Times New Roman"/>
                <w:color w:val="auto"/>
                <w:kern w:val="0"/>
                <w:sz w:val="24"/>
                <w:szCs w:val="21"/>
                <w:lang w:val="en-US" w:eastAsia="zh-CN"/>
              </w:rPr>
              <w:t>30</w:t>
            </w:r>
            <w:r>
              <w:rPr>
                <w:rFonts w:hint="eastAsia" w:ascii="Times New Roman" w:hAnsi="Times New Roman" w:cs="Times New Roman"/>
                <w:color w:val="auto"/>
                <w:kern w:val="0"/>
                <w:sz w:val="24"/>
                <w:szCs w:val="21"/>
                <w:lang w:val="en-US" w:eastAsia="zh-CN"/>
              </w:rPr>
              <w:t>0</w:t>
            </w:r>
            <w:r>
              <w:rPr>
                <w:rFonts w:hint="default" w:ascii="Times New Roman" w:hAnsi="Times New Roman" w:cs="Times New Roman"/>
                <w:color w:val="auto"/>
                <w:kern w:val="0"/>
                <w:sz w:val="24"/>
                <w:szCs w:val="21"/>
              </w:rPr>
              <w:t>m³，三面墙结构（</w:t>
            </w:r>
            <w:r>
              <w:rPr>
                <w:rFonts w:hint="eastAsia" w:ascii="Times New Roman" w:hAnsi="Times New Roman" w:cs="Times New Roman"/>
                <w:color w:val="auto"/>
                <w:kern w:val="0"/>
                <w:sz w:val="24"/>
                <w:szCs w:val="21"/>
                <w:lang w:val="en-US" w:eastAsia="zh-CN"/>
              </w:rPr>
              <w:t>3</w:t>
            </w:r>
            <w:r>
              <w:rPr>
                <w:rFonts w:hint="default" w:ascii="Times New Roman" w:hAnsi="Times New Roman" w:cs="Times New Roman"/>
                <w:color w:val="auto"/>
                <w:kern w:val="0"/>
                <w:sz w:val="24"/>
                <w:szCs w:val="21"/>
              </w:rPr>
              <w:t>.5m高），采用耐火砖构筑</w:t>
            </w:r>
            <w:r>
              <w:rPr>
                <w:rFonts w:hint="eastAsia" w:ascii="Times New Roman" w:hAnsi="Times New Roman" w:cs="Times New Roman"/>
                <w:color w:val="auto"/>
                <w:kern w:val="0"/>
                <w:sz w:val="24"/>
                <w:szCs w:val="21"/>
                <w:lang w:eastAsia="zh-CN"/>
              </w:rPr>
              <w:t>，</w:t>
            </w:r>
            <w:r>
              <w:rPr>
                <w:rFonts w:hint="eastAsia" w:ascii="Times New Roman" w:hAnsi="Times New Roman" w:cs="Times New Roman"/>
                <w:color w:val="auto"/>
                <w:kern w:val="0"/>
                <w:sz w:val="24"/>
                <w:szCs w:val="21"/>
                <w:lang w:val="en-US" w:eastAsia="zh-CN"/>
              </w:rPr>
              <w:t>放喷口离地高度1m。</w:t>
            </w:r>
          </w:p>
          <w:p w14:paraId="0F3909D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1"/>
              </w:rPr>
            </w:pPr>
            <w:r>
              <w:rPr>
                <w:rFonts w:hint="default" w:ascii="Times New Roman" w:hAnsi="Times New Roman" w:cs="Times New Roman"/>
                <w:color w:val="auto"/>
                <w:sz w:val="24"/>
              </w:rPr>
              <w:t>②清水池：布置于井场</w:t>
            </w:r>
            <w:r>
              <w:rPr>
                <w:rFonts w:hint="eastAsia" w:ascii="Times New Roman" w:hAnsi="Times New Roman" w:cs="Times New Roman"/>
                <w:color w:val="auto"/>
                <w:sz w:val="24"/>
                <w:lang w:val="en-US" w:eastAsia="zh-CN"/>
              </w:rPr>
              <w:t>外南侧</w:t>
            </w:r>
            <w:r>
              <w:rPr>
                <w:rFonts w:hint="default" w:ascii="Times New Roman" w:hAnsi="Times New Roman" w:cs="Times New Roman"/>
                <w:color w:val="auto"/>
                <w:sz w:val="24"/>
              </w:rPr>
              <w:t>，</w:t>
            </w:r>
            <w:r>
              <w:rPr>
                <w:rFonts w:hint="default" w:ascii="Times New Roman" w:hAnsi="Times New Roman" w:cs="Times New Roman"/>
                <w:color w:val="auto"/>
                <w:kern w:val="0"/>
                <w:sz w:val="24"/>
                <w:szCs w:val="21"/>
              </w:rPr>
              <w:t>容积</w:t>
            </w:r>
            <w:r>
              <w:rPr>
                <w:rFonts w:hint="eastAsia" w:ascii="Times New Roman" w:hAnsi="Times New Roman" w:cs="Times New Roman"/>
                <w:color w:val="auto"/>
                <w:kern w:val="0"/>
                <w:sz w:val="24"/>
                <w:szCs w:val="21"/>
                <w:lang w:val="en-US" w:eastAsia="zh-CN"/>
              </w:rPr>
              <w:t>2</w:t>
            </w:r>
            <w:r>
              <w:rPr>
                <w:rFonts w:hint="eastAsia" w:ascii="Times New Roman" w:hAnsi="Times New Roman" w:cs="Times New Roman"/>
                <w:color w:val="auto"/>
                <w:kern w:val="0"/>
                <w:sz w:val="24"/>
                <w:szCs w:val="21"/>
              </w:rPr>
              <w:t>000</w:t>
            </w:r>
            <w:r>
              <w:rPr>
                <w:rFonts w:hint="default" w:ascii="Times New Roman" w:hAnsi="Times New Roman" w:cs="Times New Roman"/>
                <w:color w:val="auto"/>
                <w:kern w:val="0"/>
                <w:sz w:val="24"/>
                <w:szCs w:val="21"/>
              </w:rPr>
              <w:t>m³。池壁采用Mu10页岩砖砌筑，池底为C30（P8）防渗钢筋砼</w:t>
            </w:r>
            <w:r>
              <w:rPr>
                <w:rFonts w:hint="eastAsia" w:ascii="Times New Roman" w:hAnsi="Times New Roman" w:cs="Times New Roman"/>
                <w:color w:val="auto"/>
                <w:kern w:val="0"/>
                <w:sz w:val="24"/>
                <w:szCs w:val="21"/>
                <w:lang w:val="en-US" w:eastAsia="zh-CN"/>
              </w:rPr>
              <w:t>结构。</w:t>
            </w:r>
          </w:p>
          <w:p w14:paraId="7F732D2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default" w:ascii="Times New Roman" w:hAnsi="Times New Roman" w:cs="Times New Roman"/>
                <w:color w:val="auto"/>
                <w:sz w:val="24"/>
              </w:rPr>
              <w:t>③</w:t>
            </w:r>
            <w:r>
              <w:rPr>
                <w:rFonts w:hint="eastAsia" w:ascii="Times New Roman" w:hAnsi="Times New Roman" w:cs="Times New Roman"/>
                <w:color w:val="auto"/>
                <w:sz w:val="24"/>
                <w:lang w:val="en-US" w:eastAsia="zh-CN"/>
              </w:rPr>
              <w:t>污水池</w:t>
            </w:r>
            <w:r>
              <w:rPr>
                <w:rFonts w:hint="eastAsia" w:ascii="Times New Roman" w:hAnsi="Times New Roman" w:eastAsia="宋体" w:cs="Times New Roman"/>
                <w:color w:val="auto"/>
                <w:sz w:val="24"/>
                <w:lang w:val="en-US" w:eastAsia="zh-CN"/>
              </w:rPr>
              <w:t>（多功能网格池组）</w:t>
            </w:r>
            <w:r>
              <w:rPr>
                <w:rFonts w:hint="eastAsia"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井</w:t>
            </w:r>
            <w:r>
              <w:rPr>
                <w:rFonts w:hint="eastAsia" w:ascii="Times New Roman" w:hAnsi="Times New Roman" w:eastAsia="宋体" w:cs="Times New Roman"/>
                <w:color w:val="auto"/>
                <w:sz w:val="24"/>
                <w:lang w:bidi="ar"/>
              </w:rPr>
              <w:t>场外</w:t>
            </w:r>
            <w:r>
              <w:rPr>
                <w:rFonts w:hint="eastAsia" w:cs="Times New Roman"/>
                <w:color w:val="auto"/>
                <w:sz w:val="24"/>
                <w:lang w:val="en-US" w:eastAsia="zh-CN" w:bidi="ar"/>
              </w:rPr>
              <w:t>西</w:t>
            </w:r>
            <w:r>
              <w:rPr>
                <w:rFonts w:hint="eastAsia" w:ascii="Times New Roman" w:hAnsi="Times New Roman" w:eastAsia="宋体" w:cs="Times New Roman"/>
                <w:color w:val="auto"/>
                <w:sz w:val="24"/>
                <w:lang w:val="en-US" w:eastAsia="zh-CN" w:bidi="ar"/>
              </w:rPr>
              <w:t>北侧</w:t>
            </w:r>
            <w:r>
              <w:rPr>
                <w:rFonts w:hint="eastAsia" w:ascii="Times New Roman" w:hAnsi="Times New Roman" w:eastAsia="宋体" w:cs="Times New Roman"/>
                <w:color w:val="auto"/>
                <w:sz w:val="24"/>
                <w:lang w:bidi="ar"/>
              </w:rPr>
              <w:t>设置</w:t>
            </w:r>
            <w:r>
              <w:rPr>
                <w:rFonts w:hint="default" w:ascii="Times New Roman" w:hAnsi="Times New Roman" w:eastAsia="宋体" w:cs="Times New Roman"/>
                <w:color w:val="auto"/>
                <w:sz w:val="24"/>
                <w:lang w:bidi="ar"/>
              </w:rPr>
              <w:t>一个污水池</w:t>
            </w:r>
            <w:r>
              <w:rPr>
                <w:rFonts w:hint="eastAsia" w:ascii="Times New Roman" w:hAnsi="Times New Roman" w:eastAsia="宋体" w:cs="Times New Roman"/>
                <w:color w:val="auto"/>
                <w:sz w:val="24"/>
                <w:lang w:bidi="ar"/>
              </w:rPr>
              <w:t>（多功能网格池组）</w:t>
            </w:r>
            <w:r>
              <w:rPr>
                <w:rFonts w:hint="default" w:ascii="Times New Roman" w:hAnsi="Times New Roman" w:eastAsia="宋体" w:cs="Times New Roman"/>
                <w:color w:val="auto"/>
                <w:sz w:val="24"/>
                <w:lang w:bidi="ar"/>
              </w:rPr>
              <w:t>，有效容积</w:t>
            </w:r>
            <w:r>
              <w:rPr>
                <w:rFonts w:hint="eastAsia" w:cs="Times New Roman"/>
                <w:color w:val="auto"/>
                <w:sz w:val="24"/>
                <w:lang w:val="en-US" w:eastAsia="zh-CN" w:bidi="ar"/>
              </w:rPr>
              <w:t>120</w:t>
            </w:r>
            <w:r>
              <w:rPr>
                <w:rFonts w:hint="default" w:ascii="Times New Roman" w:hAnsi="Times New Roman" w:eastAsia="宋体" w:cs="Times New Roman"/>
                <w:color w:val="auto"/>
                <w:sz w:val="24"/>
                <w:lang w:bidi="ar"/>
              </w:rPr>
              <w:t>0m³。</w:t>
            </w:r>
          </w:p>
          <w:p w14:paraId="7CE1B6E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④</w:t>
            </w:r>
            <w:r>
              <w:rPr>
                <w:rFonts w:hint="default" w:ascii="Times New Roman" w:hAnsi="Times New Roman" w:eastAsia="宋体" w:cs="Times New Roman"/>
                <w:color w:val="auto"/>
                <w:sz w:val="24"/>
              </w:rPr>
              <w:t>道路</w:t>
            </w:r>
            <w:r>
              <w:rPr>
                <w:rFonts w:hint="default" w:ascii="Times New Roman" w:hAnsi="Times New Roman" w:eastAsia="宋体" w:cs="Times New Roman"/>
                <w:color w:val="auto"/>
                <w:sz w:val="24"/>
                <w:lang w:val="en-US" w:eastAsia="zh-CN" w:bidi="ar"/>
              </w:rPr>
              <w:t>工程：</w:t>
            </w:r>
            <w:r>
              <w:rPr>
                <w:rFonts w:hint="eastAsia" w:ascii="Times New Roman" w:hAnsi="Times New Roman" w:eastAsia="宋体" w:cs="Times New Roman"/>
                <w:color w:val="auto"/>
                <w:sz w:val="24"/>
                <w:lang w:val="en-US" w:eastAsia="zh-CN" w:bidi="ar"/>
              </w:rPr>
              <w:t>按照四级公路要求对现有进场农村公路进行改建，外部道路依托已建道</w:t>
            </w:r>
            <w:r>
              <w:rPr>
                <w:rFonts w:hint="default" w:ascii="Times New Roman" w:hAnsi="Times New Roman" w:eastAsia="宋体" w:cs="Times New Roman"/>
                <w:color w:val="auto"/>
                <w:sz w:val="24"/>
                <w:lang w:val="en-US" w:eastAsia="zh-CN" w:bidi="ar"/>
              </w:rPr>
              <w:t>路。维修道路长5.5km，</w:t>
            </w:r>
            <w:r>
              <w:rPr>
                <w:rFonts w:hint="eastAsia" w:ascii="Times New Roman" w:hAnsi="Times New Roman" w:eastAsia="宋体" w:cs="Times New Roman"/>
                <w:color w:val="auto"/>
                <w:sz w:val="24"/>
                <w:lang w:val="en-US" w:eastAsia="zh-CN" w:bidi="ar"/>
              </w:rPr>
              <w:t>8处弯道进行加宽处理，</w:t>
            </w:r>
            <w:r>
              <w:rPr>
                <w:rFonts w:hint="default" w:ascii="Times New Roman" w:hAnsi="Times New Roman" w:eastAsia="宋体" w:cs="Times New Roman"/>
                <w:color w:val="auto"/>
                <w:sz w:val="24"/>
                <w:lang w:val="en-US" w:eastAsia="zh-CN" w:bidi="ar"/>
              </w:rPr>
              <w:t>新建进场道路约64m</w:t>
            </w:r>
            <w:r>
              <w:rPr>
                <w:rFonts w:hint="eastAsia" w:ascii="Times New Roman" w:hAnsi="Times New Roman" w:eastAsia="宋体" w:cs="Times New Roman"/>
                <w:color w:val="auto"/>
                <w:sz w:val="24"/>
                <w:lang w:eastAsia="zh-CN"/>
              </w:rPr>
              <w:t>。</w:t>
            </w:r>
          </w:p>
          <w:p w14:paraId="3BA46DDD">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⑤</w:t>
            </w:r>
            <w:r>
              <w:rPr>
                <w:rFonts w:hint="eastAsia" w:ascii="Times New Roman" w:hAnsi="Times New Roman" w:cs="Times New Roman"/>
                <w:color w:val="auto"/>
                <w:sz w:val="24"/>
              </w:rPr>
              <w:t>堆场</w:t>
            </w:r>
            <w:r>
              <w:rPr>
                <w:rFonts w:hint="default" w:ascii="Times New Roman" w:hAnsi="Times New Roman" w:cs="Times New Roman"/>
                <w:color w:val="auto"/>
                <w:sz w:val="24"/>
              </w:rPr>
              <w:t>：</w:t>
            </w:r>
            <w:r>
              <w:rPr>
                <w:rFonts w:hint="eastAsia" w:ascii="Times New Roman" w:hAnsi="Times New Roman" w:cs="Times New Roman"/>
                <w:bCs/>
                <w:color w:val="auto"/>
                <w:sz w:val="24"/>
                <w:lang w:val="en-US" w:eastAsia="zh-CN"/>
              </w:rPr>
              <w:t>项目设两处表土堆场，不设置弃土场。1#表土堆场位于井场南侧，占地面积413m</w:t>
            </w:r>
            <w:r>
              <w:rPr>
                <w:rFonts w:hint="eastAsia" w:ascii="Times New Roman" w:hAnsi="Times New Roman" w:cs="Times New Roman"/>
                <w:bCs/>
                <w:color w:val="auto"/>
                <w:sz w:val="24"/>
                <w:vertAlign w:val="superscript"/>
                <w:lang w:val="en-US" w:eastAsia="zh-CN"/>
              </w:rPr>
              <w:t>2</w:t>
            </w:r>
            <w:r>
              <w:rPr>
                <w:rFonts w:hint="eastAsia" w:ascii="Times New Roman" w:hAnsi="Times New Roman" w:cs="Times New Roman"/>
                <w:bCs/>
                <w:color w:val="auto"/>
                <w:sz w:val="24"/>
                <w:lang w:val="en-US" w:eastAsia="zh-CN"/>
              </w:rPr>
              <w:t>，设计堆存量约2200m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lang w:val="en-US" w:eastAsia="zh-CN"/>
              </w:rPr>
              <w:t>；2#表土堆场位于井场西侧，占地面积600m</w:t>
            </w:r>
            <w:r>
              <w:rPr>
                <w:rFonts w:hint="eastAsia" w:ascii="Times New Roman" w:hAnsi="Times New Roman" w:cs="Times New Roman"/>
                <w:bCs/>
                <w:color w:val="auto"/>
                <w:sz w:val="24"/>
                <w:vertAlign w:val="superscript"/>
                <w:lang w:val="en-US" w:eastAsia="zh-CN"/>
              </w:rPr>
              <w:t>2</w:t>
            </w:r>
            <w:r>
              <w:rPr>
                <w:rFonts w:hint="eastAsia" w:ascii="Times New Roman" w:hAnsi="Times New Roman" w:cs="Times New Roman"/>
                <w:bCs/>
                <w:color w:val="auto"/>
                <w:sz w:val="24"/>
                <w:lang w:val="en-US" w:eastAsia="zh-CN"/>
              </w:rPr>
              <w:t>，设计堆存量约3500m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lang w:val="en-US" w:eastAsia="zh-CN"/>
              </w:rPr>
              <w:t>。</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cs="Times New Roman"/>
                <w:bCs/>
                <w:color w:val="auto"/>
                <w:sz w:val="24"/>
                <w:lang w:val="en-US" w:eastAsia="zh-CN"/>
              </w:rPr>
              <w:t>单独进行</w:t>
            </w:r>
            <w:r>
              <w:rPr>
                <w:rFonts w:hint="eastAsia" w:ascii="Times New Roman" w:hAnsi="Times New Roman" w:cs="Times New Roman"/>
                <w:bCs/>
                <w:color w:val="auto"/>
                <w:sz w:val="24"/>
              </w:rPr>
              <w:t>堆放，并对堆场表层进行撒草绿化</w:t>
            </w:r>
            <w:r>
              <w:rPr>
                <w:rFonts w:hint="eastAsia" w:ascii="Times New Roman" w:hAnsi="Times New Roman" w:cs="Times New Roman"/>
                <w:color w:val="auto"/>
                <w:sz w:val="24"/>
              </w:rPr>
              <w:t>，待工程结束后对井场进行复耕复绿。</w:t>
            </w:r>
            <w:r>
              <w:rPr>
                <w:rFonts w:hint="eastAsia" w:ascii="Times New Roman" w:hAnsi="Times New Roman" w:eastAsia="宋体" w:cs="Times New Roman"/>
                <w:color w:val="auto"/>
                <w:sz w:val="24"/>
                <w:lang w:val="en-US" w:eastAsia="zh-CN"/>
              </w:rPr>
              <w:t>在堆场采取铺设密目网、撒草籽、浇水养护的方式防止水土流失。</w:t>
            </w:r>
          </w:p>
          <w:p w14:paraId="38BCF183">
            <w:pPr>
              <w:keepNext w:val="0"/>
              <w:keepLines w:val="0"/>
              <w:suppressLineNumbers w:val="0"/>
              <w:spacing w:before="0" w:beforeAutospacing="0" w:after="0" w:afterAutospacing="0" w:line="360" w:lineRule="auto"/>
              <w:ind w:left="0" w:right="0" w:firstLine="480" w:firstLineChars="200"/>
              <w:jc w:val="left"/>
              <w:rPr>
                <w:rFonts w:hint="eastAsia" w:cs="Times New Roman"/>
                <w:color w:val="auto"/>
                <w:sz w:val="24"/>
                <w:lang w:val="en-US" w:eastAsia="zh-CN"/>
              </w:rPr>
            </w:pPr>
            <w:r>
              <w:rPr>
                <w:rFonts w:hint="eastAsia" w:cs="Times New Roman"/>
                <w:color w:val="auto"/>
                <w:sz w:val="24"/>
                <w:lang w:val="en-US" w:eastAsia="zh-CN"/>
              </w:rPr>
              <w:t>表土堆场</w:t>
            </w:r>
            <w:r>
              <w:rPr>
                <w:rFonts w:hint="default" w:eastAsia="宋体" w:cs="Times New Roman"/>
                <w:b w:val="0"/>
                <w:bCs w:val="0"/>
                <w:color w:val="auto"/>
                <w:sz w:val="24"/>
                <w:szCs w:val="28"/>
                <w:lang w:val="en-US" w:eastAsia="zh-CN"/>
              </w:rPr>
              <w:t>设置挡墙和排水沟</w:t>
            </w:r>
            <w:r>
              <w:rPr>
                <w:rFonts w:hint="eastAsia" w:cs="Times New Roman"/>
                <w:color w:val="auto"/>
                <w:sz w:val="24"/>
                <w:lang w:val="en-US" w:eastAsia="zh-CN"/>
              </w:rPr>
              <w:t>，表土</w:t>
            </w:r>
            <w:r>
              <w:rPr>
                <w:rFonts w:hint="eastAsia" w:ascii="Times New Roman" w:hAnsi="Times New Roman" w:cs="Times New Roman"/>
                <w:color w:val="auto"/>
                <w:sz w:val="24"/>
                <w:lang w:val="en-US" w:eastAsia="zh-CN"/>
              </w:rPr>
              <w:t>采用层铺法进行层层堆放，并对每层进行适当压实和修整边坡，堆放场表面应平整，不得有</w:t>
            </w:r>
            <w:r>
              <w:rPr>
                <w:rFonts w:hint="eastAsia" w:cs="Times New Roman"/>
                <w:color w:val="auto"/>
                <w:sz w:val="24"/>
                <w:lang w:val="en-US" w:eastAsia="zh-CN"/>
              </w:rPr>
              <w:t>积水</w:t>
            </w:r>
            <w:r>
              <w:rPr>
                <w:rFonts w:hint="eastAsia" w:ascii="Times New Roman" w:hAnsi="Times New Roman" w:cs="Times New Roman"/>
                <w:color w:val="auto"/>
                <w:sz w:val="24"/>
                <w:lang w:val="en-US" w:eastAsia="zh-CN"/>
              </w:rPr>
              <w:t>坑</w:t>
            </w:r>
            <w:r>
              <w:rPr>
                <w:rFonts w:hint="eastAsia" w:cs="Times New Roman"/>
                <w:color w:val="auto"/>
                <w:sz w:val="24"/>
                <w:lang w:val="en-US" w:eastAsia="zh-CN"/>
              </w:rPr>
              <w:t>涵</w:t>
            </w:r>
            <w:r>
              <w:rPr>
                <w:rFonts w:hint="eastAsia" w:ascii="Times New Roman" w:hAnsi="Times New Roman" w:cs="Times New Roman"/>
                <w:color w:val="auto"/>
                <w:sz w:val="24"/>
                <w:lang w:val="en-US" w:eastAsia="zh-CN"/>
              </w:rPr>
              <w:t>，表面有1%</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2%向外的横坡，在</w:t>
            </w:r>
            <w:r>
              <w:rPr>
                <w:rFonts w:hint="eastAsia" w:cs="Times New Roman"/>
                <w:color w:val="auto"/>
                <w:sz w:val="24"/>
                <w:lang w:val="en-US" w:eastAsia="zh-CN"/>
              </w:rPr>
              <w:t>表土</w:t>
            </w:r>
            <w:r>
              <w:rPr>
                <w:rFonts w:hint="eastAsia" w:ascii="Times New Roman" w:hAnsi="Times New Roman" w:cs="Times New Roman"/>
                <w:color w:val="auto"/>
                <w:sz w:val="24"/>
                <w:lang w:val="en-US" w:eastAsia="zh-CN"/>
              </w:rPr>
              <w:t>堆放场</w:t>
            </w:r>
            <w:r>
              <w:rPr>
                <w:rFonts w:hint="eastAsia" w:cs="Times New Roman"/>
                <w:color w:val="auto"/>
                <w:sz w:val="24"/>
                <w:lang w:val="en-US" w:eastAsia="zh-CN"/>
              </w:rPr>
              <w:t>设置</w:t>
            </w:r>
            <w:r>
              <w:rPr>
                <w:rFonts w:hint="eastAsia" w:ascii="Times New Roman" w:hAnsi="Times New Roman" w:cs="Times New Roman"/>
                <w:color w:val="auto"/>
                <w:sz w:val="24"/>
                <w:lang w:val="en-US" w:eastAsia="zh-CN"/>
              </w:rPr>
              <w:t>0.5m宽</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0.5m深的</w:t>
            </w:r>
            <w:r>
              <w:rPr>
                <w:rFonts w:hint="eastAsia" w:cs="Times New Roman"/>
                <w:color w:val="auto"/>
                <w:sz w:val="24"/>
                <w:lang w:val="en-US" w:eastAsia="zh-CN"/>
              </w:rPr>
              <w:t>排水</w:t>
            </w:r>
            <w:r>
              <w:rPr>
                <w:rFonts w:hint="eastAsia" w:ascii="Times New Roman" w:hAnsi="Times New Roman" w:cs="Times New Roman"/>
                <w:color w:val="auto"/>
                <w:sz w:val="24"/>
                <w:lang w:val="en-US" w:eastAsia="zh-CN"/>
              </w:rPr>
              <w:t>沟</w:t>
            </w:r>
            <w:r>
              <w:rPr>
                <w:rFonts w:hint="eastAsia" w:cs="Times New Roman"/>
                <w:color w:val="auto"/>
                <w:sz w:val="24"/>
                <w:lang w:val="en-US" w:eastAsia="zh-CN"/>
              </w:rPr>
              <w:t>以</w:t>
            </w:r>
            <w:r>
              <w:rPr>
                <w:rFonts w:hint="eastAsia" w:ascii="Times New Roman" w:hAnsi="Times New Roman" w:cs="Times New Roman"/>
                <w:color w:val="auto"/>
                <w:sz w:val="24"/>
                <w:lang w:val="en-US" w:eastAsia="zh-CN"/>
              </w:rPr>
              <w:t>保障排水畅通，堆放完成后，应及时疏通周边水</w:t>
            </w:r>
            <w:r>
              <w:rPr>
                <w:rFonts w:hint="eastAsia" w:cs="Times New Roman"/>
                <w:color w:val="auto"/>
                <w:sz w:val="24"/>
                <w:lang w:val="en-US" w:eastAsia="zh-CN"/>
              </w:rPr>
              <w:t>系并播撒草种覆盖防尘网，防止水土流失，并在显眼位置插牌标明“表土堆放场”。</w:t>
            </w:r>
          </w:p>
          <w:p w14:paraId="7231682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⑥</w:t>
            </w:r>
            <w:r>
              <w:rPr>
                <w:rFonts w:hint="default" w:ascii="Times New Roman" w:hAnsi="Times New Roman" w:cs="Times New Roman"/>
                <w:color w:val="auto"/>
                <w:sz w:val="24"/>
              </w:rPr>
              <w:t>生活营地：生活营地设置在井场外</w:t>
            </w:r>
            <w:r>
              <w:rPr>
                <w:rFonts w:hint="eastAsia" w:cs="Times New Roman"/>
                <w:color w:val="auto"/>
                <w:sz w:val="24"/>
                <w:lang w:val="en-US" w:eastAsia="zh-CN"/>
              </w:rPr>
              <w:t>北</w:t>
            </w:r>
            <w:r>
              <w:rPr>
                <w:rFonts w:hint="eastAsia" w:ascii="Times New Roman" w:hAnsi="Times New Roman" w:cs="Times New Roman"/>
                <w:color w:val="auto"/>
                <w:sz w:val="24"/>
                <w:lang w:val="en-US" w:eastAsia="zh-CN"/>
              </w:rPr>
              <w:t>侧</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距</w:t>
            </w:r>
            <w:r>
              <w:rPr>
                <w:rFonts w:hint="default" w:ascii="Times New Roman" w:hAnsi="Times New Roman" w:eastAsia="宋体" w:cs="Times New Roman"/>
                <w:color w:val="auto"/>
                <w:sz w:val="24"/>
              </w:rPr>
              <w:t>井</w:t>
            </w:r>
            <w:r>
              <w:rPr>
                <w:rFonts w:hint="eastAsia" w:ascii="Times New Roman" w:hAnsi="Times New Roman" w:eastAsia="宋体" w:cs="Times New Roman"/>
                <w:color w:val="auto"/>
                <w:sz w:val="24"/>
                <w:lang w:val="en-US" w:eastAsia="zh-CN"/>
              </w:rPr>
              <w:t>口300m以外</w:t>
            </w:r>
            <w:r>
              <w:rPr>
                <w:rFonts w:hint="default" w:ascii="Times New Roman" w:hAnsi="Times New Roman" w:eastAsia="宋体" w:cs="Times New Roman"/>
                <w:color w:val="auto"/>
                <w:sz w:val="24"/>
              </w:rPr>
              <w:t>，占</w:t>
            </w:r>
            <w:r>
              <w:rPr>
                <w:rFonts w:hint="default" w:ascii="Times New Roman" w:hAnsi="Times New Roman" w:cs="Times New Roman"/>
                <w:color w:val="auto"/>
                <w:sz w:val="24"/>
              </w:rPr>
              <w:t>地面积</w:t>
            </w:r>
            <w:r>
              <w:rPr>
                <w:rFonts w:hint="eastAsia" w:cs="Times New Roman"/>
                <w:color w:val="auto"/>
                <w:sz w:val="24"/>
                <w:lang w:val="en-US" w:eastAsia="zh-CN"/>
              </w:rPr>
              <w:t>6</w:t>
            </w:r>
            <w:r>
              <w:rPr>
                <w:rFonts w:hint="eastAsia" w:ascii="Times New Roman" w:hAnsi="Times New Roman" w:cs="Times New Roman"/>
                <w:color w:val="auto"/>
                <w:sz w:val="24"/>
                <w:lang w:val="en-US" w:eastAsia="zh-CN"/>
              </w:rPr>
              <w:t>70</w:t>
            </w:r>
            <w:r>
              <w:rPr>
                <w:rFonts w:hint="default" w:ascii="Times New Roman" w:hAnsi="Times New Roman" w:cs="Times New Roman"/>
                <w:color w:val="auto"/>
                <w:sz w:val="24"/>
              </w:rPr>
              <w:t>m²，施工人员</w:t>
            </w:r>
            <w:r>
              <w:rPr>
                <w:rFonts w:hint="eastAsia" w:ascii="Times New Roman" w:hAnsi="Times New Roman" w:cs="Times New Roman"/>
                <w:color w:val="auto"/>
                <w:sz w:val="24"/>
              </w:rPr>
              <w:t>的生活污水通过环保厕所（内置集粪桶）收集，转运至</w:t>
            </w:r>
            <w:r>
              <w:rPr>
                <w:rFonts w:hint="eastAsia" w:cs="Times New Roman"/>
                <w:color w:val="auto"/>
                <w:sz w:val="24"/>
                <w:lang w:val="en-US" w:eastAsia="zh-CN"/>
              </w:rPr>
              <w:t>上八庙</w:t>
            </w:r>
            <w:r>
              <w:rPr>
                <w:rFonts w:hint="eastAsia" w:ascii="Times New Roman" w:hAnsi="Times New Roman" w:cs="Times New Roman"/>
                <w:color w:val="auto"/>
                <w:sz w:val="24"/>
                <w:lang w:eastAsia="zh-CN"/>
              </w:rPr>
              <w:t>镇污水处理站</w:t>
            </w:r>
            <w:r>
              <w:rPr>
                <w:rFonts w:hint="eastAsia" w:ascii="Times New Roman" w:hAnsi="Times New Roman" w:cs="Times New Roman"/>
                <w:color w:val="auto"/>
                <w:sz w:val="24"/>
              </w:rPr>
              <w:t>进行处理。</w:t>
            </w:r>
          </w:p>
          <w:p w14:paraId="7CC9B70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default" w:ascii="Times New Roman" w:hAnsi="Times New Roman" w:cs="Times New Roman"/>
                <w:b w:val="0"/>
                <w:bCs/>
                <w:color w:val="auto"/>
                <w:sz w:val="24"/>
                <w:highlight w:val="none"/>
              </w:rPr>
              <w:t>《钻前工程及井场布置技术要求》（SY/T</w:t>
            </w:r>
            <w:r>
              <w:rPr>
                <w:rFonts w:hint="eastAsia" w:ascii="Times New Roman" w:hAnsi="Times New Roman" w:cs="Times New Roman"/>
                <w:b w:val="0"/>
                <w:bCs/>
                <w:color w:val="auto"/>
                <w:sz w:val="24"/>
                <w:highlight w:val="none"/>
                <w:lang w:val="en-US" w:eastAsia="zh-CN"/>
              </w:rPr>
              <w:t xml:space="preserve"> </w:t>
            </w:r>
            <w:r>
              <w:rPr>
                <w:rFonts w:hint="default" w:ascii="Times New Roman" w:hAnsi="Times New Roman" w:cs="Times New Roman"/>
                <w:b w:val="0"/>
                <w:bCs/>
                <w:color w:val="auto"/>
                <w:sz w:val="24"/>
                <w:highlight w:val="none"/>
              </w:rPr>
              <w:t>5466-2013）</w:t>
            </w:r>
            <w:r>
              <w:rPr>
                <w:rFonts w:hint="eastAsia"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石油天然气钻井、开发、储运防火防爆安全生产技术规程</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SY/T</w:t>
            </w:r>
            <w:r>
              <w:rPr>
                <w:rFonts w:hint="eastAsia" w:ascii="Times New Roman" w:hAnsi="Times New Roman" w:cs="Times New Roman"/>
                <w:b w:val="0"/>
                <w:bCs/>
                <w:color w:val="auto"/>
                <w:sz w:val="24"/>
                <w:highlight w:val="none"/>
                <w:lang w:val="en-US" w:eastAsia="zh-CN"/>
              </w:rPr>
              <w:t xml:space="preserve"> </w:t>
            </w:r>
            <w:r>
              <w:rPr>
                <w:rFonts w:hint="eastAsia" w:ascii="Times New Roman" w:hAnsi="Times New Roman" w:cs="Times New Roman"/>
                <w:b w:val="0"/>
                <w:bCs/>
                <w:color w:val="auto"/>
                <w:sz w:val="24"/>
                <w:highlight w:val="none"/>
                <w:lang w:eastAsia="zh-CN"/>
              </w:rPr>
              <w:t>5225-2019</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rPr>
              <w:t>《石油天然气工程设计防火规范》（GB</w:t>
            </w:r>
            <w:r>
              <w:rPr>
                <w:rFonts w:hint="eastAsia" w:ascii="Times New Roman" w:hAnsi="Times New Roman" w:cs="Times New Roman"/>
                <w:b w:val="0"/>
                <w:bCs/>
                <w:color w:val="auto"/>
                <w:sz w:val="24"/>
                <w:highlight w:val="none"/>
                <w:lang w:val="en-US" w:eastAsia="zh-CN"/>
              </w:rPr>
              <w:t xml:space="preserve"> </w:t>
            </w:r>
            <w:r>
              <w:rPr>
                <w:rFonts w:hint="default" w:ascii="Times New Roman" w:hAnsi="Times New Roman" w:cs="Times New Roman"/>
                <w:b w:val="0"/>
                <w:bCs/>
                <w:color w:val="auto"/>
                <w:sz w:val="24"/>
                <w:highlight w:val="none"/>
              </w:rPr>
              <w:t>50183-2004）等行业标准的要求进行井场平面布置</w:t>
            </w:r>
            <w:r>
              <w:rPr>
                <w:rFonts w:hint="default" w:ascii="Times New Roman" w:hAnsi="Times New Roman" w:cs="Times New Roman"/>
                <w:color w:val="auto"/>
                <w:sz w:val="24"/>
              </w:rPr>
              <w:t>，本</w:t>
            </w:r>
            <w:r>
              <w:rPr>
                <w:rFonts w:hint="eastAsia" w:ascii="Times New Roman" w:hAnsi="Times New Roman" w:cs="Times New Roman"/>
                <w:color w:val="auto"/>
                <w:sz w:val="24"/>
              </w:rPr>
              <w:t>项目</w:t>
            </w:r>
            <w:r>
              <w:rPr>
                <w:rFonts w:hint="default" w:ascii="Times New Roman" w:hAnsi="Times New Roman" w:cs="Times New Roman"/>
                <w:color w:val="auto"/>
                <w:sz w:val="24"/>
              </w:rPr>
              <w:t>布局合理性分析如下：</w:t>
            </w:r>
          </w:p>
          <w:p w14:paraId="4998B529">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布局合理性分析表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2949"/>
              <w:gridCol w:w="2752"/>
              <w:gridCol w:w="958"/>
            </w:tblGrid>
            <w:tr w14:paraId="6238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425C411B">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lang w:bidi="ar"/>
                    </w:rPr>
                    <w:t>主要平面布置内容</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656364B2">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lang w:bidi="ar"/>
                    </w:rPr>
                    <w:t>标准及规范要求</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57AECDA1">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lang w:bidi="ar"/>
                    </w:rPr>
                    <w:t>本项目情况</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9CF1A04">
                  <w:pPr>
                    <w:pStyle w:val="50"/>
                    <w:keepNext w:val="0"/>
                    <w:keepLines w:val="0"/>
                    <w:suppressLineNumbers w:val="0"/>
                    <w:spacing w:before="0" w:beforeAutospacing="0" w:after="0" w:afterAutospacing="0"/>
                    <w:ind w:left="0" w:right="0"/>
                    <w:rPr>
                      <w:rFonts w:hint="default" w:ascii="Times New Roman" w:hAnsi="Times New Roman" w:cs="Times New Roman"/>
                      <w:color w:val="auto"/>
                      <w:szCs w:val="21"/>
                    </w:rPr>
                  </w:pPr>
                  <w:r>
                    <w:rPr>
                      <w:rFonts w:hint="default" w:ascii="Times New Roman" w:hAnsi="Times New Roman" w:cs="Times New Roman"/>
                      <w:color w:val="auto"/>
                      <w:szCs w:val="21"/>
                      <w:lang w:bidi="ar"/>
                    </w:rPr>
                    <w:t>符合性</w:t>
                  </w:r>
                </w:p>
              </w:tc>
            </w:tr>
            <w:tr w14:paraId="6866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1B9FE9B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钻机</w:t>
                  </w:r>
                </w:p>
                <w:p w14:paraId="61078E8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cs="Times New Roman"/>
                      <w:color w:val="auto"/>
                      <w:szCs w:val="21"/>
                      <w:lang w:bidi="ar"/>
                    </w:rPr>
                    <w:t>机组</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1D80FA85">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《钻前工程及井场布置技术要求》（</w:t>
                  </w:r>
                  <w:r>
                    <w:rPr>
                      <w:rFonts w:hint="default" w:ascii="Times New Roman" w:hAnsi="Times New Roman" w:eastAsia="Times New Roman" w:cs="Times New Roman"/>
                      <w:color w:val="auto"/>
                      <w:szCs w:val="21"/>
                      <w:lang w:bidi="ar"/>
                    </w:rPr>
                    <w:t>SY/T</w:t>
                  </w:r>
                  <w:r>
                    <w:rPr>
                      <w:rFonts w:hint="eastAsia" w:ascii="Times New Roman" w:hAnsi="Times New Roman" w:eastAsia="宋体" w:cs="Times New Roman"/>
                      <w:color w:val="auto"/>
                      <w:szCs w:val="21"/>
                      <w:lang w:val="en-US" w:eastAsia="zh-CN" w:bidi="ar"/>
                    </w:rPr>
                    <w:t xml:space="preserve"> </w:t>
                  </w:r>
                  <w:r>
                    <w:rPr>
                      <w:rFonts w:hint="default" w:ascii="Times New Roman" w:hAnsi="Times New Roman" w:eastAsia="Times New Roman" w:cs="Times New Roman"/>
                      <w:color w:val="auto"/>
                      <w:szCs w:val="21"/>
                      <w:lang w:bidi="ar"/>
                    </w:rPr>
                    <w:t>5466-2013</w:t>
                  </w:r>
                  <w:r>
                    <w:rPr>
                      <w:rFonts w:hint="default" w:ascii="Times New Roman" w:hAnsi="Times New Roman" w:cs="Times New Roman"/>
                      <w:color w:val="auto"/>
                      <w:szCs w:val="21"/>
                      <w:lang w:bidi="ar"/>
                    </w:rPr>
                    <w:t>）中的第</w:t>
                  </w:r>
                  <w:r>
                    <w:rPr>
                      <w:rFonts w:hint="default" w:ascii="Times New Roman" w:hAnsi="Times New Roman" w:eastAsia="Times New Roman" w:cs="Times New Roman"/>
                      <w:color w:val="auto"/>
                      <w:szCs w:val="21"/>
                      <w:lang w:bidi="ar"/>
                    </w:rPr>
                    <w:t>4.3.2</w:t>
                  </w:r>
                  <w:r>
                    <w:rPr>
                      <w:rFonts w:hint="default" w:ascii="Times New Roman" w:hAnsi="Times New Roman" w:cs="Times New Roman"/>
                      <w:color w:val="auto"/>
                      <w:szCs w:val="21"/>
                      <w:lang w:bidi="ar"/>
                    </w:rPr>
                    <w:t>条规定：电动钻机发电机组和电控房应布置并排置于井场的后方。尽量远离敏感点或受噪声影响农户最少。</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25B47D15">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lang w:bidi="ar"/>
                    </w:rPr>
                  </w:pPr>
                  <w:r>
                    <w:rPr>
                      <w:rFonts w:hint="eastAsia" w:ascii="Times New Roman" w:hAnsi="Times New Roman" w:cs="Times New Roman"/>
                      <w:color w:val="auto"/>
                      <w:szCs w:val="21"/>
                      <w:lang w:val="en-US" w:eastAsia="zh-CN" w:bidi="ar"/>
                    </w:rPr>
                    <w:t>本项目井场周边200m范围内主要声环境敏感点为</w:t>
                  </w:r>
                  <w:r>
                    <w:rPr>
                      <w:rFonts w:hint="eastAsia" w:cs="Times New Roman"/>
                      <w:color w:val="auto"/>
                      <w:szCs w:val="21"/>
                      <w:lang w:val="en-US" w:eastAsia="zh-CN" w:bidi="ar"/>
                    </w:rPr>
                    <w:t>东北侧、南侧分布的散居农户</w:t>
                  </w:r>
                  <w:r>
                    <w:rPr>
                      <w:rFonts w:hint="eastAsia" w:ascii="Times New Roman" w:hAnsi="Times New Roman" w:cs="Times New Roman"/>
                      <w:color w:val="auto"/>
                      <w:szCs w:val="21"/>
                      <w:lang w:val="en-US" w:eastAsia="zh-CN" w:bidi="ar"/>
                    </w:rPr>
                    <w:t>，柴油发电机组等设置于井场后方西侧，尽量远离</w:t>
                  </w:r>
                  <w:r>
                    <w:rPr>
                      <w:rFonts w:hint="eastAsia" w:cs="Times New Roman"/>
                      <w:color w:val="auto"/>
                      <w:szCs w:val="21"/>
                      <w:lang w:val="en-US" w:eastAsia="zh-CN" w:bidi="ar"/>
                    </w:rPr>
                    <w:t>东北</w:t>
                  </w:r>
                  <w:r>
                    <w:rPr>
                      <w:rFonts w:hint="eastAsia" w:ascii="Times New Roman" w:hAnsi="Times New Roman" w:cs="Times New Roman"/>
                      <w:color w:val="auto"/>
                      <w:szCs w:val="21"/>
                      <w:lang w:val="en-US" w:eastAsia="zh-CN" w:bidi="ar"/>
                    </w:rPr>
                    <w:t>侧</w:t>
                  </w:r>
                  <w:r>
                    <w:rPr>
                      <w:rFonts w:hint="eastAsia" w:cs="Times New Roman"/>
                      <w:color w:val="auto"/>
                      <w:szCs w:val="21"/>
                      <w:lang w:val="en-US" w:eastAsia="zh-CN" w:bidi="ar"/>
                    </w:rPr>
                    <w:t>、南侧</w:t>
                  </w:r>
                  <w:r>
                    <w:rPr>
                      <w:rFonts w:hint="eastAsia" w:ascii="Times New Roman" w:hAnsi="Times New Roman" w:cs="Times New Roman"/>
                      <w:color w:val="auto"/>
                      <w:szCs w:val="21"/>
                      <w:lang w:val="en-US" w:eastAsia="zh-CN" w:bidi="ar"/>
                    </w:rPr>
                    <w:t>的农户。</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7D8017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cs="Times New Roman"/>
                      <w:color w:val="auto"/>
                      <w:szCs w:val="21"/>
                      <w:lang w:bidi="ar"/>
                    </w:rPr>
                    <w:t>符合</w:t>
                  </w:r>
                </w:p>
              </w:tc>
            </w:tr>
            <w:tr w14:paraId="5D09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427FEF9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储油</w:t>
                  </w:r>
                </w:p>
                <w:p w14:paraId="16DE11F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罐区</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6E9C995B">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eastAsia="宋体" w:cs="Times New Roman"/>
                      <w:color w:val="auto"/>
                      <w:szCs w:val="21"/>
                      <w:lang w:bidi="ar"/>
                    </w:rPr>
                    <w:t>《</w:t>
                  </w:r>
                  <w:r>
                    <w:rPr>
                      <w:rFonts w:hint="eastAsia" w:ascii="Times New Roman" w:hAnsi="Times New Roman" w:eastAsia="宋体" w:cs="Times New Roman"/>
                      <w:color w:val="auto"/>
                      <w:szCs w:val="21"/>
                      <w:lang w:eastAsia="zh-CN" w:bidi="ar"/>
                    </w:rPr>
                    <w:t>石油天然气钻井、开发、储运防火防爆安全生产技术规程</w:t>
                  </w:r>
                  <w:r>
                    <w:rPr>
                      <w:rFonts w:hint="default" w:ascii="Times New Roman" w:hAnsi="Times New Roman" w:eastAsia="宋体" w:cs="Times New Roman"/>
                      <w:color w:val="auto"/>
                      <w:szCs w:val="21"/>
                      <w:lang w:bidi="ar"/>
                    </w:rPr>
                    <w:t>》（</w:t>
                  </w:r>
                  <w:r>
                    <w:rPr>
                      <w:rFonts w:hint="eastAsia" w:ascii="Times New Roman" w:hAnsi="Times New Roman" w:eastAsia="宋体" w:cs="Times New Roman"/>
                      <w:color w:val="auto"/>
                      <w:szCs w:val="21"/>
                      <w:lang w:eastAsia="zh-CN" w:bidi="ar"/>
                    </w:rPr>
                    <w:t>SY/T</w:t>
                  </w:r>
                  <w:r>
                    <w:rPr>
                      <w:rFonts w:hint="eastAsia" w:ascii="Times New Roman" w:hAnsi="Times New Roman" w:eastAsia="宋体" w:cs="Times New Roman"/>
                      <w:color w:val="auto"/>
                      <w:szCs w:val="21"/>
                      <w:lang w:val="en-US" w:eastAsia="zh-CN" w:bidi="ar"/>
                    </w:rPr>
                    <w:t xml:space="preserve"> </w:t>
                  </w:r>
                  <w:r>
                    <w:rPr>
                      <w:rFonts w:hint="eastAsia" w:ascii="Times New Roman" w:hAnsi="Times New Roman" w:eastAsia="宋体" w:cs="Times New Roman"/>
                      <w:color w:val="auto"/>
                      <w:szCs w:val="21"/>
                      <w:lang w:eastAsia="zh-CN" w:bidi="ar"/>
                    </w:rPr>
                    <w:t>5225-2019</w:t>
                  </w:r>
                  <w:r>
                    <w:rPr>
                      <w:rFonts w:hint="default" w:ascii="Times New Roman" w:hAnsi="Times New Roman" w:eastAsia="宋体" w:cs="Times New Roman"/>
                      <w:color w:val="auto"/>
                      <w:szCs w:val="21"/>
                      <w:lang w:bidi="ar"/>
                    </w:rPr>
                    <w:t>）</w:t>
                  </w:r>
                  <w:r>
                    <w:rPr>
                      <w:rFonts w:hint="default" w:ascii="Times New Roman" w:hAnsi="Times New Roman" w:cs="Times New Roman"/>
                      <w:color w:val="auto"/>
                      <w:szCs w:val="21"/>
                      <w:lang w:bidi="ar"/>
                    </w:rPr>
                    <w:t>中第3.1.3条：油罐区距井口应不小于30m</w:t>
                  </w:r>
                  <w:r>
                    <w:rPr>
                      <w:rFonts w:hint="eastAsia" w:ascii="Times New Roman" w:hAnsi="Times New Roman" w:cs="Times New Roman"/>
                      <w:color w:val="auto"/>
                      <w:szCs w:val="21"/>
                      <w:lang w:bidi="ar"/>
                    </w:rPr>
                    <w:t>。</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481B1064">
                  <w:pPr>
                    <w:keepNext w:val="0"/>
                    <w:keepLines w:val="0"/>
                    <w:suppressLineNumbers w:val="0"/>
                    <w:spacing w:before="0" w:beforeAutospacing="0" w:after="0" w:afterAutospacing="0"/>
                    <w:ind w:left="0" w:right="0"/>
                    <w:jc w:val="left"/>
                    <w:rPr>
                      <w:rFonts w:hint="eastAsia" w:ascii="Times New Roman" w:hAnsi="Times New Roman" w:cs="Times New Roman"/>
                      <w:color w:val="auto"/>
                      <w:szCs w:val="21"/>
                    </w:rPr>
                  </w:pPr>
                  <w:r>
                    <w:rPr>
                      <w:rFonts w:hint="default" w:ascii="Times New Roman" w:hAnsi="Times New Roman" w:cs="Times New Roman"/>
                      <w:color w:val="auto"/>
                      <w:szCs w:val="21"/>
                      <w:lang w:bidi="ar"/>
                    </w:rPr>
                    <w:t>本项目</w:t>
                  </w:r>
                  <w:r>
                    <w:rPr>
                      <w:rFonts w:hint="eastAsia" w:ascii="Times New Roman" w:hAnsi="Times New Roman" w:cs="Times New Roman"/>
                      <w:color w:val="auto"/>
                      <w:szCs w:val="21"/>
                      <w:lang w:val="en-US" w:eastAsia="zh-CN" w:bidi="ar"/>
                    </w:rPr>
                    <w:t>设置</w:t>
                  </w:r>
                  <w:r>
                    <w:rPr>
                      <w:rFonts w:hint="eastAsia" w:cs="Times New Roman"/>
                      <w:color w:val="auto"/>
                      <w:szCs w:val="21"/>
                      <w:lang w:val="en-US" w:eastAsia="zh-CN" w:bidi="ar"/>
                    </w:rPr>
                    <w:t>1个油罐区，</w:t>
                  </w:r>
                  <w:r>
                    <w:rPr>
                      <w:rFonts w:hint="eastAsia" w:ascii="Times New Roman" w:hAnsi="Times New Roman" w:cs="Times New Roman"/>
                      <w:color w:val="auto"/>
                      <w:szCs w:val="21"/>
                      <w:lang w:val="en-US" w:eastAsia="zh-CN" w:bidi="ar"/>
                    </w:rPr>
                    <w:t>位于</w:t>
                  </w:r>
                  <w:r>
                    <w:rPr>
                      <w:rFonts w:hint="eastAsia" w:cs="Times New Roman"/>
                      <w:color w:val="auto"/>
                      <w:szCs w:val="21"/>
                      <w:lang w:val="en-US" w:eastAsia="zh-CN" w:bidi="ar"/>
                    </w:rPr>
                    <w:t>井场外西北</w:t>
                  </w:r>
                  <w:r>
                    <w:rPr>
                      <w:rFonts w:hint="eastAsia" w:ascii="Times New Roman" w:hAnsi="Times New Roman" w:cs="Times New Roman"/>
                      <w:color w:val="auto"/>
                      <w:szCs w:val="21"/>
                      <w:lang w:val="en-US" w:eastAsia="zh-CN" w:bidi="ar"/>
                    </w:rPr>
                    <w:t>侧，距离</w:t>
                  </w:r>
                  <w:r>
                    <w:rPr>
                      <w:rFonts w:hint="eastAsia" w:cs="Times New Roman"/>
                      <w:color w:val="auto"/>
                      <w:szCs w:val="21"/>
                      <w:lang w:val="en-US" w:eastAsia="zh-CN" w:bidi="ar"/>
                    </w:rPr>
                    <w:t>井</w:t>
                  </w:r>
                  <w:r>
                    <w:rPr>
                      <w:rFonts w:hint="eastAsia" w:ascii="Times New Roman" w:hAnsi="Times New Roman" w:cs="Times New Roman"/>
                      <w:color w:val="auto"/>
                      <w:szCs w:val="21"/>
                      <w:lang w:val="en-US" w:eastAsia="zh-CN" w:bidi="ar"/>
                    </w:rPr>
                    <w:t>口最近距离为</w:t>
                  </w:r>
                  <w:r>
                    <w:rPr>
                      <w:rFonts w:hint="eastAsia" w:cs="Times New Roman"/>
                      <w:color w:val="auto"/>
                      <w:szCs w:val="21"/>
                      <w:lang w:val="en-US" w:eastAsia="zh-CN" w:bidi="ar"/>
                    </w:rPr>
                    <w:t>56</w:t>
                  </w:r>
                  <w:r>
                    <w:rPr>
                      <w:rFonts w:hint="eastAsia" w:ascii="Times New Roman" w:hAnsi="Times New Roman" w:cs="Times New Roman"/>
                      <w:color w:val="auto"/>
                      <w:szCs w:val="21"/>
                      <w:lang w:val="en-US" w:eastAsia="zh-CN" w:bidi="ar"/>
                    </w:rPr>
                    <w:t>m</w:t>
                  </w:r>
                  <w:r>
                    <w:rPr>
                      <w:rFonts w:hint="eastAsia" w:ascii="Times New Roman" w:hAnsi="Times New Roman" w:cs="Times New Roman"/>
                      <w:color w:val="auto"/>
                      <w:szCs w:val="21"/>
                      <w:lang w:bidi="ar"/>
                    </w:rPr>
                    <w:t>，</w:t>
                  </w:r>
                  <w:r>
                    <w:rPr>
                      <w:rFonts w:hint="eastAsia" w:ascii="Times New Roman" w:hAnsi="Times New Roman" w:cs="Times New Roman"/>
                      <w:color w:val="auto"/>
                      <w:lang w:bidi="ar"/>
                    </w:rPr>
                    <w:t>满足</w:t>
                  </w:r>
                  <w:r>
                    <w:rPr>
                      <w:rFonts w:hint="eastAsia" w:ascii="Times New Roman" w:hAnsi="Times New Roman" w:cs="Times New Roman"/>
                      <w:color w:val="auto"/>
                      <w:lang w:val="en-US" w:eastAsia="zh-CN" w:bidi="ar"/>
                    </w:rPr>
                    <w:t>不小于30m的</w:t>
                  </w:r>
                  <w:r>
                    <w:rPr>
                      <w:rFonts w:hint="eastAsia" w:ascii="Times New Roman" w:hAnsi="Times New Roman" w:cs="Times New Roman"/>
                      <w:color w:val="auto"/>
                      <w:lang w:bidi="ar"/>
                    </w:rPr>
                    <w:t>要求。</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6A7E01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符合</w:t>
                  </w:r>
                </w:p>
              </w:tc>
            </w:tr>
            <w:tr w14:paraId="6368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7322B74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cs="Times New Roman"/>
                      <w:color w:val="auto"/>
                      <w:szCs w:val="21"/>
                      <w:lang w:bidi="ar"/>
                    </w:rPr>
                    <w:t>放喷池</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363FAD9D">
                  <w:pPr>
                    <w:keepNext w:val="0"/>
                    <w:keepLines w:val="0"/>
                    <w:suppressLineNumbers w:val="0"/>
                    <w:spacing w:before="0" w:beforeAutospacing="0" w:after="0" w:afterAutospacing="0"/>
                    <w:ind w:left="0" w:right="0"/>
                    <w:jc w:val="left"/>
                    <w:rPr>
                      <w:rFonts w:hint="eastAsia" w:ascii="Times New Roman" w:hAnsi="Times New Roman" w:cs="Times New Roman"/>
                      <w:color w:val="auto"/>
                      <w:szCs w:val="21"/>
                      <w:lang w:bidi="ar"/>
                    </w:rPr>
                  </w:pPr>
                  <w:r>
                    <w:rPr>
                      <w:rFonts w:hint="default" w:ascii="Times New Roman" w:hAnsi="Times New Roman" w:eastAsia="宋体" w:cs="Times New Roman"/>
                      <w:color w:val="auto"/>
                      <w:szCs w:val="21"/>
                      <w:lang w:bidi="ar"/>
                    </w:rPr>
                    <w:t>《</w:t>
                  </w:r>
                  <w:r>
                    <w:rPr>
                      <w:rFonts w:hint="eastAsia" w:ascii="Times New Roman" w:hAnsi="Times New Roman" w:eastAsia="宋体" w:cs="Times New Roman"/>
                      <w:color w:val="auto"/>
                      <w:szCs w:val="21"/>
                      <w:lang w:eastAsia="zh-CN" w:bidi="ar"/>
                    </w:rPr>
                    <w:t>石油天然气钻井、开发、储运防火防爆安全生产技术规程</w:t>
                  </w:r>
                  <w:r>
                    <w:rPr>
                      <w:rFonts w:hint="default" w:ascii="Times New Roman" w:hAnsi="Times New Roman" w:eastAsia="宋体" w:cs="Times New Roman"/>
                      <w:color w:val="auto"/>
                      <w:szCs w:val="21"/>
                      <w:lang w:bidi="ar"/>
                    </w:rPr>
                    <w:t>》（</w:t>
                  </w:r>
                  <w:r>
                    <w:rPr>
                      <w:rFonts w:hint="eastAsia" w:ascii="Times New Roman" w:hAnsi="Times New Roman" w:eastAsia="宋体" w:cs="Times New Roman"/>
                      <w:color w:val="auto"/>
                      <w:szCs w:val="21"/>
                      <w:lang w:eastAsia="zh-CN" w:bidi="ar"/>
                    </w:rPr>
                    <w:t>SY/T</w:t>
                  </w:r>
                  <w:r>
                    <w:rPr>
                      <w:rFonts w:hint="eastAsia" w:ascii="Times New Roman" w:hAnsi="Times New Roman" w:eastAsia="宋体" w:cs="Times New Roman"/>
                      <w:color w:val="auto"/>
                      <w:szCs w:val="21"/>
                      <w:lang w:val="en-US" w:eastAsia="zh-CN" w:bidi="ar"/>
                    </w:rPr>
                    <w:t xml:space="preserve"> </w:t>
                  </w:r>
                  <w:r>
                    <w:rPr>
                      <w:rFonts w:hint="eastAsia" w:ascii="Times New Roman" w:hAnsi="Times New Roman" w:eastAsia="宋体" w:cs="Times New Roman"/>
                      <w:color w:val="auto"/>
                      <w:szCs w:val="21"/>
                      <w:lang w:eastAsia="zh-CN" w:bidi="ar"/>
                    </w:rPr>
                    <w:t>5225-2019</w:t>
                  </w:r>
                  <w:r>
                    <w:rPr>
                      <w:rFonts w:hint="default" w:ascii="Times New Roman" w:hAnsi="Times New Roman" w:eastAsia="宋体" w:cs="Times New Roman"/>
                      <w:color w:val="auto"/>
                      <w:szCs w:val="21"/>
                      <w:lang w:bidi="ar"/>
                    </w:rPr>
                    <w:t>）</w:t>
                  </w:r>
                  <w:r>
                    <w:rPr>
                      <w:rFonts w:hint="default" w:ascii="Times New Roman" w:hAnsi="Times New Roman" w:cs="Times New Roman"/>
                      <w:color w:val="auto"/>
                      <w:szCs w:val="21"/>
                      <w:lang w:bidi="ar"/>
                    </w:rPr>
                    <w:t>中第</w:t>
                  </w:r>
                  <w:r>
                    <w:rPr>
                      <w:rFonts w:hint="eastAsia" w:ascii="Times New Roman" w:hAnsi="Times New Roman" w:cs="Times New Roman"/>
                      <w:color w:val="auto"/>
                      <w:szCs w:val="21"/>
                      <w:lang w:val="en-US" w:eastAsia="zh-CN" w:bidi="ar"/>
                    </w:rPr>
                    <w:t>3.1.4</w:t>
                  </w:r>
                  <w:r>
                    <w:rPr>
                      <w:rFonts w:hint="default" w:ascii="Times New Roman" w:hAnsi="Times New Roman" w:cs="Times New Roman"/>
                      <w:color w:val="auto"/>
                      <w:szCs w:val="21"/>
                      <w:lang w:bidi="ar"/>
                    </w:rPr>
                    <w:t>条规定：放喷管线</w:t>
                  </w:r>
                  <w:r>
                    <w:rPr>
                      <w:rFonts w:hint="eastAsia" w:ascii="Times New Roman" w:hAnsi="Times New Roman" w:cs="Times New Roman"/>
                      <w:color w:val="auto"/>
                      <w:szCs w:val="21"/>
                      <w:lang w:val="en-US" w:eastAsia="zh-CN" w:bidi="ar"/>
                    </w:rPr>
                    <w:t>出口距井口应不小于75m</w:t>
                  </w:r>
                  <w:r>
                    <w:rPr>
                      <w:rFonts w:hint="default" w:ascii="Times New Roman" w:hAnsi="Times New Roman" w:cs="Times New Roman"/>
                      <w:color w:val="auto"/>
                      <w:szCs w:val="21"/>
                      <w:lang w:bidi="ar"/>
                    </w:rPr>
                    <w:t>。</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4C5904CF">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eastAsia" w:ascii="Times New Roman" w:hAnsi="Times New Roman" w:cs="Times New Roman"/>
                      <w:color w:val="auto"/>
                      <w:lang w:bidi="ar"/>
                    </w:rPr>
                    <w:t>本项目设置</w:t>
                  </w:r>
                  <w:r>
                    <w:rPr>
                      <w:rFonts w:hint="eastAsia" w:ascii="Times New Roman" w:hAnsi="Times New Roman" w:cs="Times New Roman"/>
                      <w:color w:val="auto"/>
                      <w:lang w:val="en-US" w:eastAsia="zh-CN" w:bidi="ar"/>
                    </w:rPr>
                    <w:t>1</w:t>
                  </w:r>
                  <w:r>
                    <w:rPr>
                      <w:rFonts w:hint="eastAsia" w:ascii="Times New Roman" w:hAnsi="Times New Roman" w:cs="Times New Roman"/>
                      <w:color w:val="auto"/>
                      <w:lang w:bidi="ar"/>
                    </w:rPr>
                    <w:t>座放喷池，</w:t>
                  </w:r>
                  <w:r>
                    <w:rPr>
                      <w:rFonts w:hint="eastAsia" w:ascii="Times New Roman" w:hAnsi="Times New Roman" w:cs="Times New Roman"/>
                      <w:color w:val="auto"/>
                      <w:lang w:val="en-US" w:eastAsia="zh-CN" w:bidi="ar"/>
                    </w:rPr>
                    <w:t>位于井场外</w:t>
                  </w:r>
                  <w:r>
                    <w:rPr>
                      <w:rFonts w:hint="eastAsia" w:cs="Times New Roman"/>
                      <w:color w:val="auto"/>
                      <w:lang w:val="en-US" w:eastAsia="zh-CN" w:bidi="ar"/>
                    </w:rPr>
                    <w:t>东</w:t>
                  </w:r>
                  <w:r>
                    <w:rPr>
                      <w:rFonts w:hint="eastAsia" w:ascii="Times New Roman" w:hAnsi="Times New Roman" w:cs="Times New Roman"/>
                      <w:color w:val="auto"/>
                      <w:lang w:val="en-US" w:eastAsia="zh-CN" w:bidi="ar"/>
                    </w:rPr>
                    <w:t>北侧，</w:t>
                  </w:r>
                  <w:r>
                    <w:rPr>
                      <w:rFonts w:hint="eastAsia" w:cs="Times New Roman"/>
                      <w:color w:val="auto"/>
                      <w:lang w:val="en-US" w:eastAsia="zh-CN" w:bidi="ar"/>
                    </w:rPr>
                    <w:t>放喷管线出口</w:t>
                  </w:r>
                  <w:r>
                    <w:rPr>
                      <w:rFonts w:hint="eastAsia" w:ascii="Times New Roman" w:hAnsi="Times New Roman" w:cs="Times New Roman"/>
                      <w:color w:val="auto"/>
                      <w:lang w:val="en-US" w:eastAsia="zh-CN" w:bidi="ar"/>
                    </w:rPr>
                    <w:t>距离井口距离</w:t>
                  </w:r>
                  <w:r>
                    <w:rPr>
                      <w:rFonts w:hint="eastAsia" w:cs="Times New Roman"/>
                      <w:color w:val="auto"/>
                      <w:lang w:val="en-US" w:eastAsia="zh-CN" w:bidi="ar"/>
                    </w:rPr>
                    <w:t>为78m</w:t>
                  </w:r>
                  <w:r>
                    <w:rPr>
                      <w:rFonts w:hint="eastAsia" w:ascii="Times New Roman" w:hAnsi="Times New Roman" w:cs="Times New Roman"/>
                      <w:color w:val="auto"/>
                      <w:lang w:bidi="ar"/>
                    </w:rPr>
                    <w:t>。同时放喷池周围50m范围内无各类设施和民房。</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03AC4A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cs="Times New Roman"/>
                      <w:color w:val="auto"/>
                      <w:szCs w:val="21"/>
                      <w:lang w:bidi="ar"/>
                    </w:rPr>
                    <w:t>符合</w:t>
                  </w:r>
                </w:p>
              </w:tc>
            </w:tr>
          </w:tbl>
          <w:p w14:paraId="2DEB6268">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kern w:val="0"/>
                <w:sz w:val="24"/>
              </w:rPr>
            </w:pPr>
          </w:p>
        </w:tc>
      </w:tr>
      <w:tr w14:paraId="1792A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026" w:type="dxa"/>
            <w:noWrap w:val="0"/>
            <w:vAlign w:val="center"/>
          </w:tcPr>
          <w:p w14:paraId="755782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施工</w:t>
            </w:r>
          </w:p>
          <w:p w14:paraId="650B26F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方案</w:t>
            </w:r>
          </w:p>
        </w:tc>
        <w:tc>
          <w:tcPr>
            <w:tcW w:w="7973" w:type="dxa"/>
            <w:noWrap w:val="0"/>
            <w:vAlign w:val="center"/>
          </w:tcPr>
          <w:p w14:paraId="4EB6274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项目实施分为钻前施工期、钻井作业期、</w:t>
            </w:r>
            <w:r>
              <w:rPr>
                <w:rFonts w:hint="eastAsia" w:ascii="Times New Roman" w:hAnsi="Times New Roman" w:cs="Times New Roman"/>
                <w:color w:val="auto"/>
                <w:sz w:val="24"/>
              </w:rPr>
              <w:t>试气作业</w:t>
            </w:r>
            <w:r>
              <w:rPr>
                <w:rFonts w:hint="default" w:ascii="Times New Roman" w:hAnsi="Times New Roman" w:cs="Times New Roman"/>
                <w:color w:val="auto"/>
                <w:sz w:val="24"/>
              </w:rPr>
              <w:t>期三个阶段。钻井工程作业过程主要包括井场</w:t>
            </w:r>
            <w:r>
              <w:rPr>
                <w:rFonts w:hint="eastAsia" w:cs="Times New Roman"/>
                <w:color w:val="auto"/>
                <w:sz w:val="24"/>
                <w:lang w:val="en-US" w:eastAsia="zh-CN"/>
              </w:rPr>
              <w:t>建设</w:t>
            </w:r>
            <w:r>
              <w:rPr>
                <w:rFonts w:hint="default" w:ascii="Times New Roman" w:hAnsi="Times New Roman" w:cs="Times New Roman"/>
                <w:color w:val="auto"/>
                <w:sz w:val="24"/>
              </w:rPr>
              <w:t>、设备搬迁安装、钻井作业、拆卸设备和井场清理等，其过程如下图所示。</w:t>
            </w:r>
          </w:p>
          <w:p w14:paraId="0CE01DDC">
            <w:pPr>
              <w:keepNext w:val="0"/>
              <w:keepLines w:val="0"/>
              <w:suppressLineNumbers w:val="0"/>
              <w:spacing w:before="0" w:beforeAutospacing="0" w:after="0" w:afterAutospacing="0" w:line="360" w:lineRule="auto"/>
              <w:ind w:left="0" w:right="0" w:firstLine="420" w:firstLineChars="200"/>
              <w:jc w:val="center"/>
              <w:rPr>
                <w:rFonts w:hint="default" w:ascii="Times New Roman" w:hAnsi="Times New Roman" w:eastAsia="Times New Roman" w:cs="Times New Roman"/>
                <w:color w:val="auto"/>
                <w:szCs w:val="21"/>
              </w:rPr>
            </w:pPr>
            <w:r>
              <w:rPr>
                <w:rFonts w:hint="default" w:ascii="Times New Roman" w:hAnsi="Times New Roman" w:eastAsia="Times New Roman" w:cs="Times New Roman"/>
                <w:color w:val="auto"/>
                <w:szCs w:val="21"/>
              </w:rPr>
              <w:object>
                <v:shape id="_x0000_i1025" o:spt="75" type="#_x0000_t75" style="height:145.95pt;width:324.6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p>
          <w:p w14:paraId="1654B63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eastAsia" w:ascii="Times New Roman" w:hAnsi="Times New Roman" w:cs="Times New Roman"/>
                <w:b/>
                <w:color w:val="auto"/>
              </w:rPr>
              <w:t>项目施工作业过程示意图</w:t>
            </w:r>
          </w:p>
          <w:p w14:paraId="57C706C6">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一</w:t>
            </w:r>
            <w:r>
              <w:rPr>
                <w:rFonts w:hint="default" w:ascii="Times New Roman" w:hAnsi="Times New Roman" w:cs="Times New Roman"/>
                <w:b/>
                <w:bCs/>
                <w:color w:val="auto"/>
                <w:sz w:val="24"/>
                <w:szCs w:val="28"/>
              </w:rPr>
              <w:t>、钻前施工方案</w:t>
            </w:r>
          </w:p>
          <w:p w14:paraId="4AABDF27">
            <w:pPr>
              <w:keepNext w:val="0"/>
              <w:keepLines w:val="0"/>
              <w:suppressLineNumbers w:val="0"/>
              <w:spacing w:before="0" w:beforeAutospacing="0" w:after="0" w:afterAutospacing="0" w:line="360" w:lineRule="auto"/>
              <w:ind w:left="0" w:right="0" w:firstLine="480" w:firstLineChars="200"/>
              <w:jc w:val="left"/>
              <w:rPr>
                <w:rFonts w:hint="default"/>
                <w:color w:val="auto"/>
              </w:rPr>
            </w:pPr>
            <w:r>
              <w:rPr>
                <w:rFonts w:hint="default" w:ascii="Times New Roman" w:hAnsi="Times New Roman" w:cs="Times New Roman"/>
                <w:color w:val="auto"/>
                <w:kern w:val="0"/>
                <w:sz w:val="24"/>
                <w:szCs w:val="21"/>
              </w:rPr>
              <w:t>本项目</w:t>
            </w:r>
            <w:r>
              <w:rPr>
                <w:rFonts w:hint="eastAsia" w:cs="Times New Roman"/>
                <w:color w:val="auto"/>
                <w:kern w:val="0"/>
                <w:sz w:val="24"/>
                <w:szCs w:val="21"/>
                <w:lang w:val="en-US" w:eastAsia="zh-CN"/>
              </w:rPr>
              <w:t>为新建项目，项目</w:t>
            </w:r>
            <w:r>
              <w:rPr>
                <w:rFonts w:hint="default" w:ascii="Times New Roman" w:hAnsi="Times New Roman" w:cs="Times New Roman"/>
                <w:color w:val="auto"/>
                <w:kern w:val="0"/>
                <w:sz w:val="24"/>
                <w:szCs w:val="21"/>
              </w:rPr>
              <w:t>钻前工程主要有表土剥离</w:t>
            </w:r>
            <w:r>
              <w:rPr>
                <w:rFonts w:hint="eastAsia" w:cs="Times New Roman"/>
                <w:color w:val="auto"/>
                <w:kern w:val="0"/>
                <w:sz w:val="24"/>
                <w:szCs w:val="21"/>
                <w:lang w:eastAsia="zh-CN"/>
              </w:rPr>
              <w:t>、</w:t>
            </w:r>
            <w:r>
              <w:rPr>
                <w:rFonts w:hint="default" w:ascii="Times New Roman" w:hAnsi="Times New Roman" w:cs="Times New Roman"/>
                <w:color w:val="auto"/>
                <w:kern w:val="0"/>
                <w:sz w:val="24"/>
                <w:szCs w:val="21"/>
              </w:rPr>
              <w:t>平整井场</w:t>
            </w:r>
            <w:r>
              <w:rPr>
                <w:rFonts w:hint="eastAsia" w:cs="Times New Roman"/>
                <w:color w:val="auto"/>
                <w:kern w:val="0"/>
                <w:sz w:val="24"/>
                <w:szCs w:val="21"/>
                <w:lang w:eastAsia="zh-CN"/>
              </w:rPr>
              <w:t>、</w:t>
            </w:r>
            <w:r>
              <w:rPr>
                <w:rFonts w:hint="default" w:ascii="Times New Roman" w:hAnsi="Times New Roman" w:cs="Times New Roman"/>
                <w:color w:val="auto"/>
                <w:kern w:val="0"/>
                <w:sz w:val="24"/>
                <w:szCs w:val="21"/>
              </w:rPr>
              <w:t>修建设备基础、给排水设施、</w:t>
            </w:r>
            <w:r>
              <w:rPr>
                <w:rFonts w:hint="eastAsia" w:cs="Times New Roman"/>
                <w:color w:val="auto"/>
                <w:kern w:val="0"/>
                <w:sz w:val="24"/>
                <w:szCs w:val="21"/>
                <w:lang w:val="en-US" w:eastAsia="zh-CN"/>
              </w:rPr>
              <w:t>清水池、</w:t>
            </w:r>
            <w:r>
              <w:rPr>
                <w:rFonts w:hint="default" w:ascii="Times New Roman" w:hAnsi="Times New Roman" w:cs="Times New Roman"/>
                <w:color w:val="auto"/>
                <w:kern w:val="0"/>
                <w:sz w:val="24"/>
                <w:szCs w:val="21"/>
              </w:rPr>
              <w:t>放喷池</w:t>
            </w:r>
            <w:r>
              <w:rPr>
                <w:rFonts w:hint="eastAsia" w:cs="Times New Roman"/>
                <w:color w:val="auto"/>
                <w:kern w:val="0"/>
                <w:sz w:val="24"/>
                <w:szCs w:val="21"/>
                <w:lang w:eastAsia="zh-CN"/>
              </w:rPr>
              <w:t>、</w:t>
            </w:r>
            <w:r>
              <w:rPr>
                <w:rFonts w:hint="eastAsia" w:cs="Times New Roman"/>
                <w:color w:val="auto"/>
                <w:kern w:val="0"/>
                <w:sz w:val="24"/>
                <w:szCs w:val="21"/>
                <w:lang w:val="en-US" w:eastAsia="zh-CN"/>
              </w:rPr>
              <w:t>污水池、道路</w:t>
            </w:r>
            <w:r>
              <w:rPr>
                <w:rFonts w:hint="eastAsia" w:ascii="Times New Roman" w:hAnsi="Times New Roman" w:cs="Times New Roman"/>
                <w:color w:val="auto"/>
                <w:kern w:val="0"/>
                <w:sz w:val="24"/>
                <w:szCs w:val="21"/>
              </w:rPr>
              <w:t>等</w:t>
            </w:r>
            <w:r>
              <w:rPr>
                <w:rFonts w:hint="eastAsia" w:cs="Times New Roman"/>
                <w:color w:val="auto"/>
                <w:kern w:val="0"/>
                <w:sz w:val="24"/>
                <w:szCs w:val="21"/>
                <w:lang w:eastAsia="zh-CN"/>
              </w:rPr>
              <w:t>，</w:t>
            </w:r>
            <w:r>
              <w:rPr>
                <w:rFonts w:hint="default" w:ascii="Times New Roman" w:hAnsi="Times New Roman" w:cs="Times New Roman"/>
                <w:color w:val="auto"/>
                <w:sz w:val="24"/>
              </w:rPr>
              <w:t>施工过程及主要环境影响因素见下图。</w:t>
            </w:r>
          </w:p>
          <w:p w14:paraId="4B38061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eastAsia="Times New Roman" w:cs="Times New Roman"/>
                <w:color w:val="auto"/>
                <w:szCs w:val="21"/>
                <w:highlight w:val="none"/>
              </w:rPr>
              <w:object>
                <v:shape id="_x0000_i1026" o:spt="75" type="#_x0000_t75" style="height:254.55pt;width:312.1pt;" o:ole="t" filled="f" o:preferrelative="t" stroked="f" coordsize="21600,21600">
                  <v:path/>
                  <v:fill on="f" focussize="0,0"/>
                  <v:stroke on="f"/>
                  <v:imagedata r:id="rId12" o:title=""/>
                  <o:lock v:ext="edit" aspectratio="f"/>
                  <w10:wrap type="none"/>
                  <w10:anchorlock/>
                </v:shape>
                <o:OLEObject Type="Embed" ProgID="Visio.Drawing.11" ShapeID="_x0000_i1026" DrawAspect="Content" ObjectID="_1468075726" r:id="rId11">
                  <o:LockedField>false</o:LockedField>
                </o:OLEObject>
              </w:object>
            </w:r>
          </w:p>
          <w:p w14:paraId="665B319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钻前工程作业流程及产污环节图</w:t>
            </w:r>
          </w:p>
          <w:p w14:paraId="6972BDA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w:t>
            </w:r>
            <w:r>
              <w:rPr>
                <w:rFonts w:hint="eastAsia" w:cs="Times New Roman"/>
                <w:b/>
                <w:bCs w:val="0"/>
                <w:color w:val="auto"/>
                <w:sz w:val="24"/>
                <w:lang w:eastAsia="zh-CN"/>
              </w:rPr>
              <w:t>、</w:t>
            </w:r>
            <w:r>
              <w:rPr>
                <w:rFonts w:hint="default" w:ascii="Times New Roman" w:hAnsi="Times New Roman" w:cs="Times New Roman"/>
                <w:b/>
                <w:bCs w:val="0"/>
                <w:color w:val="auto"/>
                <w:sz w:val="24"/>
              </w:rPr>
              <w:t>井场工程</w:t>
            </w:r>
          </w:p>
          <w:p w14:paraId="48A3C9A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eastAsia="zh-CN"/>
              </w:rPr>
              <w:t>（</w:t>
            </w:r>
            <w:r>
              <w:rPr>
                <w:rFonts w:hint="eastAsia" w:cs="Times New Roman"/>
                <w:bCs/>
                <w:color w:val="auto"/>
                <w:sz w:val="24"/>
                <w:lang w:val="en-US" w:eastAsia="zh-CN"/>
              </w:rPr>
              <w:t>1</w:t>
            </w:r>
            <w:r>
              <w:rPr>
                <w:rFonts w:hint="eastAsia" w:cs="Times New Roman"/>
                <w:bCs/>
                <w:color w:val="auto"/>
                <w:sz w:val="24"/>
                <w:lang w:eastAsia="zh-CN"/>
              </w:rPr>
              <w:t>）</w:t>
            </w:r>
            <w:r>
              <w:rPr>
                <w:rFonts w:hint="default" w:ascii="Times New Roman" w:hAnsi="Times New Roman" w:cs="Times New Roman"/>
                <w:bCs/>
                <w:color w:val="auto"/>
                <w:sz w:val="24"/>
              </w:rPr>
              <w:t>分区防渗要求</w:t>
            </w:r>
          </w:p>
          <w:p w14:paraId="41989CFD">
            <w:pPr>
              <w:keepNext w:val="0"/>
              <w:keepLines w:val="0"/>
              <w:widowControl/>
              <w:suppressLineNumbers w:val="0"/>
              <w:autoSpaceDE w:val="0"/>
              <w:autoSpaceDN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主要修建进场道路、平整井场、硬化场地、修建清污分流系统、各类池体等，并做好防渗措施。</w:t>
            </w:r>
          </w:p>
          <w:p w14:paraId="42AF8082">
            <w:pPr>
              <w:keepNext w:val="0"/>
              <w:keepLines w:val="0"/>
              <w:widowControl/>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bCs/>
                <w:color w:val="auto"/>
                <w:sz w:val="24"/>
                <w:lang w:val="en-US" w:eastAsia="zh-CN"/>
              </w:rPr>
              <w:t>重点防渗区：</w:t>
            </w:r>
            <w:r>
              <w:rPr>
                <w:rFonts w:hint="eastAsia" w:ascii="Times New Roman" w:hAnsi="Times New Roman" w:eastAsia="宋体" w:cs="Times New Roman"/>
                <w:color w:val="auto"/>
                <w:sz w:val="24"/>
                <w:szCs w:val="20"/>
                <w:lang w:val="en-US" w:eastAsia="zh-CN"/>
              </w:rPr>
              <w:t>井场后场的井架基础、泥浆泵基础（泵房基础）、</w:t>
            </w:r>
            <w:r>
              <w:rPr>
                <w:rFonts w:hint="default" w:ascii="Times New Roman" w:hAnsi="Times New Roman" w:eastAsia="宋体" w:cs="Times New Roman"/>
                <w:color w:val="auto"/>
                <w:sz w:val="24"/>
                <w:szCs w:val="20"/>
                <w:lang w:val="en-US" w:eastAsia="zh-CN"/>
              </w:rPr>
              <w:t>循环罐基础、储备罐基础（泥浆储备）、泥浆不落地基础（环保装置区）、机房基础（发电机房及高低压配电房基础）</w:t>
            </w:r>
            <w:r>
              <w:rPr>
                <w:rFonts w:hint="eastAsia" w:ascii="Times New Roman" w:hAnsi="Times New Roman" w:eastAsia="宋体" w:cs="Times New Roman"/>
                <w:color w:val="auto"/>
                <w:sz w:val="24"/>
                <w:szCs w:val="20"/>
                <w:lang w:val="en-US" w:eastAsia="zh-CN"/>
              </w:rPr>
              <w:t>，井场外的油罐区、放喷池、污水池（多功能网格池组）</w:t>
            </w:r>
            <w:r>
              <w:rPr>
                <w:rFonts w:hint="default" w:ascii="Times New Roman" w:hAnsi="Times New Roman" w:eastAsia="宋体" w:cs="Times New Roman"/>
                <w:color w:val="auto"/>
                <w:sz w:val="24"/>
                <w:szCs w:val="20"/>
                <w:lang w:val="en-US" w:eastAsia="zh-CN"/>
              </w:rPr>
              <w:t>等</w:t>
            </w:r>
            <w:r>
              <w:rPr>
                <w:rFonts w:hint="default" w:ascii="Times New Roman" w:hAnsi="Times New Roman" w:eastAsia="宋体" w:cs="Times New Roman"/>
                <w:color w:val="auto"/>
                <w:sz w:val="24"/>
                <w:szCs w:val="24"/>
              </w:rPr>
              <w:t>应满足等效黏土防渗层Mb≥6.0m，</w:t>
            </w:r>
            <w:r>
              <w:rPr>
                <w:rFonts w:hint="default" w:ascii="Times New Roman" w:hAnsi="Times New Roman" w:eastAsia="宋体" w:cs="Times New Roman"/>
                <w:color w:val="auto"/>
                <w:kern w:val="0"/>
                <w:sz w:val="24"/>
                <w:szCs w:val="24"/>
              </w:rPr>
              <w:t>渗透系数</w:t>
            </w:r>
            <w:r>
              <w:rPr>
                <w:rFonts w:hint="default" w:ascii="Times New Roman" w:hAnsi="Times New Roman" w:eastAsia="宋体" w:cs="Times New Roman"/>
                <w:color w:val="auto"/>
                <w:sz w:val="24"/>
                <w:szCs w:val="24"/>
              </w:rPr>
              <w:t>K≤1×10</w:t>
            </w:r>
            <w:r>
              <w:rPr>
                <w:rFonts w:hint="default" w:ascii="Times New Roman" w:hAnsi="Times New Roman" w:eastAsia="宋体" w:cs="Times New Roman"/>
                <w:color w:val="auto"/>
                <w:sz w:val="24"/>
                <w:szCs w:val="24"/>
                <w:vertAlign w:val="superscript"/>
              </w:rPr>
              <w:t>-7</w:t>
            </w:r>
            <w:r>
              <w:rPr>
                <w:rFonts w:hint="default" w:ascii="Times New Roman" w:hAnsi="Times New Roman" w:eastAsia="宋体" w:cs="Times New Roman"/>
                <w:color w:val="auto"/>
                <w:sz w:val="24"/>
                <w:szCs w:val="24"/>
              </w:rPr>
              <w:t>cm/s的防渗性能</w:t>
            </w:r>
            <w:r>
              <w:rPr>
                <w:rFonts w:hint="default" w:ascii="Times New Roman" w:hAnsi="Times New Roman" w:eastAsia="宋体" w:cs="Times New Roman"/>
                <w:color w:val="auto"/>
                <w:kern w:val="0"/>
                <w:sz w:val="24"/>
                <w:szCs w:val="24"/>
              </w:rPr>
              <w:t>，建议</w:t>
            </w:r>
            <w:r>
              <w:rPr>
                <w:rFonts w:hint="default" w:ascii="Times New Roman" w:hAnsi="Times New Roman" w:eastAsia="宋体" w:cs="Times New Roman"/>
                <w:bCs/>
                <w:color w:val="auto"/>
                <w:kern w:val="0"/>
                <w:sz w:val="24"/>
                <w:szCs w:val="24"/>
              </w:rPr>
              <w:t>地面铺设</w:t>
            </w:r>
            <w:r>
              <w:rPr>
                <w:rFonts w:hint="default" w:ascii="Times New Roman" w:hAnsi="Times New Roman" w:eastAsia="宋体" w:cs="Times New Roman"/>
                <w:bCs/>
                <w:color w:val="auto"/>
                <w:kern w:val="0"/>
                <w:sz w:val="24"/>
                <w:szCs w:val="24"/>
                <w:lang w:val="en-US" w:eastAsia="zh-CN"/>
              </w:rPr>
              <w:t>300</w:t>
            </w:r>
            <w:r>
              <w:rPr>
                <w:rFonts w:hint="default" w:ascii="Times New Roman" w:hAnsi="Times New Roman" w:eastAsia="宋体" w:cs="Times New Roman"/>
                <w:bCs/>
                <w:color w:val="auto"/>
                <w:kern w:val="0"/>
                <w:sz w:val="24"/>
                <w:szCs w:val="24"/>
              </w:rPr>
              <w:t>mm混凝土或2mm厚高密度聚乙烯膜、渗透系数不大于10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cm/s，或采取铺设渗透系数不大于10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cm/s、至少2mm厚的其他人工材料的防渗措施。</w:t>
            </w:r>
            <w:r>
              <w:rPr>
                <w:rFonts w:hint="default" w:ascii="Times New Roman" w:hAnsi="Times New Roman" w:eastAsia="宋体" w:cs="Times New Roman"/>
                <w:color w:val="auto"/>
                <w:sz w:val="24"/>
                <w:szCs w:val="24"/>
                <w:lang w:val="en-US" w:eastAsia="zh-CN"/>
              </w:rPr>
              <w:t>危废暂存间</w:t>
            </w:r>
            <w:r>
              <w:rPr>
                <w:rFonts w:hint="default" w:ascii="Times New Roman" w:hAnsi="Times New Roman" w:eastAsia="宋体" w:cs="Times New Roman"/>
                <w:color w:val="auto"/>
                <w:sz w:val="24"/>
                <w:szCs w:val="24"/>
              </w:rPr>
              <w:t>重点防渗</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kern w:val="0"/>
                <w:sz w:val="24"/>
                <w:szCs w:val="24"/>
              </w:rPr>
              <w:t>铺设至少1m厚黏土层（渗透系数不大于10</w:t>
            </w:r>
            <w:r>
              <w:rPr>
                <w:rFonts w:hint="default" w:ascii="Times New Roman" w:hAnsi="Times New Roman" w:eastAsia="宋体" w:cs="Times New Roman"/>
                <w:bCs/>
                <w:color w:val="auto"/>
                <w:kern w:val="0"/>
                <w:sz w:val="24"/>
                <w:szCs w:val="24"/>
                <w:vertAlign w:val="superscript"/>
              </w:rPr>
              <w:t>-7</w:t>
            </w:r>
            <w:r>
              <w:rPr>
                <w:rFonts w:hint="default" w:ascii="Times New Roman" w:hAnsi="Times New Roman" w:eastAsia="宋体" w:cs="Times New Roman"/>
                <w:bCs/>
                <w:color w:val="auto"/>
                <w:kern w:val="0"/>
                <w:sz w:val="24"/>
                <w:szCs w:val="24"/>
              </w:rPr>
              <w:t>cm/s），或至少2mm厚高密度聚乙烯膜等人工防渗材料（渗透系数不大于10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cm/s），或其他防渗性能等效的材料</w:t>
            </w:r>
            <w:r>
              <w:rPr>
                <w:rFonts w:hint="default"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建议防渗结构由上至下依次为：水泥基渗透结晶型防渗涂层（≥0.8mm）、抗渗</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钢筋</w:t>
            </w:r>
            <w:r>
              <w:rPr>
                <w:rFonts w:hint="eastAsia"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混凝土面层（厚度300mm，抗渗等级为P8）、基层+垫层、600g/m</w:t>
            </w:r>
            <w:r>
              <w:rPr>
                <w:rFonts w:hint="default" w:ascii="Times New Roman" w:hAnsi="Times New Roman" w:eastAsia="宋体" w:cs="Times New Roman"/>
                <w:bCs/>
                <w:color w:val="auto"/>
                <w:kern w:val="0"/>
                <w:sz w:val="24"/>
                <w:szCs w:val="24"/>
                <w:vertAlign w:val="superscript"/>
              </w:rPr>
              <w:t>2</w:t>
            </w:r>
            <w:r>
              <w:rPr>
                <w:rFonts w:hint="default" w:ascii="Times New Roman" w:hAnsi="Times New Roman" w:eastAsia="宋体" w:cs="Times New Roman"/>
                <w:bCs/>
                <w:color w:val="auto"/>
                <w:kern w:val="0"/>
                <w:sz w:val="24"/>
                <w:szCs w:val="24"/>
              </w:rPr>
              <w:t>长丝无纺土工布、2mm厚HDPE防渗膜、600g/m</w:t>
            </w:r>
            <w:r>
              <w:rPr>
                <w:rFonts w:hint="default" w:ascii="Times New Roman" w:hAnsi="Times New Roman" w:eastAsia="宋体" w:cs="Times New Roman"/>
                <w:bCs/>
                <w:color w:val="auto"/>
                <w:kern w:val="0"/>
                <w:sz w:val="24"/>
                <w:szCs w:val="24"/>
                <w:vertAlign w:val="superscript"/>
              </w:rPr>
              <w:t>2</w:t>
            </w:r>
            <w:r>
              <w:rPr>
                <w:rFonts w:hint="default" w:ascii="Times New Roman" w:hAnsi="Times New Roman" w:eastAsia="宋体" w:cs="Times New Roman"/>
                <w:bCs/>
                <w:color w:val="auto"/>
                <w:kern w:val="0"/>
                <w:sz w:val="24"/>
                <w:szCs w:val="24"/>
              </w:rPr>
              <w:t>长丝无纺土工布、细砂保护层、原土压（夯）实。</w:t>
            </w:r>
          </w:p>
          <w:p w14:paraId="1A919EE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color w:val="auto"/>
                <w:sz w:val="24"/>
                <w:szCs w:val="20"/>
                <w:lang w:val="en-US" w:eastAsia="zh-CN"/>
              </w:rPr>
              <w:t>一般防渗区：井场</w:t>
            </w:r>
            <w:r>
              <w:rPr>
                <w:rFonts w:hint="eastAsia" w:cs="Times New Roman"/>
                <w:color w:val="auto"/>
                <w:sz w:val="24"/>
                <w:szCs w:val="20"/>
                <w:lang w:val="en-US" w:eastAsia="zh-CN"/>
              </w:rPr>
              <w:t>后场</w:t>
            </w:r>
            <w:r>
              <w:rPr>
                <w:rFonts w:hint="eastAsia" w:ascii="Times New Roman" w:hAnsi="Times New Roman" w:eastAsia="宋体" w:cs="Times New Roman"/>
                <w:color w:val="auto"/>
                <w:sz w:val="24"/>
                <w:szCs w:val="20"/>
                <w:lang w:val="en-US" w:eastAsia="zh-CN"/>
              </w:rPr>
              <w:t>内除重点防渗区域外的其他井场作业区</w:t>
            </w:r>
            <w:r>
              <w:rPr>
                <w:rFonts w:hint="eastAsia" w:cs="Times New Roman"/>
                <w:color w:val="auto"/>
                <w:sz w:val="24"/>
                <w:szCs w:val="20"/>
                <w:lang w:val="en-US" w:eastAsia="zh-CN"/>
              </w:rPr>
              <w:t>，以及</w:t>
            </w:r>
            <w:r>
              <w:rPr>
                <w:rFonts w:hint="eastAsia" w:ascii="Times New Roman" w:hAnsi="Times New Roman" w:eastAsia="宋体" w:cs="Times New Roman"/>
                <w:color w:val="auto"/>
                <w:sz w:val="24"/>
                <w:szCs w:val="20"/>
                <w:lang w:val="en-US" w:eastAsia="zh-CN"/>
              </w:rPr>
              <w:t>材料棚、</w:t>
            </w:r>
            <w:r>
              <w:rPr>
                <w:rFonts w:hint="eastAsia" w:cs="Times New Roman"/>
                <w:color w:val="auto"/>
                <w:sz w:val="24"/>
                <w:szCs w:val="20"/>
                <w:lang w:val="en-US" w:eastAsia="zh-CN"/>
              </w:rPr>
              <w:t>环状雨水沟、井场集污沟、监控池</w:t>
            </w:r>
            <w:r>
              <w:rPr>
                <w:rFonts w:hint="eastAsia" w:ascii="Times New Roman" w:hAnsi="Times New Roman" w:eastAsia="宋体" w:cs="Times New Roman"/>
                <w:color w:val="auto"/>
                <w:sz w:val="24"/>
                <w:szCs w:val="20"/>
                <w:lang w:val="en-US" w:eastAsia="zh-CN"/>
              </w:rPr>
              <w:t>、生活污水处理设施等区域，</w:t>
            </w:r>
            <w:r>
              <w:rPr>
                <w:rFonts w:hint="default" w:ascii="Times New Roman" w:hAnsi="Times New Roman" w:eastAsia="宋体" w:cs="Times New Roman"/>
                <w:bCs/>
                <w:color w:val="auto"/>
                <w:kern w:val="0"/>
                <w:sz w:val="24"/>
                <w:szCs w:val="24"/>
              </w:rPr>
              <w:t>采用防渗性能与厚度Mb≥1.5m，渗透系数K≤1×10</w:t>
            </w:r>
            <w:r>
              <w:rPr>
                <w:rFonts w:hint="default" w:ascii="Times New Roman" w:hAnsi="Times New Roman" w:eastAsia="宋体" w:cs="Times New Roman"/>
                <w:bCs/>
                <w:color w:val="auto"/>
                <w:kern w:val="0"/>
                <w:sz w:val="24"/>
                <w:szCs w:val="24"/>
                <w:vertAlign w:val="superscript"/>
              </w:rPr>
              <w:t>-7</w:t>
            </w:r>
            <w:r>
              <w:rPr>
                <w:rFonts w:hint="default" w:ascii="Times New Roman" w:hAnsi="Times New Roman" w:eastAsia="宋体" w:cs="Times New Roman"/>
                <w:bCs/>
                <w:color w:val="auto"/>
                <w:kern w:val="0"/>
                <w:sz w:val="24"/>
                <w:szCs w:val="24"/>
              </w:rPr>
              <w:t>cm/s</w:t>
            </w:r>
            <w:r>
              <w:rPr>
                <w:rFonts w:hint="eastAsia" w:ascii="Times New Roman" w:hAnsi="Times New Roman" w:eastAsia="宋体" w:cs="Times New Roman"/>
                <w:bCs/>
                <w:color w:val="auto"/>
                <w:kern w:val="0"/>
                <w:sz w:val="24"/>
                <w:szCs w:val="24"/>
              </w:rPr>
              <w:t>黏</w:t>
            </w:r>
            <w:r>
              <w:rPr>
                <w:rFonts w:hint="default" w:ascii="Times New Roman" w:hAnsi="Times New Roman" w:eastAsia="宋体" w:cs="Times New Roman"/>
                <w:bCs/>
                <w:color w:val="auto"/>
                <w:kern w:val="0"/>
                <w:sz w:val="24"/>
                <w:szCs w:val="24"/>
              </w:rPr>
              <w:t>土防渗层等效的防渗措施。建议具体防渗结构如下：抗渗</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钢筋</w:t>
            </w:r>
            <w:r>
              <w:rPr>
                <w:rFonts w:hint="eastAsia"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混凝土面层（厚度300mm，</w:t>
            </w:r>
            <w:r>
              <w:rPr>
                <w:rFonts w:hint="eastAsia" w:ascii="Times New Roman" w:hAnsi="Times New Roman" w:eastAsia="宋体" w:cs="Times New Roman"/>
                <w:bCs/>
                <w:color w:val="auto"/>
                <w:kern w:val="0"/>
                <w:sz w:val="24"/>
                <w:szCs w:val="24"/>
              </w:rPr>
              <w:t>强度C25，</w:t>
            </w:r>
            <w:r>
              <w:rPr>
                <w:rFonts w:hint="default" w:ascii="Times New Roman" w:hAnsi="Times New Roman" w:eastAsia="宋体" w:cs="Times New Roman"/>
                <w:bCs/>
                <w:color w:val="auto"/>
                <w:kern w:val="0"/>
                <w:sz w:val="24"/>
                <w:szCs w:val="24"/>
              </w:rPr>
              <w:t>抗渗等级为P6）、</w:t>
            </w:r>
            <w:r>
              <w:rPr>
                <w:rFonts w:hint="eastAsia" w:ascii="Times New Roman" w:hAnsi="Times New Roman" w:eastAsia="宋体" w:cs="Times New Roman"/>
                <w:bCs/>
                <w:color w:val="auto"/>
                <w:kern w:val="0"/>
                <w:sz w:val="24"/>
                <w:szCs w:val="24"/>
              </w:rPr>
              <w:t>基层</w:t>
            </w:r>
            <w:r>
              <w:rPr>
                <w:rFonts w:hint="default" w:ascii="Times New Roman" w:hAnsi="Times New Roman" w:eastAsia="宋体" w:cs="Times New Roman"/>
                <w:bCs/>
                <w:color w:val="auto"/>
                <w:kern w:val="0"/>
                <w:sz w:val="24"/>
                <w:szCs w:val="24"/>
              </w:rPr>
              <w:t>+垫层，原土压（夯）实。</w:t>
            </w:r>
          </w:p>
          <w:p w14:paraId="35DB270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b w:val="0"/>
                <w:bCs w:val="0"/>
                <w:color w:val="auto"/>
                <w:kern w:val="0"/>
                <w:sz w:val="24"/>
                <w:szCs w:val="24"/>
                <w:lang w:val="en-US" w:eastAsia="zh-CN"/>
              </w:rPr>
              <w:t>简单防渗区：</w:t>
            </w:r>
            <w:r>
              <w:rPr>
                <w:rFonts w:hint="eastAsia" w:ascii="Times New Roman" w:hAnsi="Times New Roman" w:eastAsia="宋体" w:cs="Times New Roman"/>
                <w:bCs/>
                <w:color w:val="auto"/>
                <w:kern w:val="0"/>
                <w:sz w:val="24"/>
                <w:szCs w:val="24"/>
                <w:lang w:val="en-US" w:eastAsia="zh-CN"/>
              </w:rPr>
              <w:t>井场前场区域、清水池、生活营地、场外截水沟及清水沟</w:t>
            </w:r>
            <w:r>
              <w:rPr>
                <w:rFonts w:hint="eastAsia" w:ascii="Times New Roman" w:hAnsi="Times New Roman" w:eastAsia="宋体" w:cs="Times New Roman"/>
                <w:b w:val="0"/>
                <w:bCs w:val="0"/>
                <w:color w:val="auto"/>
                <w:kern w:val="0"/>
                <w:sz w:val="24"/>
                <w:szCs w:val="24"/>
                <w:lang w:val="en-US" w:eastAsia="zh-CN"/>
              </w:rPr>
              <w:t>等一般硬化。</w:t>
            </w:r>
          </w:p>
          <w:p w14:paraId="1D6A1F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eastAsia="zh-CN"/>
              </w:rPr>
              <w:t>（</w:t>
            </w:r>
            <w:r>
              <w:rPr>
                <w:rFonts w:hint="eastAsia" w:cs="Times New Roman"/>
                <w:bCs/>
                <w:color w:val="auto"/>
                <w:sz w:val="24"/>
                <w:lang w:val="en-US" w:eastAsia="zh-CN"/>
              </w:rPr>
              <w:t>2</w:t>
            </w:r>
            <w:r>
              <w:rPr>
                <w:rFonts w:hint="eastAsia" w:cs="Times New Roman"/>
                <w:bCs/>
                <w:color w:val="auto"/>
                <w:sz w:val="24"/>
                <w:lang w:eastAsia="zh-CN"/>
              </w:rPr>
              <w:t>）</w:t>
            </w:r>
            <w:r>
              <w:rPr>
                <w:rFonts w:hint="default" w:ascii="Times New Roman" w:hAnsi="Times New Roman" w:cs="Times New Roman"/>
                <w:bCs/>
                <w:color w:val="auto"/>
                <w:sz w:val="24"/>
              </w:rPr>
              <w:t>井场表土处置以及水土保持</w:t>
            </w:r>
          </w:p>
          <w:p w14:paraId="148C5F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本项目钻井期间用地均为临时用地，为保证后期复垦需要，对井场</w:t>
            </w:r>
            <w:r>
              <w:rPr>
                <w:rFonts w:hint="eastAsia" w:cs="Times New Roman"/>
                <w:bCs/>
                <w:color w:val="auto"/>
                <w:sz w:val="24"/>
                <w:lang w:val="en-US" w:eastAsia="zh-CN"/>
              </w:rPr>
              <w:t>进行</w:t>
            </w:r>
            <w:r>
              <w:rPr>
                <w:rFonts w:hint="default" w:ascii="Times New Roman" w:hAnsi="Times New Roman" w:cs="Times New Roman"/>
                <w:bCs/>
                <w:color w:val="auto"/>
                <w:sz w:val="24"/>
              </w:rPr>
              <w:t>表土</w:t>
            </w:r>
            <w:r>
              <w:rPr>
                <w:rFonts w:hint="eastAsia" w:cs="Times New Roman"/>
                <w:bCs/>
                <w:color w:val="auto"/>
                <w:sz w:val="24"/>
                <w:lang w:val="en-US" w:eastAsia="zh-CN"/>
              </w:rPr>
              <w:t>剥离</w:t>
            </w:r>
            <w:r>
              <w:rPr>
                <w:rFonts w:hint="default" w:ascii="Times New Roman" w:hAnsi="Times New Roman" w:cs="Times New Roman"/>
                <w:bCs/>
                <w:color w:val="auto"/>
                <w:sz w:val="24"/>
              </w:rPr>
              <w:t>，堆存于井场外</w:t>
            </w:r>
            <w:r>
              <w:rPr>
                <w:rFonts w:hint="eastAsia" w:ascii="Times New Roman" w:hAnsi="Times New Roman" w:cs="Times New Roman"/>
                <w:bCs/>
                <w:color w:val="auto"/>
                <w:sz w:val="24"/>
                <w:lang w:val="en-US" w:eastAsia="zh-CN"/>
              </w:rPr>
              <w:t>表土堆场</w:t>
            </w:r>
            <w:r>
              <w:rPr>
                <w:rFonts w:hint="default" w:ascii="Times New Roman" w:hAnsi="Times New Roman" w:cs="Times New Roman"/>
                <w:bCs/>
                <w:color w:val="auto"/>
                <w:sz w:val="24"/>
              </w:rPr>
              <w:t>。</w:t>
            </w:r>
            <w:r>
              <w:rPr>
                <w:rFonts w:hint="eastAsia" w:ascii="Times New Roman" w:hAnsi="Times New Roman" w:cs="Times New Roman"/>
                <w:color w:val="auto"/>
                <w:sz w:val="24"/>
              </w:rPr>
              <w:t>表土临时堆场采取铺设密目网、加草籽、浇水的方式保持土壤活力。</w:t>
            </w:r>
            <w:r>
              <w:rPr>
                <w:rFonts w:hint="default" w:ascii="Times New Roman" w:hAnsi="Times New Roman" w:cs="Times New Roman"/>
                <w:bCs/>
                <w:color w:val="auto"/>
                <w:sz w:val="24"/>
              </w:rPr>
              <w:t>通过以上水土保持措施后可有效减缓项目建设对水土流失的影响。施工结束后用于临时占地的复耕复种表土，恢复临时占用耕地的生产力。</w:t>
            </w:r>
          </w:p>
          <w:p w14:paraId="52A0CB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eastAsia="zh-CN"/>
              </w:rPr>
              <w:t>（</w:t>
            </w:r>
            <w:r>
              <w:rPr>
                <w:rFonts w:hint="eastAsia" w:cs="Times New Roman"/>
                <w:bCs/>
                <w:color w:val="auto"/>
                <w:sz w:val="24"/>
                <w:lang w:val="en-US" w:eastAsia="zh-CN"/>
              </w:rPr>
              <w:t>3</w:t>
            </w:r>
            <w:r>
              <w:rPr>
                <w:rFonts w:hint="eastAsia" w:cs="Times New Roman"/>
                <w:bCs/>
                <w:color w:val="auto"/>
                <w:sz w:val="24"/>
                <w:lang w:eastAsia="zh-CN"/>
              </w:rPr>
              <w:t>）</w:t>
            </w:r>
            <w:r>
              <w:rPr>
                <w:rFonts w:hint="default" w:ascii="Times New Roman" w:hAnsi="Times New Roman" w:cs="Times New Roman"/>
                <w:bCs/>
                <w:color w:val="auto"/>
                <w:sz w:val="24"/>
              </w:rPr>
              <w:t>井场清污分流</w:t>
            </w:r>
          </w:p>
          <w:p w14:paraId="0D2FE41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lang w:val="en-US" w:eastAsia="zh-CN"/>
              </w:rPr>
            </w:pPr>
            <w:r>
              <w:rPr>
                <w:rFonts w:hint="eastAsia" w:ascii="Times New Roman" w:hAnsi="Times New Roman" w:cs="Times New Roman"/>
                <w:bCs/>
                <w:color w:val="auto"/>
                <w:sz w:val="24"/>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lang w:val="en-US" w:eastAsia="zh-CN"/>
              </w:rPr>
              <w:t>）及切换闸，初期雨水通过重力流排入污水池（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后期清洁雨水</w:t>
            </w:r>
            <w:r>
              <w:rPr>
                <w:rFonts w:hint="eastAsia" w:ascii="Times New Roman" w:hAnsi="Times New Roman" w:cs="Times New Roman"/>
                <w:bCs/>
                <w:color w:val="auto"/>
                <w:sz w:val="24"/>
                <w:lang w:val="en-US" w:eastAsia="zh-CN"/>
              </w:rPr>
              <w:t>通过重力流排向周边环境。</w:t>
            </w:r>
          </w:p>
          <w:p w14:paraId="5B4CDCC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lang w:val="en-US" w:eastAsia="zh-CN"/>
              </w:rPr>
            </w:pPr>
            <w:r>
              <w:rPr>
                <w:rFonts w:hint="default" w:ascii="Times New Roman" w:hAnsi="Times New Roman" w:cs="Times New Roman"/>
                <w:bCs/>
                <w:color w:val="auto"/>
                <w:sz w:val="24"/>
                <w:lang w:val="en-US" w:eastAsia="zh-CN"/>
              </w:rPr>
              <w:t>井场外</w:t>
            </w:r>
            <w:r>
              <w:rPr>
                <w:rFonts w:hint="eastAsia" w:ascii="Times New Roman" w:hAnsi="Times New Roman" w:cs="Times New Roman"/>
                <w:bCs/>
                <w:color w:val="auto"/>
                <w:sz w:val="24"/>
                <w:lang w:val="en-US" w:eastAsia="zh-CN"/>
              </w:rPr>
              <w:t>北侧</w:t>
            </w:r>
            <w:r>
              <w:rPr>
                <w:rFonts w:hint="default" w:ascii="Times New Roman" w:hAnsi="Times New Roman" w:cs="Times New Roman"/>
                <w:bCs/>
                <w:color w:val="auto"/>
                <w:sz w:val="24"/>
                <w:lang w:val="en-US" w:eastAsia="zh-CN"/>
              </w:rPr>
              <w:t>设截水沟</w:t>
            </w:r>
            <w:r>
              <w:rPr>
                <w:rFonts w:hint="eastAsia" w:ascii="Times New Roman" w:hAnsi="Times New Roman" w:cs="Times New Roman"/>
                <w:bCs/>
                <w:color w:val="auto"/>
                <w:sz w:val="24"/>
                <w:lang w:val="en-US" w:eastAsia="zh-CN"/>
              </w:rPr>
              <w:t>及场外清水沟</w:t>
            </w:r>
            <w:r>
              <w:rPr>
                <w:rFonts w:hint="default" w:ascii="Times New Roman" w:hAnsi="Times New Roman" w:cs="Times New Roman"/>
                <w:bCs/>
                <w:color w:val="auto"/>
                <w:sz w:val="24"/>
                <w:lang w:val="en-US" w:eastAsia="zh-CN"/>
              </w:rPr>
              <w:t>，</w:t>
            </w:r>
            <w:r>
              <w:rPr>
                <w:rFonts w:hint="eastAsia" w:ascii="Times New Roman" w:hAnsi="Times New Roman" w:cs="Times New Roman"/>
                <w:bCs/>
                <w:color w:val="auto"/>
                <w:sz w:val="24"/>
                <w:lang w:val="en-US" w:eastAsia="zh-CN"/>
              </w:rPr>
              <w:t>设截水沟128m、场外清水沟233m，井场外</w:t>
            </w:r>
            <w:r>
              <w:rPr>
                <w:rFonts w:hint="default" w:ascii="Times New Roman" w:hAnsi="Times New Roman" w:cs="Times New Roman"/>
                <w:bCs/>
                <w:color w:val="auto"/>
                <w:sz w:val="24"/>
                <w:lang w:val="en-US" w:eastAsia="zh-CN"/>
              </w:rPr>
              <w:t>雨水</w:t>
            </w:r>
            <w:r>
              <w:rPr>
                <w:rFonts w:hint="eastAsia" w:ascii="Times New Roman" w:hAnsi="Times New Roman" w:cs="Times New Roman"/>
                <w:bCs/>
                <w:color w:val="auto"/>
                <w:sz w:val="24"/>
                <w:lang w:val="en-US" w:eastAsia="zh-CN"/>
              </w:rPr>
              <w:t>由</w:t>
            </w:r>
            <w:r>
              <w:rPr>
                <w:rFonts w:hint="default" w:ascii="Times New Roman" w:hAnsi="Times New Roman" w:cs="Times New Roman"/>
                <w:bCs/>
                <w:color w:val="auto"/>
                <w:sz w:val="24"/>
                <w:lang w:val="en-US" w:eastAsia="zh-CN"/>
              </w:rPr>
              <w:t>截水沟</w:t>
            </w:r>
            <w:r>
              <w:rPr>
                <w:rFonts w:hint="eastAsia" w:ascii="Times New Roman" w:hAnsi="Times New Roman" w:cs="Times New Roman"/>
                <w:bCs/>
                <w:color w:val="auto"/>
                <w:sz w:val="24"/>
                <w:lang w:val="en-US" w:eastAsia="zh-CN"/>
              </w:rPr>
              <w:t>截留</w:t>
            </w:r>
            <w:r>
              <w:rPr>
                <w:rFonts w:hint="default" w:ascii="Times New Roman" w:hAnsi="Times New Roman" w:cs="Times New Roman"/>
                <w:bCs/>
                <w:color w:val="auto"/>
                <w:sz w:val="24"/>
                <w:lang w:val="en-US" w:eastAsia="zh-CN"/>
              </w:rPr>
              <w:t>，再</w:t>
            </w:r>
            <w:r>
              <w:rPr>
                <w:rFonts w:hint="eastAsia" w:ascii="Times New Roman" w:hAnsi="Times New Roman" w:cs="Times New Roman"/>
                <w:bCs/>
                <w:color w:val="auto"/>
                <w:sz w:val="24"/>
                <w:lang w:val="en-US" w:eastAsia="zh-CN"/>
              </w:rPr>
              <w:t>通过场外清水沟</w:t>
            </w:r>
            <w:r>
              <w:rPr>
                <w:rFonts w:hint="default" w:ascii="Times New Roman" w:hAnsi="Times New Roman" w:cs="Times New Roman"/>
                <w:bCs/>
                <w:color w:val="auto"/>
                <w:sz w:val="24"/>
                <w:lang w:val="en-US" w:eastAsia="zh-CN"/>
              </w:rPr>
              <w:t>排向</w:t>
            </w:r>
            <w:r>
              <w:rPr>
                <w:rFonts w:hint="eastAsia" w:ascii="Times New Roman" w:hAnsi="Times New Roman" w:cs="Times New Roman"/>
                <w:bCs/>
                <w:color w:val="auto"/>
                <w:sz w:val="24"/>
                <w:lang w:val="en-US" w:eastAsia="zh-CN"/>
              </w:rPr>
              <w:t>周边环境，以</w:t>
            </w:r>
            <w:r>
              <w:rPr>
                <w:rFonts w:hint="default" w:ascii="Times New Roman" w:hAnsi="Times New Roman" w:cs="Times New Roman"/>
                <w:bCs/>
                <w:color w:val="auto"/>
                <w:sz w:val="24"/>
                <w:lang w:val="en-US" w:eastAsia="zh-CN"/>
              </w:rPr>
              <w:t>防止场外雨水通过地面漫流等形式进入井场内</w:t>
            </w:r>
            <w:r>
              <w:rPr>
                <w:rFonts w:hint="eastAsia" w:ascii="Times New Roman" w:hAnsi="Times New Roman" w:cs="Times New Roman"/>
                <w:bCs/>
                <w:color w:val="auto"/>
                <w:sz w:val="24"/>
                <w:lang w:val="en-US" w:eastAsia="zh-CN"/>
              </w:rPr>
              <w:t>。</w:t>
            </w:r>
          </w:p>
          <w:p w14:paraId="103A02F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w:t>
            </w:r>
            <w:r>
              <w:rPr>
                <w:rFonts w:hint="eastAsia" w:cs="Times New Roman"/>
                <w:b/>
                <w:bCs w:val="0"/>
                <w:color w:val="auto"/>
                <w:sz w:val="24"/>
                <w:lang w:eastAsia="zh-CN"/>
              </w:rPr>
              <w:t>、</w:t>
            </w:r>
            <w:r>
              <w:rPr>
                <w:rFonts w:hint="default" w:ascii="Times New Roman" w:hAnsi="Times New Roman" w:cs="Times New Roman"/>
                <w:b/>
                <w:bCs w:val="0"/>
                <w:color w:val="auto"/>
                <w:sz w:val="24"/>
              </w:rPr>
              <w:t>道路工程与涵洞</w:t>
            </w:r>
          </w:p>
          <w:p w14:paraId="0379CBE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eastAsia="zh-CN"/>
              </w:rPr>
            </w:pPr>
            <w:r>
              <w:rPr>
                <w:rFonts w:hint="default" w:ascii="Times New Roman" w:hAnsi="Times New Roman" w:cs="Times New Roman"/>
                <w:bCs/>
                <w:color w:val="auto"/>
                <w:sz w:val="24"/>
              </w:rPr>
              <w:t>按照四级公路要求</w:t>
            </w:r>
            <w:r>
              <w:rPr>
                <w:rFonts w:hint="eastAsia" w:ascii="Times New Roman" w:hAnsi="Times New Roman" w:cs="Times New Roman"/>
                <w:bCs/>
                <w:color w:val="auto"/>
                <w:sz w:val="24"/>
                <w:lang w:val="en-US" w:eastAsia="zh-CN"/>
              </w:rPr>
              <w:t>对现有进场农村公路进行改</w:t>
            </w:r>
            <w:r>
              <w:rPr>
                <w:rFonts w:hint="default" w:ascii="Times New Roman" w:hAnsi="Times New Roman" w:cs="Times New Roman"/>
                <w:bCs/>
                <w:color w:val="auto"/>
                <w:sz w:val="24"/>
                <w:lang w:val="en-US" w:eastAsia="zh-CN"/>
              </w:rPr>
              <w:t>建，维修道路长5.5km，</w:t>
            </w:r>
            <w:r>
              <w:rPr>
                <w:rFonts w:hint="eastAsia" w:ascii="Times New Roman" w:hAnsi="Times New Roman" w:cs="Times New Roman"/>
                <w:bCs/>
                <w:color w:val="auto"/>
                <w:sz w:val="24"/>
                <w:lang w:val="en-US" w:eastAsia="zh-CN"/>
              </w:rPr>
              <w:t>8处弯道进行加宽处理，</w:t>
            </w:r>
            <w:r>
              <w:rPr>
                <w:rFonts w:hint="default" w:ascii="Times New Roman" w:hAnsi="Times New Roman" w:cs="Times New Roman"/>
                <w:bCs/>
                <w:color w:val="auto"/>
                <w:sz w:val="24"/>
                <w:lang w:val="en-US" w:eastAsia="zh-CN"/>
              </w:rPr>
              <w:t>新建进场道路约64m</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外部道路依托已建道路</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维修道路涵洞1处，长约8m，</w:t>
            </w:r>
            <w:r>
              <w:rPr>
                <w:rFonts w:hint="default" w:ascii="Times New Roman" w:hAnsi="Times New Roman" w:cs="Times New Roman"/>
                <w:bCs/>
                <w:color w:val="auto"/>
                <w:sz w:val="24"/>
                <w:lang w:val="en-US" w:eastAsia="zh-CN"/>
              </w:rPr>
              <w:t>采用</w:t>
            </w:r>
            <w:r>
              <w:rPr>
                <w:rFonts w:hint="default" w:ascii="Times New Roman" w:hAnsi="Times New Roman" w:cs="Times New Roman"/>
                <w:bCs/>
                <w:color w:val="auto"/>
                <w:sz w:val="24"/>
              </w:rPr>
              <w:t>钢筋混凝土圆管涵</w:t>
            </w:r>
            <w:r>
              <w:rPr>
                <w:rFonts w:hint="eastAsia" w:cs="Times New Roman"/>
                <w:bCs/>
                <w:color w:val="auto"/>
                <w:sz w:val="24"/>
                <w:lang w:eastAsia="zh-CN"/>
              </w:rPr>
              <w:t>。</w:t>
            </w:r>
          </w:p>
          <w:p w14:paraId="35DAA67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3</w:t>
            </w:r>
            <w:r>
              <w:rPr>
                <w:rFonts w:hint="eastAsia" w:cs="Times New Roman"/>
                <w:b/>
                <w:bCs w:val="0"/>
                <w:color w:val="auto"/>
                <w:sz w:val="24"/>
                <w:lang w:eastAsia="zh-CN"/>
              </w:rPr>
              <w:t>、</w:t>
            </w:r>
            <w:r>
              <w:rPr>
                <w:rFonts w:hint="default" w:ascii="Times New Roman" w:hAnsi="Times New Roman" w:cs="Times New Roman"/>
                <w:b/>
                <w:bCs w:val="0"/>
                <w:color w:val="auto"/>
                <w:sz w:val="24"/>
              </w:rPr>
              <w:t>设备设施的搬运及安装</w:t>
            </w:r>
          </w:p>
          <w:p w14:paraId="64EFA6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用汽车将钻</w:t>
            </w:r>
            <w:r>
              <w:rPr>
                <w:rFonts w:hint="eastAsia" w:ascii="Times New Roman" w:hAnsi="Times New Roman" w:cs="Times New Roman"/>
                <w:bCs/>
                <w:color w:val="auto"/>
                <w:sz w:val="24"/>
                <w:lang w:val="en-US" w:eastAsia="zh-CN"/>
              </w:rPr>
              <w:t>机、泥浆</w:t>
            </w:r>
            <w:r>
              <w:rPr>
                <w:rFonts w:hint="default" w:ascii="Times New Roman" w:hAnsi="Times New Roman" w:cs="Times New Roman"/>
                <w:bCs/>
                <w:color w:val="auto"/>
                <w:sz w:val="24"/>
              </w:rPr>
              <w:t>罐等</w:t>
            </w:r>
            <w:r>
              <w:rPr>
                <w:rFonts w:hint="eastAsia" w:ascii="Times New Roman" w:hAnsi="Times New Roman" w:cs="Times New Roman"/>
                <w:bCs/>
                <w:color w:val="auto"/>
                <w:sz w:val="24"/>
                <w:lang w:val="en-US" w:eastAsia="zh-CN"/>
              </w:rPr>
              <w:t>设施设备</w:t>
            </w:r>
            <w:r>
              <w:rPr>
                <w:rFonts w:hint="default" w:ascii="Times New Roman" w:hAnsi="Times New Roman" w:cs="Times New Roman"/>
                <w:bCs/>
                <w:color w:val="auto"/>
                <w:sz w:val="24"/>
              </w:rPr>
              <w:t>运至井场并安装。</w:t>
            </w:r>
          </w:p>
          <w:p w14:paraId="4A4DF8C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二</w:t>
            </w:r>
            <w:r>
              <w:rPr>
                <w:rFonts w:hint="default" w:ascii="Times New Roman" w:hAnsi="Times New Roman" w:cs="Times New Roman"/>
                <w:b/>
                <w:bCs/>
                <w:color w:val="auto"/>
                <w:sz w:val="24"/>
                <w:szCs w:val="28"/>
              </w:rPr>
              <w:t>、钻井施工方案</w:t>
            </w:r>
          </w:p>
          <w:p w14:paraId="581E668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钻井工程主要包括</w:t>
            </w:r>
            <w:r>
              <w:rPr>
                <w:rFonts w:hint="eastAsia" w:cs="Times New Roman"/>
                <w:color w:val="auto"/>
                <w:sz w:val="24"/>
                <w:lang w:val="en-US" w:eastAsia="zh-CN"/>
              </w:rPr>
              <w:t>导管预埋、</w:t>
            </w:r>
            <w:r>
              <w:rPr>
                <w:rFonts w:hint="default" w:ascii="Times New Roman" w:hAnsi="Times New Roman" w:cs="Times New Roman"/>
                <w:color w:val="auto"/>
                <w:sz w:val="24"/>
              </w:rPr>
              <w:t>钻井设备安装、钻井、钻井辅助作业、固井和完钻设备搬迁等过程；</w:t>
            </w:r>
            <w:r>
              <w:rPr>
                <w:rFonts w:hint="eastAsia" w:ascii="Times New Roman" w:hAnsi="Times New Roman" w:cs="Times New Roman"/>
                <w:color w:val="auto"/>
                <w:sz w:val="24"/>
              </w:rPr>
              <w:t>储层改造</w:t>
            </w:r>
            <w:r>
              <w:rPr>
                <w:rFonts w:hint="default" w:ascii="Times New Roman" w:hAnsi="Times New Roman" w:cs="Times New Roman"/>
                <w:color w:val="auto"/>
                <w:sz w:val="24"/>
              </w:rPr>
              <w:t>工程包括完钻后洗井、射孔、压裂、测试放喷，以及完井后设备的搬迁和井场的清理等过程。</w:t>
            </w:r>
          </w:p>
          <w:p w14:paraId="410C4D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bCs/>
                <w:color w:val="auto"/>
                <w:sz w:val="24"/>
              </w:rPr>
              <w:t>钻井顺序：本项目</w:t>
            </w:r>
            <w:r>
              <w:rPr>
                <w:rFonts w:hint="eastAsia" w:cs="Times New Roman"/>
                <w:bCs/>
                <w:color w:val="auto"/>
                <w:sz w:val="24"/>
                <w:lang w:val="en-US" w:eastAsia="zh-CN"/>
              </w:rPr>
              <w:t>导管段采用旋挖机清水钻孔，一开、二开、三开段</w:t>
            </w:r>
            <w:r>
              <w:rPr>
                <w:rFonts w:hint="default" w:ascii="Times New Roman" w:hAnsi="Times New Roman" w:cs="Times New Roman"/>
                <w:bCs/>
                <w:color w:val="auto"/>
                <w:sz w:val="24"/>
              </w:rPr>
              <w:t>使用ZJ70D钻机进行钻井作业</w:t>
            </w:r>
            <w:r>
              <w:rPr>
                <w:rFonts w:hint="eastAsia" w:ascii="Times New Roman" w:hAnsi="Times New Roman" w:cs="Times New Roman"/>
                <w:bCs/>
                <w:color w:val="auto"/>
                <w:sz w:val="24"/>
                <w:lang w:eastAsia="zh-CN"/>
              </w:rPr>
              <w:t>，</w:t>
            </w:r>
            <w:r>
              <w:rPr>
                <w:rFonts w:hint="eastAsia" w:cs="Times New Roman"/>
                <w:color w:val="auto"/>
                <w:sz w:val="24"/>
                <w:lang w:val="en-US" w:eastAsia="zh-CN"/>
              </w:rPr>
              <w:t>均</w:t>
            </w:r>
            <w:r>
              <w:rPr>
                <w:rFonts w:hint="eastAsia" w:ascii="Times New Roman" w:hAnsi="Times New Roman" w:cs="Times New Roman"/>
                <w:color w:val="auto"/>
                <w:sz w:val="24"/>
              </w:rPr>
              <w:t>采用</w:t>
            </w:r>
            <w:r>
              <w:rPr>
                <w:rFonts w:hint="default" w:ascii="Times New Roman" w:hAnsi="Times New Roman" w:cs="Times New Roman"/>
                <w:bCs/>
                <w:color w:val="auto"/>
                <w:sz w:val="24"/>
                <w:szCs w:val="28"/>
              </w:rPr>
              <w:t>水基泥浆</w:t>
            </w:r>
            <w:r>
              <w:rPr>
                <w:rFonts w:hint="eastAsia" w:ascii="Times New Roman" w:hAnsi="Times New Roman" w:cs="Times New Roman"/>
                <w:color w:val="auto"/>
                <w:sz w:val="24"/>
              </w:rPr>
              <w:t>钻井液</w:t>
            </w:r>
            <w:r>
              <w:rPr>
                <w:rFonts w:hint="eastAsia" w:cs="Times New Roman"/>
                <w:color w:val="auto"/>
                <w:sz w:val="24"/>
                <w:lang w:val="en-US" w:eastAsia="zh-CN"/>
              </w:rPr>
              <w:t>体系</w:t>
            </w:r>
            <w:r>
              <w:rPr>
                <w:rFonts w:hint="eastAsia" w:ascii="Times New Roman" w:hAnsi="Times New Roman" w:cs="Times New Roman"/>
                <w:color w:val="auto"/>
                <w:sz w:val="24"/>
              </w:rPr>
              <w:t>。</w:t>
            </w:r>
          </w:p>
          <w:p w14:paraId="107F57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sz w:val="24"/>
              </w:rPr>
            </w:pPr>
            <w:r>
              <w:rPr>
                <w:rFonts w:hint="default" w:ascii="Times New Roman" w:hAnsi="Times New Roman" w:cs="Times New Roman"/>
                <w:b w:val="0"/>
                <w:bCs/>
                <w:color w:val="auto"/>
                <w:sz w:val="24"/>
              </w:rPr>
              <w:t>压裂顺序：</w:t>
            </w:r>
            <w:r>
              <w:rPr>
                <w:rFonts w:hint="default" w:ascii="Times New Roman" w:hAnsi="Times New Roman" w:cs="Times New Roman"/>
                <w:color w:val="auto"/>
                <w:sz w:val="24"/>
              </w:rPr>
              <w:t>钻井工程完成后，进行压裂作业，采用</w:t>
            </w:r>
            <w:r>
              <w:rPr>
                <w:rFonts w:hint="eastAsia" w:ascii="Times New Roman" w:hAnsi="Times New Roman" w:cs="Times New Roman"/>
                <w:color w:val="auto"/>
                <w:sz w:val="24"/>
              </w:rPr>
              <w:t>加砂压裂</w:t>
            </w:r>
            <w:r>
              <w:rPr>
                <w:rFonts w:hint="default" w:ascii="Times New Roman" w:hAnsi="Times New Roman" w:cs="Times New Roman"/>
                <w:color w:val="auto"/>
                <w:sz w:val="24"/>
              </w:rPr>
              <w:t>方式。</w:t>
            </w:r>
          </w:p>
          <w:p w14:paraId="6C6AB81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w:t>
            </w:r>
            <w:r>
              <w:rPr>
                <w:rFonts w:hint="eastAsia" w:cs="Times New Roman"/>
                <w:b/>
                <w:bCs/>
                <w:color w:val="auto"/>
                <w:sz w:val="24"/>
                <w:szCs w:val="28"/>
                <w:lang w:eastAsia="zh-CN"/>
              </w:rPr>
              <w:t>、</w:t>
            </w:r>
            <w:r>
              <w:rPr>
                <w:rFonts w:hint="default" w:ascii="Times New Roman" w:hAnsi="Times New Roman" w:cs="Times New Roman"/>
                <w:b/>
                <w:bCs/>
                <w:color w:val="auto"/>
                <w:sz w:val="24"/>
                <w:szCs w:val="28"/>
              </w:rPr>
              <w:t>钻井工程作业工艺流程</w:t>
            </w:r>
          </w:p>
          <w:p w14:paraId="4B10DAB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eastAsia="zh-CN"/>
              </w:rPr>
              <w:t>（</w:t>
            </w:r>
            <w:r>
              <w:rPr>
                <w:rFonts w:hint="default" w:ascii="Times New Roman" w:hAnsi="Times New Roman" w:cs="Times New Roman"/>
                <w:color w:val="auto"/>
                <w:sz w:val="24"/>
              </w:rPr>
              <w:t>1）设备设施的搬运及安装</w:t>
            </w:r>
          </w:p>
          <w:p w14:paraId="5F8C1A9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施工单位用汽车将钻井设备和泥浆循环罐等设施运至井场并进行安装，通常12~15天可安装完毕。</w:t>
            </w:r>
          </w:p>
          <w:p w14:paraId="55956A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eastAsia="zh-CN"/>
              </w:rPr>
              <w:t>（</w:t>
            </w:r>
            <w:r>
              <w:rPr>
                <w:rFonts w:hint="default" w:ascii="Times New Roman" w:hAnsi="Times New Roman" w:cs="Times New Roman"/>
                <w:color w:val="auto"/>
                <w:sz w:val="24"/>
              </w:rPr>
              <w:t>2）钻进</w:t>
            </w:r>
          </w:p>
          <w:p w14:paraId="06EFCF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进过程根据井身结构先使用大钻头，后使用小钻头钻进，更换钻头时会停钻，以及下钻具更换钻头、下套管、固井、替换洗井液、设备检修等。钻井是根据地层地质情况，利用钻井液辅助整个过程进行钻进直至目的层的过程</w:t>
            </w:r>
            <w:r>
              <w:rPr>
                <w:rFonts w:hint="eastAsia" w:cs="Times New Roman"/>
                <w:bCs/>
                <w:color w:val="auto"/>
                <w:sz w:val="24"/>
                <w:lang w:eastAsia="zh-CN"/>
              </w:rPr>
              <w:t>，</w:t>
            </w:r>
            <w:r>
              <w:rPr>
                <w:rFonts w:hint="default" w:ascii="Times New Roman" w:hAnsi="Times New Roman" w:cs="Times New Roman"/>
                <w:bCs/>
                <w:color w:val="auto"/>
                <w:sz w:val="24"/>
              </w:rPr>
              <w:t>本</w:t>
            </w:r>
            <w:r>
              <w:rPr>
                <w:rFonts w:hint="eastAsia" w:cs="Times New Roman"/>
                <w:bCs/>
                <w:color w:val="auto"/>
                <w:sz w:val="24"/>
                <w:lang w:val="en-US" w:eastAsia="zh-CN"/>
              </w:rPr>
              <w:t>项目</w:t>
            </w:r>
            <w:r>
              <w:rPr>
                <w:rFonts w:hint="default" w:ascii="Times New Roman" w:hAnsi="Times New Roman" w:cs="Times New Roman"/>
                <w:bCs/>
                <w:color w:val="auto"/>
                <w:sz w:val="24"/>
              </w:rPr>
              <w:t>井身结构设计数据见</w:t>
            </w:r>
            <w:r>
              <w:rPr>
                <w:rFonts w:hint="eastAsia" w:ascii="Times New Roman" w:hAnsi="Times New Roman" w:cs="Times New Roman"/>
                <w:bCs/>
                <w:color w:val="auto"/>
                <w:sz w:val="24"/>
              </w:rPr>
              <w:t>下表</w:t>
            </w:r>
            <w:r>
              <w:rPr>
                <w:rFonts w:hint="default" w:ascii="Times New Roman" w:hAnsi="Times New Roman" w:cs="Times New Roman"/>
                <w:bCs/>
                <w:color w:val="auto"/>
                <w:sz w:val="24"/>
              </w:rPr>
              <w:t>。</w:t>
            </w:r>
          </w:p>
          <w:p w14:paraId="322590A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项目井身结构设计数据</w:t>
            </w:r>
          </w:p>
          <w:tbl>
            <w:tblPr>
              <w:tblStyle w:val="23"/>
              <w:tblW w:w="76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1085"/>
              <w:gridCol w:w="828"/>
              <w:gridCol w:w="1356"/>
              <w:gridCol w:w="984"/>
              <w:gridCol w:w="912"/>
              <w:gridCol w:w="1733"/>
            </w:tblGrid>
            <w:tr w14:paraId="56B12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1EAE2081">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开次</w:t>
                  </w:r>
                </w:p>
              </w:tc>
              <w:tc>
                <w:tcPr>
                  <w:tcW w:w="1085" w:type="dxa"/>
                  <w:noWrap w:val="0"/>
                  <w:vAlign w:val="center"/>
                </w:tcPr>
                <w:p w14:paraId="41A0CA79">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钻头尺寸</w:t>
                  </w:r>
                </w:p>
                <w:p w14:paraId="0D46B6F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（mm）</w:t>
                  </w:r>
                </w:p>
              </w:tc>
              <w:tc>
                <w:tcPr>
                  <w:tcW w:w="828" w:type="dxa"/>
                  <w:noWrap w:val="0"/>
                  <w:vAlign w:val="center"/>
                </w:tcPr>
                <w:p w14:paraId="3F75BF16">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钻深</w:t>
                  </w:r>
                </w:p>
                <w:p w14:paraId="4D115D6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w:t>
                  </w:r>
                </w:p>
              </w:tc>
              <w:tc>
                <w:tcPr>
                  <w:tcW w:w="1356" w:type="dxa"/>
                  <w:noWrap w:val="0"/>
                  <w:vAlign w:val="center"/>
                </w:tcPr>
                <w:p w14:paraId="2E69D21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套管尺寸</w:t>
                  </w:r>
                </w:p>
                <w:p w14:paraId="6FDFAA7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（mm）</w:t>
                  </w:r>
                </w:p>
              </w:tc>
              <w:tc>
                <w:tcPr>
                  <w:tcW w:w="984" w:type="dxa"/>
                  <w:noWrap w:val="0"/>
                  <w:vAlign w:val="center"/>
                </w:tcPr>
                <w:p w14:paraId="6C38784D">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套管下深（m）</w:t>
                  </w:r>
                </w:p>
              </w:tc>
              <w:tc>
                <w:tcPr>
                  <w:tcW w:w="912" w:type="dxa"/>
                  <w:noWrap w:val="0"/>
                  <w:vAlign w:val="center"/>
                </w:tcPr>
                <w:p w14:paraId="04779D5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水泥返高（m）</w:t>
                  </w:r>
                </w:p>
              </w:tc>
              <w:tc>
                <w:tcPr>
                  <w:tcW w:w="1733" w:type="dxa"/>
                  <w:noWrap w:val="0"/>
                  <w:vAlign w:val="center"/>
                </w:tcPr>
                <w:p w14:paraId="76EF9D42">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钻井方式</w:t>
                  </w:r>
                </w:p>
              </w:tc>
            </w:tr>
            <w:tr w14:paraId="66817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45C0BDB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导管</w:t>
                  </w:r>
                </w:p>
              </w:tc>
              <w:tc>
                <w:tcPr>
                  <w:tcW w:w="1085" w:type="dxa"/>
                  <w:noWrap w:val="0"/>
                  <w:vAlign w:val="center"/>
                </w:tcPr>
                <w:p w14:paraId="7D1A508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565.15</w:t>
                  </w:r>
                </w:p>
              </w:tc>
              <w:tc>
                <w:tcPr>
                  <w:tcW w:w="828" w:type="dxa"/>
                  <w:noWrap w:val="0"/>
                  <w:vAlign w:val="center"/>
                </w:tcPr>
                <w:p w14:paraId="09C7771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5</w:t>
                  </w:r>
                  <w:r>
                    <w:rPr>
                      <w:rFonts w:hint="eastAsia" w:ascii="Times New Roman" w:hAnsi="Times New Roman" w:cs="Times New Roman"/>
                      <w:color w:val="auto"/>
                    </w:rPr>
                    <w:t>0</w:t>
                  </w:r>
                </w:p>
              </w:tc>
              <w:tc>
                <w:tcPr>
                  <w:tcW w:w="1356" w:type="dxa"/>
                  <w:noWrap w:val="0"/>
                  <w:vAlign w:val="center"/>
                </w:tcPr>
                <w:p w14:paraId="78C19C0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476.25</w:t>
                  </w:r>
                </w:p>
              </w:tc>
              <w:tc>
                <w:tcPr>
                  <w:tcW w:w="984" w:type="dxa"/>
                  <w:noWrap w:val="0"/>
                  <w:vAlign w:val="center"/>
                </w:tcPr>
                <w:p w14:paraId="5B69A12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50</w:t>
                  </w:r>
                </w:p>
              </w:tc>
              <w:tc>
                <w:tcPr>
                  <w:tcW w:w="912" w:type="dxa"/>
                  <w:noWrap w:val="0"/>
                  <w:vAlign w:val="center"/>
                </w:tcPr>
                <w:p w14:paraId="39C69A1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地面</w:t>
                  </w:r>
                </w:p>
              </w:tc>
              <w:tc>
                <w:tcPr>
                  <w:tcW w:w="1733" w:type="dxa"/>
                  <w:noWrap w:val="0"/>
                  <w:vAlign w:val="center"/>
                </w:tcPr>
                <w:p w14:paraId="6B46734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旋挖机</w:t>
                  </w:r>
                  <w:r>
                    <w:rPr>
                      <w:rFonts w:hint="default" w:ascii="Times New Roman" w:hAnsi="Times New Roman" w:eastAsia="宋体" w:cs="Times New Roman"/>
                      <w:color w:val="auto"/>
                    </w:rPr>
                    <w:t>清水</w:t>
                  </w:r>
                  <w:r>
                    <w:rPr>
                      <w:rFonts w:hint="eastAsia" w:ascii="Times New Roman" w:hAnsi="Times New Roman" w:eastAsia="宋体" w:cs="Times New Roman"/>
                      <w:color w:val="auto"/>
                      <w:lang w:val="en-US" w:eastAsia="zh-CN"/>
                    </w:rPr>
                    <w:t>钻孔</w:t>
                  </w:r>
                </w:p>
              </w:tc>
            </w:tr>
            <w:tr w14:paraId="581FB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292D4F1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一开</w:t>
                  </w:r>
                </w:p>
              </w:tc>
              <w:tc>
                <w:tcPr>
                  <w:tcW w:w="1085" w:type="dxa"/>
                  <w:noWrap w:val="0"/>
                  <w:vAlign w:val="center"/>
                </w:tcPr>
                <w:p w14:paraId="7CE24BD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444.5</w:t>
                  </w:r>
                </w:p>
              </w:tc>
              <w:tc>
                <w:tcPr>
                  <w:tcW w:w="828" w:type="dxa"/>
                  <w:noWrap w:val="0"/>
                  <w:vAlign w:val="center"/>
                </w:tcPr>
                <w:p w14:paraId="3794C5D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1051</w:t>
                  </w:r>
                </w:p>
              </w:tc>
              <w:tc>
                <w:tcPr>
                  <w:tcW w:w="1356" w:type="dxa"/>
                  <w:noWrap w:val="0"/>
                  <w:vAlign w:val="center"/>
                </w:tcPr>
                <w:p w14:paraId="1E72354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339.7</w:t>
                  </w:r>
                </w:p>
              </w:tc>
              <w:tc>
                <w:tcPr>
                  <w:tcW w:w="984" w:type="dxa"/>
                  <w:noWrap w:val="0"/>
                  <w:vAlign w:val="center"/>
                </w:tcPr>
                <w:p w14:paraId="59012D6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1050</w:t>
                  </w:r>
                </w:p>
              </w:tc>
              <w:tc>
                <w:tcPr>
                  <w:tcW w:w="912" w:type="dxa"/>
                  <w:noWrap w:val="0"/>
                  <w:vAlign w:val="center"/>
                </w:tcPr>
                <w:p w14:paraId="51EFB1F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地面</w:t>
                  </w:r>
                </w:p>
              </w:tc>
              <w:tc>
                <w:tcPr>
                  <w:tcW w:w="1733" w:type="dxa"/>
                  <w:noWrap w:val="0"/>
                  <w:vAlign w:val="center"/>
                </w:tcPr>
                <w:p w14:paraId="4E7435F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sz w:val="21"/>
                      <w:szCs w:val="21"/>
                    </w:rPr>
                    <w:t>聚合物</w:t>
                  </w:r>
                  <w:r>
                    <w:rPr>
                      <w:rFonts w:hint="default" w:ascii="Times New Roman" w:hAnsi="Times New Roman" w:eastAsia="宋体" w:cs="Times New Roman"/>
                      <w:color w:val="auto"/>
                      <w:sz w:val="21"/>
                      <w:szCs w:val="21"/>
                    </w:rPr>
                    <w:t>钻井液</w:t>
                  </w:r>
                  <w:r>
                    <w:rPr>
                      <w:rFonts w:hint="eastAsia" w:ascii="Times New Roman" w:hAnsi="Times New Roman" w:eastAsia="宋体" w:cs="Times New Roman"/>
                      <w:color w:val="auto"/>
                      <w:sz w:val="21"/>
                      <w:szCs w:val="21"/>
                    </w:rPr>
                    <w:t>体系</w:t>
                  </w:r>
                </w:p>
              </w:tc>
            </w:tr>
            <w:tr w14:paraId="6B9C5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387B302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二开</w:t>
                  </w:r>
                </w:p>
              </w:tc>
              <w:tc>
                <w:tcPr>
                  <w:tcW w:w="1085" w:type="dxa"/>
                  <w:noWrap w:val="0"/>
                  <w:vAlign w:val="center"/>
                </w:tcPr>
                <w:p w14:paraId="375B45B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311.2</w:t>
                  </w:r>
                </w:p>
              </w:tc>
              <w:tc>
                <w:tcPr>
                  <w:tcW w:w="828" w:type="dxa"/>
                  <w:noWrap w:val="0"/>
                  <w:vAlign w:val="center"/>
                </w:tcPr>
                <w:p w14:paraId="53BB0B6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3862</w:t>
                  </w:r>
                </w:p>
              </w:tc>
              <w:tc>
                <w:tcPr>
                  <w:tcW w:w="1356" w:type="dxa"/>
                  <w:noWrap w:val="0"/>
                  <w:vAlign w:val="center"/>
                </w:tcPr>
                <w:p w14:paraId="72FD8288">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rPr>
                  </w:pPr>
                  <w:r>
                    <w:rPr>
                      <w:rFonts w:hint="eastAsia" w:cs="Times New Roman"/>
                      <w:color w:val="auto"/>
                      <w:lang w:val="en-US" w:eastAsia="zh-CN"/>
                    </w:rPr>
                    <w:t>260.4+244.5</w:t>
                  </w:r>
                </w:p>
              </w:tc>
              <w:tc>
                <w:tcPr>
                  <w:tcW w:w="984" w:type="dxa"/>
                  <w:noWrap w:val="0"/>
                  <w:vAlign w:val="center"/>
                </w:tcPr>
                <w:p w14:paraId="6A8C6C8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3860</w:t>
                  </w:r>
                </w:p>
              </w:tc>
              <w:tc>
                <w:tcPr>
                  <w:tcW w:w="912" w:type="dxa"/>
                  <w:noWrap w:val="0"/>
                  <w:vAlign w:val="center"/>
                </w:tcPr>
                <w:p w14:paraId="19B97A9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地面</w:t>
                  </w:r>
                </w:p>
              </w:tc>
              <w:tc>
                <w:tcPr>
                  <w:tcW w:w="1733" w:type="dxa"/>
                  <w:noWrap w:val="0"/>
                  <w:vAlign w:val="center"/>
                </w:tcPr>
                <w:p w14:paraId="3D8B472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eastAsia="宋体" w:cs="Times New Roman"/>
                      <w:color w:val="auto"/>
                      <w:sz w:val="21"/>
                      <w:szCs w:val="21"/>
                    </w:rPr>
                    <w:t>聚磺封堵</w:t>
                  </w:r>
                  <w:r>
                    <w:rPr>
                      <w:rFonts w:hint="default" w:ascii="Times New Roman" w:hAnsi="Times New Roman" w:eastAsia="宋体" w:cs="Times New Roman"/>
                      <w:color w:val="auto"/>
                      <w:sz w:val="21"/>
                      <w:szCs w:val="21"/>
                    </w:rPr>
                    <w:t>防塌钻井液</w:t>
                  </w:r>
                  <w:r>
                    <w:rPr>
                      <w:rFonts w:hint="eastAsia" w:ascii="Times New Roman" w:hAnsi="Times New Roman" w:eastAsia="宋体" w:cs="Times New Roman"/>
                      <w:color w:val="auto"/>
                      <w:sz w:val="21"/>
                      <w:szCs w:val="21"/>
                    </w:rPr>
                    <w:t>体系</w:t>
                  </w:r>
                </w:p>
              </w:tc>
            </w:tr>
            <w:tr w14:paraId="58F17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5AD989C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三开</w:t>
                  </w:r>
                </w:p>
              </w:tc>
              <w:tc>
                <w:tcPr>
                  <w:tcW w:w="1085" w:type="dxa"/>
                  <w:noWrap w:val="0"/>
                  <w:vAlign w:val="center"/>
                </w:tcPr>
                <w:p w14:paraId="321905B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215.9</w:t>
                  </w:r>
                </w:p>
              </w:tc>
              <w:tc>
                <w:tcPr>
                  <w:tcW w:w="828" w:type="dxa"/>
                  <w:noWrap w:val="0"/>
                  <w:vAlign w:val="center"/>
                </w:tcPr>
                <w:p w14:paraId="555053E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4998</w:t>
                  </w:r>
                </w:p>
              </w:tc>
              <w:tc>
                <w:tcPr>
                  <w:tcW w:w="1356" w:type="dxa"/>
                  <w:noWrap w:val="0"/>
                  <w:vAlign w:val="center"/>
                </w:tcPr>
                <w:p w14:paraId="78C0139D">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139.7</w:t>
                  </w:r>
                </w:p>
              </w:tc>
              <w:tc>
                <w:tcPr>
                  <w:tcW w:w="984" w:type="dxa"/>
                  <w:noWrap w:val="0"/>
                  <w:vAlign w:val="center"/>
                </w:tcPr>
                <w:p w14:paraId="448D4D7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4995</w:t>
                  </w:r>
                </w:p>
              </w:tc>
              <w:tc>
                <w:tcPr>
                  <w:tcW w:w="912" w:type="dxa"/>
                  <w:noWrap w:val="0"/>
                  <w:vAlign w:val="center"/>
                </w:tcPr>
                <w:p w14:paraId="47A0FBF6">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地面</w:t>
                  </w:r>
                </w:p>
              </w:tc>
              <w:tc>
                <w:tcPr>
                  <w:tcW w:w="1733" w:type="dxa"/>
                  <w:noWrap w:val="0"/>
                  <w:vAlign w:val="center"/>
                </w:tcPr>
                <w:p w14:paraId="6168062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eastAsia="宋体" w:cs="Times New Roman"/>
                      <w:color w:val="auto"/>
                      <w:sz w:val="21"/>
                      <w:szCs w:val="21"/>
                    </w:rPr>
                    <w:t>聚磺</w:t>
                  </w:r>
                  <w:r>
                    <w:rPr>
                      <w:rFonts w:hint="default" w:ascii="Times New Roman" w:hAnsi="Times New Roman" w:eastAsia="宋体" w:cs="Times New Roman"/>
                      <w:color w:val="auto"/>
                      <w:sz w:val="21"/>
                      <w:szCs w:val="21"/>
                    </w:rPr>
                    <w:t>润滑封堵防塌钻井液</w:t>
                  </w:r>
                  <w:r>
                    <w:rPr>
                      <w:rFonts w:hint="eastAsia" w:ascii="Times New Roman" w:hAnsi="Times New Roman" w:eastAsia="宋体" w:cs="Times New Roman"/>
                      <w:color w:val="auto"/>
                      <w:sz w:val="21"/>
                      <w:szCs w:val="21"/>
                    </w:rPr>
                    <w:t>体系</w:t>
                  </w:r>
                </w:p>
              </w:tc>
            </w:tr>
          </w:tbl>
          <w:p w14:paraId="16931E9C">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47319200">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71963B9A">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008CD4EB">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25DF9171">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476DE86C">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61341A74">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6761382B">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47E3EEDA">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1B312AED">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1A321B36">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56312493">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06EB073B">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1DB7030B">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14FAA918">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443BD73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项目井身结构表</w:t>
            </w:r>
          </w:p>
          <w:p w14:paraId="19F6010F">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r>
              <w:rPr>
                <w:rFonts w:hint="eastAsia" w:hAnsi="Times New Roman" w:eastAsia="宋体"/>
                <w:color w:val="auto"/>
                <w:sz w:val="24"/>
                <w:lang w:eastAsia="zh-CN"/>
              </w:rPr>
              <w:drawing>
                <wp:inline distT="0" distB="0" distL="114300" distR="114300">
                  <wp:extent cx="4954270" cy="4097655"/>
                  <wp:effectExtent l="0" t="0" r="15240" b="13335"/>
                  <wp:docPr id="6" name="图片 6" descr="元陆39井钻井工程设计-20260626初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元陆39井钻井工程设计-20260626初稿 "/>
                          <pic:cNvPicPr>
                            <a:picLocks noChangeAspect="1"/>
                          </pic:cNvPicPr>
                        </pic:nvPicPr>
                        <pic:blipFill>
                          <a:blip r:embed="rId13"/>
                          <a:srcRect l="8435" t="29636" r="8448" b="21746"/>
                          <a:stretch>
                            <a:fillRect/>
                          </a:stretch>
                        </pic:blipFill>
                        <pic:spPr>
                          <a:xfrm>
                            <a:off x="0" y="0"/>
                            <a:ext cx="4954270" cy="4097655"/>
                          </a:xfrm>
                          <a:prstGeom prst="rect">
                            <a:avLst/>
                          </a:prstGeom>
                        </pic:spPr>
                      </pic:pic>
                    </a:graphicData>
                  </a:graphic>
                </wp:inline>
              </w:drawing>
            </w:r>
          </w:p>
          <w:p w14:paraId="32FDF8EB">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329BF765">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32E70DD">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767AAB61">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78D2615A">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83619A5">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59CDDCC6">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600FDB5">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EA9FA3D">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8336F0C">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66279D1">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32833BD1">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231A10B0">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A9D889D">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481F7FA0">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77E0BA59">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A28C766">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493747F1">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244405EE">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226037B2">
            <w:pPr>
              <w:pStyle w:val="40"/>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4219D09F">
            <w:pPr>
              <w:pStyle w:val="40"/>
              <w:keepNext w:val="0"/>
              <w:keepLines w:val="0"/>
              <w:suppressLineNumbers w:val="0"/>
              <w:spacing w:before="0" w:beforeAutospacing="0" w:after="0" w:afterAutospacing="0"/>
              <w:ind w:left="0" w:right="0"/>
              <w:jc w:val="center"/>
              <w:rPr>
                <w:rFonts w:hint="eastAsia" w:hAnsi="Times New Roman" w:eastAsia="宋体"/>
                <w:color w:val="auto"/>
                <w:sz w:val="24"/>
                <w:lang w:eastAsia="zh-CN"/>
              </w:rPr>
            </w:pPr>
            <w:r>
              <w:rPr>
                <w:rFonts w:hint="eastAsia" w:hAnsi="Times New Roman" w:eastAsia="宋体"/>
                <w:color w:val="auto"/>
                <w:sz w:val="24"/>
                <w:lang w:eastAsia="zh-CN"/>
              </w:rPr>
              <w:drawing>
                <wp:inline distT="0" distB="0" distL="114300" distR="114300">
                  <wp:extent cx="4013835" cy="6522720"/>
                  <wp:effectExtent l="0" t="0" r="14605" b="15240"/>
                  <wp:docPr id="7" name="图片 7" descr="元陆39井钻井工程设计-20260626初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元陆39井钻井工程设计-20260626初稿 "/>
                          <pic:cNvPicPr>
                            <a:picLocks noChangeAspect="1"/>
                          </pic:cNvPicPr>
                        </pic:nvPicPr>
                        <pic:blipFill>
                          <a:blip r:embed="rId14"/>
                          <a:srcRect l="12331" t="12238" r="25848" b="16734"/>
                          <a:stretch>
                            <a:fillRect/>
                          </a:stretch>
                        </pic:blipFill>
                        <pic:spPr>
                          <a:xfrm>
                            <a:off x="0" y="0"/>
                            <a:ext cx="4013835" cy="6522720"/>
                          </a:xfrm>
                          <a:prstGeom prst="rect">
                            <a:avLst/>
                          </a:prstGeom>
                        </pic:spPr>
                      </pic:pic>
                    </a:graphicData>
                  </a:graphic>
                </wp:inline>
              </w:drawing>
            </w:r>
          </w:p>
          <w:p w14:paraId="63415280">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本项目</w:t>
            </w:r>
            <w:r>
              <w:rPr>
                <w:rFonts w:hint="eastAsia" w:ascii="Times New Roman" w:hAnsi="Times New Roman" w:eastAsia="宋体" w:cs="Times New Roman"/>
                <w:b/>
                <w:color w:val="auto"/>
              </w:rPr>
              <w:t>井身结构图</w:t>
            </w:r>
          </w:p>
          <w:p w14:paraId="3795D5EA">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井身结构说明：</w:t>
            </w:r>
          </w:p>
          <w:p w14:paraId="0258B880">
            <w:pPr>
              <w:keepNext w:val="0"/>
              <w:keepLines w:val="0"/>
              <w:suppressLineNumbers w:val="0"/>
              <w:snapToGrid w:val="0"/>
              <w:spacing w:before="0" w:beforeAutospacing="0" w:after="0" w:afterAutospacing="0" w:line="360" w:lineRule="auto"/>
              <w:ind w:left="0" w:right="0" w:firstLine="482" w:firstLineChars="200"/>
              <w:rPr>
                <w:rFonts w:hint="eastAsia" w:ascii="Times New Roman" w:hAnsi="Times New Roman" w:cs="Times New Roman"/>
                <w:b/>
                <w:bCs/>
                <w:color w:val="auto"/>
                <w:sz w:val="24"/>
              </w:rPr>
            </w:pPr>
            <w:r>
              <w:rPr>
                <w:rFonts w:hint="default" w:ascii="Times New Roman" w:hAnsi="Times New Roman" w:cs="Times New Roman"/>
                <w:b/>
                <w:bCs/>
                <w:color w:val="auto"/>
                <w:sz w:val="24"/>
              </w:rPr>
              <w:t>导管</w:t>
            </w:r>
            <w:r>
              <w:rPr>
                <w:rFonts w:hint="eastAsia" w:ascii="Times New Roman" w:hAnsi="Times New Roman" w:cs="Times New Roman"/>
                <w:b/>
                <w:bCs/>
                <w:color w:val="auto"/>
                <w:sz w:val="24"/>
              </w:rPr>
              <w:t>：</w:t>
            </w:r>
          </w:p>
          <w:p w14:paraId="7123FE2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导管</w:t>
            </w:r>
            <w:r>
              <w:rPr>
                <w:rFonts w:hint="eastAsia" w:cs="Times New Roman"/>
                <w:color w:val="auto"/>
                <w:sz w:val="24"/>
                <w:lang w:val="en-US" w:eastAsia="zh-CN"/>
              </w:rPr>
              <w:t>段使用旋挖机清水</w:t>
            </w:r>
            <w:r>
              <w:rPr>
                <w:rFonts w:hint="eastAsia" w:ascii="Times New Roman" w:hAnsi="Times New Roman" w:cs="Times New Roman"/>
                <w:color w:val="auto"/>
                <w:sz w:val="24"/>
                <w:lang w:val="en-US" w:eastAsia="zh-CN"/>
              </w:rPr>
              <w:t>钻孔，钻头</w:t>
            </w:r>
            <w:r>
              <w:rPr>
                <w:rFonts w:hint="default" w:ascii="Times New Roman" w:hAnsi="Times New Roman" w:cs="Times New Roman"/>
                <w:color w:val="auto"/>
                <w:sz w:val="24"/>
                <w:lang w:val="en-US" w:eastAsia="zh-CN"/>
              </w:rPr>
              <w:t>Φ</w:t>
            </w:r>
            <w:r>
              <w:rPr>
                <w:rFonts w:hint="eastAsia" w:ascii="Times New Roman" w:hAnsi="Times New Roman" w:cs="Times New Roman"/>
                <w:color w:val="auto"/>
                <w:sz w:val="24"/>
                <w:lang w:val="en-US" w:eastAsia="zh-CN"/>
              </w:rPr>
              <w:t>565.15mm，采用</w:t>
            </w:r>
            <w:r>
              <w:rPr>
                <w:rFonts w:hint="default" w:ascii="Times New Roman" w:hAnsi="Times New Roman" w:cs="Times New Roman"/>
                <w:color w:val="auto"/>
                <w:sz w:val="24"/>
                <w:lang w:val="en-US" w:eastAsia="zh-CN"/>
              </w:rPr>
              <w:t>Φ</w:t>
            </w:r>
            <w:r>
              <w:rPr>
                <w:rFonts w:hint="eastAsia" w:ascii="Times New Roman" w:hAnsi="Times New Roman" w:cs="Times New Roman"/>
                <w:color w:val="auto"/>
                <w:sz w:val="24"/>
                <w:lang w:val="en-US" w:eastAsia="zh-CN"/>
              </w:rPr>
              <w:t>476.25</w:t>
            </w:r>
            <w:r>
              <w:rPr>
                <w:rFonts w:hint="default" w:ascii="Times New Roman" w:hAnsi="Times New Roman" w:cs="Times New Roman"/>
                <w:color w:val="auto"/>
                <w:sz w:val="24"/>
                <w:lang w:val="en-US" w:eastAsia="zh-CN"/>
              </w:rPr>
              <w:t>mm</w:t>
            </w:r>
            <w:r>
              <w:rPr>
                <w:rFonts w:hint="eastAsia" w:ascii="Times New Roman" w:hAnsi="Times New Roman" w:cs="Times New Roman"/>
                <w:color w:val="auto"/>
                <w:sz w:val="24"/>
                <w:lang w:val="en-US" w:eastAsia="zh-CN"/>
              </w:rPr>
              <w:t>套管进行预埋，预埋深度50m。</w:t>
            </w:r>
          </w:p>
          <w:p w14:paraId="70E3475A">
            <w:pPr>
              <w:keepNext w:val="0"/>
              <w:keepLines w:val="0"/>
              <w:suppressLineNumbers w:val="0"/>
              <w:snapToGrid w:val="0"/>
              <w:spacing w:before="0" w:beforeAutospacing="0" w:after="0" w:afterAutospacing="0" w:line="360" w:lineRule="auto"/>
              <w:ind w:left="0" w:right="0" w:firstLine="482" w:firstLineChars="200"/>
              <w:rPr>
                <w:rFonts w:hint="eastAsia" w:ascii="宋体" w:hAnsi="宋体" w:cs="宋体"/>
                <w:b/>
                <w:bCs/>
                <w:color w:val="auto"/>
                <w:sz w:val="24"/>
              </w:rPr>
            </w:pPr>
            <w:r>
              <w:rPr>
                <w:rFonts w:hint="eastAsia" w:ascii="宋体" w:hAnsi="宋体" w:cs="宋体"/>
                <w:b/>
                <w:bCs/>
                <w:color w:val="auto"/>
                <w:sz w:val="24"/>
              </w:rPr>
              <w:t>一开：</w:t>
            </w:r>
          </w:p>
          <w:p w14:paraId="03474E0C">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一开</w:t>
            </w:r>
            <w:r>
              <w:rPr>
                <w:rFonts w:hint="eastAsia" w:ascii="Times New Roman" w:hAnsi="Times New Roman" w:cs="Times New Roman"/>
                <w:color w:val="auto"/>
                <w:sz w:val="24"/>
              </w:rPr>
              <w:t>使</w:t>
            </w:r>
            <w:r>
              <w:rPr>
                <w:rFonts w:hint="default" w:ascii="Times New Roman" w:hAnsi="Times New Roman" w:cs="Times New Roman"/>
                <w:color w:val="auto"/>
                <w:sz w:val="24"/>
              </w:rPr>
              <w:t>用Φ444.5mm</w:t>
            </w:r>
            <w:r>
              <w:rPr>
                <w:rFonts w:hint="eastAsia" w:cs="Times New Roman"/>
                <w:color w:val="auto"/>
                <w:sz w:val="24"/>
                <w:lang w:eastAsia="zh-CN"/>
              </w:rPr>
              <w:t>（</w:t>
            </w:r>
            <w:r>
              <w:rPr>
                <w:rFonts w:hint="default" w:ascii="Times New Roman" w:hAnsi="Times New Roman" w:cs="Times New Roman"/>
                <w:color w:val="auto"/>
                <w:sz w:val="24"/>
              </w:rPr>
              <w:t>17-1/2"</w:t>
            </w:r>
            <w:r>
              <w:rPr>
                <w:rFonts w:hint="eastAsia" w:cs="Times New Roman"/>
                <w:color w:val="auto"/>
                <w:sz w:val="24"/>
                <w:lang w:eastAsia="zh-CN"/>
              </w:rPr>
              <w:t>）</w:t>
            </w:r>
            <w:r>
              <w:rPr>
                <w:rFonts w:hint="default" w:ascii="Times New Roman" w:hAnsi="Times New Roman" w:cs="Times New Roman"/>
                <w:color w:val="auto"/>
                <w:sz w:val="24"/>
              </w:rPr>
              <w:t>钻头钻进</w:t>
            </w:r>
            <w:r>
              <w:rPr>
                <w:rFonts w:hint="eastAsia" w:ascii="Times New Roman" w:hAnsi="Times New Roman" w:cs="Times New Roman"/>
                <w:color w:val="auto"/>
                <w:sz w:val="24"/>
              </w:rPr>
              <w:t>至井深1051m左右</w:t>
            </w:r>
            <w:r>
              <w:rPr>
                <w:rFonts w:hint="default" w:ascii="Times New Roman" w:hAnsi="Times New Roman" w:cs="Times New Roman"/>
                <w:color w:val="auto"/>
                <w:sz w:val="24"/>
              </w:rPr>
              <w:t>，Φ339.7mm</w:t>
            </w:r>
            <w:r>
              <w:rPr>
                <w:rFonts w:hint="eastAsia" w:cs="Times New Roman"/>
                <w:color w:val="auto"/>
                <w:sz w:val="24"/>
                <w:lang w:eastAsia="zh-CN"/>
              </w:rPr>
              <w:t>（</w:t>
            </w:r>
            <w:r>
              <w:rPr>
                <w:rFonts w:hint="default" w:ascii="Times New Roman" w:hAnsi="Times New Roman" w:cs="Times New Roman"/>
                <w:color w:val="auto"/>
                <w:sz w:val="24"/>
              </w:rPr>
              <w:t>13-3/8"</w:t>
            </w:r>
            <w:r>
              <w:rPr>
                <w:rFonts w:hint="eastAsia" w:cs="Times New Roman"/>
                <w:color w:val="auto"/>
                <w:sz w:val="24"/>
                <w:lang w:eastAsia="zh-CN"/>
              </w:rPr>
              <w:t>）</w:t>
            </w:r>
            <w:r>
              <w:rPr>
                <w:rFonts w:hint="default" w:ascii="Times New Roman" w:hAnsi="Times New Roman" w:cs="Times New Roman"/>
                <w:color w:val="auto"/>
                <w:sz w:val="24"/>
              </w:rPr>
              <w:t>表层套管下深1</w:t>
            </w:r>
            <w:r>
              <w:rPr>
                <w:rFonts w:hint="eastAsia" w:ascii="Times New Roman" w:hAnsi="Times New Roman" w:cs="Times New Roman"/>
                <w:color w:val="auto"/>
                <w:sz w:val="24"/>
              </w:rPr>
              <w:t>050</w:t>
            </w:r>
            <w:r>
              <w:rPr>
                <w:rFonts w:hint="default" w:ascii="Times New Roman" w:hAnsi="Times New Roman" w:cs="Times New Roman"/>
                <w:color w:val="auto"/>
                <w:sz w:val="24"/>
              </w:rPr>
              <w:t>m，封过</w:t>
            </w:r>
            <w:r>
              <w:rPr>
                <w:rFonts w:hint="eastAsia" w:ascii="Times New Roman" w:hAnsi="Times New Roman" w:cs="Times New Roman"/>
                <w:color w:val="auto"/>
                <w:sz w:val="24"/>
              </w:rPr>
              <w:t>剑门关</w:t>
            </w:r>
            <w:r>
              <w:rPr>
                <w:rFonts w:hint="default" w:ascii="Times New Roman" w:hAnsi="Times New Roman" w:cs="Times New Roman"/>
                <w:color w:val="auto"/>
                <w:sz w:val="24"/>
              </w:rPr>
              <w:t>组及以上地层</w:t>
            </w:r>
            <w:r>
              <w:rPr>
                <w:rFonts w:hint="eastAsia" w:ascii="Times New Roman" w:hAnsi="Times New Roman" w:cs="Times New Roman"/>
                <w:color w:val="auto"/>
                <w:sz w:val="24"/>
              </w:rPr>
              <w:t>。</w:t>
            </w:r>
            <w:r>
              <w:rPr>
                <w:rFonts w:hint="default" w:ascii="Times New Roman" w:hAnsi="Times New Roman" w:cs="Times New Roman"/>
                <w:color w:val="auto"/>
                <w:sz w:val="24"/>
              </w:rPr>
              <w:t>表层套管应</w:t>
            </w:r>
            <w:r>
              <w:rPr>
                <w:rFonts w:hint="eastAsia" w:ascii="Times New Roman" w:hAnsi="Times New Roman" w:cs="Times New Roman"/>
                <w:color w:val="auto"/>
                <w:sz w:val="24"/>
              </w:rPr>
              <w:t>坐</w:t>
            </w:r>
            <w:r>
              <w:rPr>
                <w:rFonts w:hint="default" w:ascii="Times New Roman" w:hAnsi="Times New Roman" w:cs="Times New Roman"/>
                <w:color w:val="auto"/>
                <w:sz w:val="24"/>
              </w:rPr>
              <w:t>在稳定地层，用水泥封固</w:t>
            </w:r>
            <w:r>
              <w:rPr>
                <w:rFonts w:hint="eastAsia" w:cs="Times New Roman"/>
                <w:color w:val="auto"/>
                <w:sz w:val="24"/>
                <w:lang w:eastAsia="zh-CN"/>
              </w:rPr>
              <w:t>（</w:t>
            </w:r>
            <w:r>
              <w:rPr>
                <w:rFonts w:hint="default" w:ascii="Times New Roman" w:hAnsi="Times New Roman" w:cs="Times New Roman"/>
                <w:color w:val="auto"/>
                <w:sz w:val="24"/>
              </w:rPr>
              <w:t>返至地面</w:t>
            </w:r>
            <w:r>
              <w:rPr>
                <w:rFonts w:hint="eastAsia" w:cs="Times New Roman"/>
                <w:color w:val="auto"/>
                <w:sz w:val="24"/>
                <w:lang w:eastAsia="zh-CN"/>
              </w:rPr>
              <w:t>）</w:t>
            </w:r>
            <w:r>
              <w:rPr>
                <w:rFonts w:hint="default" w:ascii="Times New Roman" w:hAnsi="Times New Roman" w:cs="Times New Roman"/>
                <w:color w:val="auto"/>
                <w:sz w:val="24"/>
              </w:rPr>
              <w:t>。</w:t>
            </w:r>
          </w:p>
          <w:p w14:paraId="7924B88F">
            <w:pPr>
              <w:keepNext w:val="0"/>
              <w:keepLines w:val="0"/>
              <w:suppressLineNumbers w:val="0"/>
              <w:snapToGrid w:val="0"/>
              <w:spacing w:before="0" w:beforeAutospacing="0" w:after="0" w:afterAutospacing="0" w:line="360" w:lineRule="auto"/>
              <w:ind w:left="0" w:right="0" w:firstLine="482" w:firstLineChars="200"/>
              <w:rPr>
                <w:rFonts w:hint="eastAsia" w:ascii="宋体" w:hAnsi="宋体" w:cs="宋体"/>
                <w:b/>
                <w:bCs/>
                <w:color w:val="auto"/>
                <w:sz w:val="24"/>
              </w:rPr>
            </w:pPr>
            <w:r>
              <w:rPr>
                <w:rFonts w:hint="eastAsia" w:ascii="宋体" w:hAnsi="宋体" w:cs="宋体"/>
                <w:b/>
                <w:bCs/>
                <w:color w:val="auto"/>
                <w:sz w:val="24"/>
              </w:rPr>
              <w:t>二</w:t>
            </w:r>
            <w:r>
              <w:rPr>
                <w:rFonts w:hint="default" w:ascii="宋体" w:hAnsi="宋体" w:cs="宋体"/>
                <w:b/>
                <w:bCs/>
                <w:color w:val="auto"/>
                <w:sz w:val="24"/>
              </w:rPr>
              <w:t>开</w:t>
            </w:r>
            <w:r>
              <w:rPr>
                <w:rFonts w:hint="eastAsia" w:ascii="宋体" w:hAnsi="宋体" w:cs="宋体"/>
                <w:b/>
                <w:bCs/>
                <w:color w:val="auto"/>
                <w:sz w:val="24"/>
              </w:rPr>
              <w:t>：</w:t>
            </w:r>
          </w:p>
          <w:p w14:paraId="179036B4">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cs="Times New Roman"/>
                <w:color w:val="auto"/>
                <w:sz w:val="24"/>
              </w:rPr>
              <w:t>二开使用Φ311.2mm</w:t>
            </w:r>
            <w:r>
              <w:rPr>
                <w:rFonts w:hint="eastAsia" w:cs="Times New Roman"/>
                <w:color w:val="auto"/>
                <w:sz w:val="24"/>
                <w:lang w:eastAsia="zh-CN"/>
              </w:rPr>
              <w:t>（</w:t>
            </w:r>
            <w:r>
              <w:rPr>
                <w:rFonts w:hint="default" w:ascii="Times New Roman" w:hAnsi="Times New Roman" w:cs="Times New Roman"/>
                <w:color w:val="auto"/>
                <w:sz w:val="24"/>
              </w:rPr>
              <w:t>12-1/4"</w:t>
            </w:r>
            <w:r>
              <w:rPr>
                <w:rFonts w:hint="eastAsia" w:cs="Times New Roman"/>
                <w:color w:val="auto"/>
                <w:sz w:val="24"/>
                <w:lang w:eastAsia="zh-CN"/>
              </w:rPr>
              <w:t>）</w:t>
            </w:r>
            <w:r>
              <w:rPr>
                <w:rFonts w:hint="default" w:ascii="Times New Roman" w:hAnsi="Times New Roman" w:cs="Times New Roman"/>
                <w:color w:val="auto"/>
                <w:sz w:val="24"/>
              </w:rPr>
              <w:t>钻头</w:t>
            </w:r>
            <w:r>
              <w:rPr>
                <w:rFonts w:hint="eastAsia" w:ascii="Times New Roman" w:hAnsi="Times New Roman" w:cs="Times New Roman"/>
                <w:color w:val="auto"/>
                <w:sz w:val="24"/>
              </w:rPr>
              <w:t>钻进至井深3862m左右</w:t>
            </w:r>
            <w:r>
              <w:rPr>
                <w:rFonts w:hint="default" w:ascii="Times New Roman" w:hAnsi="Times New Roman" w:cs="Times New Roman"/>
                <w:color w:val="auto"/>
                <w:sz w:val="24"/>
              </w:rPr>
              <w:t>，Φ</w:t>
            </w:r>
            <w:r>
              <w:rPr>
                <w:rFonts w:hint="eastAsia" w:ascii="Times New Roman" w:hAnsi="Times New Roman" w:cs="Times New Roman"/>
                <w:color w:val="auto"/>
                <w:sz w:val="24"/>
              </w:rPr>
              <w:t>244.5</w:t>
            </w:r>
            <w:r>
              <w:rPr>
                <w:rFonts w:hint="default" w:ascii="Times New Roman" w:hAnsi="Times New Roman" w:cs="Times New Roman"/>
                <w:color w:val="auto"/>
                <w:sz w:val="24"/>
              </w:rPr>
              <w:t>mm</w:t>
            </w:r>
            <w:r>
              <w:rPr>
                <w:rFonts w:hint="eastAsia" w:cs="Times New Roman"/>
                <w:color w:val="auto"/>
                <w:sz w:val="24"/>
                <w:lang w:eastAsia="zh-CN"/>
              </w:rPr>
              <w:t>（</w:t>
            </w:r>
            <w:r>
              <w:rPr>
                <w:rFonts w:hint="eastAsia" w:ascii="Times New Roman" w:hAnsi="Times New Roman" w:cs="Times New Roman"/>
                <w:color w:val="auto"/>
                <w:sz w:val="24"/>
              </w:rPr>
              <w:t>9</w:t>
            </w:r>
            <w:r>
              <w:rPr>
                <w:rFonts w:hint="default" w:ascii="Times New Roman" w:hAnsi="Times New Roman" w:cs="Times New Roman"/>
                <w:color w:val="auto"/>
                <w:sz w:val="24"/>
              </w:rPr>
              <w:t>-</w:t>
            </w:r>
            <w:r>
              <w:rPr>
                <w:rFonts w:hint="eastAsia" w:ascii="Times New Roman" w:hAnsi="Times New Roman" w:cs="Times New Roman"/>
                <w:color w:val="auto"/>
                <w:sz w:val="24"/>
              </w:rPr>
              <w:t>5</w:t>
            </w:r>
            <w:r>
              <w:rPr>
                <w:rFonts w:hint="default" w:ascii="Times New Roman" w:hAnsi="Times New Roman" w:cs="Times New Roman"/>
                <w:color w:val="auto"/>
                <w:sz w:val="24"/>
              </w:rPr>
              <w:t>/</w:t>
            </w:r>
            <w:r>
              <w:rPr>
                <w:rFonts w:hint="eastAsia" w:ascii="Times New Roman" w:hAnsi="Times New Roman" w:cs="Times New Roman"/>
                <w:color w:val="auto"/>
                <w:sz w:val="24"/>
              </w:rPr>
              <w:t>8</w:t>
            </w:r>
            <w:r>
              <w:rPr>
                <w:rFonts w:hint="default" w:ascii="Times New Roman" w:hAnsi="Times New Roman" w:cs="Times New Roman"/>
                <w:color w:val="auto"/>
                <w:sz w:val="24"/>
              </w:rPr>
              <w:t>"</w:t>
            </w:r>
            <w:r>
              <w:rPr>
                <w:rFonts w:hint="eastAsia" w:cs="Times New Roman"/>
                <w:color w:val="auto"/>
                <w:sz w:val="24"/>
                <w:lang w:eastAsia="zh-CN"/>
              </w:rPr>
              <w:t>）</w:t>
            </w:r>
            <w:r>
              <w:rPr>
                <w:rFonts w:hint="default" w:ascii="Times New Roman" w:hAnsi="Times New Roman" w:cs="Times New Roman"/>
                <w:color w:val="auto"/>
                <w:sz w:val="24"/>
              </w:rPr>
              <w:t>及其外加厚套管</w:t>
            </w:r>
            <w:r>
              <w:rPr>
                <w:rFonts w:hint="eastAsia" w:ascii="Times New Roman" w:hAnsi="Times New Roman" w:cs="Times New Roman"/>
                <w:color w:val="auto"/>
                <w:sz w:val="24"/>
              </w:rPr>
              <w:t>下深3860</w:t>
            </w:r>
            <w:r>
              <w:rPr>
                <w:rFonts w:hint="default" w:ascii="Times New Roman" w:hAnsi="Times New Roman" w:cs="Times New Roman"/>
                <w:color w:val="auto"/>
                <w:sz w:val="24"/>
              </w:rPr>
              <w:t>m（井口段1</w:t>
            </w:r>
            <w:r>
              <w:rPr>
                <w:rFonts w:hint="eastAsia" w:ascii="Times New Roman" w:hAnsi="Times New Roman" w:cs="Times New Roman"/>
                <w:color w:val="auto"/>
                <w:sz w:val="24"/>
              </w:rPr>
              <w:t>0</w:t>
            </w:r>
            <w:r>
              <w:rPr>
                <w:rFonts w:hint="default" w:ascii="Times New Roman" w:hAnsi="Times New Roman" w:cs="Times New Roman"/>
                <w:color w:val="auto"/>
                <w:sz w:val="24"/>
              </w:rPr>
              <w:t>00m采用外加厚套管），封隔</w:t>
            </w:r>
            <w:r>
              <w:rPr>
                <w:rFonts w:hint="eastAsia" w:ascii="Times New Roman" w:hAnsi="Times New Roman" w:cs="Times New Roman"/>
                <w:color w:val="auto"/>
                <w:sz w:val="24"/>
              </w:rPr>
              <w:t>下沙溪庙</w:t>
            </w:r>
            <w:r>
              <w:rPr>
                <w:rFonts w:hint="default" w:ascii="Times New Roman" w:hAnsi="Times New Roman" w:cs="Times New Roman"/>
                <w:color w:val="auto"/>
                <w:sz w:val="24"/>
              </w:rPr>
              <w:t>组</w:t>
            </w:r>
            <w:r>
              <w:rPr>
                <w:rFonts w:hint="eastAsia" w:ascii="Times New Roman" w:hAnsi="Times New Roman" w:cs="Times New Roman"/>
                <w:color w:val="auto"/>
                <w:sz w:val="24"/>
              </w:rPr>
              <w:t>及</w:t>
            </w:r>
            <w:r>
              <w:rPr>
                <w:rFonts w:hint="default" w:ascii="Times New Roman" w:hAnsi="Times New Roman" w:cs="Times New Roman"/>
                <w:color w:val="auto"/>
                <w:sz w:val="24"/>
              </w:rPr>
              <w:t>以上地层</w:t>
            </w:r>
            <w:r>
              <w:rPr>
                <w:rFonts w:hint="eastAsia" w:ascii="Times New Roman" w:hAnsi="Times New Roman" w:cs="Times New Roman"/>
                <w:color w:val="auto"/>
                <w:sz w:val="24"/>
              </w:rPr>
              <w:t>，</w:t>
            </w:r>
            <w:r>
              <w:rPr>
                <w:rFonts w:hint="default" w:ascii="Times New Roman" w:hAnsi="Times New Roman" w:cs="Times New Roman"/>
                <w:color w:val="auto"/>
                <w:sz w:val="24"/>
              </w:rPr>
              <w:t>为下一开次安全钻进创造条件。</w:t>
            </w:r>
          </w:p>
          <w:p w14:paraId="75AFCA53">
            <w:pPr>
              <w:keepNext w:val="0"/>
              <w:keepLines w:val="0"/>
              <w:suppressLineNumbers w:val="0"/>
              <w:snapToGrid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rPr>
              <w:t>三开：</w:t>
            </w:r>
          </w:p>
          <w:p w14:paraId="3B4C4BAD">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三开</w:t>
            </w:r>
            <w:r>
              <w:rPr>
                <w:rFonts w:hint="default" w:ascii="Times New Roman" w:hAnsi="Times New Roman" w:cs="Times New Roman"/>
                <w:color w:val="auto"/>
                <w:sz w:val="24"/>
              </w:rPr>
              <w:t>使</w:t>
            </w:r>
            <w:r>
              <w:rPr>
                <w:rFonts w:hint="eastAsia" w:ascii="Times New Roman" w:hAnsi="Times New Roman" w:cs="Times New Roman"/>
                <w:color w:val="auto"/>
                <w:sz w:val="24"/>
              </w:rPr>
              <w:t>用</w:t>
            </w:r>
            <w:r>
              <w:rPr>
                <w:rFonts w:hint="default" w:ascii="Times New Roman" w:hAnsi="Times New Roman" w:cs="Times New Roman"/>
                <w:color w:val="auto"/>
                <w:sz w:val="24"/>
              </w:rPr>
              <w:t>Φ</w:t>
            </w:r>
            <w:r>
              <w:rPr>
                <w:rFonts w:hint="eastAsia" w:ascii="Times New Roman" w:hAnsi="Times New Roman" w:cs="Times New Roman"/>
                <w:color w:val="auto"/>
                <w:sz w:val="24"/>
              </w:rPr>
              <w:t>215.9mm</w:t>
            </w:r>
            <w:r>
              <w:rPr>
                <w:rFonts w:hint="eastAsia" w:cs="Times New Roman"/>
                <w:color w:val="auto"/>
                <w:sz w:val="24"/>
                <w:lang w:eastAsia="zh-CN"/>
              </w:rPr>
              <w:t>（</w:t>
            </w:r>
            <w:r>
              <w:rPr>
                <w:rFonts w:hint="eastAsia" w:ascii="Times New Roman" w:hAnsi="Times New Roman" w:cs="Times New Roman"/>
                <w:color w:val="auto"/>
                <w:sz w:val="24"/>
              </w:rPr>
              <w:t>8</w:t>
            </w:r>
            <w:r>
              <w:rPr>
                <w:rFonts w:hint="default" w:ascii="Times New Roman" w:hAnsi="Times New Roman" w:cs="Times New Roman"/>
                <w:color w:val="auto"/>
                <w:sz w:val="24"/>
              </w:rPr>
              <w:t>-1/2"</w:t>
            </w:r>
            <w:r>
              <w:rPr>
                <w:rFonts w:hint="eastAsia" w:cs="Times New Roman"/>
                <w:color w:val="auto"/>
                <w:sz w:val="24"/>
                <w:lang w:eastAsia="zh-CN"/>
              </w:rPr>
              <w:t>）</w:t>
            </w:r>
            <w:r>
              <w:rPr>
                <w:rFonts w:hint="eastAsia" w:ascii="Times New Roman" w:hAnsi="Times New Roman" w:cs="Times New Roman"/>
                <w:color w:val="auto"/>
                <w:sz w:val="24"/>
              </w:rPr>
              <w:t>钻头钻进至设计井深4998m左右，下入</w:t>
            </w:r>
            <w:r>
              <w:rPr>
                <w:rFonts w:hint="default" w:ascii="Times New Roman" w:hAnsi="Times New Roman" w:cs="Times New Roman"/>
                <w:color w:val="auto"/>
                <w:sz w:val="24"/>
              </w:rPr>
              <w:t>Ф139.7mm</w:t>
            </w:r>
            <w:r>
              <w:rPr>
                <w:rFonts w:hint="eastAsia" w:cs="Times New Roman"/>
                <w:color w:val="auto"/>
                <w:sz w:val="24"/>
                <w:lang w:eastAsia="zh-CN"/>
              </w:rPr>
              <w:t>（</w:t>
            </w:r>
            <w:r>
              <w:rPr>
                <w:rFonts w:hint="default" w:ascii="Times New Roman" w:hAnsi="Times New Roman" w:cs="Times New Roman"/>
                <w:color w:val="auto"/>
                <w:sz w:val="24"/>
              </w:rPr>
              <w:t>5-1/2"</w:t>
            </w:r>
            <w:r>
              <w:rPr>
                <w:rFonts w:hint="eastAsia" w:cs="Times New Roman"/>
                <w:color w:val="auto"/>
                <w:sz w:val="24"/>
                <w:lang w:eastAsia="zh-CN"/>
              </w:rPr>
              <w:t>）</w:t>
            </w:r>
            <w:r>
              <w:rPr>
                <w:rFonts w:hint="default" w:ascii="Times New Roman" w:hAnsi="Times New Roman" w:cs="Times New Roman"/>
                <w:color w:val="auto"/>
                <w:sz w:val="24"/>
              </w:rPr>
              <w:t>生产</w:t>
            </w:r>
            <w:r>
              <w:rPr>
                <w:rFonts w:hint="eastAsia" w:ascii="Times New Roman" w:hAnsi="Times New Roman" w:cs="Times New Roman"/>
                <w:color w:val="auto"/>
                <w:sz w:val="24"/>
              </w:rPr>
              <w:t>套管完井。</w:t>
            </w:r>
          </w:p>
          <w:p w14:paraId="1AFF89F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color w:val="auto"/>
                <w:sz w:val="24"/>
              </w:rPr>
            </w:pPr>
            <w:r>
              <w:rPr>
                <w:rFonts w:hint="eastAsia" w:cs="Times New Roman"/>
                <w:b/>
                <w:bCs/>
                <w:color w:val="auto"/>
                <w:sz w:val="24"/>
                <w:lang w:val="en-US" w:eastAsia="zh-CN"/>
              </w:rPr>
              <w:t>2、</w:t>
            </w:r>
            <w:r>
              <w:rPr>
                <w:rFonts w:hint="default" w:ascii="Times New Roman" w:hAnsi="Times New Roman" w:cs="Times New Roman"/>
                <w:b/>
                <w:bCs/>
                <w:color w:val="auto"/>
                <w:sz w:val="24"/>
              </w:rPr>
              <w:t>钻井方式</w:t>
            </w:r>
            <w:r>
              <w:rPr>
                <w:rFonts w:hint="eastAsia" w:cs="Times New Roman"/>
                <w:b/>
                <w:bCs/>
                <w:color w:val="auto"/>
                <w:sz w:val="24"/>
                <w:lang w:val="en-US" w:eastAsia="zh-CN"/>
              </w:rPr>
              <w:t>工艺介绍</w:t>
            </w:r>
            <w:bookmarkStart w:id="35" w:name="OLE_LINK14"/>
          </w:p>
          <w:p w14:paraId="76E4994B">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导管</w:t>
            </w:r>
            <w:r>
              <w:rPr>
                <w:rFonts w:hint="eastAsia" w:cs="Times New Roman"/>
                <w:color w:val="auto"/>
                <w:sz w:val="24"/>
                <w:lang w:val="en-US" w:eastAsia="zh-CN"/>
              </w:rPr>
              <w:t>段采</w:t>
            </w:r>
            <w:r>
              <w:rPr>
                <w:rFonts w:hint="eastAsia" w:ascii="Times New Roman" w:hAnsi="Times New Roman" w:cs="Times New Roman"/>
                <w:color w:val="auto"/>
                <w:sz w:val="24"/>
                <w:lang w:val="en-US" w:eastAsia="zh-CN"/>
              </w:rPr>
              <w:t>用旋挖机</w:t>
            </w:r>
            <w:r>
              <w:rPr>
                <w:rFonts w:hint="default" w:ascii="Times New Roman" w:hAnsi="Times New Roman" w:cs="Times New Roman"/>
                <w:color w:val="auto"/>
                <w:sz w:val="24"/>
              </w:rPr>
              <w:t>清水</w:t>
            </w:r>
            <w:r>
              <w:rPr>
                <w:rFonts w:hint="eastAsia" w:ascii="Times New Roman" w:hAnsi="Times New Roman" w:cs="Times New Roman"/>
                <w:color w:val="auto"/>
                <w:sz w:val="24"/>
                <w:lang w:val="en-US" w:eastAsia="zh-CN"/>
              </w:rPr>
              <w:t>钻孔</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一开、二开</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三开井段</w:t>
            </w:r>
            <w:r>
              <w:rPr>
                <w:rFonts w:hint="eastAsia" w:ascii="Times New Roman" w:hAnsi="Times New Roman" w:cs="Times New Roman"/>
                <w:color w:val="auto"/>
                <w:sz w:val="24"/>
                <w:lang w:val="en-US" w:eastAsia="zh-CN"/>
              </w:rPr>
              <w:t>均</w:t>
            </w:r>
            <w:r>
              <w:rPr>
                <w:rFonts w:hint="eastAsia" w:ascii="Times New Roman" w:hAnsi="Times New Roman" w:cs="Times New Roman"/>
                <w:color w:val="auto"/>
                <w:sz w:val="24"/>
              </w:rPr>
              <w:t>采用</w:t>
            </w:r>
            <w:r>
              <w:rPr>
                <w:rFonts w:hint="default" w:ascii="Times New Roman" w:hAnsi="Times New Roman" w:cs="Times New Roman"/>
                <w:color w:val="auto"/>
                <w:sz w:val="24"/>
              </w:rPr>
              <w:t>水基泥浆</w:t>
            </w:r>
            <w:r>
              <w:rPr>
                <w:rFonts w:hint="eastAsia" w:ascii="Times New Roman" w:hAnsi="Times New Roman" w:cs="Times New Roman"/>
                <w:color w:val="auto"/>
                <w:sz w:val="24"/>
              </w:rPr>
              <w:t>钻井液钻井。</w:t>
            </w:r>
          </w:p>
          <w:bookmarkEnd w:id="35"/>
          <w:p w14:paraId="5B1D3FE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本工程采用常规钻井工艺进行钻井。钻井液初期在场地内配备并储存于钻井泥浆罐中循环使用，调配钻井液原料（如膨润液等，分区分类贮存于井场材料棚内，贮存区上部设雨篷遮挡，钻井液原料按月需求量贮存于井场内）。储备钻井液压调配好后储存于泥浆罐中（泥浆储备罐区采取防渗措施）。</w:t>
            </w:r>
          </w:p>
          <w:p w14:paraId="428FBC3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sz w:val="24"/>
              </w:rPr>
              <w:t>泥浆常规钻井工艺</w:t>
            </w:r>
            <w:r>
              <w:rPr>
                <w:rFonts w:hint="eastAsia" w:ascii="Times New Roman" w:hAnsi="Times New Roman" w:cs="Times New Roman"/>
                <w:color w:val="auto"/>
                <w:sz w:val="24"/>
              </w:rPr>
              <w:t>属于</w:t>
            </w:r>
            <w:r>
              <w:rPr>
                <w:rFonts w:hint="default" w:ascii="Times New Roman" w:hAnsi="Times New Roman" w:cs="Times New Roman"/>
                <w:color w:val="auto"/>
                <w:sz w:val="24"/>
              </w:rPr>
              <w:t>平衡钻井技术，作用于井底的压力大于该处地层孔隙压力情况下的钻井作业：以电</w:t>
            </w:r>
            <w:r>
              <w:rPr>
                <w:rFonts w:hint="eastAsia" w:ascii="Times New Roman" w:hAnsi="Times New Roman" w:cs="Times New Roman"/>
                <w:color w:val="auto"/>
                <w:sz w:val="24"/>
                <w:lang w:val="en-US" w:eastAsia="zh-CN"/>
              </w:rPr>
              <w:t>能</w:t>
            </w:r>
            <w:r>
              <w:rPr>
                <w:rFonts w:hint="default" w:ascii="Times New Roman" w:hAnsi="Times New Roman" w:cs="Times New Roman"/>
                <w:color w:val="auto"/>
                <w:sz w:val="24"/>
              </w:rPr>
              <w:t>为动力，通过钻机、转盘带动钻杆切削地层，同时由钻井泥浆泵经钻杆向井内注入高压钻井泥浆，冲刷井底，将切削下的岩屑不断地带至地面，整个过程循环进行，使井不断加深，直至目的井深。钻井中途会停钻，以便起下钻具更换钻头、下套管、测井和后续井身固井作业。钻井作业24h连续进行。</w:t>
            </w:r>
          </w:p>
          <w:p w14:paraId="73D7FEB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8"/>
                <w:lang w:val="en-US" w:eastAsia="zh-CN"/>
              </w:rPr>
            </w:pP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1</w:t>
            </w:r>
            <w:r>
              <w:rPr>
                <w:rFonts w:hint="eastAsia" w:cs="Times New Roman"/>
                <w:b w:val="0"/>
                <w:bCs w:val="0"/>
                <w:color w:val="auto"/>
                <w:sz w:val="24"/>
                <w:szCs w:val="28"/>
                <w:lang w:eastAsia="zh-CN"/>
              </w:rPr>
              <w:t>）</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工艺介绍</w:t>
            </w:r>
          </w:p>
          <w:p w14:paraId="08CC67C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钻前工程完成后，便将开展钻井作业。在表层钻进阶段，为了保护地表含水层，避免聚合物泥浆等钻井液对地下水环境造成不利影响，拟采用</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w:t>
            </w:r>
            <w:r>
              <w:rPr>
                <w:rFonts w:hint="default" w:ascii="Times New Roman" w:hAnsi="Times New Roman" w:cs="Times New Roman"/>
                <w:bCs/>
                <w:color w:val="auto"/>
                <w:sz w:val="24"/>
              </w:rPr>
              <w:t>进行导管段的钻</w:t>
            </w:r>
            <w:r>
              <w:rPr>
                <w:rFonts w:hint="eastAsia" w:cs="Times New Roman"/>
                <w:bCs/>
                <w:color w:val="auto"/>
                <w:sz w:val="24"/>
                <w:lang w:val="en-US" w:eastAsia="zh-CN"/>
              </w:rPr>
              <w:t>孔</w:t>
            </w:r>
            <w:r>
              <w:rPr>
                <w:rFonts w:hint="default" w:ascii="Times New Roman" w:hAnsi="Times New Roman" w:cs="Times New Roman"/>
                <w:bCs/>
                <w:color w:val="auto"/>
                <w:sz w:val="24"/>
              </w:rPr>
              <w:t>作业。导管段采用</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w:t>
            </w:r>
            <w:r>
              <w:rPr>
                <w:rFonts w:hint="default" w:ascii="Times New Roman" w:hAnsi="Times New Roman" w:cs="Times New Roman"/>
                <w:bCs/>
                <w:color w:val="auto"/>
                <w:sz w:val="24"/>
              </w:rPr>
              <w:t>，最大程度</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保护浅层地下水环境，及时下套管、固井并根据现场实际钻探情况，</w:t>
            </w:r>
            <w:r>
              <w:rPr>
                <w:rFonts w:hint="eastAsia" w:cs="Times New Roman"/>
                <w:bCs/>
                <w:color w:val="auto"/>
                <w:sz w:val="24"/>
                <w:lang w:val="en-US" w:eastAsia="zh-CN"/>
              </w:rPr>
              <w:t>根据设计资料，</w:t>
            </w:r>
            <w:r>
              <w:rPr>
                <w:rFonts w:hint="default" w:ascii="Times New Roman" w:hAnsi="Times New Roman" w:cs="Times New Roman"/>
                <w:bCs/>
                <w:color w:val="auto"/>
                <w:sz w:val="24"/>
              </w:rPr>
              <w:t>导管段套管下井深度</w:t>
            </w:r>
            <w:r>
              <w:rPr>
                <w:rFonts w:hint="eastAsia" w:cs="Times New Roman"/>
                <w:bCs/>
                <w:color w:val="auto"/>
                <w:sz w:val="24"/>
                <w:lang w:val="en-US" w:eastAsia="zh-CN"/>
              </w:rPr>
              <w:t>为50m</w:t>
            </w:r>
            <w:r>
              <w:rPr>
                <w:rFonts w:hint="default" w:ascii="Times New Roman" w:hAnsi="Times New Roman" w:cs="Times New Roman"/>
                <w:bCs/>
                <w:color w:val="auto"/>
                <w:sz w:val="24"/>
              </w:rPr>
              <w:t>，必要时可加长。</w:t>
            </w:r>
          </w:p>
          <w:p w14:paraId="26AD7C6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eastAsia" w:ascii="Times New Roman" w:hAnsi="Times New Roman" w:cs="Times New Roman"/>
                <w:bCs/>
                <w:color w:val="auto"/>
                <w:sz w:val="24"/>
                <w:lang w:val="en-US" w:eastAsia="zh-CN"/>
              </w:rPr>
              <w:t>旋挖机</w:t>
            </w:r>
            <w:r>
              <w:rPr>
                <w:rFonts w:hint="default" w:ascii="Times New Roman" w:hAnsi="Times New Roman" w:cs="Times New Roman"/>
                <w:bCs/>
                <w:color w:val="auto"/>
                <w:sz w:val="24"/>
                <w:lang w:val="en-US" w:eastAsia="zh-CN"/>
              </w:rPr>
              <w:t>清水</w:t>
            </w:r>
            <w:r>
              <w:rPr>
                <w:rFonts w:hint="eastAsia" w:ascii="Times New Roman" w:hAnsi="Times New Roman" w:cs="Times New Roman"/>
                <w:bCs/>
                <w:color w:val="auto"/>
                <w:sz w:val="24"/>
                <w:lang w:val="en-US" w:eastAsia="zh-CN"/>
              </w:rPr>
              <w:t>钻孔</w:t>
            </w:r>
            <w:r>
              <w:rPr>
                <w:rFonts w:hint="default" w:ascii="Times New Roman" w:hAnsi="Times New Roman" w:cs="Times New Roman"/>
                <w:bCs/>
                <w:color w:val="auto"/>
                <w:sz w:val="24"/>
              </w:rPr>
              <w:t>阶段中，返回地表的含屑钻井液通过泥浆管输入振动筛进行分离，将</w:t>
            </w:r>
            <w:r>
              <w:rPr>
                <w:rFonts w:hint="eastAsia" w:cs="Times New Roman"/>
                <w:bCs/>
                <w:color w:val="auto"/>
                <w:sz w:val="24"/>
                <w:lang w:val="en-US" w:eastAsia="zh-CN"/>
              </w:rPr>
              <w:t>泥浆</w:t>
            </w:r>
            <w:r>
              <w:rPr>
                <w:rFonts w:hint="default" w:ascii="Times New Roman" w:hAnsi="Times New Roman" w:cs="Times New Roman"/>
                <w:bCs/>
                <w:color w:val="auto"/>
                <w:sz w:val="24"/>
              </w:rPr>
              <w:t>中粒径大于0.1mm的钻屑留于筛上，振动筛筛下的泥浆直接进入循环罐暂存，使用时先通过除砂器将粒径大于0.07mm的钻屑进行分离，液相循环用于本阶段的钻井作业和后续水基泥浆钻阶段的配浆作业；振动筛的筛上物质和除砂器分离出的钻屑</w:t>
            </w:r>
            <w:r>
              <w:rPr>
                <w:rFonts w:hint="eastAsia" w:ascii="Times New Roman" w:hAnsi="Times New Roman" w:cs="Times New Roman"/>
                <w:bCs/>
                <w:color w:val="auto"/>
                <w:sz w:val="24"/>
                <w:lang w:val="en-US" w:eastAsia="zh-CN"/>
              </w:rPr>
              <w:t>压滤脱水后</w:t>
            </w:r>
            <w:r>
              <w:rPr>
                <w:rFonts w:hint="default" w:ascii="Times New Roman" w:hAnsi="Times New Roman" w:cs="Times New Roman"/>
                <w:bCs/>
                <w:color w:val="auto"/>
                <w:sz w:val="24"/>
              </w:rPr>
              <w:t>暂存于岩屑暂存罐，</w:t>
            </w:r>
            <w:r>
              <w:rPr>
                <w:rFonts w:hint="eastAsia" w:cs="Times New Roman"/>
                <w:bCs/>
                <w:color w:val="auto"/>
                <w:sz w:val="24"/>
                <w:lang w:val="en-US" w:eastAsia="zh-CN"/>
              </w:rPr>
              <w:t>交由</w:t>
            </w:r>
            <w:r>
              <w:rPr>
                <w:rFonts w:hint="eastAsia" w:ascii="Times New Roman" w:hAnsi="Times New Roman" w:cs="Times New Roman"/>
                <w:bCs/>
                <w:color w:val="auto"/>
                <w:sz w:val="24"/>
              </w:rPr>
              <w:t>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r>
              <w:rPr>
                <w:rFonts w:hint="eastAsia" w:ascii="Times New Roman" w:hAnsi="Times New Roman" w:cs="Times New Roman"/>
                <w:bCs/>
                <w:color w:val="auto"/>
                <w:sz w:val="24"/>
                <w:lang w:eastAsia="zh-CN"/>
              </w:rPr>
              <w:t>。</w:t>
            </w:r>
          </w:p>
          <w:p w14:paraId="104FC0F9">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27" o:spt="75" type="#_x0000_t75" style="height:253.55pt;width:352.05pt;" o:ole="t" filled="f" o:preferrelative="t" stroked="f" coordsize="21600,21600">
                  <v:path/>
                  <v:fill on="f" focussize="0,0"/>
                  <v:stroke on="f"/>
                  <v:imagedata r:id="rId16" o:title=""/>
                  <o:lock v:ext="edit" aspectratio="f"/>
                  <w10:wrap type="none"/>
                  <w10:anchorlock/>
                </v:shape>
                <o:OLEObject Type="Embed" ProgID="Visio.Drawing.15" ShapeID="_x0000_i1027" DrawAspect="Content" ObjectID="_1468075727" r:id="rId15">
                  <o:LockedField>false</o:LockedField>
                </o:OLEObject>
              </w:object>
            </w:r>
          </w:p>
          <w:p w14:paraId="19B7BBDD">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旋挖机</w:t>
            </w:r>
            <w:r>
              <w:rPr>
                <w:rFonts w:hint="default" w:ascii="Times New Roman" w:hAnsi="Times New Roman" w:eastAsia="宋体" w:cs="Times New Roman"/>
                <w:b/>
                <w:color w:val="auto"/>
                <w:lang w:val="en-US" w:eastAsia="zh-CN"/>
              </w:rPr>
              <w:t>清水</w:t>
            </w:r>
            <w:r>
              <w:rPr>
                <w:rFonts w:hint="eastAsia" w:ascii="Times New Roman" w:hAnsi="Times New Roman" w:eastAsia="宋体" w:cs="Times New Roman"/>
                <w:b/>
                <w:color w:val="auto"/>
                <w:lang w:val="en-US" w:eastAsia="zh-CN"/>
              </w:rPr>
              <w:t>钻孔阶段作业流程及产污环节图</w:t>
            </w:r>
          </w:p>
          <w:p w14:paraId="42F6FA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8"/>
                <w:lang w:val="en-US"/>
              </w:rPr>
            </w:pP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2</w:t>
            </w: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泥浆钻井工艺介绍</w:t>
            </w:r>
          </w:p>
          <w:p w14:paraId="32B1D525">
            <w:pPr>
              <w:keepNext w:val="0"/>
              <w:keepLines w:val="0"/>
              <w:suppressLineNumbers w:val="0"/>
              <w:spacing w:before="0" w:beforeAutospacing="0" w:after="0" w:afterAutospacing="0" w:line="360" w:lineRule="auto"/>
              <w:ind w:left="0" w:right="0" w:firstLine="480"/>
              <w:rPr>
                <w:rFonts w:hint="default" w:ascii="Times New Roman" w:hAnsi="Times New Roman" w:cs="Times New Roman"/>
                <w:b w:val="0"/>
                <w:bCs w:val="0"/>
                <w:color w:val="auto"/>
                <w:sz w:val="24"/>
              </w:rPr>
            </w:pPr>
            <w:r>
              <w:rPr>
                <w:rFonts w:hint="eastAsia" w:cs="Times New Roman"/>
                <w:b w:val="0"/>
                <w:bCs w:val="0"/>
                <w:color w:val="auto"/>
                <w:sz w:val="24"/>
                <w:lang w:val="en-US" w:eastAsia="zh-CN"/>
              </w:rPr>
              <w:t>1）</w:t>
            </w:r>
            <w:r>
              <w:rPr>
                <w:rFonts w:hint="default" w:ascii="Times New Roman" w:hAnsi="Times New Roman" w:cs="Times New Roman"/>
                <w:b w:val="0"/>
                <w:bCs w:val="0"/>
                <w:color w:val="auto"/>
                <w:sz w:val="24"/>
              </w:rPr>
              <w:t>常规钻井阶段循环工艺介绍（泥浆不落地操作平台）</w:t>
            </w:r>
          </w:p>
          <w:p w14:paraId="683DF4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泥浆通过钻杆立柱不断</w:t>
            </w:r>
            <w:r>
              <w:rPr>
                <w:rFonts w:hint="eastAsia" w:ascii="Times New Roman" w:hAnsi="Times New Roman" w:cs="Times New Roman"/>
                <w:color w:val="auto"/>
                <w:kern w:val="0"/>
                <w:sz w:val="24"/>
                <w:lang w:eastAsia="zh-CN"/>
              </w:rPr>
              <w:t>地</w:t>
            </w:r>
            <w:r>
              <w:rPr>
                <w:rFonts w:hint="default" w:ascii="Times New Roman" w:hAnsi="Times New Roman" w:cs="Times New Roman"/>
                <w:color w:val="auto"/>
                <w:kern w:val="0"/>
                <w:sz w:val="24"/>
              </w:rPr>
              <w:t>由井口进入井底，带动钻头旋转不断切割岩石，同时泥浆夹带着产生的岩屑由钻杆与井壁之间的环形空间返回至井口。</w:t>
            </w:r>
          </w:p>
          <w:p w14:paraId="45D25C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泥浆钻</w:t>
            </w:r>
            <w:r>
              <w:rPr>
                <w:rFonts w:hint="eastAsia" w:ascii="Times New Roman" w:hAnsi="Times New Roman" w:cs="Times New Roman"/>
                <w:bCs/>
                <w:color w:val="auto"/>
                <w:sz w:val="24"/>
                <w:lang w:val="en-US" w:eastAsia="zh-CN"/>
              </w:rPr>
              <w:t>进</w:t>
            </w:r>
            <w:r>
              <w:rPr>
                <w:rFonts w:hint="default" w:ascii="Times New Roman" w:hAnsi="Times New Roman" w:cs="Times New Roman"/>
                <w:bCs/>
                <w:color w:val="auto"/>
                <w:sz w:val="24"/>
              </w:rPr>
              <w:t>阶段，钻井循环系统振动筛、除砂器、除泥器产生的钻井废弃物通过滑槽及螺旋传输器运至岩屑接收罐暂存。如果钻井废弃物中岩屑含量高则经过振动筛分离岩屑，避免岩屑对设备及管线的磨损后进入脱稳反应装置，如果岩屑含量低直接提升到脱稳反应装置中，当废弃泥浆产生量大于设备处理能力或设备临时检维修时废弃泥浆泵入应急暂存罐临时存放，在具备处置条件后再泵入系统进行处置。脱稳的钻井废弃物通过进料泵送入压滤机中进行固液分离（液相用于</w:t>
            </w:r>
            <w:r>
              <w:rPr>
                <w:rFonts w:hint="eastAsia" w:cs="Times New Roman"/>
                <w:bCs/>
                <w:color w:val="auto"/>
                <w:sz w:val="24"/>
                <w:lang w:eastAsia="zh-CN"/>
              </w:rPr>
              <w:t>配制</w:t>
            </w:r>
            <w:r>
              <w:rPr>
                <w:rFonts w:hint="default" w:ascii="Times New Roman" w:hAnsi="Times New Roman" w:cs="Times New Roman"/>
                <w:bCs/>
                <w:color w:val="auto"/>
                <w:sz w:val="24"/>
              </w:rPr>
              <w:t>泥浆），处置后泥饼含水率一般保持在40%~50%的范围内，泥饼暂存于岩屑暂存罐。</w:t>
            </w:r>
            <w:r>
              <w:rPr>
                <w:rFonts w:hint="eastAsia" w:cs="Times New Roman"/>
                <w:bCs/>
                <w:color w:val="auto"/>
                <w:sz w:val="24"/>
                <w:lang w:val="en-US" w:eastAsia="zh-CN"/>
              </w:rPr>
              <w:t>交由</w:t>
            </w:r>
            <w:r>
              <w:rPr>
                <w:rFonts w:hint="eastAsia" w:ascii="Times New Roman" w:hAnsi="Times New Roman" w:cs="Times New Roman"/>
                <w:bCs/>
                <w:color w:val="auto"/>
                <w:sz w:val="24"/>
              </w:rPr>
              <w:t>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148E7AC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钻井废泥浆和岩屑</w:t>
            </w:r>
            <w:r>
              <w:rPr>
                <w:rFonts w:hint="eastAsia" w:ascii="Times New Roman" w:hAnsi="Times New Roman" w:cs="Times New Roman"/>
                <w:color w:val="auto"/>
                <w:kern w:val="0"/>
                <w:sz w:val="24"/>
                <w:lang w:val="en-US" w:eastAsia="zh-CN"/>
              </w:rPr>
              <w:t>压滤液</w:t>
            </w:r>
            <w:r>
              <w:rPr>
                <w:rFonts w:hint="default" w:ascii="Times New Roman" w:hAnsi="Times New Roman" w:cs="Times New Roman"/>
                <w:color w:val="auto"/>
                <w:kern w:val="0"/>
                <w:sz w:val="24"/>
              </w:rPr>
              <w:t>回用于</w:t>
            </w:r>
            <w:r>
              <w:rPr>
                <w:rFonts w:hint="eastAsia" w:ascii="Times New Roman" w:hAnsi="Times New Roman" w:cs="Times New Roman"/>
                <w:color w:val="auto"/>
                <w:kern w:val="0"/>
                <w:sz w:val="24"/>
                <w:lang w:val="en-US" w:eastAsia="zh-CN"/>
              </w:rPr>
              <w:t>钻井</w:t>
            </w:r>
            <w:r>
              <w:rPr>
                <w:rFonts w:hint="default" w:ascii="Times New Roman" w:hAnsi="Times New Roman" w:cs="Times New Roman"/>
                <w:color w:val="auto"/>
                <w:kern w:val="0"/>
                <w:sz w:val="24"/>
              </w:rPr>
              <w:t>泥浆配制，不能回用的废水</w:t>
            </w:r>
            <w:r>
              <w:rPr>
                <w:rFonts w:hint="eastAsia" w:ascii="Times New Roman" w:hAnsi="Times New Roman" w:cs="Times New Roman"/>
                <w:color w:val="auto"/>
                <w:kern w:val="0"/>
                <w:sz w:val="24"/>
              </w:rPr>
              <w:t>交由符合环保要求且有处理能力的钻井废水处理公司进行处理</w:t>
            </w:r>
            <w:r>
              <w:rPr>
                <w:rFonts w:hint="default" w:ascii="Times New Roman" w:hAnsi="Times New Roman" w:cs="Times New Roman"/>
                <w:color w:val="auto"/>
                <w:kern w:val="0"/>
                <w:sz w:val="24"/>
              </w:rPr>
              <w:t>。</w:t>
            </w:r>
          </w:p>
          <w:p w14:paraId="2A4AC9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根据钻井设计，泥浆不落地装置现场配备固液分离设备，设备主要由接收、脱稳和固液分离单元构成，现场配备岩屑接收罐、岩屑暂存罐、脱稳剂配置罐，其中一个脱稳剂配置罐</w:t>
            </w:r>
            <w:r>
              <w:rPr>
                <w:rFonts w:hint="eastAsia" w:ascii="Times New Roman" w:hAnsi="Times New Roman" w:cs="Times New Roman"/>
                <w:color w:val="auto"/>
                <w:kern w:val="0"/>
                <w:sz w:val="24"/>
              </w:rPr>
              <w:t>可作为</w:t>
            </w:r>
            <w:r>
              <w:rPr>
                <w:rFonts w:hint="default" w:ascii="Times New Roman" w:hAnsi="Times New Roman" w:cs="Times New Roman"/>
                <w:color w:val="auto"/>
                <w:kern w:val="0"/>
                <w:sz w:val="24"/>
              </w:rPr>
              <w:t>应急暂存罐使用。</w:t>
            </w:r>
          </w:p>
          <w:p w14:paraId="1BB8C752">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object>
                <v:shape id="_x0000_i1028" o:spt="75" type="#_x0000_t75" style="height:359.7pt;width:373.35pt;" o:ole="t" filled="f" o:preferrelative="t" stroked="f" coordsize="21600,21600">
                  <v:path/>
                  <v:fill on="f" focussize="0,0"/>
                  <v:stroke on="f"/>
                  <v:imagedata r:id="rId18" o:title=""/>
                  <o:lock v:ext="edit" aspectratio="f"/>
                  <w10:wrap type="none"/>
                  <w10:anchorlock/>
                </v:shape>
                <o:OLEObject Type="Embed" ProgID="Visio.Drawing.15" ShapeID="_x0000_i1028" DrawAspect="Content" ObjectID="_1468075728" r:id="rId17">
                  <o:LockedField>false</o:LockedField>
                </o:OLEObject>
              </w:object>
            </w:r>
          </w:p>
          <w:p w14:paraId="769F97A5">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水基泥浆钻井阶段作业流程及产污环节图</w:t>
            </w:r>
          </w:p>
          <w:p w14:paraId="18B5592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由上图可知，常规钻井阶段产生的污染物主要为钻机、泥浆泵、振动筛和离心机等设备产生的噪声；钻井作业过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产生的水基岩屑、废弃的水基泥浆</w:t>
            </w:r>
            <w:r>
              <w:rPr>
                <w:rFonts w:hint="eastAsia" w:ascii="Times New Roman" w:hAnsi="Times New Roman" w:cs="Times New Roman"/>
                <w:color w:val="auto"/>
                <w:kern w:val="0"/>
                <w:sz w:val="24"/>
              </w:rPr>
              <w:t>；</w:t>
            </w:r>
            <w:r>
              <w:rPr>
                <w:rFonts w:hint="default" w:ascii="Times New Roman" w:hAnsi="Times New Roman" w:cs="Times New Roman"/>
                <w:color w:val="auto"/>
                <w:sz w:val="24"/>
              </w:rPr>
              <w:t>散落的钻井泥浆原辅材料、废包装材料，钻井施工人员产生的生活垃圾等；此外，钻井过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各钻井设备将使用润滑油，将产生少量废油等。钻井过程产生的经处理后不能回用的废水。气体钻井阶段产生的扬尘、测试及事故放喷废气、</w:t>
            </w:r>
            <w:r>
              <w:rPr>
                <w:rFonts w:hint="eastAsia" w:ascii="Times New Roman" w:hAnsi="Times New Roman" w:cs="Times New Roman"/>
                <w:color w:val="auto"/>
                <w:sz w:val="24"/>
                <w:lang w:val="en-US" w:eastAsia="zh-CN"/>
              </w:rPr>
              <w:t>备用</w:t>
            </w:r>
            <w:r>
              <w:rPr>
                <w:rFonts w:hint="default" w:ascii="Times New Roman" w:hAnsi="Times New Roman" w:cs="Times New Roman"/>
                <w:color w:val="auto"/>
                <w:sz w:val="24"/>
              </w:rPr>
              <w:t>柴油发电机废气等。钻井过程严格按照钻井作业指导书进行，尽量提高泥浆的循环利用率，钻井过程中水基泥浆实现90%循环利用。</w:t>
            </w:r>
          </w:p>
          <w:p w14:paraId="5610F9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eastAsia" w:cs="Times New Roman"/>
                <w:b w:val="0"/>
                <w:bCs/>
                <w:color w:val="auto"/>
                <w:sz w:val="24"/>
                <w:lang w:val="en-US" w:eastAsia="zh-CN"/>
              </w:rPr>
              <w:t>2）</w:t>
            </w:r>
            <w:r>
              <w:rPr>
                <w:rFonts w:hint="default" w:ascii="Times New Roman" w:hAnsi="Times New Roman" w:cs="Times New Roman"/>
                <w:b w:val="0"/>
                <w:bCs/>
                <w:color w:val="auto"/>
                <w:sz w:val="24"/>
              </w:rPr>
              <w:t>钻井液循环工艺</w:t>
            </w:r>
          </w:p>
          <w:p w14:paraId="324165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钻井泥浆系统是钻井工程的核心部分，泥浆循环系统主要包括钻井液振动筛、真空除气器、除砂器、除泥器，除砂除泥一体机、液气分离器、搅拌器、砂泵、泥浆罐等石油钻井固控设备及成套泥浆循环系统，泥浆循环系统，适用于油井、水井钻探中泥浆循环作业。箱体外壳均用钢板压制成型，外形美观，强度高。</w:t>
            </w:r>
          </w:p>
          <w:p w14:paraId="06476D9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井底返出的钻井泥浆首先经过振动筛清除较大的固相颗粒，再通过不同规格的除砂器和除泥器对钻井液进一步进行固相分离，分离得到的泥浆经离心机除气处理（避免泥浆中含气量增加导致泥浆密度偏低，井下可燃气体影响泥浆使用安全等）后回用于钻井过程，实现钻井泥浆的最大化循环重复利用。</w:t>
            </w:r>
          </w:p>
          <w:p w14:paraId="727557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szCs w:val="21"/>
              </w:rPr>
            </w:pPr>
            <w:r>
              <w:rPr>
                <w:rFonts w:hint="eastAsia" w:cs="Times New Roman"/>
                <w:b w:val="0"/>
                <w:bCs/>
                <w:color w:val="auto"/>
                <w:kern w:val="0"/>
                <w:sz w:val="24"/>
                <w:szCs w:val="21"/>
                <w:lang w:val="en-US" w:eastAsia="zh-CN"/>
              </w:rPr>
              <w:t>3）</w:t>
            </w:r>
            <w:r>
              <w:rPr>
                <w:rFonts w:hint="default" w:ascii="Times New Roman" w:hAnsi="Times New Roman" w:cs="Times New Roman"/>
                <w:b w:val="0"/>
                <w:bCs/>
                <w:color w:val="auto"/>
                <w:kern w:val="0"/>
                <w:sz w:val="24"/>
                <w:szCs w:val="21"/>
              </w:rPr>
              <w:t>泥浆不落地工艺</w:t>
            </w:r>
          </w:p>
          <w:p w14:paraId="460372F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本工程采用泥浆不落地工艺，污染物随钻随处理，不落地处理技术。</w:t>
            </w:r>
          </w:p>
          <w:p w14:paraId="787D9D9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eastAsia" w:cs="Times New Roman"/>
                <w:color w:val="auto"/>
                <w:kern w:val="0"/>
                <w:sz w:val="24"/>
                <w:szCs w:val="21"/>
                <w:lang w:val="en-US" w:eastAsia="zh-CN"/>
              </w:rPr>
              <w:t>①</w:t>
            </w:r>
            <w:r>
              <w:rPr>
                <w:rFonts w:hint="default" w:ascii="Times New Roman" w:hAnsi="Times New Roman" w:cs="Times New Roman"/>
                <w:color w:val="auto"/>
                <w:kern w:val="0"/>
                <w:sz w:val="24"/>
                <w:szCs w:val="21"/>
              </w:rPr>
              <w:t>泥浆循环及岩屑处理不落地方案</w:t>
            </w:r>
          </w:p>
          <w:p w14:paraId="5443EE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泥浆循环系统分离产生的废泥浆（失效泥浆）按照泥浆不落地方案，通过泥浆不落地方案配备的螺旋输送装置输送进岩屑接收罐，</w:t>
            </w:r>
            <w:r>
              <w:rPr>
                <w:rFonts w:hint="default" w:ascii="Times New Roman" w:hAnsi="Times New Roman" w:cs="Times New Roman"/>
                <w:bCs/>
                <w:color w:val="auto"/>
                <w:sz w:val="24"/>
                <w:highlight w:val="none"/>
              </w:rPr>
              <w:t>收集后</w:t>
            </w:r>
            <w:r>
              <w:rPr>
                <w:rFonts w:hint="eastAsia" w:cs="Times New Roman"/>
                <w:bCs/>
                <w:color w:val="auto"/>
                <w:sz w:val="24"/>
                <w:highlight w:val="none"/>
                <w:lang w:val="en-US" w:eastAsia="zh-CN"/>
              </w:rPr>
              <w:t>由</w:t>
            </w:r>
            <w:r>
              <w:rPr>
                <w:rFonts w:hint="default" w:ascii="Times New Roman" w:hAnsi="Times New Roman" w:cs="Times New Roman"/>
                <w:bCs/>
                <w:color w:val="auto"/>
                <w:sz w:val="24"/>
                <w:highlight w:val="none"/>
              </w:rPr>
              <w:t>井场泥浆不落地平台进行</w:t>
            </w:r>
            <w:r>
              <w:rPr>
                <w:rFonts w:hint="eastAsia" w:ascii="Times New Roman" w:hAnsi="Times New Roman" w:cs="Times New Roman"/>
                <w:bCs/>
                <w:color w:val="auto"/>
                <w:sz w:val="24"/>
                <w:highlight w:val="none"/>
                <w:lang w:val="en-US" w:eastAsia="zh-CN"/>
              </w:rPr>
              <w:t>板框压滤</w:t>
            </w:r>
            <w:r>
              <w:rPr>
                <w:rFonts w:hint="default" w:ascii="Times New Roman" w:hAnsi="Times New Roman" w:cs="Times New Roman"/>
                <w:bCs/>
                <w:color w:val="auto"/>
                <w:sz w:val="24"/>
                <w:highlight w:val="none"/>
              </w:rPr>
              <w:t>脱水处理</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含水率低于60%</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，脱水产生的废水</w:t>
            </w:r>
            <w:r>
              <w:rPr>
                <w:rFonts w:hint="default" w:ascii="Times New Roman" w:hAnsi="Times New Roman" w:eastAsia="宋体" w:cs="Times New Roman"/>
                <w:bCs/>
                <w:color w:val="auto"/>
                <w:sz w:val="24"/>
                <w:highlight w:val="none"/>
              </w:rPr>
              <w:t>回用于</w:t>
            </w:r>
            <w:r>
              <w:rPr>
                <w:rFonts w:hint="eastAsia" w:ascii="Times New Roman" w:hAnsi="Times New Roman" w:eastAsia="宋体" w:cs="Times New Roman"/>
                <w:bCs/>
                <w:color w:val="auto"/>
                <w:sz w:val="24"/>
                <w:highlight w:val="none"/>
                <w:lang w:val="en-US" w:eastAsia="zh-CN"/>
              </w:rPr>
              <w:t>钻井泥浆</w:t>
            </w:r>
            <w:r>
              <w:rPr>
                <w:rFonts w:hint="default" w:ascii="Times New Roman" w:hAnsi="Times New Roman" w:eastAsia="宋体" w:cs="Times New Roman"/>
                <w:bCs/>
                <w:color w:val="auto"/>
                <w:sz w:val="24"/>
                <w:highlight w:val="none"/>
              </w:rPr>
              <w:t>配制</w:t>
            </w:r>
            <w:r>
              <w:rPr>
                <w:rFonts w:hint="default" w:ascii="Times New Roman" w:hAnsi="Times New Roman" w:cs="Times New Roman"/>
                <w:bCs/>
                <w:color w:val="auto"/>
                <w:sz w:val="24"/>
              </w:rPr>
              <w:t>。本项目水基钻井岩屑收集至清洁生产操作平台内的岩屑接收罐，</w:t>
            </w:r>
            <w:r>
              <w:rPr>
                <w:rFonts w:hint="eastAsia" w:cs="Times New Roman"/>
                <w:bCs/>
                <w:color w:val="auto"/>
                <w:sz w:val="24"/>
                <w:lang w:eastAsia="zh-CN"/>
              </w:rPr>
              <w:t>交由</w:t>
            </w:r>
            <w:r>
              <w:rPr>
                <w:rFonts w:hint="default" w:ascii="Times New Roman" w:hAnsi="Times New Roman" w:cs="Times New Roman"/>
                <w:bCs/>
                <w:color w:val="auto"/>
                <w:sz w:val="24"/>
              </w:rPr>
              <w:t>符合环保要求且有处理能力的砖厂、水泥厂</w:t>
            </w:r>
            <w:r>
              <w:rPr>
                <w:rFonts w:hint="eastAsia" w:ascii="Times New Roman" w:hAnsi="Times New Roman" w:cs="Times New Roman"/>
                <w:bCs/>
                <w:color w:val="auto"/>
                <w:sz w:val="24"/>
                <w:lang w:val="en-US" w:eastAsia="zh-CN"/>
              </w:rPr>
              <w:t>等进行资源化利用</w:t>
            </w:r>
            <w:r>
              <w:rPr>
                <w:rFonts w:hint="default" w:ascii="Times New Roman" w:hAnsi="Times New Roman" w:cs="Times New Roman"/>
                <w:bCs/>
                <w:color w:val="auto"/>
                <w:sz w:val="24"/>
              </w:rPr>
              <w:t>。</w:t>
            </w:r>
          </w:p>
          <w:p w14:paraId="24DA2E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val="en-US" w:eastAsia="zh-CN"/>
              </w:rPr>
              <w:t>②</w:t>
            </w:r>
            <w:r>
              <w:rPr>
                <w:rFonts w:hint="default" w:ascii="Times New Roman" w:hAnsi="Times New Roman" w:cs="Times New Roman"/>
                <w:bCs/>
                <w:color w:val="auto"/>
                <w:sz w:val="24"/>
              </w:rPr>
              <w:t>设备冲洗水收集处理</w:t>
            </w:r>
          </w:p>
          <w:p w14:paraId="585BEB7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正常钻进期间对井场内场地清洁主要采取清扫作业方式，对工艺设备主要采取擦拭等用水量少的清洁方式，减少清洁用水以及废水产生量。在钻井中途停钻，以及下钻具更换钻头等作业时需对井下钻井设备（钻杆、钻头等）进行冲洗清洁作业。井场内冲洗作业经场内污水沟汇集到</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cs="Times New Roman"/>
                <w:bCs/>
                <w:color w:val="auto"/>
                <w:kern w:val="0"/>
                <w:sz w:val="24"/>
                <w:szCs w:val="21"/>
              </w:rPr>
              <w:t>处理后上清液回用（用于补充水基泥浆的调配用水、钻具清洁冲洗用水）。</w:t>
            </w:r>
          </w:p>
          <w:p w14:paraId="69BC8D4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eastAsia" w:cs="Times New Roman"/>
                <w:color w:val="auto"/>
                <w:kern w:val="0"/>
                <w:sz w:val="24"/>
                <w:szCs w:val="21"/>
                <w:lang w:val="en-US" w:eastAsia="zh-CN"/>
              </w:rPr>
              <w:t>③</w:t>
            </w:r>
            <w:r>
              <w:rPr>
                <w:rFonts w:hint="eastAsia" w:ascii="Times New Roman" w:hAnsi="Times New Roman" w:cs="Times New Roman"/>
                <w:color w:val="auto"/>
                <w:kern w:val="0"/>
                <w:sz w:val="24"/>
                <w:szCs w:val="21"/>
                <w:lang w:val="en-US" w:eastAsia="zh-CN"/>
              </w:rPr>
              <w:t>井场内</w:t>
            </w:r>
            <w:r>
              <w:rPr>
                <w:rFonts w:hint="default" w:ascii="Times New Roman" w:hAnsi="Times New Roman" w:cs="Times New Roman"/>
                <w:color w:val="auto"/>
                <w:kern w:val="0"/>
                <w:sz w:val="24"/>
                <w:szCs w:val="21"/>
              </w:rPr>
              <w:t>雨水收集处理</w:t>
            </w:r>
          </w:p>
          <w:p w14:paraId="43C89C6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cs="Times New Roman"/>
                <w:bCs/>
                <w:color w:val="auto"/>
                <w:sz w:val="24"/>
                <w:highlight w:val="none"/>
                <w:lang w:val="en-US" w:eastAsia="zh-CN"/>
              </w:rPr>
              <w:t>多功能网格池</w:t>
            </w:r>
            <w:r>
              <w:rPr>
                <w:rFonts w:hint="eastAsia" w:ascii="Times New Roman" w:hAnsi="Times New Roman" w:cs="Times New Roman"/>
                <w:bCs/>
                <w:color w:val="auto"/>
                <w:sz w:val="24"/>
                <w:highlight w:val="none"/>
                <w:lang w:val="en-US" w:eastAsia="zh-CN"/>
              </w:rPr>
              <w:t>组），</w:t>
            </w:r>
            <w:r>
              <w:rPr>
                <w:rFonts w:hint="eastAsia" w:cs="Times New Roman"/>
                <w:bCs/>
                <w:color w:val="auto"/>
                <w:sz w:val="24"/>
                <w:highlight w:val="none"/>
                <w:lang w:val="en-US" w:eastAsia="zh-CN"/>
              </w:rPr>
              <w:t>后期清洁雨水</w:t>
            </w:r>
            <w:r>
              <w:rPr>
                <w:rFonts w:hint="eastAsia" w:ascii="Times New Roman" w:hAnsi="Times New Roman" w:cs="Times New Roman"/>
                <w:bCs/>
                <w:color w:val="auto"/>
                <w:sz w:val="24"/>
                <w:highlight w:val="none"/>
                <w:lang w:val="en-US" w:eastAsia="zh-CN"/>
              </w:rPr>
              <w:t>通过重力流排向周边环境。</w:t>
            </w:r>
            <w:r>
              <w:rPr>
                <w:rFonts w:hint="default" w:ascii="Times New Roman" w:hAnsi="Times New Roman" w:cs="Times New Roman"/>
                <w:bCs/>
                <w:color w:val="auto"/>
                <w:sz w:val="24"/>
                <w:highlight w:val="none"/>
                <w:lang w:val="en-US" w:eastAsia="zh-CN"/>
              </w:rPr>
              <w:t>井场外</w:t>
            </w:r>
            <w:r>
              <w:rPr>
                <w:rFonts w:hint="eastAsia" w:ascii="Times New Roman" w:hAnsi="Times New Roman" w:cs="Times New Roman"/>
                <w:bCs/>
                <w:color w:val="auto"/>
                <w:sz w:val="24"/>
                <w:highlight w:val="none"/>
                <w:lang w:val="en-US" w:eastAsia="zh-CN"/>
              </w:rPr>
              <w:t>北侧</w:t>
            </w:r>
            <w:r>
              <w:rPr>
                <w:rFonts w:hint="default" w:ascii="Times New Roman" w:hAnsi="Times New Roman" w:cs="Times New Roman"/>
                <w:bCs/>
                <w:color w:val="auto"/>
                <w:sz w:val="24"/>
                <w:highlight w:val="none"/>
                <w:lang w:val="en-US" w:eastAsia="zh-CN"/>
              </w:rPr>
              <w:t>设截水沟</w:t>
            </w:r>
            <w:r>
              <w:rPr>
                <w:rFonts w:hint="eastAsia" w:ascii="Times New Roman" w:hAnsi="Times New Roman" w:cs="Times New Roman"/>
                <w:bCs/>
                <w:color w:val="auto"/>
                <w:sz w:val="24"/>
                <w:highlight w:val="none"/>
                <w:lang w:val="en-US" w:eastAsia="zh-CN"/>
              </w:rPr>
              <w:t>及场外清水沟</w:t>
            </w:r>
            <w:r>
              <w:rPr>
                <w:rFonts w:hint="default" w:ascii="Times New Roman" w:hAnsi="Times New Roman"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井场外</w:t>
            </w:r>
            <w:r>
              <w:rPr>
                <w:rFonts w:hint="default" w:ascii="Times New Roman" w:hAnsi="Times New Roman" w:cs="Times New Roman"/>
                <w:bCs/>
                <w:color w:val="auto"/>
                <w:sz w:val="24"/>
                <w:highlight w:val="none"/>
                <w:lang w:val="en-US" w:eastAsia="zh-CN"/>
              </w:rPr>
              <w:t>雨水</w:t>
            </w:r>
            <w:r>
              <w:rPr>
                <w:rFonts w:hint="eastAsia" w:ascii="Times New Roman" w:hAnsi="Times New Roman" w:cs="Times New Roman"/>
                <w:bCs/>
                <w:color w:val="auto"/>
                <w:sz w:val="24"/>
                <w:highlight w:val="none"/>
                <w:lang w:val="en-US" w:eastAsia="zh-CN"/>
              </w:rPr>
              <w:t>由</w:t>
            </w:r>
            <w:r>
              <w:rPr>
                <w:rFonts w:hint="default" w:ascii="Times New Roman" w:hAnsi="Times New Roman" w:cs="Times New Roman"/>
                <w:bCs/>
                <w:color w:val="auto"/>
                <w:sz w:val="24"/>
                <w:highlight w:val="none"/>
                <w:lang w:val="en-US" w:eastAsia="zh-CN"/>
              </w:rPr>
              <w:t>截水沟</w:t>
            </w:r>
            <w:r>
              <w:rPr>
                <w:rFonts w:hint="eastAsia" w:ascii="Times New Roman" w:hAnsi="Times New Roman" w:cs="Times New Roman"/>
                <w:bCs/>
                <w:color w:val="auto"/>
                <w:sz w:val="24"/>
                <w:highlight w:val="none"/>
                <w:lang w:val="en-US" w:eastAsia="zh-CN"/>
              </w:rPr>
              <w:t>截留</w:t>
            </w:r>
            <w:r>
              <w:rPr>
                <w:rFonts w:hint="default" w:ascii="Times New Roman" w:hAnsi="Times New Roman" w:cs="Times New Roman"/>
                <w:bCs/>
                <w:color w:val="auto"/>
                <w:sz w:val="24"/>
                <w:highlight w:val="none"/>
                <w:lang w:val="en-US" w:eastAsia="zh-CN"/>
              </w:rPr>
              <w:t>，再</w:t>
            </w:r>
            <w:r>
              <w:rPr>
                <w:rFonts w:hint="eastAsia" w:ascii="Times New Roman" w:hAnsi="Times New Roman" w:cs="Times New Roman"/>
                <w:bCs/>
                <w:color w:val="auto"/>
                <w:sz w:val="24"/>
                <w:highlight w:val="none"/>
                <w:lang w:val="en-US" w:eastAsia="zh-CN"/>
              </w:rPr>
              <w:t>通过场外清水沟</w:t>
            </w:r>
            <w:r>
              <w:rPr>
                <w:rFonts w:hint="default" w:ascii="Times New Roman" w:hAnsi="Times New Roman" w:cs="Times New Roman"/>
                <w:bCs/>
                <w:color w:val="auto"/>
                <w:sz w:val="24"/>
                <w:highlight w:val="none"/>
                <w:lang w:val="en-US" w:eastAsia="zh-CN"/>
              </w:rPr>
              <w:t>排向</w:t>
            </w:r>
            <w:r>
              <w:rPr>
                <w:rFonts w:hint="eastAsia" w:ascii="Times New Roman" w:hAnsi="Times New Roman" w:cs="Times New Roman"/>
                <w:bCs/>
                <w:color w:val="auto"/>
                <w:sz w:val="24"/>
                <w:highlight w:val="none"/>
                <w:lang w:val="en-US" w:eastAsia="zh-CN"/>
              </w:rPr>
              <w:t>周边环境，以</w:t>
            </w:r>
            <w:r>
              <w:rPr>
                <w:rFonts w:hint="default" w:ascii="Times New Roman" w:hAnsi="Times New Roman" w:cs="Times New Roman"/>
                <w:bCs/>
                <w:color w:val="auto"/>
                <w:sz w:val="24"/>
                <w:highlight w:val="none"/>
                <w:lang w:val="en-US" w:eastAsia="zh-CN"/>
              </w:rPr>
              <w:t>防止场外雨水通过地面漫流等形式进入井场内</w:t>
            </w:r>
            <w:r>
              <w:rPr>
                <w:rFonts w:hint="eastAsia" w:ascii="Times New Roman" w:hAnsi="Times New Roman" w:cs="Times New Roman"/>
                <w:bCs/>
                <w:color w:val="auto"/>
                <w:sz w:val="24"/>
                <w:highlight w:val="none"/>
                <w:lang w:val="en-US" w:eastAsia="zh-CN"/>
              </w:rPr>
              <w:t>。</w:t>
            </w:r>
          </w:p>
          <w:p w14:paraId="65355E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eastAsia" w:cs="Times New Roman"/>
                <w:b w:val="0"/>
                <w:bCs/>
                <w:color w:val="auto"/>
                <w:sz w:val="24"/>
                <w:lang w:val="en-US" w:eastAsia="zh-CN"/>
              </w:rPr>
              <w:t>4）</w:t>
            </w:r>
            <w:r>
              <w:rPr>
                <w:rFonts w:hint="default" w:ascii="Times New Roman" w:hAnsi="Times New Roman" w:cs="Times New Roman"/>
                <w:b w:val="0"/>
                <w:bCs/>
                <w:color w:val="auto"/>
                <w:sz w:val="24"/>
              </w:rPr>
              <w:t>固井作业</w:t>
            </w:r>
          </w:p>
          <w:p w14:paraId="0448C42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固井是在已钻成的井眼内下入套管，然后在套管与井壁之间</w:t>
            </w:r>
            <w:r>
              <w:rPr>
                <w:rFonts w:hint="eastAsia" w:ascii="Times New Roman" w:hAnsi="Times New Roman" w:cs="Times New Roman"/>
                <w:color w:val="auto"/>
                <w:sz w:val="24"/>
              </w:rPr>
              <w:t>环孔</w:t>
            </w:r>
            <w:r>
              <w:rPr>
                <w:rFonts w:hint="default" w:ascii="Times New Roman" w:hAnsi="Times New Roman" w:cs="Times New Roman"/>
                <w:color w:val="auto"/>
                <w:sz w:val="24"/>
              </w:rPr>
              <w:t>内注入水泥浆将套管和地层固结在一起的工艺过程。固井作业与钻井过程交替进行，各井段钻至预定深度后，下套管进行本井段固井作业，然后开始下一井段钻进及固井，依次交替进行，直至钻至目的深度并下套管固井。</w:t>
            </w:r>
          </w:p>
          <w:p w14:paraId="7EF694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eastAsia" w:cs="Times New Roman"/>
                <w:b w:val="0"/>
                <w:bCs/>
                <w:color w:val="auto"/>
                <w:sz w:val="24"/>
                <w:lang w:val="en-US" w:eastAsia="zh-CN"/>
              </w:rPr>
              <w:t>5）</w:t>
            </w:r>
            <w:r>
              <w:rPr>
                <w:rFonts w:hint="default" w:ascii="Times New Roman" w:hAnsi="Times New Roman" w:cs="Times New Roman"/>
                <w:b w:val="0"/>
                <w:bCs/>
                <w:color w:val="auto"/>
                <w:sz w:val="24"/>
              </w:rPr>
              <w:t>完钻设备搬迁</w:t>
            </w:r>
          </w:p>
          <w:p w14:paraId="2FB883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kern w:val="0"/>
                <w:sz w:val="24"/>
                <w:szCs w:val="21"/>
              </w:rPr>
            </w:pPr>
            <w:r>
              <w:rPr>
                <w:rFonts w:hint="default" w:ascii="Times New Roman" w:hAnsi="Times New Roman" w:cs="Times New Roman"/>
                <w:color w:val="auto"/>
                <w:kern w:val="0"/>
                <w:sz w:val="24"/>
                <w:szCs w:val="21"/>
              </w:rPr>
              <w:t>当钻井钻至产层后，将对气井进行</w:t>
            </w:r>
            <w:r>
              <w:rPr>
                <w:rFonts w:hint="eastAsia" w:ascii="Times New Roman" w:hAnsi="Times New Roman" w:cs="Times New Roman"/>
                <w:color w:val="auto"/>
                <w:kern w:val="0"/>
                <w:sz w:val="24"/>
                <w:szCs w:val="21"/>
              </w:rPr>
              <w:t>储层改造</w:t>
            </w:r>
            <w:r>
              <w:rPr>
                <w:rFonts w:hint="default" w:ascii="Times New Roman" w:hAnsi="Times New Roman" w:cs="Times New Roman"/>
                <w:color w:val="auto"/>
                <w:kern w:val="0"/>
                <w:sz w:val="24"/>
                <w:szCs w:val="21"/>
              </w:rPr>
              <w:t>作业，在进行</w:t>
            </w:r>
            <w:r>
              <w:rPr>
                <w:rFonts w:hint="eastAsia" w:ascii="Times New Roman" w:hAnsi="Times New Roman" w:cs="Times New Roman"/>
                <w:color w:val="auto"/>
                <w:kern w:val="0"/>
                <w:sz w:val="24"/>
                <w:szCs w:val="21"/>
              </w:rPr>
              <w:t>储层改造</w:t>
            </w:r>
            <w:r>
              <w:rPr>
                <w:rFonts w:hint="default" w:ascii="Times New Roman" w:hAnsi="Times New Roman" w:cs="Times New Roman"/>
                <w:color w:val="auto"/>
                <w:kern w:val="0"/>
                <w:sz w:val="24"/>
                <w:szCs w:val="21"/>
              </w:rPr>
              <w:t>作业前需对钻井设备进行搬迁，为下一步</w:t>
            </w:r>
            <w:r>
              <w:rPr>
                <w:rFonts w:hint="eastAsia" w:ascii="Times New Roman" w:hAnsi="Times New Roman" w:cs="Times New Roman"/>
                <w:color w:val="auto"/>
                <w:kern w:val="0"/>
                <w:sz w:val="24"/>
                <w:szCs w:val="21"/>
              </w:rPr>
              <w:t>储层改造</w:t>
            </w:r>
            <w:r>
              <w:rPr>
                <w:rFonts w:hint="eastAsia" w:ascii="Times New Roman" w:hAnsi="Times New Roman" w:cs="Times New Roman"/>
                <w:color w:val="auto"/>
                <w:kern w:val="0"/>
                <w:sz w:val="24"/>
                <w:szCs w:val="21"/>
                <w:lang w:eastAsia="zh-CN"/>
              </w:rPr>
              <w:t>做</w:t>
            </w:r>
            <w:r>
              <w:rPr>
                <w:rFonts w:hint="default" w:ascii="Times New Roman" w:hAnsi="Times New Roman" w:cs="Times New Roman"/>
                <w:color w:val="auto"/>
                <w:kern w:val="0"/>
                <w:sz w:val="24"/>
                <w:szCs w:val="21"/>
              </w:rPr>
              <w:t>准备。</w:t>
            </w:r>
          </w:p>
          <w:p w14:paraId="2BA135F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szCs w:val="21"/>
              </w:rPr>
            </w:pPr>
            <w:r>
              <w:rPr>
                <w:rFonts w:hint="eastAsia" w:cs="Times New Roman"/>
                <w:b/>
                <w:color w:val="auto"/>
                <w:kern w:val="0"/>
                <w:sz w:val="24"/>
                <w:szCs w:val="21"/>
                <w:lang w:val="en-US" w:eastAsia="zh-CN"/>
              </w:rPr>
              <w:t>3</w:t>
            </w:r>
            <w:r>
              <w:rPr>
                <w:rFonts w:hint="default" w:ascii="Times New Roman" w:hAnsi="Times New Roman" w:cs="Times New Roman"/>
                <w:b/>
                <w:color w:val="auto"/>
                <w:kern w:val="0"/>
                <w:sz w:val="24"/>
                <w:szCs w:val="21"/>
              </w:rPr>
              <w:t>、</w:t>
            </w:r>
            <w:r>
              <w:rPr>
                <w:rFonts w:hint="eastAsia" w:ascii="Times New Roman" w:hAnsi="Times New Roman" w:cs="Times New Roman"/>
                <w:b/>
                <w:color w:val="auto"/>
                <w:kern w:val="0"/>
                <w:sz w:val="24"/>
                <w:szCs w:val="21"/>
              </w:rPr>
              <w:t>储层改造</w:t>
            </w:r>
            <w:r>
              <w:rPr>
                <w:rFonts w:hint="default" w:ascii="Times New Roman" w:hAnsi="Times New Roman" w:cs="Times New Roman"/>
                <w:b/>
                <w:color w:val="auto"/>
                <w:kern w:val="0"/>
                <w:sz w:val="24"/>
                <w:szCs w:val="21"/>
              </w:rPr>
              <w:t>工程作业工艺流程</w:t>
            </w:r>
          </w:p>
          <w:p w14:paraId="1955703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kern w:val="0"/>
                <w:sz w:val="24"/>
                <w:szCs w:val="21"/>
              </w:rPr>
              <w:t>当钻井钻至目的层后，将对气井进行储层改造作业，以取得该井施工段流体性质、测试产能、地层压力等详细工程资料。</w:t>
            </w:r>
            <w:r>
              <w:rPr>
                <w:rFonts w:hint="eastAsia" w:ascii="Times New Roman" w:hAnsi="Times New Roman" w:cs="Times New Roman"/>
                <w:bCs/>
                <w:color w:val="auto"/>
                <w:sz w:val="24"/>
              </w:rPr>
              <w:t>压裂即用高压将地层压开一条或几条水平的或垂直的裂缝，并用支撑剂将裂缝支撑起来，减小油、气、水的流动阻力，沟通油、气、水的流动通道，从而达到增产的效果。储层改造</w:t>
            </w:r>
            <w:r>
              <w:rPr>
                <w:rFonts w:hint="eastAsia" w:ascii="Times New Roman" w:hAnsi="Times New Roman" w:cs="Times New Roman"/>
                <w:bCs/>
                <w:color w:val="auto"/>
                <w:kern w:val="0"/>
                <w:sz w:val="24"/>
                <w:szCs w:val="21"/>
              </w:rPr>
              <w:t>作业包括射孔、压裂和测试放喷等过程，</w:t>
            </w:r>
            <w:r>
              <w:rPr>
                <w:rFonts w:hint="eastAsia" w:ascii="Times New Roman" w:hAnsi="Times New Roman" w:cs="Times New Roman"/>
                <w:bCs/>
                <w:color w:val="auto"/>
                <w:kern w:val="0"/>
                <w:sz w:val="24"/>
                <w:szCs w:val="21"/>
                <w:lang w:val="en-US" w:eastAsia="zh-CN"/>
              </w:rPr>
              <w:t>根据设计资料</w:t>
            </w:r>
            <w:r>
              <w:rPr>
                <w:rFonts w:hint="eastAsia" w:ascii="Times New Roman" w:hAnsi="Times New Roman" w:cs="Times New Roman"/>
                <w:color w:val="auto"/>
                <w:sz w:val="24"/>
              </w:rPr>
              <w:t>，</w:t>
            </w:r>
            <w:r>
              <w:rPr>
                <w:rFonts w:hint="eastAsia" w:ascii="Times New Roman" w:hAnsi="Times New Roman" w:cs="Times New Roman"/>
                <w:bCs/>
                <w:color w:val="auto"/>
                <w:sz w:val="24"/>
              </w:rPr>
              <w:t>本项目采用</w:t>
            </w:r>
            <w:r>
              <w:rPr>
                <w:rFonts w:hint="eastAsia" w:ascii="Times New Roman" w:hAnsi="Times New Roman" w:eastAsia="宋体" w:cs="Times New Roman"/>
                <w:bCs/>
                <w:color w:val="auto"/>
                <w:kern w:val="2"/>
                <w:sz w:val="24"/>
                <w:szCs w:val="24"/>
                <w:highlight w:val="none"/>
                <w:lang w:val="en-US" w:eastAsia="zh-CN" w:bidi="ar-SA"/>
              </w:rPr>
              <w:t>泵送桥塞电缆射孔联作多段压裂</w:t>
            </w:r>
            <w:r>
              <w:rPr>
                <w:rFonts w:hint="eastAsia" w:ascii="Times New Roman" w:hAnsi="Times New Roman" w:cs="Times New Roman"/>
                <w:bCs/>
                <w:color w:val="auto"/>
                <w:sz w:val="24"/>
              </w:rPr>
              <w:t>改造</w:t>
            </w:r>
            <w:r>
              <w:rPr>
                <w:rFonts w:hint="eastAsia" w:ascii="Times New Roman" w:hAnsi="Times New Roman" w:eastAsia="宋体" w:cs="Times New Roman"/>
                <w:bCs/>
                <w:color w:val="auto"/>
                <w:kern w:val="0"/>
                <w:sz w:val="24"/>
                <w:szCs w:val="21"/>
                <w:lang w:eastAsia="zh-CN"/>
              </w:rPr>
              <w:t>，</w:t>
            </w:r>
            <w:r>
              <w:rPr>
                <w:rFonts w:hint="eastAsia" w:ascii="Times New Roman" w:hAnsi="Times New Roman" w:eastAsia="宋体" w:cs="Times New Roman"/>
                <w:bCs/>
                <w:color w:val="auto"/>
                <w:kern w:val="0"/>
                <w:sz w:val="24"/>
                <w:szCs w:val="21"/>
                <w:lang w:val="en-US" w:eastAsia="zh-CN"/>
              </w:rPr>
              <w:t>目的含气层压裂段长</w:t>
            </w:r>
            <w:r>
              <w:rPr>
                <w:rFonts w:hint="eastAsia" w:cs="Times New Roman"/>
                <w:bCs/>
                <w:color w:val="auto"/>
                <w:kern w:val="0"/>
                <w:sz w:val="24"/>
                <w:szCs w:val="21"/>
                <w:lang w:val="en-US" w:eastAsia="zh-CN"/>
              </w:rPr>
              <w:t>169m</w:t>
            </w:r>
            <w:r>
              <w:rPr>
                <w:rFonts w:hint="eastAsia" w:ascii="Times New Roman" w:hAnsi="Times New Roman" w:eastAsia="宋体" w:cs="Times New Roman"/>
                <w:bCs/>
                <w:color w:val="auto"/>
                <w:kern w:val="0"/>
                <w:sz w:val="24"/>
                <w:szCs w:val="21"/>
                <w:lang w:val="en-US" w:eastAsia="zh-CN"/>
              </w:rPr>
              <w:t>，分</w:t>
            </w:r>
            <w:r>
              <w:rPr>
                <w:rFonts w:hint="eastAsia" w:cs="Times New Roman"/>
                <w:bCs/>
                <w:color w:val="auto"/>
                <w:kern w:val="0"/>
                <w:sz w:val="24"/>
                <w:szCs w:val="21"/>
                <w:lang w:val="en-US" w:eastAsia="zh-CN"/>
              </w:rPr>
              <w:t>3</w:t>
            </w:r>
            <w:r>
              <w:rPr>
                <w:rFonts w:hint="eastAsia" w:ascii="Times New Roman" w:hAnsi="Times New Roman" w:eastAsia="宋体" w:cs="Times New Roman"/>
                <w:bCs/>
                <w:color w:val="auto"/>
                <w:kern w:val="0"/>
                <w:sz w:val="24"/>
                <w:szCs w:val="21"/>
                <w:lang w:val="en-US" w:eastAsia="zh-CN"/>
              </w:rPr>
              <w:t>段加砂压裂，压裂压力约在80~100MPa之间。</w:t>
            </w:r>
            <w:r>
              <w:rPr>
                <w:rFonts w:hint="eastAsia" w:ascii="Times New Roman" w:hAnsi="Times New Roman" w:eastAsia="宋体" w:cs="Times New Roman"/>
                <w:bCs/>
                <w:color w:val="auto"/>
                <w:kern w:val="0"/>
                <w:sz w:val="24"/>
                <w:szCs w:val="21"/>
              </w:rPr>
              <w:t>储</w:t>
            </w:r>
            <w:r>
              <w:rPr>
                <w:rFonts w:hint="eastAsia" w:ascii="Times New Roman" w:hAnsi="Times New Roman" w:cs="Times New Roman"/>
                <w:color w:val="auto"/>
                <w:sz w:val="24"/>
              </w:rPr>
              <w:t>层改造</w:t>
            </w:r>
            <w:r>
              <w:rPr>
                <w:rFonts w:hint="default" w:ascii="Times New Roman" w:hAnsi="Times New Roman" w:cs="Times New Roman"/>
                <w:color w:val="auto"/>
                <w:sz w:val="24"/>
              </w:rPr>
              <w:t>工艺及产排污环节见</w:t>
            </w:r>
            <w:r>
              <w:rPr>
                <w:rFonts w:hint="eastAsia" w:ascii="Times New Roman" w:hAnsi="Times New Roman" w:cs="Times New Roman"/>
                <w:color w:val="auto"/>
                <w:sz w:val="24"/>
              </w:rPr>
              <w:t>下图</w:t>
            </w:r>
            <w:r>
              <w:rPr>
                <w:rFonts w:hint="default" w:ascii="Times New Roman" w:hAnsi="Times New Roman" w:cs="Times New Roman"/>
                <w:color w:val="auto"/>
                <w:sz w:val="24"/>
              </w:rPr>
              <w:t>。</w:t>
            </w:r>
          </w:p>
          <w:p w14:paraId="46B5C5BD">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29" o:spt="75" type="#_x0000_t75" style="height:93.9pt;width:316.6pt;" o:ole="t" filled="f" o:preferrelative="t" stroked="f" coordsize="21600,21600">
                  <v:path/>
                  <v:fill on="f" focussize="0,0"/>
                  <v:stroke on="f"/>
                  <v:imagedata r:id="rId20" o:title=""/>
                  <o:lock v:ext="edit" aspectratio="t"/>
                  <w10:wrap type="none"/>
                  <w10:anchorlock/>
                </v:shape>
                <o:OLEObject Type="Embed" ProgID="Visio.Drawing.15" ShapeID="_x0000_i1029" DrawAspect="Content" ObjectID="_1468075729" r:id="rId19">
                  <o:LockedField>false</o:LockedField>
                </o:OLEObject>
              </w:object>
            </w:r>
          </w:p>
          <w:p w14:paraId="603DF932">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储层改造作业工艺及产污环节图</w:t>
            </w:r>
          </w:p>
          <w:p w14:paraId="68493D9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val="0"/>
                <w:bCs w:val="0"/>
                <w:color w:val="auto"/>
                <w:sz w:val="24"/>
              </w:rPr>
            </w:pPr>
            <w:r>
              <w:rPr>
                <w:rFonts w:hint="eastAsia" w:ascii="Times New Roman" w:hAnsi="Times New Roman" w:cs="Times New Roman"/>
                <w:b w:val="0"/>
                <w:bCs w:val="0"/>
                <w:color w:val="auto"/>
                <w:sz w:val="24"/>
              </w:rPr>
              <w:t>（1）洗井</w:t>
            </w:r>
          </w:p>
          <w:p w14:paraId="0490CDE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本项目在进行压裂测试前将进行洗井作业，替换井下的泥浆，为下一步压裂作业做准备。</w:t>
            </w:r>
          </w:p>
          <w:p w14:paraId="5970185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rPr>
            </w:pPr>
            <w:r>
              <w:rPr>
                <w:rFonts w:hint="eastAsia" w:ascii="Times New Roman" w:hAnsi="Times New Roman" w:cs="Times New Roman"/>
                <w:b w:val="0"/>
                <w:bCs/>
                <w:color w:val="auto"/>
                <w:sz w:val="24"/>
              </w:rPr>
              <w:t>（2）射孔完井</w:t>
            </w:r>
          </w:p>
          <w:p w14:paraId="273E4E5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本工程采用射孔完井方式。射孔完井是目前国内外使用最广泛的完井方法。射孔技术是将射孔专用设备送至井下预定深度，对准目的层引爆射孔器，射孔弹被导爆索引爆后，产生高温、高压冲击波，从而穿透套管、水泥环进入地层，形成一个孔道，构成目的层至套管内连通的一项技术。射穿产层后油气井的生产能力受产层压力、产层性质、射孔参数及质量影响。</w:t>
            </w:r>
          </w:p>
          <w:p w14:paraId="398DC10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 w:val="0"/>
                <w:bCs/>
                <w:color w:val="auto"/>
                <w:sz w:val="24"/>
              </w:rPr>
            </w:pPr>
            <w:r>
              <w:rPr>
                <w:rFonts w:hint="eastAsia" w:ascii="Times New Roman" w:hAnsi="Times New Roman" w:cs="Times New Roman"/>
                <w:b w:val="0"/>
                <w:bCs/>
                <w:color w:val="auto"/>
                <w:sz w:val="24"/>
              </w:rPr>
              <w:t>（3）储层改造</w:t>
            </w:r>
          </w:p>
          <w:p w14:paraId="310202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射孔后，为提高产层的渗透能力，实施压裂作业。加砂压裂是将含纤维携砂液和纯冻胶间隔液以交替循环的方式泵入油气井裂缝内，进入油气井裂缝内的含纤维携砂液被管柱上的射孔炮眼分散成形状各异的团块状，这些团块状的含纤维携砂液由内向外堆砌在裂缝内形成砂柱，该砂柱中相邻团块状的含纤维携砂液之间缝隙被纯冻胶间隔液填充，整个砂柱的截面呈堆砌的石墙状；所述砂柱对闭合过程中的裂缝及闭合后的裂缝进行支撑，砂柱中的纯冻胶间隔液部位在破胶后形成油气的低阻力，高流速渗流通道，本发明使油气井裂缝在优异支撑的导流能力下，油气形成大面积，低阻力，高流速的渗流，进而使得油气井的单井产量被大幅增加，有效降低了油气井的开采成本，实用性强，可靠性高。</w:t>
            </w:r>
          </w:p>
          <w:p w14:paraId="4A8F89D6">
            <w:pPr>
              <w:keepNext w:val="0"/>
              <w:keepLines w:val="0"/>
              <w:widowControl/>
              <w:suppressLineNumbers w:val="0"/>
              <w:spacing w:before="0" w:beforeAutospacing="0" w:after="0" w:afterAutospacing="0" w:line="360" w:lineRule="auto"/>
              <w:ind w:left="0" w:leftChars="0" w:right="0" w:firstLine="0" w:firstLineChars="0"/>
              <w:jc w:val="center"/>
              <w:rPr>
                <w:rFonts w:hint="eastAsia" w:ascii="Times New Roman" w:hAnsi="Times New Roman" w:cs="Times New Roman"/>
                <w:bCs/>
                <w:color w:val="auto"/>
                <w:sz w:val="24"/>
              </w:rPr>
            </w:pPr>
            <w:r>
              <w:rPr>
                <w:rFonts w:hint="default" w:ascii="Times New Roman" w:hAnsi="Times New Roman" w:cs="Times New Roman"/>
                <w:color w:val="auto"/>
              </w:rPr>
              <w:object>
                <v:shape id="_x0000_i1030" o:spt="75" type="#_x0000_t75" style="height:142.5pt;width:345.7pt;" o:ole="t" filled="f" o:preferrelative="t" stroked="f" coordsize="21600,21600">
                  <v:path/>
                  <v:fill on="f" focussize="0,0"/>
                  <v:stroke on="f"/>
                  <v:imagedata r:id="rId22" o:title=""/>
                  <o:lock v:ext="edit" aspectratio="f"/>
                  <w10:wrap type="none"/>
                  <w10:anchorlock/>
                </v:shape>
                <o:OLEObject Type="Embed" ProgID="Visio.Drawing.15" ShapeID="_x0000_i1030" DrawAspect="Content" ObjectID="_1468075730" r:id="rId21">
                  <o:LockedField>false</o:LockedField>
                </o:OLEObject>
              </w:object>
            </w:r>
          </w:p>
          <w:p w14:paraId="6B69014E">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bookmarkStart w:id="36" w:name="_Ref123829237"/>
            <w:r>
              <w:rPr>
                <w:rFonts w:hint="eastAsia" w:ascii="Times New Roman" w:hAnsi="Times New Roman" w:eastAsia="宋体" w:cs="Times New Roman"/>
                <w:b/>
                <w:color w:val="auto"/>
                <w:lang w:val="en-US" w:eastAsia="zh-CN"/>
              </w:rPr>
              <w:t>加砂压裂作业示意图</w:t>
            </w:r>
            <w:bookmarkEnd w:id="36"/>
          </w:p>
          <w:p w14:paraId="506FA5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该环节产生的污染物主要为压裂作业设备产生的噪声及返排出的压裂液。</w:t>
            </w:r>
          </w:p>
          <w:p w14:paraId="19B94AF9">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31" o:spt="75" type="#_x0000_t75" style="height:167.65pt;width:380.75pt;" o:ole="t" filled="f" o:preferrelative="t" stroked="f" coordsize="21600,21600">
                  <v:path/>
                  <v:fill on="f" focussize="0,0"/>
                  <v:stroke on="f"/>
                  <v:imagedata r:id="rId24" o:title=""/>
                  <o:lock v:ext="edit" aspectratio="f"/>
                  <w10:wrap type="none"/>
                  <w10:anchorlock/>
                </v:shape>
                <o:OLEObject Type="Embed" ProgID="Visio.Drawing.11" ShapeID="_x0000_i1031" DrawAspect="Content" ObjectID="_1468075731" r:id="rId23">
                  <o:LockedField>false</o:LockedField>
                </o:OLEObject>
              </w:object>
            </w:r>
          </w:p>
          <w:p w14:paraId="48CE190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压裂工艺及产污环节图</w:t>
            </w:r>
          </w:p>
          <w:p w14:paraId="447AC0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w:t>
            </w:r>
            <w:r>
              <w:rPr>
                <w:rFonts w:hint="eastAsia" w:ascii="Times New Roman" w:hAnsi="Times New Roman" w:cs="Times New Roman"/>
                <w:b w:val="0"/>
                <w:bCs/>
                <w:color w:val="auto"/>
                <w:sz w:val="24"/>
              </w:rPr>
              <w:t>4</w:t>
            </w:r>
            <w:r>
              <w:rPr>
                <w:rFonts w:hint="default" w:ascii="Times New Roman" w:hAnsi="Times New Roman" w:cs="Times New Roman"/>
                <w:b w:val="0"/>
                <w:bCs/>
                <w:color w:val="auto"/>
                <w:sz w:val="24"/>
              </w:rPr>
              <w:t>）测试放喷</w:t>
            </w:r>
          </w:p>
          <w:p w14:paraId="4BFCA0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为了解气井的产气量，在完井及压裂后，需进行测试放喷。测试放喷是在射孔、压裂作业后，利用测试放喷专用管线将井内引至放喷池点火燃烧对油气井进行产量测试的过程。测试放喷时间</w:t>
            </w:r>
            <w:r>
              <w:rPr>
                <w:rFonts w:hint="eastAsia" w:ascii="Times New Roman" w:hAnsi="Times New Roman" w:cs="Times New Roman"/>
                <w:color w:val="auto"/>
                <w:sz w:val="24"/>
              </w:rPr>
              <w:t>20</w:t>
            </w:r>
            <w:r>
              <w:rPr>
                <w:rFonts w:hint="default" w:ascii="Times New Roman" w:hAnsi="Times New Roman" w:cs="Times New Roman"/>
                <w:color w:val="auto"/>
                <w:sz w:val="24"/>
              </w:rPr>
              <w:t>天。</w:t>
            </w:r>
          </w:p>
          <w:p w14:paraId="75E80BF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用于该情况出现时井口、管汇、放喷管线的保温，避免管线堵塞、憋压刺漏风险。</w:t>
            </w:r>
          </w:p>
          <w:p w14:paraId="4C00D96F">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4</w:t>
            </w:r>
            <w:r>
              <w:rPr>
                <w:rFonts w:hint="default" w:ascii="Times New Roman" w:hAnsi="Times New Roman" w:cs="Times New Roman"/>
                <w:b/>
                <w:bCs/>
                <w:color w:val="auto"/>
                <w:sz w:val="24"/>
                <w:szCs w:val="28"/>
              </w:rPr>
              <w:t>、完井搬迁</w:t>
            </w:r>
          </w:p>
          <w:p w14:paraId="39D416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若测试结果表明测试井具有工业开采价值，则在井口装上采气装置后转为后续</w:t>
            </w:r>
            <w:r>
              <w:rPr>
                <w:rFonts w:hint="eastAsia" w:ascii="Times New Roman" w:hAnsi="Times New Roman" w:cs="Times New Roman"/>
                <w:bCs/>
                <w:color w:val="auto"/>
                <w:sz w:val="24"/>
              </w:rPr>
              <w:t>天然</w:t>
            </w:r>
            <w:r>
              <w:rPr>
                <w:rFonts w:hint="default" w:ascii="Times New Roman" w:hAnsi="Times New Roman" w:cs="Times New Roman"/>
                <w:bCs/>
                <w:color w:val="auto"/>
                <w:sz w:val="24"/>
              </w:rPr>
              <w:t>气开发井钻采作业（另行设计和开展区块环评，并完善井场永久占地征地手续，临时占地恢复原貌），对钻井和</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放喷设备进行拆除搬迁处理；若测试放喷未获可开发利用的工业气流则在地下井筒内注入高标号水泥封井封场处理（无永久占地，临时占地恢复原貌）。</w:t>
            </w:r>
          </w:p>
          <w:p w14:paraId="160368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钻井生活区和井场能重复利用的设施搬迁利用，不能利用的统一收集交回收单位处置；对构筑的设备基础拆除后作场地边坡凹地的平整填方区填方回填，不留坑凼；清除场内固体废物，平整井场，保留场地排水等基础设施，对钻井场地等临时占地实施复垦，生态恢复。</w:t>
            </w:r>
          </w:p>
          <w:p w14:paraId="0AF49FC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完井搬迁前钻后污染物和场地碎石、硬化地面及防渗等设施拆除废物应得到妥善处理，做到工完、料净、场地清，放弃的井场应尽可能地恢复其原来的土地利用状况。建设单位依法办理环保手续并按照钻井井场环保标准进行验收，验收合格方可交井，并对后续可能出现的环保问题负责。</w:t>
            </w:r>
          </w:p>
          <w:p w14:paraId="2C1A6E9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复垦后应满足《土地复垦质量控制标准》（TD/T 1036-2013）中规定的要求，即：</w:t>
            </w:r>
          </w:p>
          <w:p w14:paraId="5038C56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cs="Times New Roman"/>
                <w:bCs/>
                <w:color w:val="auto"/>
                <w:sz w:val="24"/>
                <w:lang w:eastAsia="zh-CN"/>
              </w:rPr>
              <w:t>（</w:t>
            </w:r>
            <w:r>
              <w:rPr>
                <w:rFonts w:hint="eastAsia" w:cs="Times New Roman"/>
                <w:bCs/>
                <w:color w:val="auto"/>
                <w:sz w:val="24"/>
                <w:lang w:val="en-US" w:eastAsia="zh-CN"/>
              </w:rPr>
              <w:t>1</w:t>
            </w:r>
            <w:r>
              <w:rPr>
                <w:rFonts w:hint="eastAsia" w:cs="Times New Roman"/>
                <w:bCs/>
                <w:color w:val="auto"/>
                <w:sz w:val="24"/>
                <w:lang w:eastAsia="zh-CN"/>
              </w:rPr>
              <w:t>）</w:t>
            </w:r>
            <w:r>
              <w:rPr>
                <w:rFonts w:hint="eastAsia" w:ascii="Times New Roman" w:hAnsi="Times New Roman" w:cs="Times New Roman"/>
                <w:bCs/>
                <w:color w:val="auto"/>
                <w:sz w:val="24"/>
              </w:rPr>
              <w:t>旱地田面坡度不得超过25</w:t>
            </w:r>
            <w:r>
              <w:rPr>
                <w:rFonts w:hint="eastAsia" w:ascii="Times New Roman" w:hAnsi="Times New Roman" w:cs="Times New Roman"/>
                <w:bCs/>
                <w:color w:val="auto"/>
                <w:sz w:val="24"/>
                <w:lang w:val="en-US" w:eastAsia="zh-CN"/>
              </w:rPr>
              <w:t>°，</w:t>
            </w:r>
            <w:r>
              <w:rPr>
                <w:rFonts w:hint="eastAsia" w:ascii="Times New Roman" w:hAnsi="Times New Roman" w:cs="Times New Roman"/>
                <w:bCs/>
                <w:color w:val="auto"/>
                <w:sz w:val="24"/>
              </w:rPr>
              <w:t>复垦地为水浇地、水田时，地面坡度不宜超过15°。</w:t>
            </w:r>
          </w:p>
          <w:p w14:paraId="6069E077">
            <w:pPr>
              <w:keepNext w:val="0"/>
              <w:keepLines w:val="0"/>
              <w:suppressLineNumbers w:val="0"/>
              <w:spacing w:before="0" w:beforeAutospacing="0" w:after="0" w:afterAutospacing="0" w:line="360" w:lineRule="auto"/>
              <w:ind w:left="0" w:right="0" w:firstLine="480" w:firstLineChars="200"/>
              <w:jc w:val="left"/>
              <w:rPr>
                <w:rFonts w:hint="default" w:ascii="Segoe UI" w:hAnsi="Segoe UI" w:cs="Segoe UI"/>
                <w:color w:val="auto"/>
                <w:sz w:val="24"/>
                <w:shd w:val="clear" w:color="auto" w:fill="FFFFFF"/>
              </w:rPr>
            </w:pPr>
            <w:r>
              <w:rPr>
                <w:rFonts w:hint="eastAsia" w:cs="Times New Roman"/>
                <w:bCs/>
                <w:color w:val="auto"/>
                <w:sz w:val="24"/>
                <w:lang w:eastAsia="zh-CN"/>
              </w:rPr>
              <w:t>（</w:t>
            </w:r>
            <w:r>
              <w:rPr>
                <w:rFonts w:hint="eastAsia" w:cs="Times New Roman"/>
                <w:bCs/>
                <w:color w:val="auto"/>
                <w:sz w:val="24"/>
                <w:lang w:val="en-US" w:eastAsia="zh-CN"/>
              </w:rPr>
              <w:t>2</w:t>
            </w:r>
            <w:r>
              <w:rPr>
                <w:rFonts w:hint="eastAsia" w:cs="Times New Roman"/>
                <w:bCs/>
                <w:color w:val="auto"/>
                <w:sz w:val="24"/>
                <w:lang w:eastAsia="zh-CN"/>
              </w:rPr>
              <w:t>）</w:t>
            </w:r>
            <w:r>
              <w:rPr>
                <w:rFonts w:hint="eastAsia" w:ascii="Times New Roman" w:hAnsi="Times New Roman" w:cs="Times New Roman"/>
                <w:bCs/>
                <w:color w:val="auto"/>
                <w:sz w:val="24"/>
              </w:rPr>
              <w:t>有效土层厚度大于40cm，土壤具有较好的肥力，土壤环境质量符合《土壤环境质量 农用地土壤污染风险管控标准（试行）》（GB</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15618-2018）规定的风险筛选值。</w:t>
            </w:r>
          </w:p>
        </w:tc>
      </w:tr>
      <w:tr w14:paraId="5FE02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20" w:hRule="atLeast"/>
          <w:jc w:val="center"/>
        </w:trPr>
        <w:tc>
          <w:tcPr>
            <w:tcW w:w="1026" w:type="dxa"/>
            <w:noWrap w:val="0"/>
            <w:vAlign w:val="center"/>
          </w:tcPr>
          <w:p w14:paraId="613BCA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7973" w:type="dxa"/>
            <w:noWrap w:val="0"/>
            <w:vAlign w:val="center"/>
          </w:tcPr>
          <w:p w14:paraId="74672D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bl>
    <w:p w14:paraId="49CE7829">
      <w:pPr>
        <w:pStyle w:val="19"/>
        <w:jc w:val="center"/>
        <w:outlineLvl w:val="0"/>
        <w:rPr>
          <w:rFonts w:ascii="Times New Roman" w:hAnsi="Times New Roman" w:eastAsia="黑体"/>
          <w:snapToGrid w:val="0"/>
          <w:color w:val="auto"/>
          <w:sz w:val="30"/>
          <w:szCs w:val="30"/>
        </w:rPr>
      </w:pPr>
      <w:r>
        <w:rPr>
          <w:rFonts w:ascii="Times New Roman" w:hAnsi="Times New Roman" w:eastAsia="仿宋_GB2312"/>
          <w:b/>
          <w:bCs/>
          <w:color w:val="auto"/>
        </w:rPr>
        <w:br w:type="page"/>
      </w:r>
      <w:bookmarkStart w:id="37" w:name="_Toc5543"/>
      <w:bookmarkStart w:id="38" w:name="_Toc20036"/>
      <w:bookmarkStart w:id="39" w:name="_Toc17571"/>
      <w:bookmarkStart w:id="40" w:name="_Toc28036"/>
      <w:bookmarkStart w:id="41" w:name="_Toc6825"/>
      <w:bookmarkStart w:id="42" w:name="_Toc10131"/>
      <w:r>
        <w:rPr>
          <w:rFonts w:ascii="Times New Roman" w:hAnsi="Times New Roman" w:eastAsia="黑体"/>
          <w:snapToGrid w:val="0"/>
          <w:color w:val="auto"/>
          <w:sz w:val="30"/>
          <w:szCs w:val="30"/>
        </w:rPr>
        <w:t>三、生态环境现状、保护目标及评价标准</w:t>
      </w:r>
      <w:bookmarkEnd w:id="37"/>
      <w:bookmarkEnd w:id="38"/>
      <w:bookmarkEnd w:id="39"/>
      <w:bookmarkEnd w:id="40"/>
      <w:bookmarkEnd w:id="41"/>
      <w:bookmarkEnd w:id="42"/>
    </w:p>
    <w:tbl>
      <w:tblPr>
        <w:tblStyle w:val="23"/>
        <w:tblW w:w="88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7797"/>
      </w:tblGrid>
      <w:tr w14:paraId="283F7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1018" w:type="dxa"/>
            <w:noWrap w:val="0"/>
            <w:vAlign w:val="center"/>
          </w:tcPr>
          <w:p w14:paraId="69ADCB0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生态环境现状</w:t>
            </w:r>
          </w:p>
        </w:tc>
        <w:tc>
          <w:tcPr>
            <w:tcW w:w="7797" w:type="dxa"/>
            <w:noWrap w:val="0"/>
            <w:vAlign w:val="center"/>
          </w:tcPr>
          <w:p w14:paraId="0CA28649">
            <w:pPr>
              <w:keepNext/>
              <w:keepLines/>
              <w:suppressLineNumbers w:val="0"/>
              <w:spacing w:before="0" w:beforeAutospacing="0" w:after="0" w:afterAutospacing="0" w:line="360" w:lineRule="auto"/>
              <w:ind w:left="0" w:right="0" w:firstLine="482" w:firstLineChars="200"/>
              <w:outlineLvl w:val="1"/>
              <w:rPr>
                <w:rFonts w:hint="eastAsia" w:ascii="Times New Roman" w:hAnsi="Times New Roman" w:cs="Times New Roman"/>
                <w:b/>
                <w:bCs/>
                <w:color w:val="auto"/>
                <w:sz w:val="24"/>
                <w:szCs w:val="28"/>
              </w:rPr>
            </w:pPr>
            <w:r>
              <w:rPr>
                <w:rFonts w:hint="eastAsia" w:ascii="Times New Roman" w:hAnsi="Times New Roman" w:cs="Times New Roman"/>
                <w:b/>
                <w:bCs/>
                <w:color w:val="auto"/>
                <w:sz w:val="24"/>
                <w:szCs w:val="28"/>
              </w:rPr>
              <w:t>1、《四川省生态功能区划》区划情况</w:t>
            </w:r>
          </w:p>
          <w:p w14:paraId="5F456F3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生态功能区划是我国继自然区划、农业区划之后</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在生态环境保护与生态建设方面的重大基础性工作。生态功能区划是生态保护决策科学化（从经验到科学）、管理定量化（从定性到定量）、资源开发合理化、运作过程信息化的重大基础性工作；在参与政府管理、指导生态保护和规范生态建设中将发挥重要的作用。</w:t>
            </w:r>
          </w:p>
          <w:p w14:paraId="664C171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根据《四川省生态功能区划》，四</w:t>
            </w:r>
            <w:r>
              <w:rPr>
                <w:rFonts w:hint="eastAsia" w:ascii="Times New Roman" w:hAnsi="Times New Roman" w:cs="Times New Roman"/>
                <w:color w:val="auto"/>
                <w:sz w:val="24"/>
                <w:lang w:eastAsia="zh-CN"/>
              </w:rPr>
              <w:t>川省</w:t>
            </w:r>
            <w:r>
              <w:rPr>
                <w:rFonts w:hint="eastAsia" w:ascii="Times New Roman" w:hAnsi="Times New Roman" w:cs="Times New Roman"/>
                <w:color w:val="auto"/>
                <w:sz w:val="24"/>
              </w:rPr>
              <w:t>生态功能区划分为三个等级。首先从宏观上以自然气候、地理特点划分自然生态区；然后根据生态系统类型与生态系统服务功能类型划分生态亚区；最后根据生态服务功能重要性、生态环境敏感性与生态环境问题划分生态功能区，划分依据如下：</w:t>
            </w:r>
          </w:p>
          <w:p w14:paraId="69DB012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一级区（生态区）划分：以全国生态功能区划的二级生态功能区为基础，以地形、地貌、气候为依据。</w:t>
            </w:r>
          </w:p>
          <w:p w14:paraId="3BCB759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二级区（生态亚区）划分：以全国生态功能区划的三级生态功能区为基础，以主要生态系统类型和生态服务功能类型为依据。</w:t>
            </w:r>
          </w:p>
          <w:p w14:paraId="747658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三级区（生态功能区）划分：以生态服务功能的重要性、生态环境敏感性等指标为依据。</w:t>
            </w:r>
          </w:p>
          <w:p w14:paraId="169A824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四川省生态功能区划中，一级区（生态区）4个，二级区（生态亚区）13个，三级区（生态功能区）36个，根据全省36个生态功能区各类生态系统的服务功能及其对区域可持续发展的作用和重要性，四川生态服务功能类型分为3类</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生态调节功能、产品提供功能与人居保障功能。其中，生态调节功能主要是指水源涵养、生物多样性保护、土壤保持等维持生态平衡、保障全国或区域生态安全等方面的功能。产品提供功能主要包括提供农产品、畜产品、水产品、林产品以及矿产资源类产品等功能。人居保障功能主要是指满足人类居住需要和城镇建设的功能，主要区域包括城市群和重点城镇群等。项目所在区域生态功能区划分区（三级区）特征情况见下表。</w:t>
            </w:r>
          </w:p>
          <w:p w14:paraId="65BF6D41">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项目所在区域生态功能区划分一览表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768"/>
              <w:gridCol w:w="655"/>
              <w:gridCol w:w="904"/>
              <w:gridCol w:w="929"/>
              <w:gridCol w:w="929"/>
              <w:gridCol w:w="869"/>
              <w:gridCol w:w="733"/>
              <w:gridCol w:w="1249"/>
            </w:tblGrid>
            <w:tr w14:paraId="19E1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3" w:type="pct"/>
                  <w:noWrap w:val="0"/>
                  <w:vAlign w:val="center"/>
                </w:tcPr>
                <w:p w14:paraId="730493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生态区</w:t>
                  </w:r>
                </w:p>
              </w:tc>
              <w:tc>
                <w:tcPr>
                  <w:tcW w:w="506" w:type="pct"/>
                  <w:noWrap w:val="0"/>
                  <w:vAlign w:val="center"/>
                </w:tcPr>
                <w:p w14:paraId="6D83C1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生态亚区</w:t>
                  </w:r>
                </w:p>
              </w:tc>
              <w:tc>
                <w:tcPr>
                  <w:tcW w:w="432" w:type="pct"/>
                  <w:noWrap w:val="0"/>
                  <w:vAlign w:val="center"/>
                </w:tcPr>
                <w:p w14:paraId="5BFA71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生态功能区</w:t>
                  </w:r>
                </w:p>
              </w:tc>
              <w:tc>
                <w:tcPr>
                  <w:tcW w:w="596" w:type="pct"/>
                  <w:noWrap w:val="0"/>
                  <w:vAlign w:val="center"/>
                </w:tcPr>
                <w:p w14:paraId="4206C7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所在区域与面积</w:t>
                  </w:r>
                </w:p>
              </w:tc>
              <w:tc>
                <w:tcPr>
                  <w:tcW w:w="613" w:type="pct"/>
                  <w:noWrap w:val="0"/>
                  <w:vAlign w:val="center"/>
                </w:tcPr>
                <w:p w14:paraId="56B587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主要生态特征</w:t>
                  </w:r>
                </w:p>
              </w:tc>
              <w:tc>
                <w:tcPr>
                  <w:tcW w:w="613" w:type="pct"/>
                  <w:noWrap w:val="0"/>
                  <w:vAlign w:val="center"/>
                </w:tcPr>
                <w:p w14:paraId="6EA591F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主要生态问题</w:t>
                  </w:r>
                </w:p>
              </w:tc>
              <w:tc>
                <w:tcPr>
                  <w:tcW w:w="573" w:type="pct"/>
                  <w:noWrap w:val="0"/>
                  <w:vAlign w:val="center"/>
                </w:tcPr>
                <w:p w14:paraId="6F1185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生态环境敏感性</w:t>
                  </w:r>
                </w:p>
              </w:tc>
              <w:tc>
                <w:tcPr>
                  <w:tcW w:w="484" w:type="pct"/>
                  <w:noWrap w:val="0"/>
                  <w:vAlign w:val="center"/>
                </w:tcPr>
                <w:p w14:paraId="2041A3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主要生态服务功能</w:t>
                  </w:r>
                </w:p>
              </w:tc>
              <w:tc>
                <w:tcPr>
                  <w:tcW w:w="825" w:type="pct"/>
                  <w:noWrap w:val="0"/>
                  <w:vAlign w:val="center"/>
                </w:tcPr>
                <w:p w14:paraId="1933A0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生态保护与发展方向</w:t>
                  </w:r>
                </w:p>
              </w:tc>
            </w:tr>
            <w:tr w14:paraId="0994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3" w:type="pct"/>
                  <w:noWrap w:val="0"/>
                  <w:vAlign w:val="center"/>
                </w:tcPr>
                <w:p w14:paraId="5023BFC0">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Ⅰ四川盆地亚热带湿润气候生态区</w:t>
                  </w:r>
                </w:p>
              </w:tc>
              <w:tc>
                <w:tcPr>
                  <w:tcW w:w="506" w:type="pct"/>
                  <w:noWrap w:val="0"/>
                  <w:vAlign w:val="center"/>
                </w:tcPr>
                <w:p w14:paraId="4E0BA74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Ⅰ-2盆中丘陵农林复合生态亚区</w:t>
                  </w:r>
                </w:p>
              </w:tc>
              <w:tc>
                <w:tcPr>
                  <w:tcW w:w="432" w:type="pct"/>
                  <w:noWrap w:val="0"/>
                  <w:vAlign w:val="center"/>
                </w:tcPr>
                <w:p w14:paraId="0A6DE828">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Ⅰ-2-2渠江农业生态功能区</w:t>
                  </w:r>
                </w:p>
              </w:tc>
              <w:tc>
                <w:tcPr>
                  <w:tcW w:w="596" w:type="pct"/>
                  <w:noWrap w:val="0"/>
                  <w:vAlign w:val="center"/>
                </w:tcPr>
                <w:p w14:paraId="3C58AEB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在四川盆地东部，涉及巴中、达州、广安、南充市的10个县级行政区。面积1.3万平方公里</w:t>
                  </w:r>
                </w:p>
              </w:tc>
              <w:tc>
                <w:tcPr>
                  <w:tcW w:w="613" w:type="pct"/>
                  <w:noWrap w:val="0"/>
                  <w:vAlign w:val="center"/>
                </w:tcPr>
                <w:p w14:paraId="0E6F364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低山一丘陵一河谷阶地地貌年均气温16.7~17.9℃,&gt;10℃活动积温为5287~5827.5℃，年均降水量1039~1194毫米。河流属渠江水系。森林植被主要为人工或次生马尾松、柏木林，次为杉木林、竹林</w:t>
                  </w:r>
                </w:p>
              </w:tc>
              <w:tc>
                <w:tcPr>
                  <w:tcW w:w="613" w:type="pct"/>
                  <w:noWrap w:val="0"/>
                  <w:vAlign w:val="center"/>
                </w:tcPr>
                <w:p w14:paraId="13F6BC2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土地垦殖过度，农村面源污染及城镇污染呈上升趋势，</w:t>
                  </w:r>
                  <w:r>
                    <w:rPr>
                      <w:rFonts w:hint="default" w:ascii="Times New Roman" w:hAnsi="Times New Roman" w:eastAsia="宋体" w:cs="Times New Roman"/>
                      <w:color w:val="auto"/>
                      <w:kern w:val="0"/>
                      <w:sz w:val="21"/>
                      <w:szCs w:val="21"/>
                      <w:lang w:eastAsia="zh-CN"/>
                    </w:rPr>
                    <w:t>森林覆盖率较低</w:t>
                  </w:r>
                  <w:r>
                    <w:rPr>
                      <w:rFonts w:hint="default" w:ascii="Times New Roman" w:hAnsi="Times New Roman" w:eastAsia="宋体" w:cs="Times New Roman"/>
                      <w:color w:val="auto"/>
                      <w:kern w:val="0"/>
                      <w:sz w:val="21"/>
                      <w:szCs w:val="21"/>
                    </w:rPr>
                    <w:t>，水土流失面广。河流支流污染较严重。</w:t>
                  </w:r>
                  <w:r>
                    <w:rPr>
                      <w:rFonts w:hint="eastAsia" w:ascii="Times New Roman" w:hAnsi="Times New Roman" w:eastAsia="宋体" w:cs="Times New Roman"/>
                      <w:color w:val="auto"/>
                      <w:kern w:val="0"/>
                      <w:sz w:val="21"/>
                      <w:szCs w:val="21"/>
                      <w:lang w:eastAsia="zh-CN"/>
                    </w:rPr>
                    <w:t>旱灾</w:t>
                  </w:r>
                  <w:r>
                    <w:rPr>
                      <w:rFonts w:hint="default" w:ascii="Times New Roman" w:hAnsi="Times New Roman" w:eastAsia="宋体" w:cs="Times New Roman"/>
                      <w:color w:val="auto"/>
                      <w:kern w:val="0"/>
                      <w:sz w:val="21"/>
                      <w:szCs w:val="21"/>
                    </w:rPr>
                    <w:t>和洪涝灾害频繁发生</w:t>
                  </w:r>
                </w:p>
              </w:tc>
              <w:tc>
                <w:tcPr>
                  <w:tcW w:w="573" w:type="pct"/>
                  <w:noWrap w:val="0"/>
                  <w:vAlign w:val="center"/>
                </w:tcPr>
                <w:p w14:paraId="7C013C2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土壤侵蚀中度敏感，水环境污染高度敏感，酸雨轻度敏感</w:t>
                  </w:r>
                </w:p>
              </w:tc>
              <w:tc>
                <w:tcPr>
                  <w:tcW w:w="484" w:type="pct"/>
                  <w:noWrap w:val="0"/>
                  <w:vAlign w:val="center"/>
                </w:tcPr>
                <w:p w14:paraId="6965377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农产品提供功能，人居保障功能</w:t>
                  </w:r>
                </w:p>
              </w:tc>
              <w:tc>
                <w:tcPr>
                  <w:tcW w:w="825" w:type="pct"/>
                  <w:noWrap w:val="0"/>
                  <w:vAlign w:val="center"/>
                </w:tcPr>
                <w:p w14:paraId="16E9F434">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发挥区域中心城市辐射作用，优化人居环境。巩固长江上游防护林成果。完善水利和水保设施，保护耕地。发展生态农业、节水型农业。建设以农产品为主要原料的轻工业基地和以天然气为主的基础原料生产基地。大力发展旅游业。大力发展沼气等新型生物质能。禁止建设污染转移型项目，防止产业开发对生态环境的破坏或不利影响：防治水环境污染，保障饮用水安全</w:t>
                  </w:r>
                </w:p>
              </w:tc>
            </w:tr>
          </w:tbl>
          <w:p w14:paraId="7BC0E573">
            <w:pPr>
              <w:keepNext w:val="0"/>
              <w:keepLines w:val="0"/>
              <w:suppressLineNumbers w:val="0"/>
              <w:spacing w:before="120" w:beforeLines="5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由上表可知，巴中市</w:t>
            </w:r>
            <w:r>
              <w:rPr>
                <w:rFonts w:hint="eastAsia" w:cs="Times New Roman"/>
                <w:color w:val="auto"/>
                <w:sz w:val="24"/>
                <w:lang w:val="en-US" w:eastAsia="zh-CN"/>
              </w:rPr>
              <w:t>恩阳</w:t>
            </w:r>
            <w:r>
              <w:rPr>
                <w:rFonts w:hint="eastAsia" w:ascii="Times New Roman" w:hAnsi="Times New Roman" w:cs="Times New Roman"/>
                <w:color w:val="auto"/>
                <w:sz w:val="24"/>
              </w:rPr>
              <w:t>区</w:t>
            </w:r>
            <w:r>
              <w:rPr>
                <w:rFonts w:hint="default" w:ascii="Times New Roman" w:hAnsi="Times New Roman" w:cs="Times New Roman"/>
                <w:color w:val="auto"/>
                <w:sz w:val="24"/>
              </w:rPr>
              <w:t>涉及生态区为Ⅰ四川盆地亚热带湿润气候生态区；涉及生态亚区为Ⅰ-2盆中丘陵农林复合生态亚区；涉及生态功能区为Ⅰ-2-</w:t>
            </w:r>
            <w:r>
              <w:rPr>
                <w:rFonts w:hint="eastAsia" w:ascii="Times New Roman" w:hAnsi="Times New Roman" w:cs="Times New Roman"/>
                <w:color w:val="auto"/>
                <w:sz w:val="24"/>
              </w:rPr>
              <w:t>2渠江农业生态功能区</w:t>
            </w:r>
            <w:r>
              <w:rPr>
                <w:rFonts w:hint="default" w:ascii="Times New Roman" w:hAnsi="Times New Roman" w:cs="Times New Roman"/>
                <w:color w:val="auto"/>
                <w:sz w:val="24"/>
              </w:rPr>
              <w:t>。</w:t>
            </w:r>
          </w:p>
          <w:p w14:paraId="12DC10B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2</w:t>
            </w:r>
            <w:r>
              <w:rPr>
                <w:rFonts w:hint="default" w:ascii="Times New Roman" w:hAnsi="Times New Roman" w:cs="Times New Roman"/>
                <w:b/>
                <w:bCs/>
                <w:color w:val="auto"/>
                <w:sz w:val="24"/>
                <w:szCs w:val="28"/>
              </w:rPr>
              <w:t>、生态环境现状</w:t>
            </w:r>
          </w:p>
          <w:p w14:paraId="72BD548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（1）项目周边土地利用类型</w:t>
            </w:r>
          </w:p>
          <w:p w14:paraId="479934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根据国家土壤信息服务平台公布的数据（《中国1:400万土壤类型图》），结合现场踏勘情况，项目所在地土壤类型属于</w:t>
            </w:r>
            <w:r>
              <w:rPr>
                <w:rFonts w:hint="eastAsia" w:ascii="Times New Roman" w:hAnsi="Times New Roman" w:cs="Times New Roman"/>
                <w:color w:val="auto"/>
                <w:sz w:val="24"/>
                <w:lang w:val="en-US" w:eastAsia="zh-CN"/>
              </w:rPr>
              <w:t>紫色</w:t>
            </w:r>
            <w:r>
              <w:rPr>
                <w:rFonts w:hint="default" w:ascii="Times New Roman" w:hAnsi="Times New Roman" w:cs="Times New Roman"/>
                <w:color w:val="auto"/>
                <w:sz w:val="24"/>
              </w:rPr>
              <w:t>土（土壤分类代码为</w:t>
            </w:r>
            <w:r>
              <w:rPr>
                <w:rFonts w:hint="eastAsia" w:ascii="Times New Roman" w:hAnsi="Times New Roman" w:cs="Times New Roman"/>
                <w:color w:val="auto"/>
                <w:sz w:val="24"/>
                <w:lang w:val="en-US" w:eastAsia="zh-CN"/>
              </w:rPr>
              <w:t>442</w:t>
            </w:r>
            <w:r>
              <w:rPr>
                <w:rFonts w:hint="default" w:ascii="Times New Roman" w:hAnsi="Times New Roman" w:cs="Times New Roman"/>
                <w:color w:val="auto"/>
                <w:sz w:val="24"/>
              </w:rPr>
              <w:t>）。</w:t>
            </w:r>
            <w:r>
              <w:rPr>
                <w:rFonts w:hint="eastAsia" w:ascii="Times New Roman" w:hAnsi="Times New Roman" w:eastAsia="宋体" w:cs="Times New Roman"/>
                <w:color w:val="auto"/>
                <w:sz w:val="24"/>
                <w:lang w:val="en-US" w:eastAsia="zh-CN"/>
              </w:rPr>
              <w:t>项目区域土地利用类型主要为耕地、林地、</w:t>
            </w:r>
            <w:r>
              <w:rPr>
                <w:rFonts w:hint="eastAsia" w:cs="Times New Roman"/>
                <w:color w:val="auto"/>
                <w:sz w:val="24"/>
                <w:lang w:val="en-US" w:eastAsia="zh-CN"/>
              </w:rPr>
              <w:t>坑塘水面</w:t>
            </w:r>
            <w:r>
              <w:rPr>
                <w:rFonts w:hint="eastAsia" w:ascii="Times New Roman" w:hAnsi="Times New Roman" w:eastAsia="宋体" w:cs="Times New Roman"/>
                <w:color w:val="auto"/>
                <w:sz w:val="24"/>
                <w:lang w:val="en-US" w:eastAsia="zh-CN"/>
              </w:rPr>
              <w:t>、农村宅基地等。</w:t>
            </w:r>
          </w:p>
          <w:p w14:paraId="60BC4A4C">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（2）项目周边植被类型</w:t>
            </w:r>
          </w:p>
          <w:p w14:paraId="0ABE911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rPr>
            </w:pPr>
            <w:r>
              <w:rPr>
                <w:rFonts w:hint="default" w:ascii="Times New Roman" w:hAnsi="Times New Roman" w:cs="Times New Roman"/>
                <w:color w:val="auto"/>
                <w:sz w:val="24"/>
              </w:rPr>
              <w:t>本项目所在区域植被调查采用基础资料收集和现场踏勘相结合法进行分析。基础资料收集包括整理工程所在区域的《四川植被</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巴中市植被类型图》以及林业等相关资料</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现场调查包括对现场观察到的植被类型、植被种类等进行记录和整理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项目评价范围内（项目占地外扩500m）主要植被类型调查结果如下表所示。</w:t>
            </w:r>
          </w:p>
          <w:p w14:paraId="273C611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评价区主要植物群落调查结果统计表</w:t>
            </w:r>
          </w:p>
          <w:tbl>
            <w:tblPr>
              <w:tblStyle w:val="23"/>
              <w:tblW w:w="4868"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847"/>
              <w:gridCol w:w="1528"/>
              <w:gridCol w:w="1295"/>
              <w:gridCol w:w="1756"/>
            </w:tblGrid>
            <w:tr w14:paraId="5819930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2" w:type="pct"/>
                  <w:vMerge w:val="restart"/>
                  <w:tcBorders>
                    <w:tl2br w:val="nil"/>
                    <w:tr2bl w:val="nil"/>
                  </w:tcBorders>
                  <w:noWrap/>
                  <w:vAlign w:val="center"/>
                </w:tcPr>
                <w:p w14:paraId="45DF285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w:t>
                  </w:r>
                </w:p>
                <w:p w14:paraId="0E4323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型组</w:t>
                  </w:r>
                </w:p>
              </w:tc>
              <w:tc>
                <w:tcPr>
                  <w:tcW w:w="1252" w:type="pct"/>
                  <w:vMerge w:val="restart"/>
                  <w:tcBorders>
                    <w:tl2br w:val="nil"/>
                    <w:tr2bl w:val="nil"/>
                  </w:tcBorders>
                  <w:noWrap/>
                  <w:vAlign w:val="center"/>
                </w:tcPr>
                <w:p w14:paraId="45B0B3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植被型</w:t>
                  </w:r>
                </w:p>
              </w:tc>
              <w:tc>
                <w:tcPr>
                  <w:tcW w:w="1036" w:type="pct"/>
                  <w:vMerge w:val="restart"/>
                  <w:tcBorders>
                    <w:tl2br w:val="nil"/>
                    <w:tr2bl w:val="nil"/>
                  </w:tcBorders>
                  <w:noWrap/>
                  <w:vAlign w:val="center"/>
                </w:tcPr>
                <w:p w14:paraId="195C40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植被亚型</w:t>
                  </w:r>
                </w:p>
              </w:tc>
              <w:tc>
                <w:tcPr>
                  <w:tcW w:w="878" w:type="pct"/>
                  <w:vMerge w:val="restart"/>
                  <w:tcBorders>
                    <w:tl2br w:val="nil"/>
                    <w:tr2bl w:val="nil"/>
                  </w:tcBorders>
                  <w:noWrap/>
                  <w:vAlign w:val="center"/>
                </w:tcPr>
                <w:p w14:paraId="4A3A14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群系</w:t>
                  </w:r>
                </w:p>
              </w:tc>
              <w:tc>
                <w:tcPr>
                  <w:tcW w:w="1190" w:type="pct"/>
                  <w:vMerge w:val="restart"/>
                  <w:tcBorders>
                    <w:tl2br w:val="nil"/>
                    <w:tr2bl w:val="nil"/>
                  </w:tcBorders>
                  <w:noWrap/>
                  <w:vAlign w:val="center"/>
                </w:tcPr>
                <w:p w14:paraId="45043B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分布区域</w:t>
                  </w:r>
                </w:p>
              </w:tc>
            </w:tr>
            <w:tr w14:paraId="7F6F7EE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2" w:type="pct"/>
                  <w:vMerge w:val="continue"/>
                  <w:tcBorders>
                    <w:tl2br w:val="nil"/>
                    <w:tr2bl w:val="nil"/>
                  </w:tcBorders>
                  <w:noWrap/>
                  <w:vAlign w:val="center"/>
                </w:tcPr>
                <w:p w14:paraId="2ACF0F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252" w:type="pct"/>
                  <w:vMerge w:val="continue"/>
                  <w:tcBorders>
                    <w:tl2br w:val="nil"/>
                    <w:tr2bl w:val="nil"/>
                  </w:tcBorders>
                  <w:noWrap/>
                  <w:vAlign w:val="center"/>
                </w:tcPr>
                <w:p w14:paraId="61C4510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036" w:type="pct"/>
                  <w:vMerge w:val="continue"/>
                  <w:tcBorders>
                    <w:tl2br w:val="nil"/>
                    <w:tr2bl w:val="nil"/>
                  </w:tcBorders>
                  <w:noWrap/>
                  <w:vAlign w:val="center"/>
                </w:tcPr>
                <w:p w14:paraId="49DD8AA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878" w:type="pct"/>
                  <w:vMerge w:val="continue"/>
                  <w:tcBorders>
                    <w:tl2br w:val="nil"/>
                    <w:tr2bl w:val="nil"/>
                  </w:tcBorders>
                  <w:noWrap/>
                  <w:vAlign w:val="center"/>
                </w:tcPr>
                <w:p w14:paraId="0EB0746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190" w:type="pct"/>
                  <w:vMerge w:val="continue"/>
                  <w:tcBorders>
                    <w:tl2br w:val="nil"/>
                    <w:tr2bl w:val="nil"/>
                  </w:tcBorders>
                  <w:noWrap/>
                  <w:vAlign w:val="center"/>
                </w:tcPr>
                <w:p w14:paraId="69761C9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p>
              </w:tc>
            </w:tr>
            <w:tr w14:paraId="1A8B385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shd w:val="clear" w:color="auto" w:fill="auto"/>
                  <w:noWrap/>
                  <w:vAlign w:val="center"/>
                </w:tcPr>
                <w:p w14:paraId="0FDCC8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Ⅰ.</w:t>
                  </w:r>
                  <w:r>
                    <w:rPr>
                      <w:rFonts w:hint="eastAsia" w:ascii="Times New Roman" w:hAnsi="Times New Roman" w:eastAsia="宋体" w:cs="Times New Roman"/>
                      <w:i w:val="0"/>
                      <w:iCs w:val="0"/>
                      <w:color w:val="auto"/>
                      <w:kern w:val="0"/>
                      <w:sz w:val="21"/>
                      <w:szCs w:val="21"/>
                      <w:u w:val="none"/>
                      <w:lang w:val="en-US" w:eastAsia="zh-CN" w:bidi="ar"/>
                    </w:rPr>
                    <w:t>森林</w:t>
                  </w:r>
                </w:p>
              </w:tc>
              <w:tc>
                <w:tcPr>
                  <w:tcW w:w="1252" w:type="pct"/>
                  <w:vMerge w:val="restart"/>
                  <w:tcBorders>
                    <w:tl2br w:val="nil"/>
                    <w:tr2bl w:val="nil"/>
                  </w:tcBorders>
                  <w:shd w:val="clear" w:color="auto" w:fill="auto"/>
                  <w:noWrap/>
                  <w:vAlign w:val="center"/>
                </w:tcPr>
                <w:p w14:paraId="4FEC1F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常绿针叶林</w:t>
                  </w:r>
                </w:p>
              </w:tc>
              <w:tc>
                <w:tcPr>
                  <w:tcW w:w="1036" w:type="pct"/>
                  <w:vMerge w:val="restart"/>
                  <w:tcBorders>
                    <w:tl2br w:val="nil"/>
                    <w:tr2bl w:val="nil"/>
                  </w:tcBorders>
                  <w:shd w:val="clear" w:color="auto" w:fill="auto"/>
                  <w:noWrap/>
                  <w:vAlign w:val="center"/>
                </w:tcPr>
                <w:p w14:paraId="269347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暖性</w:t>
                  </w:r>
                  <w:r>
                    <w:rPr>
                      <w:rFonts w:hint="eastAsia" w:ascii="Times New Roman" w:hAnsi="Times New Roman" w:eastAsia="宋体" w:cs="Times New Roman"/>
                      <w:i w:val="0"/>
                      <w:iCs w:val="0"/>
                      <w:color w:val="auto"/>
                      <w:kern w:val="0"/>
                      <w:sz w:val="21"/>
                      <w:szCs w:val="21"/>
                      <w:u w:val="none"/>
                      <w:lang w:val="en-US" w:eastAsia="zh-CN" w:bidi="ar"/>
                    </w:rPr>
                    <w:t>常绿针叶林</w:t>
                  </w:r>
                </w:p>
              </w:tc>
              <w:tc>
                <w:tcPr>
                  <w:tcW w:w="878" w:type="pct"/>
                  <w:tcBorders>
                    <w:tl2br w:val="nil"/>
                    <w:tr2bl w:val="nil"/>
                  </w:tcBorders>
                  <w:shd w:val="clear" w:color="auto" w:fill="FFFFFF"/>
                  <w:noWrap/>
                  <w:vAlign w:val="center"/>
                </w:tcPr>
                <w:p w14:paraId="6C8DD6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1.柏木林</w:t>
                  </w:r>
                </w:p>
              </w:tc>
              <w:tc>
                <w:tcPr>
                  <w:tcW w:w="1190" w:type="pct"/>
                  <w:tcBorders>
                    <w:tl2br w:val="nil"/>
                    <w:tr2bl w:val="nil"/>
                  </w:tcBorders>
                  <w:shd w:val="clear" w:color="auto" w:fill="FFFFFF"/>
                  <w:noWrap/>
                  <w:vAlign w:val="center"/>
                </w:tcPr>
                <w:p w14:paraId="085CD79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项目区散生</w:t>
                  </w:r>
                  <w:r>
                    <w:rPr>
                      <w:rFonts w:hint="default" w:ascii="Times New Roman" w:hAnsi="Times New Roman" w:eastAsia="宋体" w:cs="Times New Roman"/>
                      <w:color w:val="auto"/>
                      <w:sz w:val="21"/>
                      <w:szCs w:val="21"/>
                      <w:highlight w:val="none"/>
                    </w:rPr>
                    <w:t>分布</w:t>
                  </w:r>
                </w:p>
              </w:tc>
            </w:tr>
            <w:tr w14:paraId="1657B03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39B5FEC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1252" w:type="pct"/>
                  <w:vMerge w:val="continue"/>
                  <w:tcBorders>
                    <w:tl2br w:val="nil"/>
                    <w:tr2bl w:val="nil"/>
                  </w:tcBorders>
                  <w:shd w:val="clear" w:color="auto" w:fill="auto"/>
                  <w:noWrap/>
                  <w:vAlign w:val="center"/>
                </w:tcPr>
                <w:p w14:paraId="578B6F0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1036" w:type="pct"/>
                  <w:vMerge w:val="continue"/>
                  <w:tcBorders>
                    <w:tl2br w:val="nil"/>
                    <w:tr2bl w:val="nil"/>
                  </w:tcBorders>
                  <w:shd w:val="clear" w:color="auto" w:fill="auto"/>
                  <w:noWrap/>
                  <w:vAlign w:val="center"/>
                </w:tcPr>
                <w:p w14:paraId="5555312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878" w:type="pct"/>
                  <w:tcBorders>
                    <w:tl2br w:val="nil"/>
                    <w:tr2bl w:val="nil"/>
                  </w:tcBorders>
                  <w:shd w:val="clear" w:color="auto" w:fill="FFFFFF"/>
                  <w:noWrap/>
                  <w:vAlign w:val="center"/>
                </w:tcPr>
                <w:p w14:paraId="762D8E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2.马尾松林</w:t>
                  </w:r>
                </w:p>
              </w:tc>
              <w:tc>
                <w:tcPr>
                  <w:tcW w:w="1190" w:type="pct"/>
                  <w:tcBorders>
                    <w:tl2br w:val="nil"/>
                    <w:tr2bl w:val="nil"/>
                  </w:tcBorders>
                  <w:shd w:val="clear" w:color="auto" w:fill="FFFFFF"/>
                  <w:noWrap/>
                  <w:vAlign w:val="center"/>
                </w:tcPr>
                <w:p w14:paraId="0B83C07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7EE08C7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0"/>
                  <w:vAlign w:val="center"/>
                </w:tcPr>
                <w:p w14:paraId="23A5FF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252" w:type="pct"/>
                  <w:tcBorders>
                    <w:tl2br w:val="nil"/>
                    <w:tr2bl w:val="nil"/>
                  </w:tcBorders>
                  <w:shd w:val="clear" w:color="auto" w:fill="auto"/>
                  <w:noWrap/>
                  <w:vAlign w:val="center"/>
                </w:tcPr>
                <w:p w14:paraId="01C087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二、落叶阔叶林</w:t>
                  </w:r>
                </w:p>
              </w:tc>
              <w:tc>
                <w:tcPr>
                  <w:tcW w:w="1036" w:type="pct"/>
                  <w:tcBorders>
                    <w:tl2br w:val="nil"/>
                    <w:tr2bl w:val="nil"/>
                  </w:tcBorders>
                  <w:shd w:val="clear" w:color="auto" w:fill="auto"/>
                  <w:noWrap/>
                  <w:vAlign w:val="center"/>
                </w:tcPr>
                <w:p w14:paraId="7FE5DE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（二）暖性落叶阔叶林</w:t>
                  </w:r>
                </w:p>
              </w:tc>
              <w:tc>
                <w:tcPr>
                  <w:tcW w:w="878" w:type="pct"/>
                  <w:tcBorders>
                    <w:tl2br w:val="nil"/>
                    <w:tr2bl w:val="nil"/>
                  </w:tcBorders>
                  <w:shd w:val="clear" w:color="auto" w:fill="FFFFFF"/>
                  <w:noWrap/>
                  <w:vAlign w:val="center"/>
                </w:tcPr>
                <w:p w14:paraId="73FFD6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3.桤木林</w:t>
                  </w:r>
                </w:p>
              </w:tc>
              <w:tc>
                <w:tcPr>
                  <w:tcW w:w="1190" w:type="pct"/>
                  <w:tcBorders>
                    <w:tl2br w:val="nil"/>
                    <w:tr2bl w:val="nil"/>
                  </w:tcBorders>
                  <w:shd w:val="clear" w:color="auto" w:fill="FFFFFF"/>
                  <w:noWrap/>
                  <w:vAlign w:val="center"/>
                </w:tcPr>
                <w:p w14:paraId="157C677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07ACB8B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35451F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p>
              </w:tc>
              <w:tc>
                <w:tcPr>
                  <w:tcW w:w="1252" w:type="pct"/>
                  <w:tcBorders>
                    <w:tl2br w:val="nil"/>
                    <w:tr2bl w:val="nil"/>
                  </w:tcBorders>
                  <w:shd w:val="clear" w:color="auto" w:fill="auto"/>
                  <w:noWrap/>
                  <w:vAlign w:val="center"/>
                </w:tcPr>
                <w:p w14:paraId="3DBDE9E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常绿</w:t>
                  </w:r>
                  <w:r>
                    <w:rPr>
                      <w:rFonts w:hint="default" w:ascii="Times New Roman" w:hAnsi="Times New Roman" w:eastAsia="宋体" w:cs="Times New Roman"/>
                      <w:i w:val="0"/>
                      <w:iCs w:val="0"/>
                      <w:color w:val="auto"/>
                      <w:kern w:val="0"/>
                      <w:sz w:val="21"/>
                      <w:szCs w:val="21"/>
                      <w:u w:val="none"/>
                      <w:lang w:val="en-US" w:eastAsia="zh-CN" w:bidi="ar"/>
                    </w:rPr>
                    <w:t>阔叶林</w:t>
                  </w:r>
                </w:p>
              </w:tc>
              <w:tc>
                <w:tcPr>
                  <w:tcW w:w="1036" w:type="pct"/>
                  <w:tcBorders>
                    <w:tl2br w:val="nil"/>
                    <w:tr2bl w:val="nil"/>
                  </w:tcBorders>
                  <w:shd w:val="clear" w:color="auto" w:fill="auto"/>
                  <w:noWrap/>
                  <w:vAlign w:val="center"/>
                </w:tcPr>
                <w:p w14:paraId="004BECC3">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（三）典型常绿阔叶林</w:t>
                  </w:r>
                </w:p>
              </w:tc>
              <w:tc>
                <w:tcPr>
                  <w:tcW w:w="878" w:type="pct"/>
                  <w:tcBorders>
                    <w:tl2br w:val="nil"/>
                    <w:tr2bl w:val="nil"/>
                  </w:tcBorders>
                  <w:shd w:val="clear" w:color="auto" w:fill="FFFFFF"/>
                  <w:noWrap/>
                  <w:vAlign w:val="center"/>
                </w:tcPr>
                <w:p w14:paraId="61BC07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4.青冈林</w:t>
                  </w:r>
                </w:p>
              </w:tc>
              <w:tc>
                <w:tcPr>
                  <w:tcW w:w="1190" w:type="pct"/>
                  <w:tcBorders>
                    <w:tl2br w:val="nil"/>
                    <w:tr2bl w:val="nil"/>
                  </w:tcBorders>
                  <w:shd w:val="clear" w:color="auto" w:fill="FFFFFF"/>
                  <w:noWrap/>
                  <w:vAlign w:val="center"/>
                </w:tcPr>
                <w:p w14:paraId="74FAB9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24EC046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shd w:val="clear" w:color="auto" w:fill="auto"/>
                  <w:noWrap/>
                  <w:vAlign w:val="center"/>
                </w:tcPr>
                <w:p w14:paraId="5FF5BE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Ⅱ.</w:t>
                  </w:r>
                  <w:r>
                    <w:rPr>
                      <w:rFonts w:hint="eastAsia" w:ascii="Times New Roman" w:hAnsi="Times New Roman" w:eastAsia="宋体" w:cs="Times New Roman"/>
                      <w:i w:val="0"/>
                      <w:iCs w:val="0"/>
                      <w:color w:val="auto"/>
                      <w:kern w:val="0"/>
                      <w:sz w:val="21"/>
                      <w:szCs w:val="21"/>
                      <w:u w:val="none"/>
                      <w:lang w:val="en-US" w:eastAsia="zh-CN" w:bidi="ar"/>
                    </w:rPr>
                    <w:t>灌丛</w:t>
                  </w:r>
                </w:p>
              </w:tc>
              <w:tc>
                <w:tcPr>
                  <w:tcW w:w="1252" w:type="pct"/>
                  <w:vMerge w:val="restart"/>
                  <w:tcBorders>
                    <w:tl2br w:val="nil"/>
                    <w:tr2bl w:val="nil"/>
                  </w:tcBorders>
                  <w:shd w:val="clear" w:color="auto" w:fill="auto"/>
                  <w:noWrap/>
                  <w:vAlign w:val="center"/>
                </w:tcPr>
                <w:p w14:paraId="0647A70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四、落叶阔叶灌丛</w:t>
                  </w:r>
                </w:p>
              </w:tc>
              <w:tc>
                <w:tcPr>
                  <w:tcW w:w="1036" w:type="pct"/>
                  <w:vMerge w:val="restart"/>
                  <w:tcBorders>
                    <w:tl2br w:val="nil"/>
                    <w:tr2bl w:val="nil"/>
                  </w:tcBorders>
                  <w:shd w:val="clear" w:color="auto" w:fill="auto"/>
                  <w:noWrap/>
                  <w:vAlign w:val="center"/>
                </w:tcPr>
                <w:p w14:paraId="32E3C988">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w:t>
                  </w:r>
                  <w:r>
                    <w:rPr>
                      <w:rStyle w:val="78"/>
                      <w:rFonts w:hint="default" w:ascii="Times New Roman" w:hAnsi="Times New Roman" w:eastAsia="宋体" w:cs="Times New Roman"/>
                      <w:b w:val="0"/>
                      <w:bCs w:val="0"/>
                      <w:i w:val="0"/>
                      <w:iCs w:val="0"/>
                      <w:color w:val="auto"/>
                      <w:sz w:val="21"/>
                      <w:szCs w:val="21"/>
                      <w:lang w:val="en-US" w:eastAsia="zh-CN" w:bidi="ar"/>
                    </w:rPr>
                    <w:t>暖性落叶阔叶灌丛</w:t>
                  </w:r>
                </w:p>
              </w:tc>
              <w:tc>
                <w:tcPr>
                  <w:tcW w:w="878" w:type="pct"/>
                  <w:tcBorders>
                    <w:tl2br w:val="nil"/>
                    <w:tr2bl w:val="nil"/>
                  </w:tcBorders>
                  <w:shd w:val="clear" w:color="auto" w:fill="FFFFFF"/>
                  <w:noWrap/>
                  <w:vAlign w:val="center"/>
                </w:tcPr>
                <w:p w14:paraId="5B69BB7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5.蔷薇灌丛</w:t>
                  </w:r>
                </w:p>
              </w:tc>
              <w:tc>
                <w:tcPr>
                  <w:tcW w:w="1190" w:type="pct"/>
                  <w:tcBorders>
                    <w:tl2br w:val="nil"/>
                    <w:tr2bl w:val="nil"/>
                  </w:tcBorders>
                  <w:shd w:val="clear" w:color="auto" w:fill="FFFFFF"/>
                  <w:noWrap/>
                  <w:vAlign w:val="center"/>
                </w:tcPr>
                <w:p w14:paraId="4F4F029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7A3D996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184C979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252" w:type="pct"/>
                  <w:vMerge w:val="continue"/>
                  <w:tcBorders>
                    <w:tl2br w:val="nil"/>
                    <w:tr2bl w:val="nil"/>
                  </w:tcBorders>
                  <w:shd w:val="clear" w:color="auto" w:fill="auto"/>
                  <w:noWrap/>
                  <w:vAlign w:val="center"/>
                </w:tcPr>
                <w:p w14:paraId="7C01E6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036" w:type="pct"/>
                  <w:vMerge w:val="continue"/>
                  <w:tcBorders>
                    <w:tl2br w:val="nil"/>
                    <w:tr2bl w:val="nil"/>
                  </w:tcBorders>
                  <w:shd w:val="clear" w:color="auto" w:fill="auto"/>
                  <w:noWrap/>
                  <w:vAlign w:val="center"/>
                </w:tcPr>
                <w:p w14:paraId="1E8BAE6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878" w:type="pct"/>
                  <w:tcBorders>
                    <w:tl2br w:val="nil"/>
                    <w:tr2bl w:val="nil"/>
                  </w:tcBorders>
                  <w:shd w:val="clear" w:color="auto" w:fill="FFFFFF"/>
                  <w:noWrap/>
                  <w:vAlign w:val="center"/>
                </w:tcPr>
                <w:p w14:paraId="3387F3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6.黄荆灌丛</w:t>
                  </w:r>
                </w:p>
              </w:tc>
              <w:tc>
                <w:tcPr>
                  <w:tcW w:w="1190" w:type="pct"/>
                  <w:tcBorders>
                    <w:tl2br w:val="nil"/>
                    <w:tr2bl w:val="nil"/>
                  </w:tcBorders>
                  <w:shd w:val="clear" w:color="auto" w:fill="FFFFFF"/>
                  <w:noWrap/>
                  <w:vAlign w:val="center"/>
                </w:tcPr>
                <w:p w14:paraId="3C93862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1474093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0EDF6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252" w:type="pct"/>
                  <w:vMerge w:val="continue"/>
                  <w:tcBorders>
                    <w:tl2br w:val="nil"/>
                    <w:tr2bl w:val="nil"/>
                  </w:tcBorders>
                  <w:shd w:val="clear" w:color="auto" w:fill="auto"/>
                  <w:noWrap/>
                  <w:vAlign w:val="center"/>
                </w:tcPr>
                <w:p w14:paraId="1BF19DB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036" w:type="pct"/>
                  <w:tcBorders>
                    <w:tl2br w:val="nil"/>
                    <w:tr2bl w:val="nil"/>
                  </w:tcBorders>
                  <w:shd w:val="clear" w:color="auto" w:fill="auto"/>
                  <w:noWrap/>
                  <w:vAlign w:val="center"/>
                </w:tcPr>
                <w:p w14:paraId="158D010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 w:val="21"/>
                      <w:szCs w:val="21"/>
                      <w:lang w:eastAsia="zh-CN"/>
                    </w:rPr>
                  </w:pPr>
                  <w:r>
                    <w:rPr>
                      <w:rFonts w:hint="eastAsia" w:cs="Times New Roman"/>
                      <w:color w:val="auto"/>
                      <w:sz w:val="21"/>
                      <w:szCs w:val="21"/>
                      <w:lang w:eastAsia="zh-CN"/>
                    </w:rPr>
                    <w:t>（</w:t>
                  </w:r>
                  <w:r>
                    <w:rPr>
                      <w:rFonts w:hint="eastAsia" w:cs="Times New Roman"/>
                      <w:color w:val="auto"/>
                      <w:sz w:val="21"/>
                      <w:szCs w:val="21"/>
                      <w:lang w:val="en-US" w:eastAsia="zh-CN"/>
                    </w:rPr>
                    <w:t>五</w:t>
                  </w:r>
                  <w:r>
                    <w:rPr>
                      <w:rFonts w:hint="eastAsia" w:cs="Times New Roman"/>
                      <w:color w:val="auto"/>
                      <w:sz w:val="21"/>
                      <w:szCs w:val="21"/>
                      <w:lang w:eastAsia="zh-CN"/>
                    </w:rPr>
                    <w:t>）</w:t>
                  </w:r>
                  <w:r>
                    <w:rPr>
                      <w:rFonts w:hint="eastAsia" w:cs="Times New Roman"/>
                      <w:color w:val="auto"/>
                      <w:sz w:val="21"/>
                      <w:szCs w:val="21"/>
                      <w:lang w:val="en-US" w:eastAsia="zh-CN"/>
                    </w:rPr>
                    <w:t>温</w:t>
                  </w:r>
                  <w:r>
                    <w:rPr>
                      <w:rStyle w:val="78"/>
                      <w:rFonts w:hint="default" w:ascii="Times New Roman" w:hAnsi="Times New Roman" w:eastAsia="宋体" w:cs="Times New Roman"/>
                      <w:b w:val="0"/>
                      <w:bCs w:val="0"/>
                      <w:i w:val="0"/>
                      <w:iCs w:val="0"/>
                      <w:color w:val="auto"/>
                      <w:sz w:val="21"/>
                      <w:szCs w:val="21"/>
                      <w:lang w:val="en-US" w:eastAsia="zh-CN" w:bidi="ar"/>
                    </w:rPr>
                    <w:t>性落叶阔叶灌丛</w:t>
                  </w:r>
                </w:p>
              </w:tc>
              <w:tc>
                <w:tcPr>
                  <w:tcW w:w="878" w:type="pct"/>
                  <w:tcBorders>
                    <w:tl2br w:val="nil"/>
                    <w:tr2bl w:val="nil"/>
                  </w:tcBorders>
                  <w:shd w:val="clear" w:color="auto" w:fill="FFFFFF"/>
                  <w:noWrap/>
                  <w:vAlign w:val="center"/>
                </w:tcPr>
                <w:p w14:paraId="6205A6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7.连翘灌丛</w:t>
                  </w:r>
                </w:p>
              </w:tc>
              <w:tc>
                <w:tcPr>
                  <w:tcW w:w="1190" w:type="pct"/>
                  <w:tcBorders>
                    <w:tl2br w:val="nil"/>
                    <w:tr2bl w:val="nil"/>
                  </w:tcBorders>
                  <w:shd w:val="clear" w:color="auto" w:fill="FFFFFF"/>
                  <w:noWrap/>
                  <w:vAlign w:val="center"/>
                </w:tcPr>
                <w:p w14:paraId="125BE6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评价区集中分布</w:t>
                  </w:r>
                </w:p>
              </w:tc>
            </w:tr>
            <w:tr w14:paraId="0A017B3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tcBorders>
                    <w:tl2br w:val="nil"/>
                    <w:tr2bl w:val="nil"/>
                  </w:tcBorders>
                  <w:noWrap w:val="0"/>
                  <w:vAlign w:val="center"/>
                </w:tcPr>
                <w:p w14:paraId="4BD238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Ⅲ.</w:t>
                  </w:r>
                  <w:r>
                    <w:rPr>
                      <w:rFonts w:hint="eastAsia" w:ascii="Times New Roman" w:hAnsi="Times New Roman" w:eastAsia="宋体" w:cs="Times New Roman"/>
                      <w:i w:val="0"/>
                      <w:iCs w:val="0"/>
                      <w:color w:val="auto"/>
                      <w:kern w:val="0"/>
                      <w:sz w:val="21"/>
                      <w:szCs w:val="21"/>
                      <w:u w:val="none"/>
                      <w:lang w:val="en-US" w:eastAsia="zh-CN" w:bidi="ar"/>
                    </w:rPr>
                    <w:t>草地</w:t>
                  </w:r>
                </w:p>
              </w:tc>
              <w:tc>
                <w:tcPr>
                  <w:tcW w:w="1252" w:type="pct"/>
                  <w:tcBorders>
                    <w:tl2br w:val="nil"/>
                    <w:tr2bl w:val="nil"/>
                  </w:tcBorders>
                  <w:noWrap/>
                  <w:vAlign w:val="center"/>
                </w:tcPr>
                <w:p w14:paraId="7A1AD253">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五、灌草丛</w:t>
                  </w:r>
                </w:p>
              </w:tc>
              <w:tc>
                <w:tcPr>
                  <w:tcW w:w="1036" w:type="pct"/>
                  <w:tcBorders>
                    <w:tl2br w:val="nil"/>
                    <w:tr2bl w:val="nil"/>
                  </w:tcBorders>
                  <w:noWrap/>
                  <w:vAlign w:val="center"/>
                </w:tcPr>
                <w:p w14:paraId="7A8952A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六</w:t>
                  </w:r>
                  <w:r>
                    <w:rPr>
                      <w:rFonts w:hint="eastAsia" w:ascii="Times New Roman" w:hAnsi="Times New Roman" w:eastAsia="宋体" w:cs="Times New Roman"/>
                      <w:i w:val="0"/>
                      <w:iCs w:val="0"/>
                      <w:color w:val="auto"/>
                      <w:kern w:val="0"/>
                      <w:sz w:val="21"/>
                      <w:szCs w:val="21"/>
                      <w:u w:val="none"/>
                      <w:lang w:val="en-US" w:eastAsia="zh-CN" w:bidi="ar"/>
                    </w:rPr>
                    <w:t>）亚热带与热带灌草丛</w:t>
                  </w:r>
                </w:p>
              </w:tc>
              <w:tc>
                <w:tcPr>
                  <w:tcW w:w="878" w:type="pct"/>
                  <w:tcBorders>
                    <w:tl2br w:val="nil"/>
                    <w:tr2bl w:val="nil"/>
                  </w:tcBorders>
                  <w:noWrap/>
                  <w:vAlign w:val="center"/>
                </w:tcPr>
                <w:p w14:paraId="55D33D0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w:t>
                  </w:r>
                  <w:r>
                    <w:rPr>
                      <w:rFonts w:hint="eastAsia" w:ascii="Times New Roman" w:hAnsi="Times New Roman" w:eastAsia="宋体" w:cs="Times New Roman"/>
                      <w:i w:val="0"/>
                      <w:iCs w:val="0"/>
                      <w:color w:val="auto"/>
                      <w:kern w:val="0"/>
                      <w:sz w:val="21"/>
                      <w:szCs w:val="21"/>
                      <w:u w:val="none"/>
                      <w:lang w:val="en-US" w:eastAsia="zh-CN" w:bidi="ar"/>
                    </w:rPr>
                    <w:t>.白茅草丛</w:t>
                  </w:r>
                </w:p>
              </w:tc>
              <w:tc>
                <w:tcPr>
                  <w:tcW w:w="1190" w:type="pct"/>
                  <w:tcBorders>
                    <w:tl2br w:val="nil"/>
                    <w:tr2bl w:val="nil"/>
                  </w:tcBorders>
                  <w:noWrap/>
                  <w:vAlign w:val="center"/>
                </w:tcPr>
                <w:p w14:paraId="554FF98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评价区</w:t>
                  </w:r>
                  <w:r>
                    <w:rPr>
                      <w:rFonts w:hint="eastAsia" w:ascii="Times New Roman" w:hAnsi="Times New Roman" w:eastAsia="宋体" w:cs="Times New Roman"/>
                      <w:color w:val="auto"/>
                      <w:sz w:val="21"/>
                      <w:szCs w:val="21"/>
                      <w:lang w:val="en-US" w:eastAsia="zh-CN"/>
                    </w:rPr>
                    <w:t>散生</w:t>
                  </w:r>
                  <w:r>
                    <w:rPr>
                      <w:rFonts w:hint="default" w:ascii="Times New Roman" w:hAnsi="Times New Roman" w:eastAsia="宋体" w:cs="Times New Roman"/>
                      <w:color w:val="auto"/>
                      <w:sz w:val="21"/>
                      <w:szCs w:val="21"/>
                    </w:rPr>
                    <w:t>分布</w:t>
                  </w:r>
                </w:p>
              </w:tc>
            </w:tr>
            <w:tr w14:paraId="12A0C2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noWrap w:val="0"/>
                  <w:vAlign w:val="center"/>
                </w:tcPr>
                <w:p w14:paraId="11D8B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Ⅳ.</w:t>
                  </w:r>
                  <w:r>
                    <w:rPr>
                      <w:rFonts w:hint="default" w:ascii="Times New Roman" w:hAnsi="Times New Roman" w:eastAsia="宋体" w:cs="Times New Roman"/>
                      <w:color w:val="auto"/>
                      <w:sz w:val="21"/>
                      <w:szCs w:val="21"/>
                      <w:lang w:val="en-US" w:eastAsia="zh-CN"/>
                    </w:rPr>
                    <w:t>农业植被</w:t>
                  </w:r>
                </w:p>
              </w:tc>
              <w:tc>
                <w:tcPr>
                  <w:tcW w:w="1252" w:type="pct"/>
                  <w:tcBorders>
                    <w:tl2br w:val="nil"/>
                    <w:tr2bl w:val="nil"/>
                  </w:tcBorders>
                  <w:noWrap/>
                  <w:vAlign w:val="center"/>
                </w:tcPr>
                <w:p w14:paraId="70C0548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六、经济作物</w:t>
                  </w:r>
                </w:p>
              </w:tc>
              <w:tc>
                <w:tcPr>
                  <w:tcW w:w="1914" w:type="pct"/>
                  <w:gridSpan w:val="2"/>
                  <w:tcBorders>
                    <w:tl2br w:val="nil"/>
                    <w:tr2bl w:val="nil"/>
                  </w:tcBorders>
                  <w:noWrap/>
                  <w:vAlign w:val="center"/>
                </w:tcPr>
                <w:p w14:paraId="3191B459">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七</w:t>
                  </w:r>
                  <w:r>
                    <w:rPr>
                      <w:rFonts w:hint="eastAsia" w:ascii="Times New Roman" w:hAnsi="Times New Roman" w:eastAsia="宋体" w:cs="Times New Roman"/>
                      <w:i w:val="0"/>
                      <w:iCs w:val="0"/>
                      <w:color w:val="auto"/>
                      <w:kern w:val="0"/>
                      <w:sz w:val="21"/>
                      <w:szCs w:val="21"/>
                      <w:u w:val="none"/>
                      <w:lang w:val="en-US" w:eastAsia="zh-CN" w:bidi="ar"/>
                    </w:rPr>
                    <w:t>）枇杷、李、桃、柚、柑橘等</w:t>
                  </w:r>
                </w:p>
              </w:tc>
              <w:tc>
                <w:tcPr>
                  <w:tcW w:w="1190" w:type="pct"/>
                  <w:tcBorders>
                    <w:tl2br w:val="nil"/>
                    <w:tr2bl w:val="nil"/>
                  </w:tcBorders>
                  <w:noWrap/>
                  <w:vAlign w:val="center"/>
                </w:tcPr>
                <w:p w14:paraId="5779122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评价区园地分布</w:t>
                  </w:r>
                </w:p>
              </w:tc>
            </w:tr>
            <w:tr w14:paraId="097771E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noWrap w:val="0"/>
                  <w:vAlign w:val="center"/>
                </w:tcPr>
                <w:p w14:paraId="1C998A2E">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color w:val="auto"/>
                      <w:sz w:val="21"/>
                      <w:szCs w:val="21"/>
                    </w:rPr>
                  </w:pPr>
                </w:p>
              </w:tc>
              <w:tc>
                <w:tcPr>
                  <w:tcW w:w="1252" w:type="pct"/>
                  <w:tcBorders>
                    <w:tl2br w:val="nil"/>
                    <w:tr2bl w:val="nil"/>
                  </w:tcBorders>
                  <w:noWrap/>
                  <w:vAlign w:val="center"/>
                </w:tcPr>
                <w:p w14:paraId="7A11A36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七、粮食作物</w:t>
                  </w:r>
                </w:p>
              </w:tc>
              <w:tc>
                <w:tcPr>
                  <w:tcW w:w="1914" w:type="pct"/>
                  <w:gridSpan w:val="2"/>
                  <w:tcBorders>
                    <w:tl2br w:val="nil"/>
                    <w:tr2bl w:val="nil"/>
                  </w:tcBorders>
                  <w:noWrap/>
                  <w:vAlign w:val="center"/>
                </w:tcPr>
                <w:p w14:paraId="78A99F7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八</w:t>
                  </w:r>
                  <w:r>
                    <w:rPr>
                      <w:rFonts w:hint="eastAsia" w:ascii="Times New Roman" w:hAnsi="Times New Roman" w:eastAsia="宋体" w:cs="Times New Roman"/>
                      <w:i w:val="0"/>
                      <w:iCs w:val="0"/>
                      <w:color w:val="auto"/>
                      <w:kern w:val="0"/>
                      <w:sz w:val="21"/>
                      <w:szCs w:val="21"/>
                      <w:u w:val="none"/>
                      <w:lang w:val="en-US" w:eastAsia="zh-CN" w:bidi="ar"/>
                    </w:rPr>
                    <w:t>）玉蜀黍、白菜、番薯、稻等</w:t>
                  </w:r>
                </w:p>
              </w:tc>
              <w:tc>
                <w:tcPr>
                  <w:tcW w:w="1190" w:type="pct"/>
                  <w:tcBorders>
                    <w:tl2br w:val="nil"/>
                    <w:tr2bl w:val="nil"/>
                  </w:tcBorders>
                  <w:noWrap/>
                  <w:vAlign w:val="center"/>
                </w:tcPr>
                <w:p w14:paraId="27281EC4">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评价区耕地分布</w:t>
                  </w:r>
                </w:p>
              </w:tc>
            </w:tr>
          </w:tbl>
          <w:p w14:paraId="4996CC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sz w:val="24"/>
              </w:rPr>
            </w:pPr>
            <w:r>
              <w:rPr>
                <w:rFonts w:hint="eastAsia" w:ascii="Times New Roman" w:hAnsi="Times New Roman" w:cs="Times New Roman"/>
                <w:b w:val="0"/>
                <w:bCs/>
                <w:color w:val="auto"/>
                <w:sz w:val="24"/>
                <w:lang w:val="en-US" w:eastAsia="zh-CN"/>
              </w:rPr>
              <w:t>经主管部门核实，项目区域林地均为商品林，不涉及天然林和公益林。</w:t>
            </w:r>
            <w:r>
              <w:rPr>
                <w:rFonts w:hint="default" w:ascii="Times New Roman" w:hAnsi="Times New Roman" w:cs="Times New Roman"/>
                <w:b w:val="0"/>
                <w:bCs/>
                <w:color w:val="auto"/>
                <w:sz w:val="24"/>
              </w:rPr>
              <w:t>根据《国家重点保护野生植物名录》</w:t>
            </w:r>
            <w:r>
              <w:rPr>
                <w:rFonts w:hint="eastAsia" w:ascii="Times New Roman" w:hAnsi="Times New Roman" w:eastAsia="宋体" w:cs="Times New Roman"/>
                <w:b w:val="0"/>
                <w:bCs/>
                <w:color w:val="auto"/>
                <w:sz w:val="24"/>
                <w:lang w:eastAsia="zh-CN"/>
              </w:rPr>
              <w:t>（</w:t>
            </w:r>
            <w:r>
              <w:rPr>
                <w:rFonts w:hint="eastAsia" w:ascii="Times New Roman" w:hAnsi="Times New Roman" w:eastAsia="宋体" w:cs="Times New Roman"/>
                <w:b w:val="0"/>
                <w:bCs/>
                <w:color w:val="auto"/>
                <w:sz w:val="24"/>
                <w:lang w:val="en-US" w:eastAsia="zh-CN"/>
              </w:rPr>
              <w:t>2021年版</w:t>
            </w:r>
            <w:r>
              <w:rPr>
                <w:rFonts w:hint="eastAsia" w:ascii="Times New Roman" w:hAnsi="Times New Roman" w:eastAsia="宋体" w:cs="Times New Roman"/>
                <w:b w:val="0"/>
                <w:bCs/>
                <w:color w:val="auto"/>
                <w:sz w:val="24"/>
                <w:lang w:eastAsia="zh-CN"/>
              </w:rPr>
              <w:t>）、</w:t>
            </w:r>
            <w:r>
              <w:rPr>
                <w:rFonts w:hint="default" w:ascii="Times New Roman" w:hAnsi="Times New Roman" w:eastAsia="宋体" w:cs="Times New Roman"/>
                <w:b w:val="0"/>
                <w:bCs/>
                <w:color w:val="auto"/>
                <w:sz w:val="24"/>
              </w:rPr>
              <w:t>《四川省重点保护野生</w:t>
            </w:r>
            <w:r>
              <w:rPr>
                <w:rFonts w:hint="eastAsia" w:ascii="Times New Roman" w:hAnsi="Times New Roman" w:eastAsia="宋体" w:cs="Times New Roman"/>
                <w:b w:val="0"/>
                <w:bCs/>
                <w:color w:val="auto"/>
                <w:sz w:val="24"/>
                <w:lang w:val="en-US" w:eastAsia="zh-CN"/>
              </w:rPr>
              <w:t>植物</w:t>
            </w:r>
            <w:r>
              <w:rPr>
                <w:rFonts w:hint="default" w:ascii="Times New Roman" w:hAnsi="Times New Roman" w:eastAsia="宋体" w:cs="Times New Roman"/>
                <w:b w:val="0"/>
                <w:bCs/>
                <w:color w:val="auto"/>
                <w:sz w:val="24"/>
              </w:rPr>
              <w:t>名录》</w:t>
            </w:r>
            <w:r>
              <w:rPr>
                <w:rFonts w:hint="eastAsia" w:ascii="Times New Roman" w:hAnsi="Times New Roman" w:eastAsia="宋体" w:cs="Times New Roman"/>
                <w:b w:val="0"/>
                <w:bCs/>
                <w:color w:val="auto"/>
                <w:sz w:val="24"/>
                <w:lang w:eastAsia="zh-CN"/>
              </w:rPr>
              <w:t>（</w:t>
            </w:r>
            <w:r>
              <w:rPr>
                <w:rFonts w:hint="eastAsia" w:ascii="Times New Roman" w:hAnsi="Times New Roman" w:eastAsia="宋体" w:cs="Times New Roman"/>
                <w:b w:val="0"/>
                <w:bCs/>
                <w:color w:val="auto"/>
                <w:sz w:val="24"/>
                <w:lang w:val="en-US" w:eastAsia="zh-CN"/>
              </w:rPr>
              <w:t>2024年版</w:t>
            </w:r>
            <w:r>
              <w:rPr>
                <w:rFonts w:hint="eastAsia" w:ascii="Times New Roman" w:hAnsi="Times New Roman" w:eastAsia="宋体" w:cs="Times New Roman"/>
                <w:b w:val="0"/>
                <w:bCs/>
                <w:color w:val="auto"/>
                <w:sz w:val="24"/>
                <w:lang w:eastAsia="zh-CN"/>
              </w:rPr>
              <w:t>）</w:t>
            </w:r>
            <w:r>
              <w:rPr>
                <w:rFonts w:hint="default" w:ascii="Times New Roman" w:hAnsi="Times New Roman" w:cs="Times New Roman"/>
                <w:b w:val="0"/>
                <w:bCs/>
                <w:color w:val="auto"/>
                <w:sz w:val="24"/>
              </w:rPr>
              <w:t>，经现场调查期间核实，调查区域内未发现珍稀濒危及国家</w:t>
            </w:r>
            <w:r>
              <w:rPr>
                <w:rFonts w:hint="eastAsia" w:ascii="Times New Roman" w:hAnsi="Times New Roman" w:cs="Times New Roman"/>
                <w:b w:val="0"/>
                <w:bCs/>
                <w:color w:val="auto"/>
                <w:sz w:val="24"/>
                <w:lang w:val="en-US" w:eastAsia="zh-CN"/>
              </w:rPr>
              <w:t>和四川省</w:t>
            </w:r>
            <w:r>
              <w:rPr>
                <w:rFonts w:hint="default" w:ascii="Times New Roman" w:hAnsi="Times New Roman" w:cs="Times New Roman"/>
                <w:b w:val="0"/>
                <w:bCs/>
                <w:color w:val="auto"/>
                <w:sz w:val="24"/>
              </w:rPr>
              <w:t>重点保护的野生植物和古树名木。</w:t>
            </w:r>
          </w:p>
          <w:p w14:paraId="5A7C3E72">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（3）项目周边</w:t>
            </w:r>
            <w:r>
              <w:rPr>
                <w:rFonts w:hint="eastAsia" w:ascii="Times New Roman" w:hAnsi="Times New Roman" w:cs="Times New Roman"/>
                <w:b w:val="0"/>
                <w:bCs w:val="0"/>
                <w:color w:val="auto"/>
                <w:sz w:val="24"/>
                <w:szCs w:val="28"/>
                <w:lang w:eastAsia="zh-CN"/>
              </w:rPr>
              <w:t>重点保护野生动植物</w:t>
            </w:r>
            <w:r>
              <w:rPr>
                <w:rFonts w:hint="default" w:ascii="Times New Roman" w:hAnsi="Times New Roman" w:cs="Times New Roman"/>
                <w:b w:val="0"/>
                <w:bCs w:val="0"/>
                <w:color w:val="auto"/>
                <w:sz w:val="24"/>
                <w:szCs w:val="28"/>
              </w:rPr>
              <w:t>分布情况</w:t>
            </w:r>
          </w:p>
          <w:p w14:paraId="0B2C3A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四川省巴中市</w:t>
            </w:r>
            <w:r>
              <w:rPr>
                <w:rFonts w:hint="eastAsia" w:cs="Times New Roman"/>
                <w:color w:val="auto"/>
                <w:sz w:val="24"/>
                <w:lang w:eastAsia="zh-CN"/>
              </w:rPr>
              <w:t>恩阳区上八庙镇季台村6组</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项目区域</w:t>
            </w:r>
            <w:r>
              <w:rPr>
                <w:rFonts w:hint="eastAsia" w:ascii="Times New Roman" w:hAnsi="Times New Roman" w:eastAsia="宋体" w:cs="Times New Roman"/>
                <w:color w:val="auto"/>
                <w:sz w:val="24"/>
              </w:rPr>
              <w:t>不涉及自然保护区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风景名胜区、</w:t>
            </w:r>
            <w:r>
              <w:rPr>
                <w:rFonts w:hint="eastAsia" w:ascii="Times New Roman" w:hAnsi="Times New Roman" w:eastAsia="宋体" w:cs="Times New Roman"/>
                <w:color w:val="auto"/>
                <w:sz w:val="24"/>
                <w:lang w:val="en-US" w:eastAsia="zh-CN"/>
              </w:rPr>
              <w:t>自然公园、重要</w:t>
            </w:r>
            <w:r>
              <w:rPr>
                <w:rFonts w:hint="eastAsia" w:ascii="Times New Roman" w:hAnsi="Times New Roman" w:eastAsia="宋体" w:cs="Times New Roman"/>
                <w:color w:val="auto"/>
                <w:sz w:val="24"/>
              </w:rPr>
              <w:t>湿地</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重点保护野生动物栖息地等</w:t>
            </w:r>
            <w:r>
              <w:rPr>
                <w:rFonts w:hint="eastAsia" w:ascii="Times New Roman" w:hAnsi="Times New Roman" w:eastAsia="宋体" w:cs="Times New Roman"/>
                <w:color w:val="auto"/>
                <w:sz w:val="24"/>
              </w:rPr>
              <w:t>。</w:t>
            </w:r>
          </w:p>
          <w:p w14:paraId="2339AE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次区域动物调查采用基础资料收集和实地调查相结合进行分析。文献资料收集包括整理工程所在区域的调查资料；实地调查包括对现场观察到的动物种类等进行记录和整理。根据上述材料及现场踏勘、观察和寻访当地居民，本项目区域属于农村环境，区域野生动物分布有兽类、鸟类、爬行类、两栖类和鱼类。兽类有褐家鼠、中华山蝠等，鸟类有麻雀、家燕等，爬行类有乌梢蛇、赤链蛇等，两栖类有小角蟾、双团棘胸蛙等，鱼类有草鱼、鲫鱼、鲤鱼等，均属于当地常见野生动物。</w:t>
            </w:r>
          </w:p>
          <w:p w14:paraId="2C2BB4C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根据《国家重点保护野生动物名录》（2021年版）、《四川省重点保护野生动物名录》</w:t>
            </w:r>
            <w:r>
              <w:rPr>
                <w:rFonts w:hint="eastAsia" w:ascii="Times New Roman" w:hAnsi="Times New Roman" w:cs="Times New Roman"/>
                <w:b w:val="0"/>
                <w:bCs/>
                <w:color w:val="auto"/>
                <w:sz w:val="24"/>
                <w:lang w:eastAsia="zh-CN"/>
              </w:rPr>
              <w:t>（</w:t>
            </w:r>
            <w:r>
              <w:rPr>
                <w:rFonts w:hint="eastAsia" w:ascii="Times New Roman" w:hAnsi="Times New Roman" w:cs="Times New Roman"/>
                <w:b w:val="0"/>
                <w:bCs/>
                <w:color w:val="auto"/>
                <w:sz w:val="24"/>
                <w:lang w:val="en-US" w:eastAsia="zh-CN"/>
              </w:rPr>
              <w:t>2024年版</w:t>
            </w:r>
            <w:r>
              <w:rPr>
                <w:rFonts w:hint="eastAsia" w:ascii="Times New Roman" w:hAnsi="Times New Roman" w:cs="Times New Roman"/>
                <w:b w:val="0"/>
                <w:bCs/>
                <w:color w:val="auto"/>
                <w:sz w:val="24"/>
                <w:lang w:eastAsia="zh-CN"/>
              </w:rPr>
              <w:t>）</w:t>
            </w:r>
            <w:r>
              <w:rPr>
                <w:rFonts w:hint="default" w:ascii="Times New Roman" w:hAnsi="Times New Roman" w:cs="Times New Roman"/>
                <w:b w:val="0"/>
                <w:bCs/>
                <w:color w:val="auto"/>
                <w:sz w:val="24"/>
              </w:rPr>
              <w:t>核实，现场调查期间，调查区域内未发现珍稀濒危及国家和四川省重点保护的野生动物。</w:t>
            </w:r>
            <w:r>
              <w:rPr>
                <w:rFonts w:hint="eastAsia" w:ascii="Times New Roman" w:hAnsi="Times New Roman" w:cs="Times New Roman"/>
                <w:b w:val="0"/>
                <w:bCs/>
                <w:color w:val="auto"/>
                <w:sz w:val="24"/>
                <w:highlight w:val="none"/>
                <w:lang w:val="en-US" w:eastAsia="zh-CN"/>
              </w:rPr>
              <w:t>同时根据核实</w:t>
            </w:r>
            <w:r>
              <w:rPr>
                <w:rFonts w:hint="default" w:ascii="Times New Roman" w:hAnsi="Times New Roman" w:cs="Times New Roman"/>
                <w:b w:val="0"/>
                <w:bCs/>
                <w:color w:val="auto"/>
                <w:sz w:val="24"/>
                <w:highlight w:val="none"/>
              </w:rPr>
              <w:t>在调查区域内</w:t>
            </w:r>
            <w:r>
              <w:rPr>
                <w:rFonts w:hint="eastAsia" w:ascii="Times New Roman" w:hAnsi="Times New Roman" w:eastAsia="宋体" w:cs="Times New Roman"/>
                <w:b w:val="0"/>
                <w:bCs/>
                <w:color w:val="auto"/>
                <w:sz w:val="24"/>
                <w:highlight w:val="none"/>
                <w:lang w:val="en-US" w:eastAsia="zh-CN"/>
              </w:rPr>
              <w:t>未发现《中国生物多样性红色名录》中极危、濒危和易危、特有种、极小种群物种，</w:t>
            </w:r>
            <w:r>
              <w:rPr>
                <w:rFonts w:hint="default" w:ascii="Times New Roman" w:hAnsi="Times New Roman" w:eastAsia="宋体" w:cs="Times New Roman"/>
                <w:b w:val="0"/>
                <w:bCs/>
                <w:color w:val="auto"/>
                <w:sz w:val="24"/>
                <w:highlight w:val="none"/>
                <w:lang w:val="en-US" w:eastAsia="zh-CN"/>
              </w:rPr>
              <w:t>无重要物种的重要生境、野生动物迁徙通道分布</w:t>
            </w:r>
            <w:r>
              <w:rPr>
                <w:rFonts w:hint="eastAsia" w:ascii="Times New Roman" w:hAnsi="Times New Roman" w:eastAsia="宋体" w:cs="Times New Roman"/>
                <w:b w:val="0"/>
                <w:bCs/>
                <w:color w:val="auto"/>
                <w:sz w:val="24"/>
                <w:highlight w:val="none"/>
                <w:lang w:val="en-US" w:eastAsia="zh-CN"/>
              </w:rPr>
              <w:t>。</w:t>
            </w:r>
          </w:p>
          <w:p w14:paraId="7BE36D96">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（4）水土流失</w:t>
            </w:r>
          </w:p>
          <w:p w14:paraId="0CE83A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评价区域为中度侵蚀区，平均侵蚀模数约3000t/km².a</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目前未发现受天然气开采影响</w:t>
            </w:r>
            <w:r>
              <w:rPr>
                <w:rFonts w:hint="eastAsia" w:ascii="Times New Roman" w:hAnsi="Times New Roman" w:cs="Times New Roman"/>
                <w:color w:val="auto"/>
                <w:sz w:val="24"/>
              </w:rPr>
              <w:t>水土流失</w:t>
            </w:r>
            <w:r>
              <w:rPr>
                <w:rFonts w:hint="default" w:ascii="Times New Roman" w:hAnsi="Times New Roman" w:cs="Times New Roman"/>
                <w:color w:val="auto"/>
                <w:sz w:val="24"/>
              </w:rPr>
              <w:t>明显加剧。</w:t>
            </w:r>
          </w:p>
          <w:p w14:paraId="3F8D4D8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综上，评价区域主要为农村区域，生态系统单一，结构简单，环境异质性差。区域以人工生境为主，易于恢复。评价区生产力水平较差，主要是受到人类干扰严重的耕地、建设用地等用地类型，动植物物种以及生物体的数量较少，食物网简单，即生态系统结构较简单。评价区域生态环境质量现状总体一般。</w:t>
            </w:r>
          </w:p>
          <w:p w14:paraId="2A05762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3</w:t>
            </w:r>
            <w:r>
              <w:rPr>
                <w:rFonts w:hint="default" w:ascii="Times New Roman" w:hAnsi="Times New Roman" w:cs="Times New Roman"/>
                <w:b/>
                <w:bCs/>
                <w:color w:val="auto"/>
                <w:sz w:val="24"/>
                <w:szCs w:val="28"/>
              </w:rPr>
              <w:t>、地下水环境现状</w:t>
            </w:r>
          </w:p>
          <w:p w14:paraId="7CF103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bookmarkStart w:id="43" w:name="_Hlk76484955"/>
            <w:r>
              <w:rPr>
                <w:rFonts w:hint="default" w:ascii="Times New Roman" w:hAnsi="Times New Roman" w:eastAsia="宋体" w:cs="Times New Roman"/>
                <w:bCs/>
                <w:color w:val="auto"/>
                <w:kern w:val="0"/>
                <w:sz w:val="24"/>
                <w:szCs w:val="24"/>
              </w:rPr>
              <w:t>地下水的赋存与分布，主要受地质构造、地貌、岩性、气候及条件的控制。依据地下水赋存条件、水动力特征、含水介质等因素的组合情况，将调查评价区内地下水划分为第四系松散孔隙水和</w:t>
            </w:r>
            <w:r>
              <w:rPr>
                <w:rFonts w:hint="default" w:ascii="Times New Roman" w:hAnsi="Times New Roman" w:eastAsia="宋体" w:cs="Times New Roman"/>
                <w:color w:val="auto"/>
                <w:sz w:val="24"/>
                <w:szCs w:val="24"/>
                <w:lang w:val="en-US" w:eastAsia="zh-CN"/>
              </w:rPr>
              <w:t>白垩系下统</w:t>
            </w:r>
            <w:r>
              <w:rPr>
                <w:rFonts w:hint="eastAsia" w:ascii="Times New Roman" w:hAnsi="Times New Roman" w:eastAsia="宋体" w:cs="Times New Roman"/>
                <w:color w:val="auto"/>
                <w:sz w:val="24"/>
                <w:szCs w:val="24"/>
                <w:lang w:val="en-US" w:eastAsia="zh-CN"/>
              </w:rPr>
              <w:t>剑门关组</w:t>
            </w:r>
            <w:r>
              <w:rPr>
                <w:rFonts w:hint="eastAsia" w:ascii="Times New Roman" w:hAnsi="Times New Roman" w:eastAsia="宋体" w:cs="Times New Roman"/>
                <w:bCs/>
                <w:color w:val="auto"/>
                <w:kern w:val="0"/>
                <w:sz w:val="24"/>
                <w:szCs w:val="24"/>
              </w:rPr>
              <w:t>（</w:t>
            </w:r>
            <w:r>
              <w:rPr>
                <w:rFonts w:hint="eastAsia" w:ascii="Times New Roman" w:hAnsi="Times New Roman" w:eastAsia="宋体" w:cs="Times New Roman"/>
                <w:color w:val="auto"/>
                <w:sz w:val="24"/>
                <w:szCs w:val="24"/>
                <w:lang w:val="en-US" w:eastAsia="zh-CN"/>
              </w:rPr>
              <w:t>K</w:t>
            </w:r>
            <w:r>
              <w:rPr>
                <w:rFonts w:hint="eastAsia" w:ascii="Times New Roman" w:hAnsi="Times New Roman" w:eastAsia="宋体" w:cs="Times New Roman"/>
                <w:color w:val="auto"/>
                <w:sz w:val="24"/>
                <w:szCs w:val="24"/>
                <w:vertAlign w:val="subscript"/>
                <w:lang w:val="en-US" w:eastAsia="zh-CN"/>
              </w:rPr>
              <w:t>1</w:t>
            </w:r>
            <w:r>
              <w:rPr>
                <w:rFonts w:hint="eastAsia" w:ascii="Times New Roman" w:hAnsi="Times New Roman" w:eastAsia="宋体" w:cs="Times New Roman"/>
                <w:i/>
                <w:iCs/>
                <w:color w:val="auto"/>
                <w:sz w:val="24"/>
                <w:szCs w:val="24"/>
                <w:lang w:val="en-US" w:eastAsia="zh-CN"/>
              </w:rPr>
              <w:t>j</w:t>
            </w:r>
            <w:r>
              <w:rPr>
                <w:rFonts w:hint="eastAsia" w:ascii="Times New Roman" w:hAnsi="Times New Roman" w:eastAsia="宋体" w:cs="Times New Roman"/>
                <w:bCs/>
                <w:color w:val="auto"/>
                <w:kern w:val="0"/>
                <w:sz w:val="24"/>
                <w:szCs w:val="24"/>
              </w:rPr>
              <w:t>）</w:t>
            </w:r>
            <w:r>
              <w:rPr>
                <w:rFonts w:hint="default" w:ascii="Times New Roman" w:hAnsi="Times New Roman" w:eastAsia="宋体" w:cs="Times New Roman"/>
                <w:bCs/>
                <w:color w:val="auto"/>
                <w:kern w:val="0"/>
                <w:sz w:val="24"/>
                <w:szCs w:val="24"/>
                <w:lang w:val="en-US" w:eastAsia="zh-CN"/>
              </w:rPr>
              <w:t>基岩</w:t>
            </w:r>
            <w:r>
              <w:rPr>
                <w:rFonts w:hint="default" w:ascii="Times New Roman" w:hAnsi="Times New Roman" w:eastAsia="宋体" w:cs="Times New Roman"/>
                <w:bCs/>
                <w:color w:val="auto"/>
                <w:kern w:val="0"/>
                <w:sz w:val="24"/>
                <w:szCs w:val="24"/>
              </w:rPr>
              <w:t>裂隙水两类，其中</w:t>
            </w:r>
            <w:r>
              <w:rPr>
                <w:rFonts w:hint="default" w:ascii="Times New Roman" w:hAnsi="Times New Roman" w:eastAsia="宋体" w:cs="Times New Roman"/>
                <w:color w:val="auto"/>
                <w:sz w:val="24"/>
                <w:szCs w:val="24"/>
                <w:lang w:val="en-US" w:eastAsia="zh-CN"/>
              </w:rPr>
              <w:t>白垩系下统</w:t>
            </w:r>
            <w:r>
              <w:rPr>
                <w:rFonts w:hint="eastAsia" w:ascii="Times New Roman" w:hAnsi="Times New Roman" w:eastAsia="宋体" w:cs="Times New Roman"/>
                <w:color w:val="auto"/>
                <w:sz w:val="24"/>
                <w:szCs w:val="24"/>
                <w:lang w:val="en-US" w:eastAsia="zh-CN"/>
              </w:rPr>
              <w:t>剑门关组</w:t>
            </w:r>
            <w:r>
              <w:rPr>
                <w:rFonts w:hint="eastAsia" w:ascii="Times New Roman" w:hAnsi="Times New Roman" w:eastAsia="宋体" w:cs="Times New Roman"/>
                <w:bCs/>
                <w:color w:val="auto"/>
                <w:kern w:val="0"/>
                <w:sz w:val="24"/>
                <w:szCs w:val="24"/>
              </w:rPr>
              <w:t>（</w:t>
            </w:r>
            <w:r>
              <w:rPr>
                <w:rFonts w:hint="eastAsia" w:ascii="Times New Roman" w:hAnsi="Times New Roman" w:eastAsia="宋体" w:cs="Times New Roman"/>
                <w:color w:val="auto"/>
                <w:sz w:val="24"/>
                <w:szCs w:val="24"/>
                <w:lang w:val="en-US" w:eastAsia="zh-CN"/>
              </w:rPr>
              <w:t>K</w:t>
            </w:r>
            <w:r>
              <w:rPr>
                <w:rFonts w:hint="eastAsia" w:ascii="Times New Roman" w:hAnsi="Times New Roman" w:eastAsia="宋体" w:cs="Times New Roman"/>
                <w:color w:val="auto"/>
                <w:sz w:val="24"/>
                <w:szCs w:val="24"/>
                <w:vertAlign w:val="subscript"/>
                <w:lang w:val="en-US" w:eastAsia="zh-CN"/>
              </w:rPr>
              <w:t>1</w:t>
            </w:r>
            <w:r>
              <w:rPr>
                <w:rFonts w:hint="eastAsia" w:ascii="Times New Roman" w:hAnsi="Times New Roman" w:eastAsia="宋体" w:cs="Times New Roman"/>
                <w:i/>
                <w:iCs/>
                <w:color w:val="auto"/>
                <w:sz w:val="24"/>
                <w:szCs w:val="24"/>
                <w:lang w:val="en-US" w:eastAsia="zh-CN"/>
              </w:rPr>
              <w:t>j</w:t>
            </w:r>
            <w:r>
              <w:rPr>
                <w:rFonts w:hint="eastAsia" w:ascii="Times New Roman" w:hAnsi="Times New Roman" w:eastAsia="宋体" w:cs="Times New Roman"/>
                <w:bCs/>
                <w:color w:val="auto"/>
                <w:kern w:val="0"/>
                <w:sz w:val="24"/>
                <w:szCs w:val="24"/>
              </w:rPr>
              <w:t>）</w:t>
            </w:r>
            <w:r>
              <w:rPr>
                <w:rFonts w:hint="eastAsia" w:ascii="Times New Roman" w:hAnsi="Times New Roman" w:eastAsia="宋体" w:cs="Times New Roman"/>
                <w:color w:val="auto"/>
                <w:sz w:val="24"/>
                <w:szCs w:val="24"/>
                <w:lang w:val="en-US" w:eastAsia="zh-CN"/>
              </w:rPr>
              <w:t>基岩</w:t>
            </w:r>
            <w:r>
              <w:rPr>
                <w:rFonts w:hint="eastAsia" w:ascii="Times New Roman" w:hAnsi="Times New Roman" w:eastAsia="宋体" w:cs="Times New Roman"/>
                <w:color w:val="auto"/>
                <w:sz w:val="24"/>
                <w:szCs w:val="24"/>
                <w:lang w:eastAsia="zh-CN"/>
              </w:rPr>
              <w:t>裂隙水</w:t>
            </w:r>
            <w:r>
              <w:rPr>
                <w:rFonts w:hint="eastAsia" w:ascii="Times New Roman" w:hAnsi="Times New Roman" w:eastAsia="宋体" w:cs="Times New Roman"/>
                <w:bCs/>
                <w:color w:val="auto"/>
                <w:kern w:val="0"/>
                <w:sz w:val="24"/>
                <w:szCs w:val="24"/>
                <w:lang w:val="en-US" w:eastAsia="zh-CN"/>
              </w:rPr>
              <w:t>含水层</w:t>
            </w:r>
            <w:r>
              <w:rPr>
                <w:rFonts w:hint="default" w:ascii="Times New Roman" w:hAnsi="Times New Roman" w:eastAsia="宋体" w:cs="Times New Roman"/>
                <w:bCs/>
                <w:color w:val="auto"/>
                <w:kern w:val="0"/>
                <w:sz w:val="24"/>
                <w:szCs w:val="24"/>
              </w:rPr>
              <w:t>为</w:t>
            </w:r>
            <w:r>
              <w:rPr>
                <w:rFonts w:hint="eastAsia" w:ascii="Times New Roman" w:hAnsi="Times New Roman" w:eastAsia="宋体" w:cs="Times New Roman"/>
                <w:bCs/>
                <w:color w:val="auto"/>
                <w:kern w:val="0"/>
                <w:sz w:val="24"/>
                <w:szCs w:val="24"/>
                <w:lang w:val="en-US" w:eastAsia="zh-CN"/>
              </w:rPr>
              <w:t>评价范围内</w:t>
            </w:r>
            <w:r>
              <w:rPr>
                <w:rFonts w:hint="default" w:ascii="Times New Roman" w:hAnsi="Times New Roman" w:eastAsia="宋体" w:cs="Times New Roman"/>
                <w:bCs/>
                <w:color w:val="auto"/>
                <w:kern w:val="0"/>
                <w:sz w:val="24"/>
                <w:szCs w:val="24"/>
              </w:rPr>
              <w:t>目</w:t>
            </w:r>
            <w:r>
              <w:rPr>
                <w:rFonts w:hint="eastAsia" w:ascii="Times New Roman" w:hAnsi="Times New Roman" w:eastAsia="宋体" w:cs="Times New Roman"/>
                <w:bCs/>
                <w:color w:val="auto"/>
                <w:kern w:val="0"/>
                <w:sz w:val="24"/>
                <w:szCs w:val="24"/>
                <w:lang w:val="en-US" w:eastAsia="zh-CN"/>
              </w:rPr>
              <w:t>标</w:t>
            </w:r>
            <w:r>
              <w:rPr>
                <w:rFonts w:hint="default" w:ascii="Times New Roman" w:hAnsi="Times New Roman" w:eastAsia="宋体" w:cs="Times New Roman"/>
                <w:bCs/>
                <w:color w:val="auto"/>
                <w:kern w:val="0"/>
                <w:sz w:val="24"/>
                <w:szCs w:val="24"/>
              </w:rPr>
              <w:t>含水层。</w:t>
            </w:r>
          </w:p>
          <w:p w14:paraId="11B638E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根据赋存条件，本项目地下水类型</w:t>
            </w:r>
            <w:r>
              <w:rPr>
                <w:rFonts w:hint="eastAsia" w:ascii="Times New Roman" w:hAnsi="Times New Roman" w:cs="Times New Roman"/>
                <w:bCs/>
                <w:color w:val="auto"/>
                <w:kern w:val="0"/>
                <w:sz w:val="24"/>
                <w:lang w:eastAsia="zh-CN"/>
              </w:rPr>
              <w:t>及</w:t>
            </w:r>
            <w:r>
              <w:rPr>
                <w:rFonts w:hint="default" w:ascii="Times New Roman" w:hAnsi="Times New Roman" w:cs="Times New Roman"/>
                <w:bCs/>
                <w:color w:val="auto"/>
                <w:kern w:val="0"/>
                <w:sz w:val="24"/>
              </w:rPr>
              <w:t>赋存条件如下：</w:t>
            </w:r>
          </w:p>
          <w:p w14:paraId="10245D57">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cs="Times New Roman"/>
                <w:b w:val="0"/>
                <w:bCs w:val="0"/>
                <w:color w:val="auto"/>
                <w:kern w:val="0"/>
                <w:sz w:val="24"/>
              </w:rPr>
            </w:pPr>
            <w:r>
              <w:rPr>
                <w:rFonts w:hint="eastAsia" w:ascii="Times New Roman" w:hAnsi="Times New Roman" w:cs="Times New Roman"/>
                <w:b w:val="0"/>
                <w:bCs w:val="0"/>
                <w:color w:val="auto"/>
                <w:kern w:val="0"/>
                <w:sz w:val="24"/>
                <w:lang w:eastAsia="zh-CN"/>
              </w:rPr>
              <w:t>（</w:t>
            </w:r>
            <w:r>
              <w:rPr>
                <w:rFonts w:hint="eastAsia" w:ascii="Times New Roman" w:hAnsi="Times New Roman" w:cs="Times New Roman"/>
                <w:b w:val="0"/>
                <w:bCs w:val="0"/>
                <w:color w:val="auto"/>
                <w:kern w:val="0"/>
                <w:sz w:val="24"/>
                <w:lang w:val="en-US" w:eastAsia="zh-CN"/>
              </w:rPr>
              <w:t>1</w:t>
            </w:r>
            <w:r>
              <w:rPr>
                <w:rFonts w:hint="eastAsia" w:ascii="Times New Roman" w:hAnsi="Times New Roman" w:cs="Times New Roman"/>
                <w:b w:val="0"/>
                <w:bCs w:val="0"/>
                <w:color w:val="auto"/>
                <w:kern w:val="0"/>
                <w:sz w:val="24"/>
                <w:lang w:eastAsia="zh-CN"/>
              </w:rPr>
              <w:t>）</w:t>
            </w:r>
            <w:r>
              <w:rPr>
                <w:rFonts w:hint="eastAsia" w:ascii="Times New Roman" w:hAnsi="Times New Roman" w:cs="Times New Roman"/>
                <w:b w:val="0"/>
                <w:bCs w:val="0"/>
                <w:color w:val="auto"/>
                <w:kern w:val="0"/>
                <w:sz w:val="24"/>
              </w:rPr>
              <w:t>第四系松散岩类孔隙水</w:t>
            </w:r>
          </w:p>
          <w:p w14:paraId="1521C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rPr>
              <w:t>松散岩类孔隙水主要赋存于</w:t>
            </w:r>
            <w:r>
              <w:rPr>
                <w:rFonts w:hint="eastAsia" w:ascii="Times New Roman" w:hAnsi="Times New Roman" w:eastAsia="宋体" w:cs="Times New Roman"/>
                <w:bCs/>
                <w:color w:val="auto"/>
                <w:kern w:val="0"/>
                <w:sz w:val="24"/>
                <w:szCs w:val="24"/>
              </w:rPr>
              <w:t>主要赋存于</w:t>
            </w:r>
            <w:r>
              <w:rPr>
                <w:rFonts w:hint="default" w:ascii="Times New Roman" w:hAnsi="Times New Roman" w:eastAsia="宋体" w:cs="Times New Roman"/>
                <w:bCs/>
                <w:color w:val="auto"/>
                <w:kern w:val="0"/>
                <w:sz w:val="24"/>
                <w:szCs w:val="24"/>
              </w:rPr>
              <w:t>第四系</w:t>
            </w:r>
            <w:r>
              <w:rPr>
                <w:rFonts w:hint="eastAsia" w:ascii="Times New Roman" w:hAnsi="Times New Roman" w:eastAsia="宋体" w:cs="Times New Roman"/>
                <w:bCs/>
                <w:color w:val="auto"/>
                <w:kern w:val="0"/>
                <w:sz w:val="24"/>
                <w:szCs w:val="24"/>
                <w:lang w:val="en-US" w:eastAsia="zh-CN"/>
              </w:rPr>
              <w:t>全新</w:t>
            </w:r>
            <w:r>
              <w:rPr>
                <w:rFonts w:hint="default" w:ascii="Times New Roman" w:hAnsi="Times New Roman" w:eastAsia="宋体" w:cs="Times New Roman"/>
                <w:bCs/>
                <w:color w:val="auto"/>
                <w:kern w:val="0"/>
                <w:sz w:val="24"/>
                <w:szCs w:val="24"/>
              </w:rPr>
              <w:t>统</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Q</w:t>
            </w:r>
            <w:r>
              <w:rPr>
                <w:rFonts w:hint="eastAsia" w:ascii="Times New Roman" w:hAnsi="Times New Roman" w:eastAsia="宋体" w:cs="Times New Roman"/>
                <w:bCs/>
                <w:color w:val="auto"/>
                <w:kern w:val="0"/>
                <w:sz w:val="24"/>
                <w:szCs w:val="24"/>
                <w:vertAlign w:val="subscript"/>
                <w:lang w:val="en-US" w:eastAsia="zh-CN"/>
              </w:rPr>
              <w:t>4</w:t>
            </w:r>
            <w:r>
              <w:rPr>
                <w:rFonts w:hint="eastAsia" w:ascii="Times New Roman" w:hAnsi="Times New Roman" w:eastAsia="宋体" w:cs="Times New Roman"/>
                <w:color w:val="auto"/>
                <w:sz w:val="24"/>
                <w:szCs w:val="24"/>
                <w:vertAlign w:val="superscript"/>
                <w:lang w:val="en-US" w:eastAsia="zh-CN"/>
              </w:rPr>
              <w:t>el+dl</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rPr>
              <w:t>含碎石粉质粘土层</w:t>
            </w:r>
            <w:r>
              <w:rPr>
                <w:rFonts w:hint="eastAsia" w:ascii="Times New Roman" w:hAnsi="Times New Roman" w:eastAsia="宋体" w:cs="Times New Roman"/>
                <w:bCs/>
                <w:color w:val="auto"/>
                <w:kern w:val="0"/>
                <w:sz w:val="24"/>
                <w:szCs w:val="24"/>
                <w:lang w:val="en-US" w:eastAsia="zh-CN"/>
              </w:rPr>
              <w:t>及砂砾石</w:t>
            </w:r>
            <w:r>
              <w:rPr>
                <w:rFonts w:hint="default" w:ascii="Times New Roman" w:hAnsi="Times New Roman" w:eastAsia="宋体" w:cs="Times New Roman"/>
                <w:bCs/>
                <w:color w:val="auto"/>
                <w:kern w:val="0"/>
                <w:sz w:val="24"/>
                <w:szCs w:val="24"/>
              </w:rPr>
              <w:t>中，主要分布于</w:t>
            </w:r>
            <w:r>
              <w:rPr>
                <w:rFonts w:hint="eastAsia" w:ascii="Times New Roman" w:hAnsi="Times New Roman" w:eastAsia="宋体" w:cs="Times New Roman"/>
                <w:bCs/>
                <w:color w:val="auto"/>
                <w:kern w:val="0"/>
                <w:sz w:val="24"/>
                <w:szCs w:val="24"/>
                <w:lang w:val="en-US" w:eastAsia="zh-CN"/>
              </w:rPr>
              <w:t>向阳河</w:t>
            </w:r>
            <w:r>
              <w:rPr>
                <w:rFonts w:hint="eastAsia" w:ascii="Times New Roman" w:hAnsi="Times New Roman" w:eastAsia="宋体" w:cs="Times New Roman"/>
                <w:color w:val="auto"/>
                <w:kern w:val="0"/>
                <w:sz w:val="24"/>
                <w:szCs w:val="24"/>
                <w:lang w:val="en-US" w:eastAsia="zh-CN"/>
              </w:rPr>
              <w:t>河</w:t>
            </w:r>
            <w:r>
              <w:rPr>
                <w:rFonts w:hint="eastAsia" w:ascii="Times New Roman" w:hAnsi="Times New Roman" w:eastAsia="宋体" w:cs="Times New Roman"/>
                <w:bCs/>
                <w:color w:val="auto"/>
                <w:kern w:val="0"/>
                <w:sz w:val="24"/>
                <w:szCs w:val="24"/>
              </w:rPr>
              <w:t>谷</w:t>
            </w:r>
            <w:r>
              <w:rPr>
                <w:rFonts w:hint="default" w:ascii="Times New Roman" w:hAnsi="Times New Roman" w:eastAsia="宋体" w:cs="Times New Roman"/>
                <w:bCs/>
                <w:color w:val="auto"/>
                <w:kern w:val="0"/>
                <w:sz w:val="24"/>
                <w:szCs w:val="24"/>
              </w:rPr>
              <w:t>沿岸，</w:t>
            </w:r>
            <w:r>
              <w:rPr>
                <w:rFonts w:hint="eastAsia" w:ascii="Times New Roman" w:hAnsi="Times New Roman" w:eastAsia="宋体" w:cs="Times New Roman"/>
                <w:bCs/>
                <w:color w:val="auto"/>
                <w:kern w:val="0"/>
                <w:sz w:val="24"/>
                <w:szCs w:val="24"/>
              </w:rPr>
              <w:t>分布零星，</w:t>
            </w:r>
            <w:r>
              <w:rPr>
                <w:rFonts w:hint="default" w:ascii="Times New Roman" w:hAnsi="Times New Roman" w:eastAsia="宋体" w:cs="Times New Roman"/>
                <w:bCs/>
                <w:color w:val="auto"/>
                <w:kern w:val="0"/>
                <w:sz w:val="24"/>
                <w:szCs w:val="24"/>
              </w:rPr>
              <w:t>水量相对贫乏，</w:t>
            </w:r>
            <w:r>
              <w:rPr>
                <w:rFonts w:hint="eastAsia" w:ascii="Times New Roman" w:hAnsi="Times New Roman" w:eastAsia="宋体" w:cs="Times New Roman"/>
                <w:bCs/>
                <w:color w:val="auto"/>
                <w:kern w:val="0"/>
                <w:sz w:val="24"/>
                <w:szCs w:val="24"/>
              </w:rPr>
              <w:t>该层的富水性及透水性均较差，排泄条件较差，属弱透水层，主要接受大气降水下渗补给。单井涌水量10t/d</w:t>
            </w:r>
            <w:r>
              <w:rPr>
                <w:rFonts w:hint="eastAsia" w:ascii="Times New Roman" w:hAnsi="Times New Roman" w:eastAsia="宋体" w:cs="Times New Roman"/>
                <w:bCs/>
                <w:color w:val="auto"/>
                <w:kern w:val="0"/>
                <w:sz w:val="24"/>
                <w:szCs w:val="24"/>
                <w:lang w:val="en-US" w:eastAsia="zh-CN"/>
              </w:rPr>
              <w:t>~</w:t>
            </w:r>
            <w:r>
              <w:rPr>
                <w:rFonts w:hint="eastAsia" w:ascii="Times New Roman" w:hAnsi="Times New Roman" w:eastAsia="宋体" w:cs="Times New Roman"/>
                <w:bCs/>
                <w:color w:val="auto"/>
                <w:kern w:val="0"/>
                <w:sz w:val="24"/>
                <w:szCs w:val="24"/>
              </w:rPr>
              <w:t>10</w:t>
            </w:r>
            <w:r>
              <w:rPr>
                <w:rFonts w:hint="eastAsia" w:ascii="Times New Roman" w:hAnsi="Times New Roman" w:eastAsia="宋体" w:cs="Times New Roman"/>
                <w:bCs/>
                <w:color w:val="auto"/>
                <w:kern w:val="0"/>
                <w:sz w:val="24"/>
                <w:szCs w:val="24"/>
                <w:lang w:val="en-US" w:eastAsia="zh-CN"/>
              </w:rPr>
              <w:t>0</w:t>
            </w:r>
            <w:r>
              <w:rPr>
                <w:rFonts w:hint="eastAsia" w:ascii="Times New Roman" w:hAnsi="Times New Roman" w:eastAsia="宋体" w:cs="Times New Roman"/>
                <w:bCs/>
                <w:color w:val="auto"/>
                <w:kern w:val="0"/>
                <w:sz w:val="24"/>
                <w:szCs w:val="24"/>
              </w:rPr>
              <w:t>t/d</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井（泉）流量小于0.5L/s</w:t>
            </w:r>
            <w:r>
              <w:rPr>
                <w:rFonts w:hint="default" w:ascii="Times New Roman" w:hAnsi="Times New Roman" w:eastAsia="宋体" w:cs="Times New Roman"/>
                <w:bCs/>
                <w:color w:val="auto"/>
                <w:kern w:val="0"/>
                <w:sz w:val="24"/>
                <w:szCs w:val="24"/>
              </w:rPr>
              <w:t>。</w:t>
            </w:r>
          </w:p>
          <w:p w14:paraId="7117E0E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cs="Times New Roman"/>
                <w:b w:val="0"/>
                <w:bCs w:val="0"/>
                <w:color w:val="auto"/>
                <w:kern w:val="0"/>
                <w:sz w:val="24"/>
              </w:rPr>
            </w:pPr>
            <w:r>
              <w:rPr>
                <w:rFonts w:hint="eastAsia" w:ascii="Times New Roman" w:hAnsi="Times New Roman" w:cs="Times New Roman"/>
                <w:b w:val="0"/>
                <w:bCs w:val="0"/>
                <w:color w:val="auto"/>
                <w:kern w:val="0"/>
                <w:sz w:val="24"/>
                <w:lang w:eastAsia="zh-CN"/>
              </w:rPr>
              <w:t>（</w:t>
            </w:r>
            <w:r>
              <w:rPr>
                <w:rFonts w:hint="eastAsia" w:ascii="Times New Roman" w:hAnsi="Times New Roman" w:cs="Times New Roman"/>
                <w:b w:val="0"/>
                <w:bCs w:val="0"/>
                <w:color w:val="auto"/>
                <w:kern w:val="0"/>
                <w:sz w:val="24"/>
                <w:lang w:val="en-US" w:eastAsia="zh-CN"/>
              </w:rPr>
              <w:t>2</w:t>
            </w:r>
            <w:r>
              <w:rPr>
                <w:rFonts w:hint="eastAsia" w:ascii="Times New Roman" w:hAnsi="Times New Roman" w:cs="Times New Roman"/>
                <w:b w:val="0"/>
                <w:bCs w:val="0"/>
                <w:color w:val="auto"/>
                <w:kern w:val="0"/>
                <w:sz w:val="24"/>
                <w:lang w:eastAsia="zh-CN"/>
              </w:rPr>
              <w:t>）</w:t>
            </w:r>
            <w:r>
              <w:rPr>
                <w:rFonts w:hint="eastAsia" w:ascii="Times New Roman" w:hAnsi="Times New Roman" w:cs="Times New Roman"/>
                <w:b w:val="0"/>
                <w:bCs w:val="0"/>
                <w:color w:val="auto"/>
                <w:kern w:val="0"/>
                <w:sz w:val="24"/>
              </w:rPr>
              <w:t>基岩裂隙水</w:t>
            </w:r>
          </w:p>
          <w:p w14:paraId="31F0A05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rPr>
              <w:t>项目所在区域</w:t>
            </w:r>
            <w:r>
              <w:rPr>
                <w:rFonts w:hint="eastAsia" w:ascii="Times New Roman" w:hAnsi="Times New Roman" w:eastAsia="宋体" w:cs="Times New Roman"/>
                <w:color w:val="auto"/>
                <w:kern w:val="0"/>
                <w:sz w:val="24"/>
                <w:szCs w:val="24"/>
                <w:lang w:val="en-US" w:eastAsia="zh-CN"/>
              </w:rPr>
              <w:t>地下水类型</w:t>
            </w:r>
            <w:r>
              <w:rPr>
                <w:rFonts w:hint="default" w:ascii="Times New Roman" w:hAnsi="Times New Roman" w:eastAsia="宋体" w:cs="Times New Roman"/>
                <w:color w:val="auto"/>
                <w:kern w:val="0"/>
                <w:sz w:val="24"/>
                <w:szCs w:val="24"/>
              </w:rPr>
              <w:t>主要为</w:t>
            </w:r>
            <w:r>
              <w:rPr>
                <w:rFonts w:hint="eastAsia" w:ascii="宋体" w:hAnsi="宋体" w:eastAsia="宋体" w:cs="宋体"/>
                <w:bCs/>
                <w:color w:val="auto"/>
                <w:kern w:val="0"/>
                <w:sz w:val="24"/>
                <w:szCs w:val="24"/>
                <w:lang w:eastAsia="zh-CN"/>
              </w:rPr>
              <w:t>基岩裂隙水</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属构造裂隙水，风化裂隙弱发育，</w:t>
            </w:r>
            <w:r>
              <w:rPr>
                <w:rFonts w:hint="eastAsia" w:ascii="Times New Roman" w:hAnsi="Times New Roman" w:eastAsia="宋体" w:cs="Times New Roman"/>
                <w:color w:val="auto"/>
                <w:kern w:val="0"/>
                <w:sz w:val="24"/>
                <w:szCs w:val="24"/>
              </w:rPr>
              <w:t>在评价范围内广泛分布，</w:t>
            </w:r>
            <w:r>
              <w:rPr>
                <w:rFonts w:hint="eastAsia" w:ascii="Times New Roman" w:hAnsi="Times New Roman" w:eastAsia="宋体" w:cs="Times New Roman"/>
                <w:color w:val="auto"/>
                <w:kern w:val="0"/>
                <w:sz w:val="24"/>
                <w:szCs w:val="24"/>
                <w:lang w:val="en-US" w:eastAsia="zh-CN"/>
              </w:rPr>
              <w:t>其含水层</w:t>
            </w:r>
            <w:r>
              <w:rPr>
                <w:rFonts w:hint="default" w:ascii="Times New Roman" w:hAnsi="Times New Roman" w:eastAsia="宋体" w:cs="Times New Roman"/>
                <w:color w:val="auto"/>
                <w:kern w:val="0"/>
                <w:sz w:val="24"/>
                <w:szCs w:val="24"/>
              </w:rPr>
              <w:t>为评价范围内目</w:t>
            </w:r>
            <w:r>
              <w:rPr>
                <w:rFonts w:hint="eastAsia" w:ascii="Times New Roman" w:hAnsi="Times New Roman" w:eastAsia="宋体" w:cs="Times New Roman"/>
                <w:color w:val="auto"/>
                <w:kern w:val="0"/>
                <w:sz w:val="24"/>
                <w:szCs w:val="24"/>
                <w:lang w:val="en-US" w:eastAsia="zh-CN"/>
              </w:rPr>
              <w:t>标</w:t>
            </w:r>
            <w:r>
              <w:rPr>
                <w:rFonts w:hint="default" w:ascii="Times New Roman" w:hAnsi="Times New Roman" w:eastAsia="宋体" w:cs="Times New Roman"/>
                <w:color w:val="auto"/>
                <w:kern w:val="0"/>
                <w:sz w:val="24"/>
                <w:szCs w:val="24"/>
              </w:rPr>
              <w:t>含水层，主要赋存于</w:t>
            </w:r>
            <w:r>
              <w:rPr>
                <w:rFonts w:hint="default" w:ascii="Times New Roman" w:hAnsi="Times New Roman" w:eastAsia="宋体" w:cs="Times New Roman"/>
                <w:color w:val="auto"/>
                <w:sz w:val="24"/>
                <w:szCs w:val="24"/>
                <w:lang w:val="en-US" w:eastAsia="zh-CN"/>
              </w:rPr>
              <w:t>白垩系下统剑门关组</w:t>
            </w:r>
            <w:r>
              <w:rPr>
                <w:rFonts w:hint="default" w:ascii="Times New Roman" w:hAnsi="Times New Roman" w:eastAsia="宋体" w:cs="Times New Roman"/>
                <w:bCs/>
                <w:color w:val="auto"/>
                <w:kern w:val="0"/>
                <w:sz w:val="24"/>
                <w:szCs w:val="24"/>
              </w:rPr>
              <w:t>（</w:t>
            </w:r>
            <w:r>
              <w:rPr>
                <w:rFonts w:hint="default" w:ascii="Times New Roman" w:hAnsi="Times New Roman" w:eastAsia="宋体" w:cs="Times New Roman"/>
                <w:color w:val="auto"/>
                <w:sz w:val="24"/>
                <w:szCs w:val="24"/>
                <w:lang w:val="en-US" w:eastAsia="zh-CN"/>
              </w:rPr>
              <w:t>K</w:t>
            </w:r>
            <w:r>
              <w:rPr>
                <w:rFonts w:hint="default" w:ascii="Times New Roman" w:hAnsi="Times New Roman" w:eastAsia="宋体" w:cs="Times New Roman"/>
                <w:color w:val="auto"/>
                <w:sz w:val="24"/>
                <w:szCs w:val="24"/>
                <w:vertAlign w:val="subscript"/>
                <w:lang w:val="en-US" w:eastAsia="zh-CN"/>
              </w:rPr>
              <w:t>1</w:t>
            </w:r>
            <w:r>
              <w:rPr>
                <w:rFonts w:hint="default" w:ascii="Times New Roman" w:hAnsi="Times New Roman" w:eastAsia="宋体" w:cs="Times New Roman"/>
                <w:i/>
                <w:iCs/>
                <w:color w:val="auto"/>
                <w:sz w:val="24"/>
                <w:szCs w:val="24"/>
                <w:lang w:val="en-US" w:eastAsia="zh-CN"/>
              </w:rPr>
              <w:t>j</w:t>
            </w:r>
            <w:r>
              <w:rPr>
                <w:rFonts w:hint="default" w:ascii="Times New Roman" w:hAnsi="Times New Roman" w:eastAsia="宋体" w:cs="Times New Roman"/>
                <w:bCs/>
                <w:color w:val="auto"/>
                <w:kern w:val="0"/>
                <w:sz w:val="24"/>
                <w:szCs w:val="24"/>
              </w:rPr>
              <w:t>）</w:t>
            </w:r>
            <w:r>
              <w:rPr>
                <w:rFonts w:hint="eastAsia" w:ascii="Times New Roman" w:hAnsi="Times New Roman" w:eastAsia="宋体" w:cs="Times New Roman"/>
                <w:bCs/>
                <w:color w:val="auto"/>
                <w:kern w:val="0"/>
                <w:sz w:val="24"/>
                <w:szCs w:val="24"/>
                <w:lang w:val="en-US" w:eastAsia="zh-CN"/>
              </w:rPr>
              <w:t>基岩裂隙</w:t>
            </w:r>
            <w:r>
              <w:rPr>
                <w:rFonts w:hint="eastAsia" w:ascii="Times New Roman" w:hAnsi="Times New Roman" w:eastAsia="宋体" w:cs="Times New Roman"/>
                <w:color w:val="auto"/>
                <w:sz w:val="24"/>
                <w:szCs w:val="24"/>
              </w:rPr>
              <w:t>中。地下水赋存条件较差，含水性弱，地下水径流模数0.1L/s·km</w:t>
            </w:r>
            <w:r>
              <w:rPr>
                <w:rFonts w:hint="eastAsia"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L/s·km</w:t>
            </w:r>
            <w:r>
              <w:rPr>
                <w:rFonts w:hint="eastAsia"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，泉流量</w:t>
            </w:r>
            <w:r>
              <w:rPr>
                <w:rFonts w:hint="eastAsia" w:ascii="Times New Roman" w:hAnsi="Times New Roman" w:eastAsia="宋体" w:cs="Times New Roman"/>
                <w:color w:val="auto"/>
                <w:sz w:val="24"/>
                <w:szCs w:val="24"/>
                <w:lang w:val="en-US" w:eastAsia="zh-CN"/>
              </w:rPr>
              <w:t>大于</w:t>
            </w:r>
            <w:r>
              <w:rPr>
                <w:rFonts w:hint="eastAsia" w:ascii="Times New Roman" w:hAnsi="Times New Roman" w:eastAsia="宋体" w:cs="Times New Roman"/>
                <w:color w:val="auto"/>
                <w:sz w:val="24"/>
                <w:szCs w:val="24"/>
              </w:rPr>
              <w:t>0.1L/s</w:t>
            </w:r>
            <w:r>
              <w:rPr>
                <w:rFonts w:hint="eastAsia" w:ascii="Times New Roman" w:hAnsi="Times New Roman" w:eastAsia="宋体" w:cs="Times New Roman"/>
                <w:color w:val="auto"/>
                <w:sz w:val="24"/>
                <w:szCs w:val="24"/>
                <w:lang w:eastAsia="zh-CN"/>
              </w:rPr>
              <w:t>，钻孔涌水量100</w:t>
            </w: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eastAsia="zh-CN"/>
              </w:rPr>
              <w:t>00</w:t>
            </w:r>
            <w:r>
              <w:rPr>
                <w:rFonts w:hint="eastAsia"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d</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其下的基岩层厚度较大，</w:t>
            </w:r>
            <w:r>
              <w:rPr>
                <w:rFonts w:hint="eastAsia" w:ascii="Times New Roman" w:hAnsi="Times New Roman" w:eastAsia="宋体" w:cs="Times New Roman"/>
                <w:bCs/>
                <w:color w:val="auto"/>
                <w:kern w:val="0"/>
                <w:sz w:val="24"/>
                <w:szCs w:val="24"/>
                <w:lang w:val="en-US" w:eastAsia="zh-CN"/>
              </w:rPr>
              <w:t>渗透性较差，</w:t>
            </w:r>
            <w:r>
              <w:rPr>
                <w:rFonts w:hint="eastAsia" w:ascii="Times New Roman" w:hAnsi="Times New Roman" w:eastAsia="宋体" w:cs="Times New Roman"/>
                <w:color w:val="auto"/>
                <w:sz w:val="24"/>
                <w:szCs w:val="24"/>
                <w:lang w:val="en-US" w:eastAsia="zh-CN"/>
              </w:rPr>
              <w:t>构成相对隔水层。</w:t>
            </w:r>
          </w:p>
          <w:bookmarkEnd w:id="43"/>
          <w:p w14:paraId="77F7AB7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4</w:t>
            </w:r>
            <w:r>
              <w:rPr>
                <w:rFonts w:hint="default" w:ascii="Times New Roman" w:hAnsi="Times New Roman" w:cs="Times New Roman"/>
                <w:b/>
                <w:bCs/>
                <w:color w:val="auto"/>
                <w:sz w:val="24"/>
                <w:szCs w:val="28"/>
              </w:rPr>
              <w:t>、区域环境质量现状</w:t>
            </w:r>
          </w:p>
          <w:p w14:paraId="00DEFCCC">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（1）环境空气质量</w:t>
            </w:r>
          </w:p>
          <w:p w14:paraId="292509D7">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1）区域环境质量达标情况</w:t>
            </w:r>
          </w:p>
          <w:p w14:paraId="787172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根据《环境影响评价技术导则 大气环境》（HJ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2.2-2018），本次评价引用巴中市生态环境局公布</w:t>
            </w:r>
            <w:r>
              <w:rPr>
                <w:rFonts w:hint="default" w:ascii="Times New Roman" w:hAnsi="Times New Roman" w:eastAsia="宋体" w:cs="Times New Roman"/>
                <w:color w:val="auto"/>
                <w:sz w:val="24"/>
              </w:rPr>
              <w:t>的</w:t>
            </w:r>
            <w:r>
              <w:rPr>
                <w:rFonts w:hint="default"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2025年巴中市生态环境状况公报</w:t>
            </w:r>
            <w:r>
              <w:rPr>
                <w:rFonts w:hint="default" w:cs="Times New Roman"/>
                <w:color w:val="auto"/>
                <w:sz w:val="24"/>
                <w:szCs w:val="24"/>
                <w:highlight w:val="none"/>
              </w:rPr>
              <w:t>》</w:t>
            </w:r>
            <w:r>
              <w:rPr>
                <w:rFonts w:hint="default" w:ascii="Times New Roman" w:hAnsi="Times New Roman" w:eastAsia="宋体" w:cs="Times New Roman"/>
                <w:color w:val="auto"/>
                <w:sz w:val="24"/>
              </w:rPr>
              <w:t>中环</w:t>
            </w:r>
            <w:r>
              <w:rPr>
                <w:rFonts w:hint="default" w:ascii="Times New Roman" w:hAnsi="Times New Roman" w:cs="Times New Roman"/>
                <w:color w:val="auto"/>
                <w:sz w:val="24"/>
              </w:rPr>
              <w:t>境空气质量现状数据进行空气质量达标区判定</w:t>
            </w:r>
            <w:r>
              <w:rPr>
                <w:rFonts w:hint="eastAsia" w:cs="Times New Roman"/>
                <w:color w:val="auto"/>
                <w:sz w:val="24"/>
                <w:lang w:eastAsia="zh-CN"/>
              </w:rPr>
              <w:t>：</w:t>
            </w:r>
            <w:r>
              <w:rPr>
                <w:rFonts w:hint="eastAsia"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eastAsia="宋体" w:cs="Times New Roman"/>
                <w:color w:val="auto"/>
                <w:sz w:val="24"/>
                <w:szCs w:val="24"/>
                <w:highlight w:val="none"/>
              </w:rPr>
              <w:t>年，巴城环境空气质量优良率为9</w:t>
            </w:r>
            <w:r>
              <w:rPr>
                <w:rFonts w:hint="eastAsia" w:cs="Times New Roman"/>
                <w:color w:val="auto"/>
                <w:sz w:val="24"/>
                <w:szCs w:val="24"/>
                <w:highlight w:val="none"/>
                <w:lang w:val="en-US" w:eastAsia="zh-CN"/>
              </w:rPr>
              <w:t>4.2</w:t>
            </w:r>
            <w:r>
              <w:rPr>
                <w:rFonts w:hint="eastAsia" w:eastAsia="宋体" w:cs="Times New Roman"/>
                <w:color w:val="auto"/>
                <w:sz w:val="24"/>
                <w:szCs w:val="24"/>
                <w:highlight w:val="none"/>
              </w:rPr>
              <w:t>%</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未扣除异常沙尘和异常高温低湿臭氧超标影响</w:t>
            </w:r>
            <w:r>
              <w:rPr>
                <w:rFonts w:hint="eastAsia" w:cs="Times New Roman"/>
                <w:color w:val="auto"/>
                <w:sz w:val="24"/>
                <w:szCs w:val="24"/>
                <w:highlight w:val="none"/>
                <w:lang w:eastAsia="zh-CN"/>
              </w:rPr>
              <w:t>）</w:t>
            </w:r>
            <w:r>
              <w:rPr>
                <w:rFonts w:hint="eastAsia" w:eastAsia="宋体" w:cs="Times New Roman"/>
                <w:color w:val="auto"/>
                <w:sz w:val="24"/>
                <w:szCs w:val="24"/>
                <w:highlight w:val="none"/>
              </w:rPr>
              <w:t>，同比</w:t>
            </w:r>
            <w:r>
              <w:rPr>
                <w:rFonts w:hint="eastAsia" w:cs="Times New Roman"/>
                <w:color w:val="auto"/>
                <w:sz w:val="24"/>
                <w:szCs w:val="24"/>
                <w:highlight w:val="none"/>
                <w:lang w:val="en-US" w:eastAsia="zh-CN"/>
              </w:rPr>
              <w:t>下降1.4</w:t>
            </w:r>
            <w:r>
              <w:rPr>
                <w:rFonts w:hint="eastAsia" w:eastAsia="宋体" w:cs="Times New Roman"/>
                <w:color w:val="auto"/>
                <w:sz w:val="24"/>
                <w:szCs w:val="24"/>
                <w:highlight w:val="none"/>
              </w:rPr>
              <w:t>个百分点，污染天数同比</w:t>
            </w:r>
            <w:r>
              <w:rPr>
                <w:rFonts w:hint="eastAsia" w:cs="Times New Roman"/>
                <w:color w:val="auto"/>
                <w:sz w:val="24"/>
                <w:szCs w:val="24"/>
                <w:highlight w:val="none"/>
                <w:lang w:val="en-US" w:eastAsia="zh-CN"/>
              </w:rPr>
              <w:t>增加5</w:t>
            </w:r>
            <w:r>
              <w:rPr>
                <w:rFonts w:hint="eastAsia" w:eastAsia="宋体" w:cs="Times New Roman"/>
                <w:color w:val="auto"/>
                <w:sz w:val="24"/>
                <w:szCs w:val="24"/>
                <w:highlight w:val="none"/>
              </w:rPr>
              <w:t>天</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中度污染增加1天，轻度污染增加4天）</w:t>
            </w:r>
            <w:r>
              <w:rPr>
                <w:rFonts w:hint="eastAsia" w:eastAsia="宋体" w:cs="Times New Roman"/>
                <w:color w:val="auto"/>
                <w:sz w:val="24"/>
                <w:szCs w:val="24"/>
                <w:highlight w:val="none"/>
              </w:rPr>
              <w:t>。环境空气六项主要污染物年均浓度全部达到国家环境空气质量二级标准，空气质量综合指数为2.99，同比下降0.16。</w:t>
            </w:r>
            <w:r>
              <w:rPr>
                <w:rFonts w:hint="eastAsia" w:cs="Times New Roman"/>
                <w:color w:val="auto"/>
                <w:sz w:val="24"/>
                <w:szCs w:val="24"/>
                <w:highlight w:val="none"/>
                <w:lang w:val="en-US" w:eastAsia="zh-CN"/>
              </w:rPr>
              <w:t>全市县（区）的环境空气质量优良率均在90%以上，从高到低依次是南江县和通江县并列95.1%、平昌县93.7%、恩阳区91.2%。</w:t>
            </w:r>
            <w:r>
              <w:rPr>
                <w:rFonts w:hint="eastAsia" w:cs="Times New Roman"/>
                <w:b/>
                <w:bCs/>
                <w:color w:val="auto"/>
                <w:sz w:val="24"/>
                <w:szCs w:val="24"/>
                <w:highlight w:val="none"/>
                <w:lang w:val="en-US" w:eastAsia="zh-CN"/>
              </w:rPr>
              <w:t>2025年，县（区）环境空气六项主要污染物浓度保持为全部达标</w:t>
            </w:r>
            <w:r>
              <w:rPr>
                <w:rFonts w:hint="eastAsia" w:cs="Times New Roman"/>
                <w:color w:val="auto"/>
                <w:sz w:val="24"/>
                <w:szCs w:val="24"/>
                <w:highlight w:val="none"/>
                <w:lang w:val="en-US" w:eastAsia="zh-CN"/>
              </w:rPr>
              <w:t>。</w:t>
            </w:r>
            <w:r>
              <w:rPr>
                <w:rFonts w:hint="default" w:cs="Times New Roman"/>
                <w:color w:val="auto"/>
                <w:sz w:val="24"/>
                <w:szCs w:val="24"/>
                <w:highlight w:val="none"/>
              </w:rPr>
              <w:t>202</w:t>
            </w:r>
            <w:r>
              <w:rPr>
                <w:rFonts w:hint="eastAsia" w:cs="Times New Roman"/>
                <w:color w:val="auto"/>
                <w:sz w:val="24"/>
                <w:szCs w:val="24"/>
                <w:highlight w:val="none"/>
                <w:lang w:val="en-US" w:eastAsia="zh-CN"/>
              </w:rPr>
              <w:t>5</w:t>
            </w:r>
            <w:r>
              <w:rPr>
                <w:rFonts w:hint="default" w:cs="Times New Roman"/>
                <w:color w:val="auto"/>
                <w:sz w:val="24"/>
                <w:szCs w:val="24"/>
                <w:highlight w:val="none"/>
              </w:rPr>
              <w:t>年主要污染物年均浓度如下表所示。</w:t>
            </w:r>
          </w:p>
          <w:p w14:paraId="68B05BD7">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环境空气质量</w:t>
            </w:r>
            <w:r>
              <w:rPr>
                <w:rFonts w:hint="default" w:ascii="Times New Roman" w:hAnsi="Times New Roman" w:eastAsia="宋体" w:cs="Times New Roman"/>
                <w:b/>
                <w:bCs/>
                <w:color w:val="auto"/>
                <w:highlight w:val="none"/>
              </w:rPr>
              <w:t>现状评价表</w:t>
            </w:r>
          </w:p>
          <w:tbl>
            <w:tblPr>
              <w:tblStyle w:val="23"/>
              <w:tblW w:w="488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9"/>
              <w:gridCol w:w="2007"/>
              <w:gridCol w:w="1906"/>
              <w:gridCol w:w="1398"/>
              <w:gridCol w:w="1091"/>
            </w:tblGrid>
            <w:tr w14:paraId="0E4C8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6AB6DC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污染物</w:t>
                  </w:r>
                </w:p>
              </w:tc>
              <w:tc>
                <w:tcPr>
                  <w:tcW w:w="2007" w:type="dxa"/>
                  <w:noWrap w:val="0"/>
                  <w:vAlign w:val="center"/>
                </w:tcPr>
                <w:p w14:paraId="15A297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lang w:val="en-US" w:eastAsia="zh-CN"/>
                    </w:rPr>
                    <w:t>年</w:t>
                  </w:r>
                  <w:r>
                    <w:rPr>
                      <w:rFonts w:hint="default" w:ascii="Times New Roman" w:hAnsi="Times New Roman" w:eastAsia="宋体" w:cs="Times New Roman"/>
                      <w:b/>
                      <w:color w:val="auto"/>
                      <w:szCs w:val="21"/>
                      <w:highlight w:val="none"/>
                    </w:rPr>
                    <w:t>平均浓度（</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906" w:type="dxa"/>
                  <w:noWrap w:val="0"/>
                  <w:vAlign w:val="center"/>
                </w:tcPr>
                <w:p w14:paraId="6641C0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标准值（</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398" w:type="dxa"/>
                  <w:noWrap w:val="0"/>
                  <w:vAlign w:val="center"/>
                </w:tcPr>
                <w:p w14:paraId="46CC91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占标率（%）</w:t>
                  </w:r>
                </w:p>
              </w:tc>
              <w:tc>
                <w:tcPr>
                  <w:tcW w:w="1091" w:type="dxa"/>
                  <w:noWrap w:val="0"/>
                  <w:vAlign w:val="center"/>
                </w:tcPr>
                <w:p w14:paraId="7DCFA5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达标情况</w:t>
                  </w:r>
                </w:p>
              </w:tc>
            </w:tr>
            <w:tr w14:paraId="190F9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28D2BE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SO</w:t>
                  </w:r>
                  <w:r>
                    <w:rPr>
                      <w:rFonts w:hint="default" w:ascii="Times New Roman" w:hAnsi="Times New Roman" w:eastAsia="宋体" w:cs="Times New Roman"/>
                      <w:color w:val="auto"/>
                      <w:szCs w:val="21"/>
                      <w:highlight w:val="none"/>
                      <w:vertAlign w:val="subscript"/>
                      <w:lang w:val="en-US" w:eastAsia="zh-CN"/>
                    </w:rPr>
                    <w:t>2</w:t>
                  </w:r>
                </w:p>
              </w:tc>
              <w:tc>
                <w:tcPr>
                  <w:tcW w:w="2007" w:type="dxa"/>
                  <w:noWrap w:val="0"/>
                  <w:vAlign w:val="center"/>
                </w:tcPr>
                <w:p w14:paraId="221BA4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6.2</w:t>
                  </w:r>
                </w:p>
              </w:tc>
              <w:tc>
                <w:tcPr>
                  <w:tcW w:w="1906" w:type="dxa"/>
                  <w:noWrap w:val="0"/>
                  <w:vAlign w:val="center"/>
                </w:tcPr>
                <w:p w14:paraId="1D6249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60</w:t>
                  </w:r>
                </w:p>
              </w:tc>
              <w:tc>
                <w:tcPr>
                  <w:tcW w:w="1398" w:type="dxa"/>
                  <w:noWrap w:val="0"/>
                  <w:vAlign w:val="center"/>
                </w:tcPr>
                <w:p w14:paraId="49C542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10.3</w:t>
                  </w:r>
                </w:p>
              </w:tc>
              <w:tc>
                <w:tcPr>
                  <w:tcW w:w="1091" w:type="dxa"/>
                  <w:noWrap w:val="0"/>
                  <w:vAlign w:val="center"/>
                </w:tcPr>
                <w:p w14:paraId="1542076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4BFA9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6E3DE1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NO</w:t>
                  </w:r>
                  <w:r>
                    <w:rPr>
                      <w:rFonts w:hint="default" w:ascii="Times New Roman" w:hAnsi="Times New Roman" w:eastAsia="宋体" w:cs="Times New Roman"/>
                      <w:color w:val="auto"/>
                      <w:szCs w:val="21"/>
                      <w:highlight w:val="none"/>
                      <w:vertAlign w:val="subscript"/>
                      <w:lang w:val="en-US" w:eastAsia="zh-CN"/>
                    </w:rPr>
                    <w:t>2</w:t>
                  </w:r>
                </w:p>
              </w:tc>
              <w:tc>
                <w:tcPr>
                  <w:tcW w:w="2007" w:type="dxa"/>
                  <w:noWrap w:val="0"/>
                  <w:vAlign w:val="center"/>
                </w:tcPr>
                <w:p w14:paraId="34235D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17.6</w:t>
                  </w:r>
                </w:p>
              </w:tc>
              <w:tc>
                <w:tcPr>
                  <w:tcW w:w="1906" w:type="dxa"/>
                  <w:noWrap w:val="0"/>
                  <w:vAlign w:val="center"/>
                </w:tcPr>
                <w:p w14:paraId="285100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40</w:t>
                  </w:r>
                </w:p>
              </w:tc>
              <w:tc>
                <w:tcPr>
                  <w:tcW w:w="1398" w:type="dxa"/>
                  <w:noWrap w:val="0"/>
                  <w:vAlign w:val="center"/>
                </w:tcPr>
                <w:p w14:paraId="5BDC5D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44.0</w:t>
                  </w:r>
                </w:p>
              </w:tc>
              <w:tc>
                <w:tcPr>
                  <w:tcW w:w="1091" w:type="dxa"/>
                  <w:noWrap w:val="0"/>
                  <w:vAlign w:val="center"/>
                </w:tcPr>
                <w:p w14:paraId="27E719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12456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46E77D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CO</w:t>
                  </w:r>
                </w:p>
              </w:tc>
              <w:tc>
                <w:tcPr>
                  <w:tcW w:w="2007" w:type="dxa"/>
                  <w:noWrap w:val="0"/>
                  <w:vAlign w:val="center"/>
                </w:tcPr>
                <w:p w14:paraId="52FB16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10</w:t>
                  </w:r>
                  <w:r>
                    <w:rPr>
                      <w:rFonts w:hint="default" w:ascii="Times New Roman" w:hAnsi="Times New Roman" w:eastAsia="宋体" w:cs="Times New Roman"/>
                      <w:color w:val="auto"/>
                      <w:szCs w:val="21"/>
                      <w:highlight w:val="none"/>
                      <w:lang w:val="en-US" w:eastAsia="zh-CN"/>
                    </w:rPr>
                    <w:t>00</w:t>
                  </w:r>
                </w:p>
              </w:tc>
              <w:tc>
                <w:tcPr>
                  <w:tcW w:w="1906" w:type="dxa"/>
                  <w:noWrap w:val="0"/>
                  <w:vAlign w:val="center"/>
                </w:tcPr>
                <w:p w14:paraId="252E24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4000</w:t>
                  </w:r>
                </w:p>
              </w:tc>
              <w:tc>
                <w:tcPr>
                  <w:tcW w:w="1398" w:type="dxa"/>
                  <w:noWrap w:val="0"/>
                  <w:vAlign w:val="center"/>
                </w:tcPr>
                <w:p w14:paraId="0E175E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25.0</w:t>
                  </w:r>
                </w:p>
              </w:tc>
              <w:tc>
                <w:tcPr>
                  <w:tcW w:w="1091" w:type="dxa"/>
                  <w:noWrap w:val="0"/>
                  <w:vAlign w:val="center"/>
                </w:tcPr>
                <w:p w14:paraId="470F0E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60951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622AC9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O</w:t>
                  </w:r>
                  <w:r>
                    <w:rPr>
                      <w:rFonts w:hint="default" w:ascii="Times New Roman" w:hAnsi="Times New Roman" w:eastAsia="宋体" w:cs="Times New Roman"/>
                      <w:color w:val="auto"/>
                      <w:szCs w:val="21"/>
                      <w:highlight w:val="none"/>
                      <w:vertAlign w:val="subscript"/>
                      <w:lang w:val="en-US" w:eastAsia="zh-CN"/>
                    </w:rPr>
                    <w:t>3</w:t>
                  </w:r>
                </w:p>
              </w:tc>
              <w:tc>
                <w:tcPr>
                  <w:tcW w:w="2007" w:type="dxa"/>
                  <w:noWrap w:val="0"/>
                  <w:vAlign w:val="center"/>
                </w:tcPr>
                <w:p w14:paraId="51E1E5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1</w:t>
                  </w:r>
                  <w:r>
                    <w:rPr>
                      <w:rFonts w:hint="eastAsia" w:cs="Times New Roman"/>
                      <w:color w:val="auto"/>
                      <w:szCs w:val="21"/>
                      <w:highlight w:val="none"/>
                      <w:lang w:val="en-US" w:eastAsia="zh-CN"/>
                    </w:rPr>
                    <w:t>31.0</w:t>
                  </w:r>
                </w:p>
              </w:tc>
              <w:tc>
                <w:tcPr>
                  <w:tcW w:w="1906" w:type="dxa"/>
                  <w:noWrap w:val="0"/>
                  <w:vAlign w:val="center"/>
                </w:tcPr>
                <w:p w14:paraId="21BC6A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160</w:t>
                  </w:r>
                </w:p>
              </w:tc>
              <w:tc>
                <w:tcPr>
                  <w:tcW w:w="1398" w:type="dxa"/>
                  <w:noWrap w:val="0"/>
                  <w:vAlign w:val="center"/>
                </w:tcPr>
                <w:p w14:paraId="21CC5F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81.9</w:t>
                  </w:r>
                </w:p>
              </w:tc>
              <w:tc>
                <w:tcPr>
                  <w:tcW w:w="1091" w:type="dxa"/>
                  <w:noWrap w:val="0"/>
                  <w:vAlign w:val="center"/>
                </w:tcPr>
                <w:p w14:paraId="4F3550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5DF37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1AFA70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10</w:t>
                  </w:r>
                </w:p>
              </w:tc>
              <w:tc>
                <w:tcPr>
                  <w:tcW w:w="2007" w:type="dxa"/>
                  <w:noWrap w:val="0"/>
                  <w:vAlign w:val="center"/>
                </w:tcPr>
                <w:p w14:paraId="09D14F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4</w:t>
                  </w:r>
                  <w:r>
                    <w:rPr>
                      <w:rFonts w:hint="default"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9</w:t>
                  </w:r>
                </w:p>
              </w:tc>
              <w:tc>
                <w:tcPr>
                  <w:tcW w:w="1906" w:type="dxa"/>
                  <w:noWrap w:val="0"/>
                  <w:vAlign w:val="center"/>
                </w:tcPr>
                <w:p w14:paraId="2A1D0D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60</w:t>
                  </w:r>
                </w:p>
              </w:tc>
              <w:tc>
                <w:tcPr>
                  <w:tcW w:w="1398" w:type="dxa"/>
                  <w:noWrap w:val="0"/>
                  <w:vAlign w:val="center"/>
                </w:tcPr>
                <w:p w14:paraId="41BE1E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kern w:val="2"/>
                      <w:sz w:val="21"/>
                      <w:szCs w:val="21"/>
                      <w:highlight w:val="none"/>
                      <w:lang w:val="en-US" w:eastAsia="zh-CN" w:bidi="ar-SA"/>
                    </w:rPr>
                    <w:t>68.2</w:t>
                  </w:r>
                </w:p>
              </w:tc>
              <w:tc>
                <w:tcPr>
                  <w:tcW w:w="1091" w:type="dxa"/>
                  <w:noWrap w:val="0"/>
                  <w:vAlign w:val="center"/>
                </w:tcPr>
                <w:p w14:paraId="28BA10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73FB4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29765B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2.5</w:t>
                  </w:r>
                </w:p>
              </w:tc>
              <w:tc>
                <w:tcPr>
                  <w:tcW w:w="2007" w:type="dxa"/>
                  <w:noWrap w:val="0"/>
                  <w:vAlign w:val="center"/>
                </w:tcPr>
                <w:p w14:paraId="7384F8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2</w:t>
                  </w:r>
                  <w:r>
                    <w:rPr>
                      <w:rFonts w:hint="eastAsia" w:cs="Times New Roman"/>
                      <w:color w:val="auto"/>
                      <w:szCs w:val="21"/>
                      <w:highlight w:val="none"/>
                      <w:lang w:val="en-US" w:eastAsia="zh-CN"/>
                    </w:rPr>
                    <w:t>7.8</w:t>
                  </w:r>
                </w:p>
              </w:tc>
              <w:tc>
                <w:tcPr>
                  <w:tcW w:w="1906" w:type="dxa"/>
                  <w:noWrap w:val="0"/>
                  <w:vAlign w:val="center"/>
                </w:tcPr>
                <w:p w14:paraId="429AA3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3</w:t>
                  </w:r>
                  <w:r>
                    <w:rPr>
                      <w:rFonts w:hint="eastAsia" w:ascii="Times New Roman" w:hAnsi="Times New Roman" w:eastAsia="宋体" w:cs="Times New Roman"/>
                      <w:color w:val="auto"/>
                      <w:szCs w:val="21"/>
                      <w:highlight w:val="none"/>
                      <w:lang w:val="en-US" w:eastAsia="zh-CN"/>
                    </w:rPr>
                    <w:t>0</w:t>
                  </w:r>
                </w:p>
              </w:tc>
              <w:tc>
                <w:tcPr>
                  <w:tcW w:w="1398" w:type="dxa"/>
                  <w:noWrap w:val="0"/>
                  <w:vAlign w:val="center"/>
                </w:tcPr>
                <w:p w14:paraId="6C7608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9</w:t>
                  </w:r>
                  <w:r>
                    <w:rPr>
                      <w:rFonts w:hint="eastAsia" w:cs="Times New Roman"/>
                      <w:color w:val="auto"/>
                      <w:szCs w:val="21"/>
                      <w:highlight w:val="none"/>
                      <w:lang w:val="en-US" w:eastAsia="zh-CN"/>
                    </w:rPr>
                    <w:t>2.7</w:t>
                  </w:r>
                </w:p>
              </w:tc>
              <w:tc>
                <w:tcPr>
                  <w:tcW w:w="1091" w:type="dxa"/>
                  <w:noWrap w:val="0"/>
                  <w:vAlign w:val="center"/>
                </w:tcPr>
                <w:p w14:paraId="0061EA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bl>
          <w:p w14:paraId="7C6033A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color w:val="auto"/>
                <w:sz w:val="24"/>
                <w:szCs w:val="24"/>
                <w:highlight w:val="none"/>
              </w:rPr>
              <w:t>根据《环境影响评价技术导则 大气环境》（HJ2.2-2018）中达标判断要求，区域空气质量</w:t>
            </w:r>
            <w:r>
              <w:rPr>
                <w:rFonts w:hint="eastAsia"/>
                <w:color w:val="auto"/>
                <w:sz w:val="24"/>
                <w:szCs w:val="24"/>
                <w:highlight w:val="none"/>
                <w:lang w:val="en-US" w:eastAsia="zh-CN"/>
              </w:rPr>
              <w:t>属</w:t>
            </w:r>
            <w:r>
              <w:rPr>
                <w:rFonts w:hint="eastAsia"/>
                <w:color w:val="auto"/>
                <w:sz w:val="24"/>
                <w:szCs w:val="24"/>
                <w:highlight w:val="none"/>
              </w:rPr>
              <w:t>达标区。</w:t>
            </w:r>
          </w:p>
          <w:p w14:paraId="3F2FDBB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sz w:val="24"/>
              </w:rPr>
            </w:pPr>
            <w:r>
              <w:rPr>
                <w:rFonts w:hint="eastAsia" w:ascii="Times New Roman" w:hAnsi="Times New Roman" w:cs="Times New Roman"/>
                <w:b w:val="0"/>
                <w:bCs w:val="0"/>
                <w:color w:val="auto"/>
                <w:sz w:val="24"/>
                <w:szCs w:val="28"/>
              </w:rPr>
              <w:t>2</w:t>
            </w:r>
            <w:r>
              <w:rPr>
                <w:rFonts w:hint="default" w:ascii="Times New Roman" w:hAnsi="Times New Roman" w:cs="Times New Roman"/>
                <w:b w:val="0"/>
                <w:bCs w:val="0"/>
                <w:color w:val="auto"/>
                <w:sz w:val="24"/>
                <w:szCs w:val="28"/>
              </w:rPr>
              <w:t>）</w:t>
            </w:r>
            <w:r>
              <w:rPr>
                <w:rFonts w:hint="default" w:ascii="Times New Roman" w:hAnsi="Times New Roman" w:cs="Times New Roman"/>
                <w:b w:val="0"/>
                <w:bCs w:val="0"/>
                <w:color w:val="auto"/>
                <w:sz w:val="24"/>
              </w:rPr>
              <w:t>特征污染因子</w:t>
            </w:r>
          </w:p>
          <w:p w14:paraId="3914D8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本项目特征污染因子为非甲烷总烃，为了解区域大气环境质量现状，本次评价委托</w:t>
            </w:r>
            <w:r>
              <w:rPr>
                <w:rFonts w:hint="default" w:ascii="Times New Roman" w:hAnsi="Times New Roman" w:eastAsia="宋体" w:cs="Times New Roman"/>
                <w:color w:val="auto"/>
                <w:sz w:val="24"/>
              </w:rPr>
              <w:t>四川华皓检测技术有限公司</w:t>
            </w:r>
            <w:r>
              <w:rPr>
                <w:rFonts w:hint="default" w:ascii="Times New Roman" w:hAnsi="Times New Roman" w:cs="Times New Roman"/>
                <w:color w:val="auto"/>
                <w:sz w:val="24"/>
              </w:rPr>
              <w:t>于</w:t>
            </w:r>
            <w:r>
              <w:rPr>
                <w:rFonts w:hint="eastAsia" w:ascii="Times New Roman" w:hAnsi="Times New Roman" w:cs="Times New Roman"/>
                <w:color w:val="auto"/>
                <w:sz w:val="24"/>
              </w:rPr>
              <w:t>202</w:t>
            </w:r>
            <w:r>
              <w:rPr>
                <w:rFonts w:hint="eastAsia" w:cs="Times New Roman"/>
                <w:color w:val="auto"/>
                <w:sz w:val="24"/>
                <w:lang w:val="en-US" w:eastAsia="zh-CN"/>
              </w:rPr>
              <w:t>6</w:t>
            </w:r>
            <w:r>
              <w:rPr>
                <w:rFonts w:hint="eastAsia" w:ascii="Times New Roman" w:hAnsi="Times New Roman" w:cs="Times New Roman"/>
                <w:color w:val="auto"/>
                <w:sz w:val="24"/>
              </w:rPr>
              <w:t>年</w:t>
            </w:r>
            <w:r>
              <w:rPr>
                <w:rFonts w:hint="eastAsia" w:cs="Times New Roman"/>
                <w:color w:val="auto"/>
                <w:sz w:val="24"/>
                <w:lang w:val="en-US" w:eastAsia="zh-CN"/>
              </w:rPr>
              <w:t>7</w:t>
            </w:r>
            <w:r>
              <w:rPr>
                <w:rFonts w:hint="eastAsia" w:ascii="Times New Roman" w:hAnsi="Times New Roman" w:cs="Times New Roman"/>
                <w:color w:val="auto"/>
                <w:sz w:val="24"/>
              </w:rPr>
              <w:t>月</w:t>
            </w:r>
            <w:r>
              <w:rPr>
                <w:rFonts w:hint="eastAsia" w:cs="Times New Roman"/>
                <w:color w:val="auto"/>
                <w:sz w:val="24"/>
                <w:lang w:val="en-US" w:eastAsia="zh-CN"/>
              </w:rPr>
              <w:t>6</w:t>
            </w:r>
            <w:r>
              <w:rPr>
                <w:rFonts w:hint="eastAsia" w:ascii="Times New Roman" w:hAnsi="Times New Roman" w:cs="Times New Roman"/>
                <w:color w:val="auto"/>
                <w:sz w:val="24"/>
              </w:rPr>
              <w:t>日~202</w:t>
            </w:r>
            <w:r>
              <w:rPr>
                <w:rFonts w:hint="eastAsia" w:cs="Times New Roman"/>
                <w:color w:val="auto"/>
                <w:sz w:val="24"/>
                <w:lang w:val="en-US" w:eastAsia="zh-CN"/>
              </w:rPr>
              <w:t>6</w:t>
            </w:r>
            <w:r>
              <w:rPr>
                <w:rFonts w:hint="eastAsia" w:ascii="Times New Roman" w:hAnsi="Times New Roman" w:cs="Times New Roman"/>
                <w:color w:val="auto"/>
                <w:sz w:val="24"/>
              </w:rPr>
              <w:t>年</w:t>
            </w:r>
            <w:r>
              <w:rPr>
                <w:rFonts w:hint="eastAsia" w:cs="Times New Roman"/>
                <w:color w:val="auto"/>
                <w:sz w:val="24"/>
                <w:lang w:val="en-US" w:eastAsia="zh-CN"/>
              </w:rPr>
              <w:t>7</w:t>
            </w:r>
            <w:r>
              <w:rPr>
                <w:rFonts w:hint="eastAsia" w:ascii="Times New Roman" w:hAnsi="Times New Roman" w:cs="Times New Roman"/>
                <w:color w:val="auto"/>
                <w:sz w:val="24"/>
              </w:rPr>
              <w:t>月</w:t>
            </w:r>
            <w:r>
              <w:rPr>
                <w:rFonts w:hint="eastAsia" w:cs="Times New Roman"/>
                <w:color w:val="auto"/>
                <w:sz w:val="24"/>
                <w:lang w:val="en-US" w:eastAsia="zh-CN"/>
              </w:rPr>
              <w:t>8</w:t>
            </w:r>
            <w:r>
              <w:rPr>
                <w:rFonts w:hint="eastAsia" w:ascii="Times New Roman" w:hAnsi="Times New Roman" w:cs="Times New Roman"/>
                <w:color w:val="auto"/>
                <w:sz w:val="24"/>
              </w:rPr>
              <w:t>日</w:t>
            </w:r>
            <w:r>
              <w:rPr>
                <w:rFonts w:hint="default" w:ascii="Times New Roman" w:hAnsi="Times New Roman" w:cs="Times New Roman"/>
                <w:color w:val="auto"/>
                <w:sz w:val="24"/>
              </w:rPr>
              <w:t>对项目所在区域大气环境质量进行了监测。</w:t>
            </w:r>
          </w:p>
          <w:p w14:paraId="2BFAB9A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①监测点布设：1个点位。</w:t>
            </w:r>
          </w:p>
          <w:p w14:paraId="7CA3729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项目大气监测点位、监测时间、频次一览表</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60"/>
              <w:gridCol w:w="2101"/>
              <w:gridCol w:w="1968"/>
              <w:gridCol w:w="2142"/>
            </w:tblGrid>
            <w:tr w14:paraId="6DDFD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39C79DC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点位编号</w:t>
                  </w:r>
                </w:p>
              </w:tc>
              <w:tc>
                <w:tcPr>
                  <w:tcW w:w="1387" w:type="pct"/>
                  <w:noWrap w:val="0"/>
                  <w:vAlign w:val="center"/>
                </w:tcPr>
                <w:p w14:paraId="435AB2A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监测点位</w:t>
                  </w:r>
                </w:p>
              </w:tc>
              <w:tc>
                <w:tcPr>
                  <w:tcW w:w="1299" w:type="pct"/>
                  <w:noWrap w:val="0"/>
                  <w:vAlign w:val="center"/>
                </w:tcPr>
                <w:p w14:paraId="2EB586E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监测指标</w:t>
                  </w:r>
                </w:p>
              </w:tc>
              <w:tc>
                <w:tcPr>
                  <w:tcW w:w="1414" w:type="pct"/>
                  <w:noWrap w:val="0"/>
                  <w:vAlign w:val="center"/>
                </w:tcPr>
                <w:p w14:paraId="7BBA57F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监测频次</w:t>
                  </w:r>
                </w:p>
              </w:tc>
            </w:tr>
            <w:tr w14:paraId="1CD9E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0706C9A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r>
                    <w:rPr>
                      <w:rFonts w:hint="eastAsia" w:cs="Times New Roman"/>
                      <w:color w:val="auto"/>
                      <w:sz w:val="21"/>
                      <w:szCs w:val="21"/>
                      <w:lang w:val="en-US" w:eastAsia="zh-CN"/>
                    </w:rPr>
                    <w:t>#</w:t>
                  </w:r>
                </w:p>
              </w:tc>
              <w:tc>
                <w:tcPr>
                  <w:tcW w:w="1387" w:type="pct"/>
                  <w:noWrap w:val="0"/>
                  <w:vAlign w:val="center"/>
                </w:tcPr>
                <w:p w14:paraId="69239B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井场内部空地</w:t>
                  </w:r>
                </w:p>
              </w:tc>
              <w:tc>
                <w:tcPr>
                  <w:tcW w:w="1299" w:type="pct"/>
                  <w:noWrap w:val="0"/>
                  <w:vAlign w:val="center"/>
                </w:tcPr>
                <w:p w14:paraId="5E8632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1414" w:type="pct"/>
                  <w:noWrap w:val="0"/>
                  <w:vAlign w:val="center"/>
                </w:tcPr>
                <w:p w14:paraId="2D10BB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监测</w:t>
                  </w:r>
                  <w:r>
                    <w:rPr>
                      <w:rFonts w:hint="default" w:ascii="Times New Roman" w:hAnsi="Times New Roman" w:eastAsia="宋体" w:cs="Times New Roman"/>
                      <w:color w:val="auto"/>
                      <w:sz w:val="21"/>
                      <w:szCs w:val="21"/>
                    </w:rPr>
                    <w:t>3天，4次/天</w:t>
                  </w:r>
                </w:p>
              </w:tc>
            </w:tr>
          </w:tbl>
          <w:p w14:paraId="50B8818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②评价标准：</w:t>
            </w:r>
            <w:r>
              <w:rPr>
                <w:rFonts w:hint="default" w:ascii="Times New Roman" w:hAnsi="Times New Roman" w:eastAsia="宋体" w:cs="Times New Roman"/>
                <w:color w:val="auto"/>
                <w:sz w:val="24"/>
                <w:highlight w:val="none"/>
              </w:rPr>
              <w:t>《大气污染物综合排放标准详解》中的限值</w:t>
            </w:r>
            <w:r>
              <w:rPr>
                <w:rFonts w:hint="default" w:ascii="Times New Roman" w:hAnsi="Times New Roman" w:cs="Times New Roman"/>
                <w:color w:val="auto"/>
                <w:sz w:val="24"/>
              </w:rPr>
              <w:t>。</w:t>
            </w:r>
          </w:p>
          <w:p w14:paraId="057C744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③监测结果及评价结果：监测统计结果见下表。</w:t>
            </w:r>
          </w:p>
          <w:p w14:paraId="7593E11C">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大气环境现状监测统计结果</w:t>
            </w:r>
            <w:r>
              <w:rPr>
                <w:rFonts w:hint="eastAsia" w:ascii="Times New Roman" w:hAnsi="Times New Roman" w:eastAsia="宋体" w:cs="Times New Roman"/>
                <w:b/>
                <w:bCs/>
                <w:color w:val="auto"/>
                <w:highlight w:val="none"/>
                <w:lang w:val="en-US" w:eastAsia="zh-CN"/>
              </w:rPr>
              <w:t xml:space="preserve">    单位：</w:t>
            </w:r>
            <w:r>
              <w:rPr>
                <w:rFonts w:hint="eastAsia" w:ascii="Times New Roman" w:hAnsi="Times New Roman" w:eastAsia="宋体" w:cs="Times New Roman"/>
                <w:b/>
                <w:bCs/>
                <w:color w:val="auto"/>
                <w:highlight w:val="none"/>
              </w:rPr>
              <w:t>mg/m</w:t>
            </w:r>
            <w:r>
              <w:rPr>
                <w:rFonts w:hint="eastAsia" w:ascii="Times New Roman" w:hAnsi="Times New Roman" w:eastAsia="宋体" w:cs="Times New Roman"/>
                <w:b/>
                <w:bCs/>
                <w:color w:val="auto"/>
                <w:highlight w:val="none"/>
                <w:vertAlign w:val="superscript"/>
                <w:lang w:val="en-US" w:eastAsia="zh-CN"/>
              </w:rPr>
              <w:t>3</w:t>
            </w:r>
          </w:p>
          <w:tbl>
            <w:tblPr>
              <w:tblStyle w:val="23"/>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3"/>
              <w:gridCol w:w="1088"/>
              <w:gridCol w:w="845"/>
              <w:gridCol w:w="844"/>
              <w:gridCol w:w="844"/>
              <w:gridCol w:w="850"/>
              <w:gridCol w:w="980"/>
              <w:gridCol w:w="842"/>
            </w:tblGrid>
            <w:tr w14:paraId="1E74E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restart"/>
                  <w:noWrap w:val="0"/>
                  <w:vAlign w:val="center"/>
                </w:tcPr>
                <w:p w14:paraId="3C228BB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采样日期</w:t>
                  </w:r>
                </w:p>
              </w:tc>
              <w:tc>
                <w:tcPr>
                  <w:tcW w:w="719" w:type="pct"/>
                  <w:vMerge w:val="restart"/>
                  <w:noWrap w:val="0"/>
                  <w:vAlign w:val="center"/>
                </w:tcPr>
                <w:p w14:paraId="37A27C9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监测点位</w:t>
                  </w:r>
                </w:p>
              </w:tc>
              <w:tc>
                <w:tcPr>
                  <w:tcW w:w="2236" w:type="pct"/>
                  <w:gridSpan w:val="4"/>
                  <w:noWrap w:val="0"/>
                  <w:vAlign w:val="center"/>
                </w:tcPr>
                <w:p w14:paraId="65F8EF1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监测结果</w:t>
                  </w:r>
                </w:p>
              </w:tc>
              <w:tc>
                <w:tcPr>
                  <w:tcW w:w="647" w:type="pct"/>
                  <w:vMerge w:val="restart"/>
                  <w:noWrap w:val="0"/>
                  <w:vAlign w:val="center"/>
                </w:tcPr>
                <w:p w14:paraId="05D4455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w:t>
                  </w:r>
                </w:p>
                <w:p w14:paraId="0E91DB7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限值</w:t>
                  </w:r>
                </w:p>
              </w:tc>
              <w:tc>
                <w:tcPr>
                  <w:tcW w:w="555" w:type="pct"/>
                  <w:vMerge w:val="restart"/>
                  <w:noWrap w:val="0"/>
                  <w:vAlign w:val="center"/>
                </w:tcPr>
                <w:p w14:paraId="6DB9BE9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达标</w:t>
                  </w:r>
                </w:p>
                <w:p w14:paraId="2512D92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判定</w:t>
                  </w:r>
                </w:p>
              </w:tc>
            </w:tr>
            <w:tr w14:paraId="62F9A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noWrap w:val="0"/>
                  <w:vAlign w:val="center"/>
                </w:tcPr>
                <w:p w14:paraId="5D6590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19" w:type="pct"/>
                  <w:vMerge w:val="continue"/>
                  <w:noWrap w:val="0"/>
                  <w:vAlign w:val="center"/>
                </w:tcPr>
                <w:p w14:paraId="1A204F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58" w:type="pct"/>
                  <w:noWrap w:val="0"/>
                  <w:vAlign w:val="center"/>
                </w:tcPr>
                <w:p w14:paraId="57DD06F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第</w:t>
                  </w:r>
                  <w:r>
                    <w:rPr>
                      <w:rFonts w:hint="eastAsia" w:ascii="Times New Roman" w:hAnsi="Times New Roman" w:eastAsia="宋体" w:cs="Times New Roman"/>
                      <w:b/>
                      <w:color w:val="auto"/>
                      <w:sz w:val="21"/>
                      <w:szCs w:val="21"/>
                      <w:lang w:val="en-US" w:eastAsia="zh-CN"/>
                    </w:rPr>
                    <w:t>1</w:t>
                  </w:r>
                  <w:r>
                    <w:rPr>
                      <w:rFonts w:hint="default" w:ascii="Times New Roman" w:hAnsi="Times New Roman" w:eastAsia="宋体" w:cs="Times New Roman"/>
                      <w:b/>
                      <w:color w:val="auto"/>
                      <w:sz w:val="21"/>
                      <w:szCs w:val="21"/>
                    </w:rPr>
                    <w:t>次</w:t>
                  </w:r>
                </w:p>
              </w:tc>
              <w:tc>
                <w:tcPr>
                  <w:tcW w:w="557" w:type="pct"/>
                  <w:noWrap w:val="0"/>
                  <w:vAlign w:val="center"/>
                </w:tcPr>
                <w:p w14:paraId="34D9B42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第</w:t>
                  </w:r>
                  <w:r>
                    <w:rPr>
                      <w:rFonts w:hint="eastAsia" w:ascii="Times New Roman" w:hAnsi="Times New Roman" w:eastAsia="宋体" w:cs="Times New Roman"/>
                      <w:b/>
                      <w:color w:val="auto"/>
                      <w:sz w:val="21"/>
                      <w:szCs w:val="21"/>
                      <w:lang w:val="en-US" w:eastAsia="zh-CN"/>
                    </w:rPr>
                    <w:t>2</w:t>
                  </w:r>
                  <w:r>
                    <w:rPr>
                      <w:rFonts w:hint="default" w:ascii="Times New Roman" w:hAnsi="Times New Roman" w:eastAsia="宋体" w:cs="Times New Roman"/>
                      <w:b/>
                      <w:color w:val="auto"/>
                      <w:sz w:val="21"/>
                      <w:szCs w:val="21"/>
                    </w:rPr>
                    <w:t>次</w:t>
                  </w:r>
                </w:p>
              </w:tc>
              <w:tc>
                <w:tcPr>
                  <w:tcW w:w="557" w:type="pct"/>
                  <w:noWrap w:val="0"/>
                  <w:vAlign w:val="center"/>
                </w:tcPr>
                <w:p w14:paraId="530BD1C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第</w:t>
                  </w:r>
                  <w:r>
                    <w:rPr>
                      <w:rFonts w:hint="eastAsia" w:ascii="Times New Roman" w:hAnsi="Times New Roman" w:eastAsia="宋体" w:cs="Times New Roman"/>
                      <w:b/>
                      <w:color w:val="auto"/>
                      <w:sz w:val="21"/>
                      <w:szCs w:val="21"/>
                      <w:lang w:val="en-US" w:eastAsia="zh-CN"/>
                    </w:rPr>
                    <w:t>3</w:t>
                  </w:r>
                  <w:r>
                    <w:rPr>
                      <w:rFonts w:hint="default" w:ascii="Times New Roman" w:hAnsi="Times New Roman" w:eastAsia="宋体" w:cs="Times New Roman"/>
                      <w:b/>
                      <w:color w:val="auto"/>
                      <w:sz w:val="21"/>
                      <w:szCs w:val="21"/>
                    </w:rPr>
                    <w:t>次</w:t>
                  </w:r>
                </w:p>
              </w:tc>
              <w:tc>
                <w:tcPr>
                  <w:tcW w:w="562" w:type="pct"/>
                  <w:noWrap w:val="0"/>
                  <w:vAlign w:val="center"/>
                </w:tcPr>
                <w:p w14:paraId="3FFFE63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第</w:t>
                  </w:r>
                  <w:r>
                    <w:rPr>
                      <w:rFonts w:hint="eastAsia" w:ascii="Times New Roman" w:hAnsi="Times New Roman" w:eastAsia="宋体" w:cs="Times New Roman"/>
                      <w:b/>
                      <w:color w:val="auto"/>
                      <w:sz w:val="21"/>
                      <w:szCs w:val="21"/>
                      <w:lang w:val="en-US" w:eastAsia="zh-CN"/>
                    </w:rPr>
                    <w:t>4</w:t>
                  </w:r>
                  <w:r>
                    <w:rPr>
                      <w:rFonts w:hint="default" w:ascii="Times New Roman" w:hAnsi="Times New Roman" w:eastAsia="宋体" w:cs="Times New Roman"/>
                      <w:b/>
                      <w:color w:val="auto"/>
                      <w:sz w:val="21"/>
                      <w:szCs w:val="21"/>
                    </w:rPr>
                    <w:t>次</w:t>
                  </w:r>
                </w:p>
              </w:tc>
              <w:tc>
                <w:tcPr>
                  <w:tcW w:w="647" w:type="pct"/>
                  <w:vMerge w:val="continue"/>
                  <w:noWrap w:val="0"/>
                  <w:vAlign w:val="center"/>
                </w:tcPr>
                <w:p w14:paraId="7CF8DE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55" w:type="pct"/>
                  <w:vMerge w:val="continue"/>
                  <w:noWrap w:val="0"/>
                  <w:vAlign w:val="center"/>
                </w:tcPr>
                <w:p w14:paraId="10E47B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r>
            <w:tr w14:paraId="5F80D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noWrap w:val="0"/>
                  <w:vAlign w:val="center"/>
                </w:tcPr>
                <w:p w14:paraId="2E3FC2AA">
                  <w:pPr>
                    <w:pStyle w:val="10"/>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1"/>
                      <w:sz w:val="21"/>
                      <w:szCs w:val="21"/>
                      <w:lang w:val="en-US" w:eastAsia="zh-CN"/>
                    </w:rPr>
                    <w:t>202</w:t>
                  </w:r>
                  <w:r>
                    <w:rPr>
                      <w:rFonts w:hint="eastAsia" w:ascii="Times New Roman" w:hAnsi="Times New Roman" w:cs="Times New Roman"/>
                      <w:color w:val="auto"/>
                      <w:spacing w:val="-11"/>
                      <w:sz w:val="21"/>
                      <w:szCs w:val="21"/>
                      <w:lang w:val="en-US" w:eastAsia="zh-CN"/>
                    </w:rPr>
                    <w:t>6</w:t>
                  </w:r>
                  <w:r>
                    <w:rPr>
                      <w:rFonts w:hint="default" w:ascii="Times New Roman" w:hAnsi="Times New Roman" w:eastAsia="宋体" w:cs="Times New Roman"/>
                      <w:color w:val="auto"/>
                      <w:spacing w:val="-11"/>
                      <w:sz w:val="21"/>
                      <w:szCs w:val="21"/>
                      <w:lang w:val="en-US" w:eastAsia="zh-CN"/>
                    </w:rPr>
                    <w:t>.</w:t>
                  </w:r>
                  <w:r>
                    <w:rPr>
                      <w:rFonts w:hint="eastAsia" w:ascii="Times New Roman" w:hAnsi="Times New Roman" w:cs="Times New Roman"/>
                      <w:color w:val="auto"/>
                      <w:spacing w:val="-11"/>
                      <w:sz w:val="21"/>
                      <w:szCs w:val="21"/>
                      <w:lang w:val="en-US" w:eastAsia="zh-CN"/>
                    </w:rPr>
                    <w:t>7.6</w:t>
                  </w:r>
                </w:p>
              </w:tc>
              <w:tc>
                <w:tcPr>
                  <w:tcW w:w="719" w:type="pct"/>
                  <w:vMerge w:val="restart"/>
                  <w:noWrap w:val="0"/>
                  <w:vAlign w:val="center"/>
                </w:tcPr>
                <w:p w14:paraId="736016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井场内部空地</w:t>
                  </w:r>
                </w:p>
              </w:tc>
              <w:tc>
                <w:tcPr>
                  <w:tcW w:w="905" w:type="dxa"/>
                  <w:noWrap w:val="0"/>
                  <w:vAlign w:val="center"/>
                </w:tcPr>
                <w:p w14:paraId="3A53933B">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0.48</w:t>
                  </w:r>
                </w:p>
              </w:tc>
              <w:tc>
                <w:tcPr>
                  <w:tcW w:w="904" w:type="dxa"/>
                  <w:noWrap w:val="0"/>
                  <w:vAlign w:val="center"/>
                </w:tcPr>
                <w:p w14:paraId="7FBDD0AF">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0.61</w:t>
                  </w:r>
                </w:p>
              </w:tc>
              <w:tc>
                <w:tcPr>
                  <w:tcW w:w="904" w:type="dxa"/>
                  <w:noWrap w:val="0"/>
                  <w:vAlign w:val="center"/>
                </w:tcPr>
                <w:p w14:paraId="4A176442">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0.64</w:t>
                  </w:r>
                </w:p>
              </w:tc>
              <w:tc>
                <w:tcPr>
                  <w:tcW w:w="911" w:type="dxa"/>
                  <w:noWrap w:val="0"/>
                  <w:vAlign w:val="center"/>
                </w:tcPr>
                <w:p w14:paraId="5BC50F3F">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0.58</w:t>
                  </w:r>
                </w:p>
              </w:tc>
              <w:tc>
                <w:tcPr>
                  <w:tcW w:w="647" w:type="pct"/>
                  <w:vMerge w:val="restart"/>
                  <w:noWrap w:val="0"/>
                  <w:vAlign w:val="center"/>
                </w:tcPr>
                <w:p w14:paraId="042D18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555" w:type="pct"/>
                  <w:noWrap w:val="0"/>
                  <w:vAlign w:val="center"/>
                </w:tcPr>
                <w:p w14:paraId="0FF8F1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4FCD1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noWrap w:val="0"/>
                  <w:vAlign w:val="center"/>
                </w:tcPr>
                <w:p w14:paraId="44C43644">
                  <w:pPr>
                    <w:pStyle w:val="10"/>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1"/>
                      <w:sz w:val="21"/>
                      <w:szCs w:val="21"/>
                      <w:lang w:val="en-US" w:eastAsia="zh-CN"/>
                    </w:rPr>
                    <w:t>202</w:t>
                  </w:r>
                  <w:r>
                    <w:rPr>
                      <w:rFonts w:hint="eastAsia" w:ascii="Times New Roman" w:hAnsi="Times New Roman" w:cs="Times New Roman"/>
                      <w:color w:val="auto"/>
                      <w:spacing w:val="-11"/>
                      <w:sz w:val="21"/>
                      <w:szCs w:val="21"/>
                      <w:lang w:val="en-US" w:eastAsia="zh-CN"/>
                    </w:rPr>
                    <w:t>6.7.7</w:t>
                  </w:r>
                </w:p>
              </w:tc>
              <w:tc>
                <w:tcPr>
                  <w:tcW w:w="719" w:type="pct"/>
                  <w:vMerge w:val="continue"/>
                  <w:noWrap w:val="0"/>
                  <w:vAlign w:val="center"/>
                </w:tcPr>
                <w:p w14:paraId="37937E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05" w:type="dxa"/>
                  <w:noWrap w:val="0"/>
                  <w:vAlign w:val="center"/>
                </w:tcPr>
                <w:p w14:paraId="067C081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0.47</w:t>
                  </w:r>
                </w:p>
              </w:tc>
              <w:tc>
                <w:tcPr>
                  <w:tcW w:w="904" w:type="dxa"/>
                  <w:noWrap w:val="0"/>
                  <w:vAlign w:val="center"/>
                </w:tcPr>
                <w:p w14:paraId="568DC2FF">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0.59</w:t>
                  </w:r>
                </w:p>
              </w:tc>
              <w:tc>
                <w:tcPr>
                  <w:tcW w:w="904" w:type="dxa"/>
                  <w:noWrap w:val="0"/>
                  <w:vAlign w:val="center"/>
                </w:tcPr>
                <w:p w14:paraId="462115C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0.55</w:t>
                  </w:r>
                </w:p>
              </w:tc>
              <w:tc>
                <w:tcPr>
                  <w:tcW w:w="911" w:type="dxa"/>
                  <w:noWrap w:val="0"/>
                  <w:vAlign w:val="center"/>
                </w:tcPr>
                <w:p w14:paraId="1A2CA05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0.60</w:t>
                  </w:r>
                </w:p>
              </w:tc>
              <w:tc>
                <w:tcPr>
                  <w:tcW w:w="647" w:type="pct"/>
                  <w:vMerge w:val="continue"/>
                  <w:noWrap w:val="0"/>
                  <w:vAlign w:val="center"/>
                </w:tcPr>
                <w:p w14:paraId="67C61D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55" w:type="pct"/>
                  <w:noWrap w:val="0"/>
                  <w:vAlign w:val="center"/>
                </w:tcPr>
                <w:p w14:paraId="588992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14:paraId="0D733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noWrap w:val="0"/>
                  <w:vAlign w:val="center"/>
                </w:tcPr>
                <w:p w14:paraId="39B1C970">
                  <w:pPr>
                    <w:pStyle w:val="10"/>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1"/>
                      <w:sz w:val="21"/>
                      <w:szCs w:val="21"/>
                      <w:lang w:val="en-US" w:eastAsia="zh-CN"/>
                    </w:rPr>
                    <w:t>202</w:t>
                  </w:r>
                  <w:r>
                    <w:rPr>
                      <w:rFonts w:hint="eastAsia" w:ascii="Times New Roman" w:hAnsi="Times New Roman" w:cs="Times New Roman"/>
                      <w:color w:val="auto"/>
                      <w:spacing w:val="-11"/>
                      <w:sz w:val="21"/>
                      <w:szCs w:val="21"/>
                      <w:lang w:val="en-US" w:eastAsia="zh-CN"/>
                    </w:rPr>
                    <w:t>6.7.8</w:t>
                  </w:r>
                </w:p>
              </w:tc>
              <w:tc>
                <w:tcPr>
                  <w:tcW w:w="719" w:type="pct"/>
                  <w:vMerge w:val="continue"/>
                  <w:noWrap w:val="0"/>
                  <w:vAlign w:val="center"/>
                </w:tcPr>
                <w:p w14:paraId="1BB231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05" w:type="dxa"/>
                  <w:noWrap w:val="0"/>
                  <w:vAlign w:val="center"/>
                </w:tcPr>
                <w:p w14:paraId="3976F3A6">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0.55</w:t>
                  </w:r>
                </w:p>
              </w:tc>
              <w:tc>
                <w:tcPr>
                  <w:tcW w:w="904" w:type="dxa"/>
                  <w:noWrap w:val="0"/>
                  <w:vAlign w:val="center"/>
                </w:tcPr>
                <w:p w14:paraId="0529A107">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0.51</w:t>
                  </w:r>
                </w:p>
              </w:tc>
              <w:tc>
                <w:tcPr>
                  <w:tcW w:w="904" w:type="dxa"/>
                  <w:noWrap w:val="0"/>
                  <w:vAlign w:val="center"/>
                </w:tcPr>
                <w:p w14:paraId="594EEA49">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0.56</w:t>
                  </w:r>
                </w:p>
              </w:tc>
              <w:tc>
                <w:tcPr>
                  <w:tcW w:w="911" w:type="dxa"/>
                  <w:noWrap w:val="0"/>
                  <w:vAlign w:val="center"/>
                </w:tcPr>
                <w:p w14:paraId="050D9443">
                  <w:pPr>
                    <w:keepNext w:val="0"/>
                    <w:keepLines w:val="0"/>
                    <w:widowControl/>
                    <w:suppressLineNumbers w:val="0"/>
                    <w:spacing w:before="0" w:beforeAutospacing="0" w:after="0" w:afterAutospacing="0" w:line="240" w:lineRule="exact"/>
                    <w:ind w:left="0" w:righ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0"/>
                      <w:szCs w:val="21"/>
                      <w:highlight w:val="none"/>
                      <w:lang w:val="en-US" w:eastAsia="zh-CN"/>
                    </w:rPr>
                    <w:t>0.54</w:t>
                  </w:r>
                </w:p>
              </w:tc>
              <w:tc>
                <w:tcPr>
                  <w:tcW w:w="647" w:type="pct"/>
                  <w:vMerge w:val="continue"/>
                  <w:noWrap w:val="0"/>
                  <w:vAlign w:val="center"/>
                </w:tcPr>
                <w:p w14:paraId="3F3C9B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55" w:type="pct"/>
                  <w:noWrap w:val="0"/>
                  <w:vAlign w:val="center"/>
                </w:tcPr>
                <w:p w14:paraId="2636B1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bl>
          <w:p w14:paraId="4CBC98E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由监测结果可知，</w:t>
            </w:r>
            <w:r>
              <w:rPr>
                <w:rFonts w:hint="default" w:ascii="Times New Roman" w:hAnsi="Times New Roman" w:eastAsia="宋体" w:cs="Times New Roman"/>
                <w:color w:val="auto"/>
                <w:sz w:val="24"/>
                <w:highlight w:val="none"/>
                <w:lang w:val="en-US" w:eastAsia="zh-CN"/>
              </w:rPr>
              <w:t>项目所在区域</w:t>
            </w:r>
            <w:r>
              <w:rPr>
                <w:rFonts w:hint="eastAsia" w:ascii="Times New Roman" w:hAnsi="Times New Roman" w:eastAsia="宋体" w:cs="Times New Roman"/>
                <w:color w:val="auto"/>
                <w:sz w:val="24"/>
                <w:highlight w:val="none"/>
                <w:lang w:val="en-US" w:eastAsia="zh-CN"/>
              </w:rPr>
              <w:t>非甲烷总烃</w:t>
            </w:r>
            <w:r>
              <w:rPr>
                <w:rFonts w:hint="default" w:ascii="Times New Roman" w:hAnsi="Times New Roman" w:eastAsia="宋体" w:cs="Times New Roman"/>
                <w:color w:val="auto"/>
                <w:sz w:val="24"/>
                <w:highlight w:val="none"/>
              </w:rPr>
              <w:t>可以满足《大气污染物综合排放标准详解》中的</w:t>
            </w:r>
            <w:r>
              <w:rPr>
                <w:rFonts w:hint="default" w:ascii="Times New Roman" w:hAnsi="Times New Roman" w:eastAsia="宋体" w:cs="Times New Roman"/>
                <w:color w:val="auto"/>
                <w:kern w:val="0"/>
                <w:sz w:val="24"/>
                <w:szCs w:val="24"/>
                <w:highlight w:val="none"/>
              </w:rPr>
              <w:t>限值要求</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sz w:val="24"/>
                <w:highlight w:val="none"/>
              </w:rPr>
              <w:t>项目区域</w:t>
            </w:r>
            <w:r>
              <w:rPr>
                <w:rFonts w:hint="eastAsia" w:ascii="Times New Roman" w:hAnsi="Times New Roman" w:eastAsia="宋体" w:cs="Times New Roman"/>
                <w:color w:val="auto"/>
                <w:sz w:val="24"/>
                <w:highlight w:val="none"/>
                <w:lang w:val="en-US" w:eastAsia="zh-CN"/>
              </w:rPr>
              <w:t>大气</w:t>
            </w:r>
            <w:r>
              <w:rPr>
                <w:rFonts w:hint="eastAsia" w:ascii="Times New Roman" w:hAnsi="Times New Roman" w:eastAsia="宋体" w:cs="Times New Roman"/>
                <w:color w:val="auto"/>
                <w:sz w:val="24"/>
                <w:highlight w:val="none"/>
              </w:rPr>
              <w:t>环境质量良好</w:t>
            </w:r>
            <w:r>
              <w:rPr>
                <w:rFonts w:hint="eastAsia" w:ascii="Times New Roman" w:hAnsi="Times New Roman" w:cs="Times New Roman"/>
                <w:color w:val="auto"/>
                <w:sz w:val="24"/>
              </w:rPr>
              <w:t>。</w:t>
            </w:r>
          </w:p>
          <w:p w14:paraId="5E8086B3">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（2）地表水环境质量</w:t>
            </w:r>
          </w:p>
          <w:p w14:paraId="5E1C42D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为了解项目所在区域地表水环境质量的达标情况，本项目采用巴中市生态环境局公布的</w:t>
            </w:r>
            <w:r>
              <w:rPr>
                <w:rFonts w:hint="default"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2025年巴中市生态环境状况公报</w:t>
            </w:r>
            <w:r>
              <w:rPr>
                <w:rFonts w:hint="default" w:cs="Times New Roman"/>
                <w:color w:val="auto"/>
                <w:sz w:val="24"/>
                <w:szCs w:val="24"/>
                <w:highlight w:val="none"/>
              </w:rPr>
              <w:t>》</w:t>
            </w:r>
            <w:r>
              <w:rPr>
                <w:rFonts w:hint="default" w:ascii="Times New Roman" w:hAnsi="Times New Roman" w:eastAsia="宋体" w:cs="Times New Roman"/>
                <w:color w:val="auto"/>
                <w:sz w:val="24"/>
              </w:rPr>
              <w:t>作为地表水质量达标区的判定依据。</w:t>
            </w:r>
          </w:p>
          <w:p w14:paraId="08C8BE8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202</w:t>
            </w:r>
            <w:r>
              <w:rPr>
                <w:rFonts w:hint="eastAsia" w:cs="Times New Roman"/>
                <w:color w:val="auto"/>
                <w:sz w:val="24"/>
                <w:lang w:val="en-US" w:eastAsia="zh-CN"/>
              </w:rPr>
              <w:t>5</w:t>
            </w:r>
            <w:r>
              <w:rPr>
                <w:rFonts w:hint="default" w:ascii="Times New Roman" w:hAnsi="Times New Roman" w:eastAsia="宋体" w:cs="Times New Roman"/>
                <w:color w:val="auto"/>
                <w:sz w:val="24"/>
              </w:rPr>
              <w:t>年，巴河总体水质为优，10个国省控断面和2个入境断面均达到或优于Ⅲ类水质。6个国控断面Ⅰ-Ⅱ类水质占比100%，4个省控断面Ⅰ-Ⅱ类水质占比75%，仅徐家河断面水质为Ⅲ类</w:t>
            </w:r>
            <w:r>
              <w:rPr>
                <w:rFonts w:hint="eastAsia" w:cs="Times New Roman"/>
                <w:color w:val="auto"/>
                <w:sz w:val="24"/>
                <w:lang w:eastAsia="zh-CN"/>
              </w:rPr>
              <w:t>。</w:t>
            </w:r>
            <w:r>
              <w:rPr>
                <w:rFonts w:hint="default" w:ascii="Times New Roman" w:hAnsi="Times New Roman" w:eastAsia="宋体" w:cs="Times New Roman"/>
                <w:color w:val="auto"/>
                <w:sz w:val="24"/>
              </w:rPr>
              <w:t>与上年相比，巴河总体水质不变</w:t>
            </w:r>
            <w:r>
              <w:rPr>
                <w:rFonts w:hint="eastAsia" w:cs="Times New Roman"/>
                <w:color w:val="auto"/>
                <w:sz w:val="24"/>
                <w:lang w:eastAsia="zh-CN"/>
              </w:rPr>
              <w:t>（</w:t>
            </w:r>
            <w:r>
              <w:rPr>
                <w:rFonts w:hint="eastAsia" w:cs="Times New Roman"/>
                <w:color w:val="auto"/>
                <w:sz w:val="24"/>
                <w:lang w:val="en-US" w:eastAsia="zh-CN"/>
              </w:rPr>
              <w:t>保持为优</w:t>
            </w:r>
            <w:r>
              <w:rPr>
                <w:rFonts w:hint="eastAsia" w:cs="Times New Roman"/>
                <w:color w:val="auto"/>
                <w:sz w:val="24"/>
                <w:lang w:eastAsia="zh-CN"/>
              </w:rPr>
              <w:t>）</w:t>
            </w:r>
            <w:r>
              <w:rPr>
                <w:rFonts w:hint="default" w:ascii="Times New Roman" w:hAnsi="Times New Roman" w:eastAsia="宋体" w:cs="Times New Roman"/>
                <w:color w:val="auto"/>
                <w:sz w:val="24"/>
              </w:rPr>
              <w:t>，Ⅰ-Ⅲ类水质占比100%，各断面水质类别均无明显变化。</w:t>
            </w:r>
          </w:p>
          <w:p w14:paraId="2653F7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因此，本项目所在区域判定为地表水环境质量达标区。</w:t>
            </w:r>
          </w:p>
          <w:p w14:paraId="0763FCCE">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（3）声环境质量</w:t>
            </w:r>
          </w:p>
          <w:p w14:paraId="5B2689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根据《建设项目环境影响报告表编制技术指南（生态影响类）</w:t>
            </w:r>
            <w:r>
              <w:rPr>
                <w:rFonts w:hint="eastAsia" w:ascii="Times New Roman" w:hAnsi="Times New Roman" w:cs="Times New Roman"/>
                <w:color w:val="auto"/>
                <w:sz w:val="24"/>
                <w:lang w:eastAsia="zh-CN"/>
              </w:rPr>
              <w:t>（试行）》</w:t>
            </w:r>
            <w:r>
              <w:rPr>
                <w:rFonts w:hint="default" w:ascii="Times New Roman" w:hAnsi="Times New Roman" w:cs="Times New Roman"/>
                <w:color w:val="auto"/>
                <w:sz w:val="24"/>
              </w:rPr>
              <w:t>，本次环评委托</w:t>
            </w:r>
            <w:r>
              <w:rPr>
                <w:rFonts w:hint="default" w:ascii="Times New Roman" w:hAnsi="Times New Roman" w:eastAsia="宋体" w:cs="Times New Roman"/>
                <w:color w:val="auto"/>
                <w:sz w:val="24"/>
              </w:rPr>
              <w:t>四川华皓检测技术有限公司</w:t>
            </w:r>
            <w:r>
              <w:rPr>
                <w:rFonts w:hint="default" w:ascii="Times New Roman" w:hAnsi="Times New Roman" w:cs="Times New Roman"/>
                <w:color w:val="auto"/>
                <w:sz w:val="24"/>
              </w:rPr>
              <w:t>于202</w:t>
            </w:r>
            <w:r>
              <w:rPr>
                <w:rFonts w:hint="eastAsia" w:cs="Times New Roman"/>
                <w:color w:val="auto"/>
                <w:sz w:val="24"/>
                <w:lang w:val="en-US" w:eastAsia="zh-CN"/>
              </w:rPr>
              <w:t>6</w:t>
            </w:r>
            <w:r>
              <w:rPr>
                <w:rFonts w:hint="default" w:ascii="Times New Roman" w:hAnsi="Times New Roman" w:cs="Times New Roman"/>
                <w:color w:val="auto"/>
                <w:sz w:val="24"/>
              </w:rPr>
              <w:t>年</w:t>
            </w:r>
            <w:r>
              <w:rPr>
                <w:rFonts w:hint="eastAsia" w:cs="Times New Roman"/>
                <w:color w:val="auto"/>
                <w:sz w:val="24"/>
                <w:lang w:val="en-US" w:eastAsia="zh-CN"/>
              </w:rPr>
              <w:t>7</w:t>
            </w:r>
            <w:r>
              <w:rPr>
                <w:rFonts w:hint="default" w:ascii="Times New Roman" w:hAnsi="Times New Roman" w:cs="Times New Roman"/>
                <w:color w:val="auto"/>
                <w:sz w:val="24"/>
              </w:rPr>
              <w:t>月</w:t>
            </w:r>
            <w:r>
              <w:rPr>
                <w:rFonts w:hint="eastAsia" w:cs="Times New Roman"/>
                <w:color w:val="auto"/>
                <w:sz w:val="24"/>
                <w:lang w:val="en-US" w:eastAsia="zh-CN"/>
              </w:rPr>
              <w:t>6~2026年7月7日</w:t>
            </w:r>
            <w:r>
              <w:rPr>
                <w:rFonts w:hint="default" w:ascii="Times New Roman" w:hAnsi="Times New Roman" w:cs="Times New Roman"/>
                <w:color w:val="auto"/>
                <w:sz w:val="24"/>
              </w:rPr>
              <w:t>对项目所在区域声环境质量进行了现状监测。</w:t>
            </w:r>
          </w:p>
          <w:p w14:paraId="0631C89B">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1）监测点布设：</w:t>
            </w:r>
            <w:r>
              <w:rPr>
                <w:rFonts w:hint="eastAsia" w:ascii="Times New Roman" w:hAnsi="Times New Roman" w:eastAsia="宋体" w:cs="Times New Roman"/>
                <w:b w:val="0"/>
                <w:bCs/>
                <w:color w:val="auto"/>
                <w:sz w:val="24"/>
                <w:highlight w:val="none"/>
                <w:lang w:val="en-US" w:eastAsia="zh-CN"/>
              </w:rPr>
              <w:t>项目所在区域为农村环境，井场周围噪声源较为单一，本次噪声监测点位选取场界处农户、厂界外较近农户聚居区进行</w:t>
            </w:r>
            <w:r>
              <w:rPr>
                <w:rFonts w:hint="eastAsia" w:cs="Times New Roman"/>
                <w:b w:val="0"/>
                <w:bCs/>
                <w:color w:val="auto"/>
                <w:sz w:val="24"/>
                <w:highlight w:val="none"/>
                <w:lang w:val="en-US" w:eastAsia="zh-CN"/>
              </w:rPr>
              <w:t>了</w:t>
            </w:r>
            <w:r>
              <w:rPr>
                <w:rFonts w:hint="eastAsia" w:ascii="Times New Roman" w:hAnsi="Times New Roman" w:eastAsia="宋体" w:cs="Times New Roman"/>
                <w:b w:val="0"/>
                <w:bCs/>
                <w:color w:val="auto"/>
                <w:sz w:val="24"/>
                <w:highlight w:val="none"/>
                <w:lang w:val="en-US" w:eastAsia="zh-CN"/>
              </w:rPr>
              <w:t>现状监测，监测点位可代表区域声环境质量现状。</w:t>
            </w:r>
          </w:p>
          <w:p w14:paraId="1B7500A0">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项目噪声监测点位、监测时间、频次一览表</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07"/>
              <w:gridCol w:w="1178"/>
              <w:gridCol w:w="2237"/>
              <w:gridCol w:w="1123"/>
              <w:gridCol w:w="1826"/>
            </w:tblGrid>
            <w:tr w14:paraId="76A44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97" w:type="pct"/>
                  <w:noWrap w:val="0"/>
                  <w:vAlign w:val="center"/>
                </w:tcPr>
                <w:p w14:paraId="30F27C7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点位编号</w:t>
                  </w:r>
                </w:p>
              </w:tc>
              <w:tc>
                <w:tcPr>
                  <w:tcW w:w="777" w:type="pct"/>
                  <w:tcBorders>
                    <w:right w:val="single" w:color="auto" w:sz="4" w:space="0"/>
                  </w:tcBorders>
                  <w:noWrap w:val="0"/>
                  <w:vAlign w:val="center"/>
                </w:tcPr>
                <w:p w14:paraId="09B860F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val="en-US" w:eastAsia="zh-CN"/>
                    </w:rPr>
                  </w:pPr>
                  <w:r>
                    <w:rPr>
                      <w:rFonts w:hint="eastAsia" w:cs="Times New Roman"/>
                      <w:b/>
                      <w:color w:val="auto"/>
                      <w:sz w:val="21"/>
                      <w:szCs w:val="21"/>
                      <w:lang w:val="en-US" w:eastAsia="zh-CN"/>
                    </w:rPr>
                    <w:t>方位</w:t>
                  </w:r>
                </w:p>
              </w:tc>
              <w:tc>
                <w:tcPr>
                  <w:tcW w:w="1477" w:type="pct"/>
                  <w:tcBorders>
                    <w:left w:val="single" w:color="auto" w:sz="4" w:space="0"/>
                  </w:tcBorders>
                  <w:noWrap w:val="0"/>
                  <w:vAlign w:val="center"/>
                </w:tcPr>
                <w:p w14:paraId="7A949AA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监测点位</w:t>
                  </w:r>
                </w:p>
              </w:tc>
              <w:tc>
                <w:tcPr>
                  <w:tcW w:w="741" w:type="pct"/>
                  <w:noWrap w:val="0"/>
                  <w:vAlign w:val="center"/>
                </w:tcPr>
                <w:p w14:paraId="6B043D9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监测指标</w:t>
                  </w:r>
                </w:p>
              </w:tc>
              <w:tc>
                <w:tcPr>
                  <w:tcW w:w="1205" w:type="pct"/>
                  <w:noWrap w:val="0"/>
                  <w:vAlign w:val="center"/>
                </w:tcPr>
                <w:p w14:paraId="2B6EE0A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监测频次</w:t>
                  </w:r>
                </w:p>
              </w:tc>
            </w:tr>
            <w:tr w14:paraId="2D5E3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97" w:type="pct"/>
                  <w:noWrap w:val="0"/>
                  <w:vAlign w:val="center"/>
                </w:tcPr>
                <w:p w14:paraId="08B573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77" w:type="pct"/>
                  <w:tcBorders>
                    <w:right w:val="single" w:color="auto" w:sz="4" w:space="0"/>
                  </w:tcBorders>
                  <w:shd w:val="clear" w:color="auto" w:fill="auto"/>
                  <w:noWrap w:val="0"/>
                  <w:vAlign w:val="center"/>
                </w:tcPr>
                <w:p w14:paraId="5EC3503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lang w:val="en-US" w:eastAsia="zh-CN" w:bidi="ar-SA"/>
                    </w:rPr>
                  </w:pPr>
                  <w:r>
                    <w:rPr>
                      <w:rFonts w:hint="eastAsia"/>
                      <w:color w:val="auto"/>
                      <w:sz w:val="21"/>
                      <w:szCs w:val="21"/>
                      <w:lang w:val="en-US" w:eastAsia="zh-CN"/>
                    </w:rPr>
                    <w:t>井场东侧</w:t>
                  </w:r>
                </w:p>
              </w:tc>
              <w:tc>
                <w:tcPr>
                  <w:tcW w:w="1477" w:type="pct"/>
                  <w:tcBorders>
                    <w:left w:val="single" w:color="auto" w:sz="4" w:space="0"/>
                  </w:tcBorders>
                  <w:shd w:val="clear" w:color="auto" w:fill="auto"/>
                  <w:noWrap w:val="0"/>
                  <w:vAlign w:val="center"/>
                </w:tcPr>
                <w:p w14:paraId="7E1838C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柿子院农户聚居区</w:t>
                  </w:r>
                </w:p>
              </w:tc>
              <w:tc>
                <w:tcPr>
                  <w:tcW w:w="741" w:type="pct"/>
                  <w:vMerge w:val="restart"/>
                  <w:noWrap w:val="0"/>
                  <w:vAlign w:val="center"/>
                </w:tcPr>
                <w:p w14:paraId="402547C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等效连续A声级</w:t>
                  </w:r>
                </w:p>
              </w:tc>
              <w:tc>
                <w:tcPr>
                  <w:tcW w:w="1205" w:type="pct"/>
                  <w:vMerge w:val="restart"/>
                  <w:noWrap w:val="0"/>
                  <w:vAlign w:val="center"/>
                </w:tcPr>
                <w:p w14:paraId="2D1FE5EC">
                  <w:pPr>
                    <w:pStyle w:val="55"/>
                    <w:keepNext w:val="0"/>
                    <w:keepLines w:val="0"/>
                    <w:suppressLineNumbers w:val="0"/>
                    <w:spacing w:before="0" w:beforeAutospacing="0" w:after="0" w:afterAutospacing="0"/>
                    <w:ind w:left="0" w:right="0"/>
                    <w:rPr>
                      <w:rFonts w:hint="default"/>
                      <w:color w:val="auto"/>
                    </w:rPr>
                  </w:pPr>
                  <w:r>
                    <w:rPr>
                      <w:rFonts w:hint="eastAsia" w:ascii="Times New Roman" w:hAnsi="Times New Roman" w:eastAsia="宋体" w:cs="Times New Roman"/>
                      <w:color w:val="auto"/>
                      <w:sz w:val="21"/>
                      <w:szCs w:val="21"/>
                      <w:lang w:val="en-US" w:eastAsia="zh-CN"/>
                    </w:rPr>
                    <w:t>监测</w:t>
                  </w:r>
                  <w:r>
                    <w:rPr>
                      <w:rFonts w:hint="default" w:ascii="Times New Roman" w:hAnsi="Times New Roman" w:eastAsia="宋体" w:cs="Times New Roman"/>
                      <w:color w:val="auto"/>
                      <w:sz w:val="21"/>
                      <w:szCs w:val="21"/>
                    </w:rPr>
                    <w:t>1天</w:t>
                  </w:r>
                </w:p>
                <w:p w14:paraId="53EF1AF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昼夜间各</w:t>
                  </w:r>
                  <w:r>
                    <w:rPr>
                      <w:rFonts w:hint="eastAsia" w:ascii="Times New Roman" w:hAnsi="Times New Roman" w:eastAsia="宋体" w:cs="Times New Roman"/>
                      <w:color w:val="auto"/>
                      <w:sz w:val="21"/>
                      <w:szCs w:val="21"/>
                      <w:lang w:val="en-US" w:eastAsia="zh-CN"/>
                    </w:rPr>
                    <w:t>监测</w:t>
                  </w:r>
                  <w:r>
                    <w:rPr>
                      <w:rFonts w:hint="default" w:ascii="Times New Roman" w:hAnsi="Times New Roman" w:eastAsia="宋体" w:cs="Times New Roman"/>
                      <w:color w:val="auto"/>
                      <w:sz w:val="21"/>
                      <w:szCs w:val="21"/>
                    </w:rPr>
                    <w:t>1次</w:t>
                  </w:r>
                </w:p>
              </w:tc>
            </w:tr>
            <w:tr w14:paraId="723C3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97" w:type="pct"/>
                  <w:noWrap w:val="0"/>
                  <w:vAlign w:val="center"/>
                </w:tcPr>
                <w:p w14:paraId="030304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777" w:type="pct"/>
                  <w:tcBorders>
                    <w:right w:val="single" w:color="auto" w:sz="4" w:space="0"/>
                  </w:tcBorders>
                  <w:shd w:val="clear" w:color="auto" w:fill="auto"/>
                  <w:noWrap w:val="0"/>
                  <w:vAlign w:val="center"/>
                </w:tcPr>
                <w:p w14:paraId="5F0B6E7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井场南侧</w:t>
                  </w:r>
                </w:p>
              </w:tc>
              <w:tc>
                <w:tcPr>
                  <w:tcW w:w="1477" w:type="pct"/>
                  <w:tcBorders>
                    <w:left w:val="single" w:color="auto" w:sz="4" w:space="0"/>
                  </w:tcBorders>
                  <w:shd w:val="clear" w:color="auto" w:fill="auto"/>
                  <w:noWrap w:val="0"/>
                  <w:vAlign w:val="center"/>
                </w:tcPr>
                <w:p w14:paraId="023514E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辽叶塆散居农户</w:t>
                  </w:r>
                </w:p>
              </w:tc>
              <w:tc>
                <w:tcPr>
                  <w:tcW w:w="741" w:type="pct"/>
                  <w:vMerge w:val="continue"/>
                  <w:noWrap w:val="0"/>
                  <w:vAlign w:val="center"/>
                </w:tcPr>
                <w:p w14:paraId="236E354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05" w:type="pct"/>
                  <w:vMerge w:val="continue"/>
                  <w:noWrap w:val="0"/>
                  <w:vAlign w:val="center"/>
                </w:tcPr>
                <w:p w14:paraId="2F716E7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r>
            <w:tr w14:paraId="658B6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97" w:type="pct"/>
                  <w:noWrap w:val="0"/>
                  <w:vAlign w:val="center"/>
                </w:tcPr>
                <w:p w14:paraId="4895BB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777" w:type="pct"/>
                  <w:tcBorders>
                    <w:right w:val="single" w:color="auto" w:sz="4" w:space="0"/>
                  </w:tcBorders>
                  <w:shd w:val="clear" w:color="auto" w:fill="auto"/>
                  <w:noWrap w:val="0"/>
                  <w:vAlign w:val="center"/>
                </w:tcPr>
                <w:p w14:paraId="5D8DCCF1">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井场西侧</w:t>
                  </w:r>
                </w:p>
              </w:tc>
              <w:tc>
                <w:tcPr>
                  <w:tcW w:w="1477" w:type="pct"/>
                  <w:tcBorders>
                    <w:left w:val="single" w:color="auto" w:sz="4" w:space="0"/>
                  </w:tcBorders>
                  <w:shd w:val="clear" w:color="auto" w:fill="auto"/>
                  <w:noWrap w:val="0"/>
                  <w:vAlign w:val="center"/>
                </w:tcPr>
                <w:p w14:paraId="04422A2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马家梁农户聚居区</w:t>
                  </w:r>
                </w:p>
              </w:tc>
              <w:tc>
                <w:tcPr>
                  <w:tcW w:w="741" w:type="pct"/>
                  <w:vMerge w:val="continue"/>
                  <w:noWrap w:val="0"/>
                  <w:vAlign w:val="center"/>
                </w:tcPr>
                <w:p w14:paraId="200242B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c>
                <w:tcPr>
                  <w:tcW w:w="1205" w:type="pct"/>
                  <w:vMerge w:val="continue"/>
                  <w:noWrap w:val="0"/>
                  <w:vAlign w:val="center"/>
                </w:tcPr>
                <w:p w14:paraId="41C89C0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p>
              </w:tc>
            </w:tr>
            <w:tr w14:paraId="19152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97" w:type="pct"/>
                  <w:noWrap w:val="0"/>
                  <w:vAlign w:val="center"/>
                </w:tcPr>
                <w:p w14:paraId="0CA4DD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rPr>
                    <w:t>#</w:t>
                  </w:r>
                </w:p>
              </w:tc>
              <w:tc>
                <w:tcPr>
                  <w:tcW w:w="777" w:type="pct"/>
                  <w:tcBorders>
                    <w:right w:val="single" w:color="auto" w:sz="4" w:space="0"/>
                  </w:tcBorders>
                  <w:shd w:val="clear" w:color="auto" w:fill="auto"/>
                  <w:noWrap w:val="0"/>
                  <w:vAlign w:val="center"/>
                </w:tcPr>
                <w:p w14:paraId="33EDFD7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井场北侧</w:t>
                  </w:r>
                </w:p>
              </w:tc>
              <w:tc>
                <w:tcPr>
                  <w:tcW w:w="1477" w:type="pct"/>
                  <w:tcBorders>
                    <w:left w:val="single" w:color="auto" w:sz="4" w:space="0"/>
                  </w:tcBorders>
                  <w:shd w:val="clear" w:color="auto" w:fill="auto"/>
                  <w:noWrap w:val="0"/>
                  <w:vAlign w:val="center"/>
                </w:tcPr>
                <w:p w14:paraId="14D9B35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松垭子散居农户</w:t>
                  </w:r>
                </w:p>
              </w:tc>
              <w:tc>
                <w:tcPr>
                  <w:tcW w:w="741" w:type="pct"/>
                  <w:vMerge w:val="continue"/>
                  <w:noWrap w:val="0"/>
                  <w:vAlign w:val="center"/>
                </w:tcPr>
                <w:p w14:paraId="51878E1A">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rPr>
                  </w:pPr>
                </w:p>
              </w:tc>
              <w:tc>
                <w:tcPr>
                  <w:tcW w:w="1205" w:type="pct"/>
                  <w:vMerge w:val="continue"/>
                  <w:noWrap w:val="0"/>
                  <w:vAlign w:val="center"/>
                </w:tcPr>
                <w:p w14:paraId="03F46742">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rPr>
                  </w:pPr>
                </w:p>
              </w:tc>
            </w:tr>
          </w:tbl>
          <w:p w14:paraId="7034EB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2）评价标准：《声环境质量标准》（GB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3096-2008）中2类标准。</w:t>
            </w:r>
          </w:p>
          <w:p w14:paraId="6660A66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3）监测结果及评价结果：监测统计结果见下表。</w:t>
            </w:r>
          </w:p>
          <w:p w14:paraId="50E8B18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bookmarkStart w:id="44" w:name="_Ref120894482"/>
            <w:r>
              <w:rPr>
                <w:rFonts w:hint="eastAsia" w:ascii="Times New Roman" w:hAnsi="Times New Roman" w:eastAsia="宋体" w:cs="Times New Roman"/>
                <w:b/>
                <w:bCs/>
                <w:color w:val="auto"/>
                <w:highlight w:val="none"/>
              </w:rPr>
              <w:t>声环境现状监测统计结果</w:t>
            </w:r>
            <w:r>
              <w:rPr>
                <w:rFonts w:hint="eastAsia" w:ascii="Times New Roman" w:hAnsi="Times New Roman" w:eastAsia="宋体" w:cs="Times New Roman"/>
                <w:b/>
                <w:bCs/>
                <w:color w:val="auto"/>
                <w:highlight w:val="none"/>
                <w:lang w:val="en-US" w:eastAsia="zh-CN"/>
              </w:rPr>
              <w:t xml:space="preserve">    单位：</w:t>
            </w:r>
            <w:r>
              <w:rPr>
                <w:rFonts w:hint="eastAsia" w:ascii="Times New Roman" w:hAnsi="Times New Roman" w:eastAsia="宋体" w:cs="Times New Roman"/>
                <w:b/>
                <w:bCs/>
                <w:color w:val="auto"/>
                <w:highlight w:val="none"/>
              </w:rPr>
              <w:t>dB</w:t>
            </w: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lang w:val="en-US" w:eastAsia="zh-CN"/>
              </w:rPr>
              <w:t>A</w:t>
            </w:r>
            <w:r>
              <w:rPr>
                <w:rFonts w:hint="eastAsia" w:ascii="Times New Roman" w:hAnsi="Times New Roman" w:eastAsia="宋体" w:cs="Times New Roman"/>
                <w:b/>
                <w:bCs/>
                <w:color w:val="auto"/>
                <w:highlight w:val="none"/>
                <w:lang w:eastAsia="zh-CN"/>
              </w:rPr>
              <w:t>）</w:t>
            </w:r>
            <w:bookmarkEnd w:id="44"/>
          </w:p>
          <w:tbl>
            <w:tblPr>
              <w:tblStyle w:val="23"/>
              <w:tblW w:w="76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3"/>
              <w:gridCol w:w="1134"/>
              <w:gridCol w:w="676"/>
              <w:gridCol w:w="676"/>
              <w:gridCol w:w="676"/>
              <w:gridCol w:w="675"/>
              <w:gridCol w:w="686"/>
              <w:gridCol w:w="669"/>
              <w:gridCol w:w="982"/>
              <w:gridCol w:w="645"/>
            </w:tblGrid>
            <w:tr w14:paraId="1A3E1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vMerge w:val="restart"/>
                  <w:noWrap w:val="0"/>
                  <w:vAlign w:val="center"/>
                </w:tcPr>
                <w:p w14:paraId="5441789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点位</w:t>
                  </w:r>
                </w:p>
                <w:p w14:paraId="24FBF43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编号</w:t>
                  </w:r>
                </w:p>
              </w:tc>
              <w:tc>
                <w:tcPr>
                  <w:tcW w:w="744" w:type="pct"/>
                  <w:vMerge w:val="restart"/>
                  <w:noWrap w:val="0"/>
                  <w:vAlign w:val="center"/>
                </w:tcPr>
                <w:p w14:paraId="38E24F8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监测</w:t>
                  </w:r>
                </w:p>
                <w:p w14:paraId="0047E26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点位</w:t>
                  </w:r>
                </w:p>
              </w:tc>
              <w:tc>
                <w:tcPr>
                  <w:tcW w:w="888" w:type="pct"/>
                  <w:gridSpan w:val="2"/>
                  <w:noWrap w:val="0"/>
                  <w:vAlign w:val="center"/>
                </w:tcPr>
                <w:p w14:paraId="6697A07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0"/>
                      <w:lang w:val="en-US" w:eastAsia="zh-CN"/>
                    </w:rPr>
                  </w:pPr>
                  <w:r>
                    <w:rPr>
                      <w:rFonts w:hint="eastAsia" w:cs="Times New Roman"/>
                      <w:b/>
                      <w:color w:val="auto"/>
                      <w:szCs w:val="20"/>
                      <w:lang w:val="en-US" w:eastAsia="zh-CN"/>
                    </w:rPr>
                    <w:t>2026.7.6</w:t>
                  </w:r>
                </w:p>
              </w:tc>
              <w:tc>
                <w:tcPr>
                  <w:tcW w:w="887" w:type="pct"/>
                  <w:gridSpan w:val="2"/>
                  <w:noWrap w:val="0"/>
                  <w:vAlign w:val="center"/>
                </w:tcPr>
                <w:p w14:paraId="217B765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0"/>
                      <w:lang w:val="en-US" w:eastAsia="zh-CN"/>
                    </w:rPr>
                  </w:pPr>
                  <w:r>
                    <w:rPr>
                      <w:rFonts w:hint="eastAsia" w:cs="Times New Roman"/>
                      <w:b/>
                      <w:color w:val="auto"/>
                      <w:szCs w:val="20"/>
                      <w:lang w:val="en-US" w:eastAsia="zh-CN"/>
                    </w:rPr>
                    <w:t>2026.7.7</w:t>
                  </w:r>
                </w:p>
              </w:tc>
              <w:tc>
                <w:tcPr>
                  <w:tcW w:w="890" w:type="pct"/>
                  <w:gridSpan w:val="2"/>
                  <w:noWrap w:val="0"/>
                  <w:vAlign w:val="center"/>
                </w:tcPr>
                <w:p w14:paraId="64F5CE7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val="en-US" w:eastAsia="zh-CN"/>
                    </w:rPr>
                  </w:pPr>
                  <w:r>
                    <w:rPr>
                      <w:rFonts w:hint="eastAsia" w:cs="Times New Roman"/>
                      <w:b/>
                      <w:color w:val="auto"/>
                      <w:szCs w:val="20"/>
                      <w:lang w:val="en-US" w:eastAsia="zh-CN"/>
                    </w:rPr>
                    <w:t>两天平均值</w:t>
                  </w:r>
                </w:p>
              </w:tc>
              <w:tc>
                <w:tcPr>
                  <w:tcW w:w="645" w:type="pct"/>
                  <w:vMerge w:val="restart"/>
                  <w:noWrap w:val="0"/>
                  <w:vAlign w:val="center"/>
                </w:tcPr>
                <w:p w14:paraId="636F98D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标准值</w:t>
                  </w:r>
                </w:p>
              </w:tc>
              <w:tc>
                <w:tcPr>
                  <w:tcW w:w="423" w:type="pct"/>
                  <w:vMerge w:val="restart"/>
                  <w:noWrap w:val="0"/>
                  <w:vAlign w:val="center"/>
                </w:tcPr>
                <w:p w14:paraId="6F8E8AB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达标判定</w:t>
                  </w:r>
                </w:p>
              </w:tc>
            </w:tr>
            <w:tr w14:paraId="6DAF9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vMerge w:val="continue"/>
                  <w:noWrap w:val="0"/>
                  <w:vAlign w:val="center"/>
                </w:tcPr>
                <w:p w14:paraId="1BAD0CD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44" w:type="pct"/>
                  <w:vMerge w:val="continue"/>
                  <w:noWrap w:val="0"/>
                  <w:vAlign w:val="center"/>
                </w:tcPr>
                <w:p w14:paraId="332C938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4" w:type="pct"/>
                  <w:tcBorders>
                    <w:right w:val="single" w:color="auto" w:sz="4" w:space="0"/>
                  </w:tcBorders>
                  <w:noWrap w:val="0"/>
                  <w:vAlign w:val="center"/>
                </w:tcPr>
                <w:p w14:paraId="6FDDC3B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44" w:type="pct"/>
                  <w:tcBorders>
                    <w:left w:val="single" w:color="auto" w:sz="4" w:space="0"/>
                  </w:tcBorders>
                  <w:noWrap w:val="0"/>
                  <w:vAlign w:val="center"/>
                </w:tcPr>
                <w:p w14:paraId="0979EC0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444" w:type="pct"/>
                  <w:tcBorders>
                    <w:right w:val="single" w:color="auto" w:sz="4" w:space="0"/>
                  </w:tcBorders>
                  <w:shd w:val="clear" w:color="auto" w:fill="auto"/>
                  <w:noWrap w:val="0"/>
                  <w:vAlign w:val="center"/>
                </w:tcPr>
                <w:p w14:paraId="337837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b/>
                      <w:color w:val="auto"/>
                      <w:szCs w:val="20"/>
                    </w:rPr>
                    <w:t>昼间</w:t>
                  </w:r>
                </w:p>
              </w:tc>
              <w:tc>
                <w:tcPr>
                  <w:tcW w:w="443" w:type="pct"/>
                  <w:tcBorders>
                    <w:left w:val="single" w:color="auto" w:sz="4" w:space="0"/>
                    <w:right w:val="single" w:color="auto" w:sz="4" w:space="0"/>
                  </w:tcBorders>
                  <w:shd w:val="clear" w:color="auto" w:fill="auto"/>
                  <w:noWrap w:val="0"/>
                  <w:vAlign w:val="center"/>
                </w:tcPr>
                <w:p w14:paraId="7097B9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b/>
                      <w:color w:val="auto"/>
                      <w:szCs w:val="20"/>
                    </w:rPr>
                    <w:t>夜间</w:t>
                  </w:r>
                </w:p>
              </w:tc>
              <w:tc>
                <w:tcPr>
                  <w:tcW w:w="450" w:type="pct"/>
                  <w:tcBorders>
                    <w:left w:val="single" w:color="auto" w:sz="4" w:space="0"/>
                    <w:right w:val="single" w:color="auto" w:sz="4" w:space="0"/>
                  </w:tcBorders>
                  <w:shd w:val="clear" w:color="auto" w:fill="auto"/>
                  <w:noWrap w:val="0"/>
                  <w:vAlign w:val="center"/>
                </w:tcPr>
                <w:p w14:paraId="34A7E0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b/>
                      <w:color w:val="auto"/>
                      <w:szCs w:val="20"/>
                    </w:rPr>
                    <w:t>昼间</w:t>
                  </w:r>
                </w:p>
              </w:tc>
              <w:tc>
                <w:tcPr>
                  <w:tcW w:w="439" w:type="pct"/>
                  <w:tcBorders>
                    <w:left w:val="single" w:color="auto" w:sz="4" w:space="0"/>
                  </w:tcBorders>
                  <w:shd w:val="clear" w:color="auto" w:fill="auto"/>
                  <w:noWrap w:val="0"/>
                  <w:vAlign w:val="center"/>
                </w:tcPr>
                <w:p w14:paraId="5F2DEA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color w:val="auto"/>
                      <w:kern w:val="2"/>
                      <w:sz w:val="21"/>
                      <w:szCs w:val="20"/>
                      <w:lang w:val="en-US" w:eastAsia="zh-CN" w:bidi="ar-SA"/>
                    </w:rPr>
                  </w:pPr>
                  <w:r>
                    <w:rPr>
                      <w:rFonts w:hint="default" w:ascii="Times New Roman" w:hAnsi="Times New Roman" w:cs="Times New Roman"/>
                      <w:b/>
                      <w:color w:val="auto"/>
                      <w:szCs w:val="20"/>
                    </w:rPr>
                    <w:t>夜间</w:t>
                  </w:r>
                </w:p>
              </w:tc>
              <w:tc>
                <w:tcPr>
                  <w:tcW w:w="645" w:type="pct"/>
                  <w:vMerge w:val="continue"/>
                  <w:noWrap w:val="0"/>
                  <w:vAlign w:val="center"/>
                </w:tcPr>
                <w:p w14:paraId="35E42A8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23" w:type="pct"/>
                  <w:vMerge w:val="continue"/>
                  <w:noWrap w:val="0"/>
                  <w:vAlign w:val="center"/>
                </w:tcPr>
                <w:p w14:paraId="47E61D2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AF2A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noWrap w:val="0"/>
                  <w:vAlign w:val="center"/>
                </w:tcPr>
                <w:p w14:paraId="1446273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szCs w:val="21"/>
                    </w:rPr>
                    <w:t>1#</w:t>
                  </w:r>
                </w:p>
              </w:tc>
              <w:tc>
                <w:tcPr>
                  <w:tcW w:w="744" w:type="pct"/>
                  <w:noWrap w:val="0"/>
                  <w:vAlign w:val="center"/>
                </w:tcPr>
                <w:p w14:paraId="6EA81E11">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Cs w:val="21"/>
                    </w:rPr>
                  </w:pPr>
                  <w:r>
                    <w:rPr>
                      <w:rFonts w:hint="eastAsia"/>
                      <w:color w:val="auto"/>
                      <w:sz w:val="21"/>
                      <w:szCs w:val="21"/>
                      <w:lang w:val="en-US" w:eastAsia="zh-CN"/>
                    </w:rPr>
                    <w:t>柿子院农户聚居区</w:t>
                  </w:r>
                </w:p>
              </w:tc>
              <w:tc>
                <w:tcPr>
                  <w:tcW w:w="444" w:type="pct"/>
                  <w:tcBorders>
                    <w:right w:val="single" w:color="auto" w:sz="4" w:space="0"/>
                  </w:tcBorders>
                  <w:noWrap w:val="0"/>
                  <w:vAlign w:val="center"/>
                </w:tcPr>
                <w:p w14:paraId="45334052">
                  <w:pPr>
                    <w:keepNext w:val="0"/>
                    <w:keepLines w:val="0"/>
                    <w:suppressLineNumbers w:val="0"/>
                    <w:snapToGrid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eastAsia="宋体" w:cs="Times New Roman"/>
                      <w:color w:val="auto"/>
                      <w:spacing w:val="0"/>
                      <w:kern w:val="2"/>
                      <w:sz w:val="21"/>
                      <w:szCs w:val="21"/>
                      <w:highlight w:val="none"/>
                      <w:lang w:val="en-US" w:eastAsia="zh-CN" w:bidi="ar-SA"/>
                    </w:rPr>
                    <w:t>53</w:t>
                  </w:r>
                </w:p>
              </w:tc>
              <w:tc>
                <w:tcPr>
                  <w:tcW w:w="444" w:type="pct"/>
                  <w:tcBorders>
                    <w:left w:val="single" w:color="auto" w:sz="4" w:space="0"/>
                  </w:tcBorders>
                  <w:noWrap w:val="0"/>
                  <w:vAlign w:val="center"/>
                </w:tcPr>
                <w:p w14:paraId="50DD29F5">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eastAsia" w:ascii="Times New Roman" w:hAnsi="Times New Roman" w:eastAsia="宋体" w:cs="Times New Roman"/>
                      <w:color w:val="auto"/>
                      <w:spacing w:val="0"/>
                      <w:kern w:val="2"/>
                      <w:sz w:val="21"/>
                      <w:szCs w:val="21"/>
                      <w:highlight w:val="none"/>
                      <w:lang w:val="en-US" w:eastAsia="zh-CN" w:bidi="ar-SA"/>
                    </w:rPr>
                    <w:t>42</w:t>
                  </w:r>
                </w:p>
              </w:tc>
              <w:tc>
                <w:tcPr>
                  <w:tcW w:w="444" w:type="pct"/>
                  <w:tcBorders>
                    <w:right w:val="single" w:color="auto" w:sz="4" w:space="0"/>
                  </w:tcBorders>
                  <w:noWrap w:val="0"/>
                  <w:vAlign w:val="center"/>
                </w:tcPr>
                <w:p w14:paraId="30DE4CF8">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52</w:t>
                  </w:r>
                </w:p>
              </w:tc>
              <w:tc>
                <w:tcPr>
                  <w:tcW w:w="443" w:type="pct"/>
                  <w:tcBorders>
                    <w:left w:val="single" w:color="auto" w:sz="4" w:space="0"/>
                    <w:right w:val="single" w:color="auto" w:sz="4" w:space="0"/>
                  </w:tcBorders>
                  <w:noWrap w:val="0"/>
                  <w:vAlign w:val="center"/>
                </w:tcPr>
                <w:p w14:paraId="7CD73370">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43</w:t>
                  </w:r>
                </w:p>
              </w:tc>
              <w:tc>
                <w:tcPr>
                  <w:tcW w:w="450" w:type="pct"/>
                  <w:tcBorders>
                    <w:left w:val="single" w:color="auto" w:sz="4" w:space="0"/>
                    <w:right w:val="single" w:color="auto" w:sz="4" w:space="0"/>
                  </w:tcBorders>
                  <w:noWrap w:val="0"/>
                  <w:vAlign w:val="center"/>
                </w:tcPr>
                <w:p w14:paraId="2F2DB6C6">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53</w:t>
                  </w:r>
                </w:p>
              </w:tc>
              <w:tc>
                <w:tcPr>
                  <w:tcW w:w="439" w:type="pct"/>
                  <w:tcBorders>
                    <w:left w:val="single" w:color="auto" w:sz="4" w:space="0"/>
                  </w:tcBorders>
                  <w:noWrap w:val="0"/>
                  <w:vAlign w:val="center"/>
                </w:tcPr>
                <w:p w14:paraId="5DE92525">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43</w:t>
                  </w:r>
                </w:p>
              </w:tc>
              <w:tc>
                <w:tcPr>
                  <w:tcW w:w="645" w:type="pct"/>
                  <w:vMerge w:val="restart"/>
                  <w:noWrap w:val="0"/>
                  <w:vAlign w:val="center"/>
                </w:tcPr>
                <w:p w14:paraId="243250C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昼间：</w:t>
                  </w:r>
                  <w:r>
                    <w:rPr>
                      <w:rFonts w:ascii="Times New Roman" w:hAnsi="Times New Roman" w:cs="Times New Roman"/>
                      <w:color w:val="auto"/>
                    </w:rPr>
                    <w:t>60</w:t>
                  </w:r>
                </w:p>
                <w:p w14:paraId="56B6C75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夜间：</w:t>
                  </w:r>
                  <w:r>
                    <w:rPr>
                      <w:rFonts w:ascii="Times New Roman" w:hAnsi="Times New Roman" w:cs="Times New Roman"/>
                      <w:color w:val="auto"/>
                    </w:rPr>
                    <w:t>50</w:t>
                  </w:r>
                </w:p>
              </w:tc>
              <w:tc>
                <w:tcPr>
                  <w:tcW w:w="423" w:type="pct"/>
                  <w:noWrap w:val="0"/>
                  <w:vAlign w:val="center"/>
                </w:tcPr>
                <w:p w14:paraId="4F22920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达标</w:t>
                  </w:r>
                </w:p>
              </w:tc>
            </w:tr>
            <w:tr w14:paraId="6035F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noWrap w:val="0"/>
                  <w:vAlign w:val="center"/>
                </w:tcPr>
                <w:p w14:paraId="63CC10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w:t>
                  </w:r>
                </w:p>
              </w:tc>
              <w:tc>
                <w:tcPr>
                  <w:tcW w:w="744" w:type="pct"/>
                  <w:noWrap w:val="0"/>
                  <w:vAlign w:val="center"/>
                </w:tcPr>
                <w:p w14:paraId="148463C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eastAsia"/>
                      <w:color w:val="auto"/>
                      <w:sz w:val="21"/>
                      <w:szCs w:val="21"/>
                      <w:lang w:val="en-US" w:eastAsia="zh-CN"/>
                    </w:rPr>
                    <w:t>辽叶塆散居农户</w:t>
                  </w:r>
                </w:p>
              </w:tc>
              <w:tc>
                <w:tcPr>
                  <w:tcW w:w="444" w:type="pct"/>
                  <w:tcBorders>
                    <w:right w:val="single" w:color="auto" w:sz="4" w:space="0"/>
                  </w:tcBorders>
                  <w:noWrap w:val="0"/>
                  <w:vAlign w:val="center"/>
                </w:tcPr>
                <w:p w14:paraId="12CC70B2">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eastAsia" w:ascii="Times New Roman" w:hAnsi="Times New Roman" w:eastAsia="宋体" w:cs="Times New Roman"/>
                      <w:color w:val="auto"/>
                      <w:spacing w:val="0"/>
                      <w:kern w:val="2"/>
                      <w:sz w:val="21"/>
                      <w:szCs w:val="21"/>
                      <w:highlight w:val="none"/>
                      <w:lang w:val="en-US" w:eastAsia="zh-CN" w:bidi="ar-SA"/>
                    </w:rPr>
                    <w:t>54</w:t>
                  </w:r>
                </w:p>
              </w:tc>
              <w:tc>
                <w:tcPr>
                  <w:tcW w:w="444" w:type="pct"/>
                  <w:tcBorders>
                    <w:left w:val="single" w:color="auto" w:sz="4" w:space="0"/>
                  </w:tcBorders>
                  <w:noWrap w:val="0"/>
                  <w:vAlign w:val="center"/>
                </w:tcPr>
                <w:p w14:paraId="50BC9C5A">
                  <w:pPr>
                    <w:keepNext w:val="0"/>
                    <w:keepLines w:val="0"/>
                    <w:suppressLineNumbers w:val="0"/>
                    <w:snapToGrid w:val="0"/>
                    <w:spacing w:before="0" w:beforeAutospacing="0" w:after="0" w:afterAutospacing="0"/>
                    <w:ind w:left="0" w:right="0"/>
                    <w:jc w:val="center"/>
                    <w:rPr>
                      <w:rFonts w:hint="eastAsia" w:ascii="Times New Roman" w:hAnsi="Times New Roman" w:cs="Times New Roman"/>
                      <w:color w:val="auto"/>
                    </w:rPr>
                  </w:pPr>
                  <w:r>
                    <w:rPr>
                      <w:rFonts w:hint="eastAsia" w:ascii="Times New Roman" w:hAnsi="Times New Roman" w:eastAsia="宋体" w:cs="Times New Roman"/>
                      <w:color w:val="auto"/>
                      <w:spacing w:val="0"/>
                      <w:kern w:val="2"/>
                      <w:sz w:val="21"/>
                      <w:szCs w:val="21"/>
                      <w:highlight w:val="none"/>
                      <w:lang w:val="en-US" w:eastAsia="zh-CN" w:bidi="ar-SA"/>
                    </w:rPr>
                    <w:t>43</w:t>
                  </w:r>
                </w:p>
              </w:tc>
              <w:tc>
                <w:tcPr>
                  <w:tcW w:w="444" w:type="pct"/>
                  <w:tcBorders>
                    <w:right w:val="single" w:color="auto" w:sz="4" w:space="0"/>
                  </w:tcBorders>
                  <w:noWrap w:val="0"/>
                  <w:vAlign w:val="center"/>
                </w:tcPr>
                <w:p w14:paraId="2D0627FB">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53</w:t>
                  </w:r>
                </w:p>
              </w:tc>
              <w:tc>
                <w:tcPr>
                  <w:tcW w:w="443" w:type="pct"/>
                  <w:tcBorders>
                    <w:left w:val="single" w:color="auto" w:sz="4" w:space="0"/>
                    <w:right w:val="single" w:color="auto" w:sz="4" w:space="0"/>
                  </w:tcBorders>
                  <w:noWrap w:val="0"/>
                  <w:vAlign w:val="center"/>
                </w:tcPr>
                <w:p w14:paraId="1781968A">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43</w:t>
                  </w:r>
                </w:p>
              </w:tc>
              <w:tc>
                <w:tcPr>
                  <w:tcW w:w="450" w:type="pct"/>
                  <w:tcBorders>
                    <w:left w:val="single" w:color="auto" w:sz="4" w:space="0"/>
                    <w:right w:val="single" w:color="auto" w:sz="4" w:space="0"/>
                  </w:tcBorders>
                  <w:noWrap w:val="0"/>
                  <w:vAlign w:val="center"/>
                </w:tcPr>
                <w:p w14:paraId="1BA086BF">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54</w:t>
                  </w:r>
                </w:p>
              </w:tc>
              <w:tc>
                <w:tcPr>
                  <w:tcW w:w="439" w:type="pct"/>
                  <w:tcBorders>
                    <w:left w:val="single" w:color="auto" w:sz="4" w:space="0"/>
                  </w:tcBorders>
                  <w:noWrap w:val="0"/>
                  <w:vAlign w:val="center"/>
                </w:tcPr>
                <w:p w14:paraId="26D0747B">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43</w:t>
                  </w:r>
                </w:p>
              </w:tc>
              <w:tc>
                <w:tcPr>
                  <w:tcW w:w="645" w:type="pct"/>
                  <w:vMerge w:val="continue"/>
                  <w:noWrap w:val="0"/>
                  <w:vAlign w:val="center"/>
                </w:tcPr>
                <w:p w14:paraId="18E30A7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423" w:type="pct"/>
                  <w:noWrap w:val="0"/>
                  <w:vAlign w:val="center"/>
                </w:tcPr>
                <w:p w14:paraId="1F2A4D2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达标</w:t>
                  </w:r>
                </w:p>
              </w:tc>
            </w:tr>
            <w:tr w14:paraId="14046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noWrap w:val="0"/>
                  <w:vAlign w:val="center"/>
                </w:tcPr>
                <w:p w14:paraId="0A7A14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3#</w:t>
                  </w:r>
                </w:p>
              </w:tc>
              <w:tc>
                <w:tcPr>
                  <w:tcW w:w="744" w:type="pct"/>
                  <w:noWrap w:val="0"/>
                  <w:vAlign w:val="center"/>
                </w:tcPr>
                <w:p w14:paraId="2C1F0A6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eastAsia"/>
                      <w:color w:val="auto"/>
                      <w:sz w:val="21"/>
                      <w:szCs w:val="21"/>
                      <w:lang w:val="en-US" w:eastAsia="zh-CN"/>
                    </w:rPr>
                    <w:t>马家梁农户聚居区</w:t>
                  </w:r>
                </w:p>
              </w:tc>
              <w:tc>
                <w:tcPr>
                  <w:tcW w:w="444" w:type="pct"/>
                  <w:tcBorders>
                    <w:right w:val="single" w:color="auto" w:sz="4" w:space="0"/>
                  </w:tcBorders>
                  <w:noWrap w:val="0"/>
                  <w:vAlign w:val="center"/>
                </w:tcPr>
                <w:p w14:paraId="10C739F8">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53</w:t>
                  </w:r>
                </w:p>
              </w:tc>
              <w:tc>
                <w:tcPr>
                  <w:tcW w:w="444" w:type="pct"/>
                  <w:tcBorders>
                    <w:left w:val="single" w:color="auto" w:sz="4" w:space="0"/>
                  </w:tcBorders>
                  <w:noWrap w:val="0"/>
                  <w:vAlign w:val="center"/>
                </w:tcPr>
                <w:p w14:paraId="3C981A90">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42</w:t>
                  </w:r>
                </w:p>
              </w:tc>
              <w:tc>
                <w:tcPr>
                  <w:tcW w:w="444" w:type="pct"/>
                  <w:tcBorders>
                    <w:right w:val="single" w:color="auto" w:sz="4" w:space="0"/>
                  </w:tcBorders>
                  <w:noWrap w:val="0"/>
                  <w:vAlign w:val="center"/>
                </w:tcPr>
                <w:p w14:paraId="27D5B804">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53</w:t>
                  </w:r>
                </w:p>
              </w:tc>
              <w:tc>
                <w:tcPr>
                  <w:tcW w:w="443" w:type="pct"/>
                  <w:tcBorders>
                    <w:left w:val="single" w:color="auto" w:sz="4" w:space="0"/>
                    <w:right w:val="single" w:color="auto" w:sz="4" w:space="0"/>
                  </w:tcBorders>
                  <w:noWrap w:val="0"/>
                  <w:vAlign w:val="center"/>
                </w:tcPr>
                <w:p w14:paraId="45B514E9">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44</w:t>
                  </w:r>
                </w:p>
              </w:tc>
              <w:tc>
                <w:tcPr>
                  <w:tcW w:w="450" w:type="pct"/>
                  <w:tcBorders>
                    <w:left w:val="single" w:color="auto" w:sz="4" w:space="0"/>
                    <w:right w:val="single" w:color="auto" w:sz="4" w:space="0"/>
                  </w:tcBorders>
                  <w:noWrap w:val="0"/>
                  <w:vAlign w:val="center"/>
                </w:tcPr>
                <w:p w14:paraId="7D21312F">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53</w:t>
                  </w:r>
                </w:p>
              </w:tc>
              <w:tc>
                <w:tcPr>
                  <w:tcW w:w="439" w:type="pct"/>
                  <w:tcBorders>
                    <w:left w:val="single" w:color="auto" w:sz="4" w:space="0"/>
                  </w:tcBorders>
                  <w:noWrap w:val="0"/>
                  <w:vAlign w:val="center"/>
                </w:tcPr>
                <w:p w14:paraId="346B28F6">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cs="Times New Roman"/>
                      <w:color w:val="auto"/>
                      <w:lang w:val="en-US" w:eastAsia="zh-CN"/>
                    </w:rPr>
                    <w:t>43</w:t>
                  </w:r>
                </w:p>
              </w:tc>
              <w:tc>
                <w:tcPr>
                  <w:tcW w:w="645" w:type="pct"/>
                  <w:vMerge w:val="continue"/>
                  <w:noWrap w:val="0"/>
                  <w:vAlign w:val="center"/>
                </w:tcPr>
                <w:p w14:paraId="3B82BEB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423" w:type="pct"/>
                  <w:noWrap w:val="0"/>
                  <w:vAlign w:val="center"/>
                </w:tcPr>
                <w:p w14:paraId="54DCCBF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达标</w:t>
                  </w:r>
                </w:p>
              </w:tc>
            </w:tr>
            <w:tr w14:paraId="16564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0" w:type="pct"/>
                  <w:noWrap w:val="0"/>
                  <w:vAlign w:val="center"/>
                </w:tcPr>
                <w:p w14:paraId="646DEA7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szCs w:val="21"/>
                      <w:lang w:val="en-US" w:eastAsia="zh-CN"/>
                    </w:rPr>
                    <w:t>4</w:t>
                  </w:r>
                  <w:r>
                    <w:rPr>
                      <w:rFonts w:hint="eastAsia" w:ascii="Times New Roman" w:hAnsi="Times New Roman" w:cs="Times New Roman"/>
                      <w:color w:val="auto"/>
                      <w:szCs w:val="21"/>
                    </w:rPr>
                    <w:t>#</w:t>
                  </w:r>
                </w:p>
              </w:tc>
              <w:tc>
                <w:tcPr>
                  <w:tcW w:w="744" w:type="pct"/>
                  <w:noWrap w:val="0"/>
                  <w:vAlign w:val="center"/>
                </w:tcPr>
                <w:p w14:paraId="785D304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Cs w:val="21"/>
                    </w:rPr>
                  </w:pPr>
                  <w:r>
                    <w:rPr>
                      <w:rFonts w:hint="eastAsia"/>
                      <w:color w:val="auto"/>
                      <w:sz w:val="21"/>
                      <w:szCs w:val="21"/>
                      <w:lang w:val="en-US" w:eastAsia="zh-CN"/>
                    </w:rPr>
                    <w:t>松垭子散居农户</w:t>
                  </w:r>
                </w:p>
              </w:tc>
              <w:tc>
                <w:tcPr>
                  <w:tcW w:w="444" w:type="pct"/>
                  <w:tcBorders>
                    <w:right w:val="single" w:color="auto" w:sz="4" w:space="0"/>
                  </w:tcBorders>
                  <w:noWrap w:val="0"/>
                  <w:vAlign w:val="center"/>
                </w:tcPr>
                <w:p w14:paraId="4FE03930">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52</w:t>
                  </w:r>
                </w:p>
              </w:tc>
              <w:tc>
                <w:tcPr>
                  <w:tcW w:w="444" w:type="pct"/>
                  <w:tcBorders>
                    <w:left w:val="single" w:color="auto" w:sz="4" w:space="0"/>
                  </w:tcBorders>
                  <w:noWrap w:val="0"/>
                  <w:vAlign w:val="center"/>
                </w:tcPr>
                <w:p w14:paraId="7CB3137B">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42</w:t>
                  </w:r>
                </w:p>
              </w:tc>
              <w:tc>
                <w:tcPr>
                  <w:tcW w:w="444" w:type="pct"/>
                  <w:tcBorders>
                    <w:right w:val="single" w:color="auto" w:sz="4" w:space="0"/>
                  </w:tcBorders>
                  <w:noWrap w:val="0"/>
                  <w:vAlign w:val="center"/>
                </w:tcPr>
                <w:p w14:paraId="6BA137ED">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54</w:t>
                  </w:r>
                </w:p>
              </w:tc>
              <w:tc>
                <w:tcPr>
                  <w:tcW w:w="443" w:type="pct"/>
                  <w:tcBorders>
                    <w:left w:val="single" w:color="auto" w:sz="4" w:space="0"/>
                    <w:right w:val="single" w:color="auto" w:sz="4" w:space="0"/>
                  </w:tcBorders>
                  <w:noWrap w:val="0"/>
                  <w:vAlign w:val="center"/>
                </w:tcPr>
                <w:p w14:paraId="686753B1">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rPr>
                  </w:pPr>
                  <w:r>
                    <w:rPr>
                      <w:rFonts w:hint="eastAsia" w:ascii="Times New Roman" w:hAnsi="Times New Roman" w:eastAsia="宋体" w:cs="Times New Roman"/>
                      <w:color w:val="auto"/>
                      <w:kern w:val="2"/>
                      <w:sz w:val="21"/>
                      <w:szCs w:val="21"/>
                      <w:highlight w:val="none"/>
                      <w:lang w:val="en-US" w:eastAsia="zh-CN" w:bidi="ar-SA"/>
                    </w:rPr>
                    <w:t>42</w:t>
                  </w:r>
                </w:p>
              </w:tc>
              <w:tc>
                <w:tcPr>
                  <w:tcW w:w="450" w:type="pct"/>
                  <w:tcBorders>
                    <w:left w:val="single" w:color="auto" w:sz="4" w:space="0"/>
                    <w:right w:val="single" w:color="auto" w:sz="4" w:space="0"/>
                  </w:tcBorders>
                  <w:noWrap w:val="0"/>
                  <w:vAlign w:val="center"/>
                </w:tcPr>
                <w:p w14:paraId="2425E1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53</w:t>
                  </w:r>
                </w:p>
              </w:tc>
              <w:tc>
                <w:tcPr>
                  <w:tcW w:w="439" w:type="pct"/>
                  <w:tcBorders>
                    <w:left w:val="single" w:color="auto" w:sz="4" w:space="0"/>
                  </w:tcBorders>
                  <w:noWrap w:val="0"/>
                  <w:vAlign w:val="center"/>
                </w:tcPr>
                <w:p w14:paraId="2D28DD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42</w:t>
                  </w:r>
                </w:p>
              </w:tc>
              <w:tc>
                <w:tcPr>
                  <w:tcW w:w="645" w:type="pct"/>
                  <w:vMerge w:val="continue"/>
                  <w:noWrap w:val="0"/>
                  <w:vAlign w:val="center"/>
                </w:tcPr>
                <w:p w14:paraId="75750DA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23" w:type="pct"/>
                  <w:noWrap w:val="0"/>
                  <w:vAlign w:val="center"/>
                </w:tcPr>
                <w:p w14:paraId="23FFBBD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达标</w:t>
                  </w:r>
                </w:p>
              </w:tc>
            </w:tr>
          </w:tbl>
          <w:p w14:paraId="20D207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由声环境现状</w:t>
            </w:r>
            <w:r>
              <w:rPr>
                <w:rFonts w:hint="default" w:ascii="Times New Roman" w:hAnsi="Times New Roman" w:cs="Times New Roman"/>
                <w:bCs/>
                <w:color w:val="auto"/>
                <w:sz w:val="24"/>
              </w:rPr>
              <w:t>监测结果可知，井场周围敏感点声环境质量均可以满足《声环境质量标准》（GB</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3096-2008）中2类标准要求，项目区域声环境质量良好。</w:t>
            </w:r>
          </w:p>
          <w:p w14:paraId="4D185613">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（4）地下水环境质量</w:t>
            </w:r>
          </w:p>
          <w:p w14:paraId="2140FEA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根据《建设项目环境影响报告表编制技术指南（生态影响类）</w:t>
            </w:r>
            <w:r>
              <w:rPr>
                <w:rFonts w:hint="eastAsia" w:ascii="Times New Roman" w:hAnsi="Times New Roman" w:eastAsia="宋体" w:cs="Times New Roman"/>
                <w:bCs/>
                <w:color w:val="auto"/>
                <w:sz w:val="24"/>
                <w:lang w:eastAsia="zh-CN"/>
              </w:rPr>
              <w:t>（试行）》</w:t>
            </w:r>
            <w:r>
              <w:rPr>
                <w:rFonts w:hint="eastAsia" w:ascii="Times New Roman" w:hAnsi="Times New Roman" w:eastAsia="宋体" w:cs="Times New Roman"/>
                <w:bCs/>
                <w:color w:val="auto"/>
                <w:sz w:val="24"/>
              </w:rPr>
              <w:t>，本项目应开展地下水专项评价，开展专项评价的环境要素，应按照环境影响评价相关技术导则要求进行现状调查和评价，本项目依据《环境影响评价技术导则 地下水环境》（HJ</w:t>
            </w:r>
            <w:r>
              <w:rPr>
                <w:rFonts w:hint="eastAsia" w:ascii="Times New Roman" w:hAnsi="Times New Roman" w:eastAsia="宋体" w:cs="Times New Roman"/>
                <w:bCs/>
                <w:color w:val="auto"/>
                <w:sz w:val="24"/>
                <w:lang w:val="en-US" w:eastAsia="zh-CN"/>
              </w:rPr>
              <w:t xml:space="preserve"> </w:t>
            </w:r>
            <w:r>
              <w:rPr>
                <w:rFonts w:hint="eastAsia" w:ascii="Times New Roman" w:hAnsi="Times New Roman" w:eastAsia="宋体" w:cs="Times New Roman"/>
                <w:bCs/>
                <w:color w:val="auto"/>
                <w:sz w:val="24"/>
              </w:rPr>
              <w:t>610-2016）判定本项目地下水评价等级为二级。</w:t>
            </w:r>
          </w:p>
          <w:p w14:paraId="306A1B9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1）监测布点</w:t>
            </w:r>
          </w:p>
          <w:p w14:paraId="423D48B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本次环评共设10个地下水水位监测点和5个地下水水质监测点</w:t>
            </w:r>
            <w:r>
              <w:rPr>
                <w:rFonts w:hint="eastAsia" w:ascii="Times New Roman" w:hAnsi="Times New Roman" w:eastAsia="宋体" w:cs="Times New Roman"/>
                <w:bCs/>
                <w:color w:val="auto"/>
                <w:sz w:val="24"/>
                <w:lang w:val="en-US" w:eastAsia="zh-CN"/>
              </w:rPr>
              <w:t>，</w:t>
            </w:r>
            <w:r>
              <w:rPr>
                <w:rFonts w:hint="eastAsia" w:ascii="Times New Roman" w:hAnsi="Times New Roman" w:eastAsia="宋体" w:cs="Times New Roman"/>
                <w:bCs/>
                <w:color w:val="auto"/>
                <w:sz w:val="24"/>
              </w:rPr>
              <w:t>监测布点</w:t>
            </w:r>
            <w:r>
              <w:rPr>
                <w:rFonts w:hint="eastAsia" w:ascii="Times New Roman" w:hAnsi="Times New Roman" w:eastAsia="宋体" w:cs="Times New Roman"/>
                <w:bCs/>
                <w:color w:val="auto"/>
                <w:sz w:val="24"/>
                <w:lang w:val="en-US" w:eastAsia="zh-CN"/>
              </w:rPr>
              <w:t>位置如下表所示</w:t>
            </w:r>
            <w:r>
              <w:rPr>
                <w:rFonts w:hint="eastAsia" w:ascii="Times New Roman" w:hAnsi="Times New Roman" w:eastAsia="宋体" w:cs="Times New Roman"/>
                <w:bCs/>
                <w:color w:val="auto"/>
                <w:sz w:val="24"/>
              </w:rPr>
              <w:t>。</w:t>
            </w:r>
          </w:p>
          <w:p w14:paraId="32EB7F1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lang w:val="en-US" w:eastAsia="zh-CN"/>
              </w:rPr>
              <w:t>地下水环境监测点位分布表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512"/>
              <w:gridCol w:w="2504"/>
              <w:gridCol w:w="1559"/>
            </w:tblGrid>
            <w:tr w14:paraId="6129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56" w:type="pct"/>
                  <w:noWrap w:val="0"/>
                  <w:vAlign w:val="center"/>
                </w:tcPr>
                <w:p w14:paraId="4C74E2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编号</w:t>
                  </w:r>
                </w:p>
              </w:tc>
              <w:tc>
                <w:tcPr>
                  <w:tcW w:w="1659" w:type="pct"/>
                  <w:noWrap w:val="0"/>
                  <w:vAlign w:val="center"/>
                </w:tcPr>
                <w:p w14:paraId="4F4400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监测点位置</w:t>
                  </w:r>
                </w:p>
              </w:tc>
              <w:tc>
                <w:tcPr>
                  <w:tcW w:w="1654" w:type="pct"/>
                  <w:noWrap w:val="0"/>
                  <w:vAlign w:val="center"/>
                </w:tcPr>
                <w:p w14:paraId="64A117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与地下水流向相对方位</w:t>
                  </w:r>
                </w:p>
              </w:tc>
              <w:tc>
                <w:tcPr>
                  <w:tcW w:w="1029" w:type="pct"/>
                  <w:noWrap w:val="0"/>
                  <w:vAlign w:val="center"/>
                </w:tcPr>
                <w:p w14:paraId="625D44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监测项</w:t>
                  </w:r>
                </w:p>
              </w:tc>
            </w:tr>
            <w:tr w14:paraId="462C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2CC49B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1#</w:t>
                  </w:r>
                </w:p>
              </w:tc>
              <w:tc>
                <w:tcPr>
                  <w:tcW w:w="1659" w:type="pct"/>
                  <w:shd w:val="clear" w:color="auto" w:fill="auto"/>
                  <w:noWrap w:val="0"/>
                  <w:vAlign w:val="center"/>
                </w:tcPr>
                <w:p w14:paraId="1DC840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highlight w:val="none"/>
                      <w:lang w:val="en-US" w:eastAsia="zh-CN"/>
                    </w:rPr>
                    <w:t>项目所在地东侧</w:t>
                  </w:r>
                </w:p>
              </w:tc>
              <w:tc>
                <w:tcPr>
                  <w:tcW w:w="1654" w:type="pct"/>
                  <w:noWrap w:val="0"/>
                  <w:vAlign w:val="center"/>
                </w:tcPr>
                <w:p w14:paraId="71F4503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右侧</w:t>
                  </w:r>
                </w:p>
              </w:tc>
              <w:tc>
                <w:tcPr>
                  <w:tcW w:w="1029" w:type="pct"/>
                  <w:vMerge w:val="restart"/>
                  <w:noWrap w:val="0"/>
                  <w:vAlign w:val="center"/>
                </w:tcPr>
                <w:p w14:paraId="3395037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水质、水位</w:t>
                  </w:r>
                </w:p>
              </w:tc>
            </w:tr>
            <w:tr w14:paraId="67E9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7F37ADB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2#</w:t>
                  </w:r>
                </w:p>
              </w:tc>
              <w:tc>
                <w:tcPr>
                  <w:tcW w:w="1659" w:type="pct"/>
                  <w:shd w:val="clear" w:color="auto" w:fill="auto"/>
                  <w:noWrap w:val="0"/>
                  <w:vAlign w:val="center"/>
                </w:tcPr>
                <w:p w14:paraId="3CA25D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highlight w:val="none"/>
                      <w:lang w:val="en-US" w:eastAsia="zh-CN"/>
                    </w:rPr>
                    <w:t>项目所在地北侧</w:t>
                  </w:r>
                </w:p>
              </w:tc>
              <w:tc>
                <w:tcPr>
                  <w:tcW w:w="1654" w:type="pct"/>
                  <w:noWrap w:val="0"/>
                  <w:vAlign w:val="center"/>
                </w:tcPr>
                <w:p w14:paraId="3E8493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上游</w:t>
                  </w:r>
                </w:p>
              </w:tc>
              <w:tc>
                <w:tcPr>
                  <w:tcW w:w="1029" w:type="pct"/>
                  <w:vMerge w:val="continue"/>
                  <w:noWrap w:val="0"/>
                  <w:vAlign w:val="center"/>
                </w:tcPr>
                <w:p w14:paraId="41506A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4133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03291F6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3#</w:t>
                  </w:r>
                </w:p>
              </w:tc>
              <w:tc>
                <w:tcPr>
                  <w:tcW w:w="1659" w:type="pct"/>
                  <w:shd w:val="clear" w:color="auto" w:fill="auto"/>
                  <w:noWrap w:val="0"/>
                  <w:vAlign w:val="center"/>
                </w:tcPr>
                <w:p w14:paraId="1EAE4B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highlight w:val="none"/>
                      <w:lang w:val="en-US" w:eastAsia="zh-CN"/>
                    </w:rPr>
                    <w:t>项目所在地</w:t>
                  </w:r>
                </w:p>
              </w:tc>
              <w:tc>
                <w:tcPr>
                  <w:tcW w:w="1654" w:type="pct"/>
                  <w:noWrap w:val="0"/>
                  <w:vAlign w:val="center"/>
                </w:tcPr>
                <w:p w14:paraId="6B89EB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w:t>
                  </w:r>
                </w:p>
              </w:tc>
              <w:tc>
                <w:tcPr>
                  <w:tcW w:w="1029" w:type="pct"/>
                  <w:vMerge w:val="continue"/>
                  <w:noWrap w:val="0"/>
                  <w:vAlign w:val="center"/>
                </w:tcPr>
                <w:p w14:paraId="586CAE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32B7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54E5691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4#</w:t>
                  </w:r>
                </w:p>
              </w:tc>
              <w:tc>
                <w:tcPr>
                  <w:tcW w:w="1659" w:type="pct"/>
                  <w:shd w:val="clear" w:color="auto" w:fill="auto"/>
                  <w:noWrap w:val="0"/>
                  <w:vAlign w:val="center"/>
                </w:tcPr>
                <w:p w14:paraId="6724B9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highlight w:val="none"/>
                      <w:lang w:val="en-US" w:eastAsia="zh-CN"/>
                    </w:rPr>
                    <w:t>项目所在地西侧</w:t>
                  </w:r>
                </w:p>
              </w:tc>
              <w:tc>
                <w:tcPr>
                  <w:tcW w:w="1654" w:type="pct"/>
                  <w:noWrap w:val="0"/>
                  <w:vAlign w:val="center"/>
                </w:tcPr>
                <w:p w14:paraId="5E874BA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左侧</w:t>
                  </w:r>
                </w:p>
              </w:tc>
              <w:tc>
                <w:tcPr>
                  <w:tcW w:w="1029" w:type="pct"/>
                  <w:vMerge w:val="continue"/>
                  <w:noWrap w:val="0"/>
                  <w:vAlign w:val="center"/>
                </w:tcPr>
                <w:p w14:paraId="621B2C1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583F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29ACE33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5#</w:t>
                  </w:r>
                </w:p>
              </w:tc>
              <w:tc>
                <w:tcPr>
                  <w:tcW w:w="1659" w:type="pct"/>
                  <w:shd w:val="clear" w:color="auto" w:fill="auto"/>
                  <w:noWrap w:val="0"/>
                  <w:vAlign w:val="center"/>
                </w:tcPr>
                <w:p w14:paraId="7FF06E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color w:val="auto"/>
                      <w:sz w:val="21"/>
                      <w:szCs w:val="21"/>
                      <w:highlight w:val="none"/>
                      <w:lang w:val="en-US" w:eastAsia="zh-CN"/>
                    </w:rPr>
                    <w:t>项目所在地南侧</w:t>
                  </w:r>
                </w:p>
              </w:tc>
              <w:tc>
                <w:tcPr>
                  <w:tcW w:w="1654" w:type="pct"/>
                  <w:noWrap w:val="0"/>
                  <w:vAlign w:val="center"/>
                </w:tcPr>
                <w:p w14:paraId="0001056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7C2267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7024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62C962C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6#</w:t>
                  </w:r>
                </w:p>
              </w:tc>
              <w:tc>
                <w:tcPr>
                  <w:tcW w:w="1659" w:type="pct"/>
                  <w:shd w:val="clear" w:color="auto" w:fill="auto"/>
                  <w:noWrap w:val="0"/>
                  <w:vAlign w:val="center"/>
                </w:tcPr>
                <w:p w14:paraId="5447B2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Calibri" w:hAnsi="Times New Roman" w:eastAsia="宋体" w:cs="Times New Roman"/>
                      <w:color w:val="auto"/>
                      <w:kern w:val="0"/>
                      <w:sz w:val="21"/>
                      <w:szCs w:val="21"/>
                      <w:highlight w:val="none"/>
                      <w:lang w:val="en-US" w:eastAsia="zh-CN"/>
                    </w:rPr>
                    <w:t>项目所在地南侧</w:t>
                  </w:r>
                </w:p>
              </w:tc>
              <w:tc>
                <w:tcPr>
                  <w:tcW w:w="1654" w:type="pct"/>
                  <w:noWrap w:val="0"/>
                  <w:vAlign w:val="center"/>
                </w:tcPr>
                <w:p w14:paraId="454E1ED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下</w:t>
                  </w:r>
                  <w:r>
                    <w:rPr>
                      <w:rFonts w:hint="eastAsia" w:ascii="Times New Roman" w:hAnsi="Times New Roman" w:eastAsia="宋体" w:cs="Times New Roman"/>
                      <w:b w:val="0"/>
                      <w:bCs w:val="0"/>
                      <w:color w:val="auto"/>
                      <w:kern w:val="0"/>
                      <w:sz w:val="21"/>
                      <w:szCs w:val="21"/>
                      <w:lang w:val="en-US" w:eastAsia="zh-CN"/>
                    </w:rPr>
                    <w:t>游</w:t>
                  </w:r>
                </w:p>
              </w:tc>
              <w:tc>
                <w:tcPr>
                  <w:tcW w:w="1029" w:type="pct"/>
                  <w:vMerge w:val="restart"/>
                  <w:noWrap w:val="0"/>
                  <w:vAlign w:val="center"/>
                </w:tcPr>
                <w:p w14:paraId="76AFF2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eastAsia="宋体" w:cs="Times New Roman"/>
                      <w:b w:val="0"/>
                      <w:bCs w:val="0"/>
                      <w:color w:val="auto"/>
                      <w:kern w:val="0"/>
                      <w:sz w:val="21"/>
                      <w:szCs w:val="21"/>
                      <w:lang w:val="en-US" w:eastAsia="zh-CN"/>
                    </w:rPr>
                    <w:t>调查</w:t>
                  </w:r>
                  <w:r>
                    <w:rPr>
                      <w:rFonts w:hint="default" w:ascii="Times New Roman" w:hAnsi="Times New Roman" w:eastAsia="宋体" w:cs="Times New Roman"/>
                      <w:b w:val="0"/>
                      <w:bCs w:val="0"/>
                      <w:color w:val="auto"/>
                      <w:kern w:val="0"/>
                      <w:sz w:val="21"/>
                      <w:szCs w:val="21"/>
                      <w:lang w:val="en-US" w:eastAsia="zh-CN"/>
                    </w:rPr>
                    <w:t>水位</w:t>
                  </w:r>
                </w:p>
              </w:tc>
            </w:tr>
            <w:tr w14:paraId="37C7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0AE1C26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7#</w:t>
                  </w:r>
                </w:p>
              </w:tc>
              <w:tc>
                <w:tcPr>
                  <w:tcW w:w="1659" w:type="pct"/>
                  <w:shd w:val="clear" w:color="auto" w:fill="auto"/>
                  <w:noWrap w:val="0"/>
                  <w:vAlign w:val="center"/>
                </w:tcPr>
                <w:p w14:paraId="6CDEB8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Calibri" w:hAnsi="Times New Roman" w:eastAsia="宋体" w:cs="Times New Roman"/>
                      <w:color w:val="auto"/>
                      <w:kern w:val="0"/>
                      <w:sz w:val="21"/>
                      <w:szCs w:val="21"/>
                      <w:highlight w:val="none"/>
                      <w:lang w:val="en-US" w:eastAsia="zh-CN"/>
                    </w:rPr>
                    <w:t>项目所在地东侧</w:t>
                  </w:r>
                </w:p>
              </w:tc>
              <w:tc>
                <w:tcPr>
                  <w:tcW w:w="1654" w:type="pct"/>
                  <w:noWrap w:val="0"/>
                  <w:vAlign w:val="center"/>
                </w:tcPr>
                <w:p w14:paraId="13D3D07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右侧</w:t>
                  </w:r>
                </w:p>
              </w:tc>
              <w:tc>
                <w:tcPr>
                  <w:tcW w:w="1029" w:type="pct"/>
                  <w:vMerge w:val="continue"/>
                  <w:noWrap w:val="0"/>
                  <w:vAlign w:val="center"/>
                </w:tcPr>
                <w:p w14:paraId="412240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5228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23D450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8#</w:t>
                  </w:r>
                </w:p>
              </w:tc>
              <w:tc>
                <w:tcPr>
                  <w:tcW w:w="1659" w:type="pct"/>
                  <w:shd w:val="clear" w:color="auto" w:fill="auto"/>
                  <w:noWrap w:val="0"/>
                  <w:vAlign w:val="center"/>
                </w:tcPr>
                <w:p w14:paraId="3EA206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Calibri" w:hAnsi="Times New Roman" w:eastAsia="宋体" w:cs="Times New Roman"/>
                      <w:color w:val="auto"/>
                      <w:kern w:val="0"/>
                      <w:sz w:val="21"/>
                      <w:szCs w:val="21"/>
                      <w:highlight w:val="none"/>
                      <w:lang w:val="en-US" w:eastAsia="zh-CN"/>
                    </w:rPr>
                    <w:t>项目所在地东北侧</w:t>
                  </w:r>
                </w:p>
              </w:tc>
              <w:tc>
                <w:tcPr>
                  <w:tcW w:w="1654" w:type="pct"/>
                  <w:noWrap w:val="0"/>
                  <w:vAlign w:val="center"/>
                </w:tcPr>
                <w:p w14:paraId="3556662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上游</w:t>
                  </w:r>
                </w:p>
              </w:tc>
              <w:tc>
                <w:tcPr>
                  <w:tcW w:w="1029" w:type="pct"/>
                  <w:vMerge w:val="continue"/>
                  <w:noWrap w:val="0"/>
                  <w:vAlign w:val="center"/>
                </w:tcPr>
                <w:p w14:paraId="01016E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70EE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230F370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9#</w:t>
                  </w:r>
                </w:p>
              </w:tc>
              <w:tc>
                <w:tcPr>
                  <w:tcW w:w="1659" w:type="pct"/>
                  <w:shd w:val="clear" w:color="auto" w:fill="auto"/>
                  <w:noWrap w:val="0"/>
                  <w:vAlign w:val="center"/>
                </w:tcPr>
                <w:p w14:paraId="187C0A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Calibri" w:hAnsi="Times New Roman" w:eastAsia="宋体" w:cs="Times New Roman"/>
                      <w:color w:val="auto"/>
                      <w:kern w:val="0"/>
                      <w:sz w:val="21"/>
                      <w:szCs w:val="21"/>
                      <w:highlight w:val="none"/>
                      <w:lang w:val="en-US" w:eastAsia="zh-CN"/>
                    </w:rPr>
                    <w:t>项目所在地北侧</w:t>
                  </w:r>
                </w:p>
              </w:tc>
              <w:tc>
                <w:tcPr>
                  <w:tcW w:w="1654" w:type="pct"/>
                  <w:noWrap w:val="0"/>
                  <w:vAlign w:val="center"/>
                </w:tcPr>
                <w:p w14:paraId="64DBC7DE">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上游</w:t>
                  </w:r>
                </w:p>
              </w:tc>
              <w:tc>
                <w:tcPr>
                  <w:tcW w:w="1029" w:type="pct"/>
                  <w:vMerge w:val="continue"/>
                  <w:noWrap w:val="0"/>
                  <w:vAlign w:val="center"/>
                </w:tcPr>
                <w:p w14:paraId="414A90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r w14:paraId="3372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6" w:type="pct"/>
                  <w:noWrap w:val="0"/>
                  <w:vAlign w:val="center"/>
                </w:tcPr>
                <w:p w14:paraId="3B18CDF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10#</w:t>
                  </w:r>
                </w:p>
              </w:tc>
              <w:tc>
                <w:tcPr>
                  <w:tcW w:w="1659" w:type="pct"/>
                  <w:shd w:val="clear" w:color="auto" w:fill="auto"/>
                  <w:noWrap w:val="0"/>
                  <w:vAlign w:val="center"/>
                </w:tcPr>
                <w:p w14:paraId="33B86A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Calibri" w:hAnsi="Times New Roman" w:eastAsia="宋体" w:cs="Times New Roman"/>
                      <w:color w:val="auto"/>
                      <w:kern w:val="0"/>
                      <w:sz w:val="21"/>
                      <w:szCs w:val="21"/>
                      <w:highlight w:val="none"/>
                      <w:lang w:val="en-US" w:eastAsia="zh-CN"/>
                    </w:rPr>
                    <w:t>项目所在地西侧</w:t>
                  </w:r>
                </w:p>
              </w:tc>
              <w:tc>
                <w:tcPr>
                  <w:tcW w:w="1654" w:type="pct"/>
                  <w:noWrap w:val="0"/>
                  <w:vAlign w:val="center"/>
                </w:tcPr>
                <w:p w14:paraId="1105E6D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cs="Times New Roman"/>
                      <w:b w:val="0"/>
                      <w:bCs w:val="0"/>
                      <w:color w:val="auto"/>
                      <w:kern w:val="0"/>
                      <w:sz w:val="21"/>
                      <w:szCs w:val="21"/>
                      <w:lang w:val="en-US" w:eastAsia="zh-CN"/>
                    </w:rPr>
                    <w:t>左侧</w:t>
                  </w:r>
                </w:p>
              </w:tc>
              <w:tc>
                <w:tcPr>
                  <w:tcW w:w="1029" w:type="pct"/>
                  <w:vMerge w:val="continue"/>
                  <w:noWrap w:val="0"/>
                  <w:vAlign w:val="center"/>
                </w:tcPr>
                <w:p w14:paraId="66C4E8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lang w:val="en-US" w:eastAsia="zh-CN"/>
                    </w:rPr>
                  </w:pPr>
                </w:p>
              </w:tc>
            </w:tr>
          </w:tbl>
          <w:p w14:paraId="6D0765B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2）监测因子</w:t>
            </w:r>
          </w:p>
          <w:p w14:paraId="30D1867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lang w:val="en-US" w:eastAsia="zh-CN"/>
              </w:rPr>
            </w:pPr>
            <w:r>
              <w:rPr>
                <w:rFonts w:hint="default" w:ascii="Times New Roman" w:hAnsi="Times New Roman" w:eastAsia="宋体" w:cs="Times New Roman"/>
                <w:b w:val="0"/>
                <w:bCs w:val="0"/>
                <w:color w:val="auto"/>
                <w:sz w:val="24"/>
                <w:szCs w:val="24"/>
              </w:rPr>
              <w:t>pH</w:t>
            </w:r>
            <w:r>
              <w:rPr>
                <w:rFonts w:hint="eastAsia" w:ascii="Times New Roman" w:hAnsi="Times New Roman" w:eastAsia="宋体" w:cs="Times New Roman"/>
                <w:b w:val="0"/>
                <w:bCs w:val="0"/>
                <w:color w:val="auto"/>
                <w:sz w:val="24"/>
                <w:szCs w:val="24"/>
              </w:rPr>
              <w:t>、K</w:t>
            </w:r>
            <w:r>
              <w:rPr>
                <w:rFonts w:hint="default" w:ascii="Times New Roman" w:hAnsi="Times New Roman" w:eastAsia="宋体" w:cs="Times New Roman"/>
                <w:b w:val="0"/>
                <w:bCs w:val="0"/>
                <w:color w:val="auto"/>
                <w:sz w:val="24"/>
                <w:szCs w:val="24"/>
                <w:vertAlign w:val="superscript"/>
              </w:rPr>
              <w:t>+</w:t>
            </w:r>
            <w:r>
              <w:rPr>
                <w:rFonts w:hint="eastAsia" w:ascii="Times New Roman" w:hAnsi="Times New Roman" w:eastAsia="宋体" w:cs="Times New Roman"/>
                <w:b w:val="0"/>
                <w:bCs w:val="0"/>
                <w:color w:val="auto"/>
                <w:sz w:val="24"/>
                <w:szCs w:val="24"/>
              </w:rPr>
              <w:t>、N</w:t>
            </w:r>
            <w:r>
              <w:rPr>
                <w:rFonts w:hint="default" w:ascii="Times New Roman" w:hAnsi="Times New Roman" w:eastAsia="宋体" w:cs="Times New Roman"/>
                <w:b w:val="0"/>
                <w:bCs w:val="0"/>
                <w:color w:val="auto"/>
                <w:sz w:val="24"/>
                <w:szCs w:val="24"/>
              </w:rPr>
              <w:t>a</w:t>
            </w:r>
            <w:r>
              <w:rPr>
                <w:rFonts w:hint="default" w:ascii="Times New Roman" w:hAnsi="Times New Roman" w:eastAsia="宋体" w:cs="Times New Roman"/>
                <w:b w:val="0"/>
                <w:bCs w:val="0"/>
                <w:color w:val="auto"/>
                <w:sz w:val="24"/>
                <w:szCs w:val="24"/>
                <w:vertAlign w:val="superscript"/>
              </w:rPr>
              <w:t>+</w:t>
            </w:r>
            <w:r>
              <w:rPr>
                <w:rFonts w:hint="eastAsia"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rPr>
              <w:t>C</w:t>
            </w:r>
            <w:r>
              <w:rPr>
                <w:rFonts w:hint="eastAsia" w:ascii="Times New Roman" w:hAnsi="Times New Roman" w:eastAsia="宋体" w:cs="Times New Roman"/>
                <w:b w:val="0"/>
                <w:bCs w:val="0"/>
                <w:color w:val="auto"/>
                <w:sz w:val="24"/>
                <w:szCs w:val="24"/>
              </w:rPr>
              <w:t>a</w:t>
            </w:r>
            <w:r>
              <w:rPr>
                <w:rFonts w:hint="default" w:ascii="Times New Roman" w:hAnsi="Times New Roman" w:eastAsia="宋体" w:cs="Times New Roman"/>
                <w:b w:val="0"/>
                <w:bCs w:val="0"/>
                <w:color w:val="auto"/>
                <w:sz w:val="24"/>
                <w:szCs w:val="24"/>
                <w:vertAlign w:val="superscript"/>
              </w:rPr>
              <w:t>2+</w:t>
            </w:r>
            <w:r>
              <w:rPr>
                <w:rFonts w:hint="eastAsia" w:ascii="Times New Roman" w:hAnsi="Times New Roman" w:eastAsia="宋体" w:cs="Times New Roman"/>
                <w:b w:val="0"/>
                <w:bCs w:val="0"/>
                <w:color w:val="auto"/>
                <w:sz w:val="24"/>
                <w:szCs w:val="24"/>
              </w:rPr>
              <w:t>、M</w:t>
            </w:r>
            <w:r>
              <w:rPr>
                <w:rFonts w:hint="default" w:ascii="Times New Roman" w:hAnsi="Times New Roman" w:eastAsia="宋体" w:cs="Times New Roman"/>
                <w:b w:val="0"/>
                <w:bCs w:val="0"/>
                <w:color w:val="auto"/>
                <w:sz w:val="24"/>
                <w:szCs w:val="24"/>
              </w:rPr>
              <w:t>g</w:t>
            </w:r>
            <w:r>
              <w:rPr>
                <w:rFonts w:hint="default" w:ascii="Times New Roman" w:hAnsi="Times New Roman" w:eastAsia="宋体" w:cs="Times New Roman"/>
                <w:b w:val="0"/>
                <w:bCs w:val="0"/>
                <w:color w:val="auto"/>
                <w:sz w:val="24"/>
                <w:szCs w:val="24"/>
                <w:vertAlign w:val="superscript"/>
              </w:rPr>
              <w:t>2+</w:t>
            </w:r>
            <w:r>
              <w:rPr>
                <w:rFonts w:hint="eastAsia" w:ascii="Times New Roman" w:hAnsi="Times New Roman" w:eastAsia="宋体" w:cs="Times New Roman"/>
                <w:b w:val="0"/>
                <w:bCs w:val="0"/>
                <w:color w:val="auto"/>
                <w:sz w:val="24"/>
                <w:szCs w:val="24"/>
              </w:rPr>
              <w:t>、C</w:t>
            </w:r>
            <w:r>
              <w:rPr>
                <w:rFonts w:hint="default" w:ascii="Times New Roman" w:hAnsi="Times New Roman" w:eastAsia="宋体" w:cs="Times New Roman"/>
                <w:b w:val="0"/>
                <w:bCs w:val="0"/>
                <w:color w:val="auto"/>
                <w:sz w:val="24"/>
                <w:szCs w:val="24"/>
              </w:rPr>
              <w:t>O</w:t>
            </w:r>
            <w:r>
              <w:rPr>
                <w:rFonts w:hint="default" w:ascii="Times New Roman" w:hAnsi="Times New Roman" w:eastAsia="宋体" w:cs="Times New Roman"/>
                <w:b w:val="0"/>
                <w:bCs w:val="0"/>
                <w:color w:val="auto"/>
                <w:sz w:val="24"/>
                <w:szCs w:val="24"/>
                <w:vertAlign w:val="subscript"/>
              </w:rPr>
              <w:t>3</w:t>
            </w:r>
            <w:r>
              <w:rPr>
                <w:rFonts w:hint="default" w:ascii="Times New Roman" w:hAnsi="Times New Roman" w:eastAsia="宋体" w:cs="Times New Roman"/>
                <w:b w:val="0"/>
                <w:bCs w:val="0"/>
                <w:color w:val="auto"/>
                <w:sz w:val="24"/>
                <w:szCs w:val="24"/>
                <w:vertAlign w:val="superscript"/>
              </w:rPr>
              <w:t>2-</w:t>
            </w:r>
            <w:r>
              <w:rPr>
                <w:rFonts w:hint="eastAsia" w:ascii="Times New Roman" w:hAnsi="Times New Roman" w:eastAsia="宋体" w:cs="Times New Roman"/>
                <w:b w:val="0"/>
                <w:bCs w:val="0"/>
                <w:color w:val="auto"/>
                <w:sz w:val="24"/>
                <w:szCs w:val="24"/>
              </w:rPr>
              <w:t>、H</w:t>
            </w:r>
            <w:r>
              <w:rPr>
                <w:rFonts w:hint="default" w:ascii="Times New Roman" w:hAnsi="Times New Roman" w:eastAsia="宋体" w:cs="Times New Roman"/>
                <w:b w:val="0"/>
                <w:bCs w:val="0"/>
                <w:color w:val="auto"/>
                <w:sz w:val="24"/>
                <w:szCs w:val="24"/>
              </w:rPr>
              <w:t>CO</w:t>
            </w:r>
            <w:r>
              <w:rPr>
                <w:rFonts w:hint="default" w:ascii="Times New Roman" w:hAnsi="Times New Roman" w:eastAsia="宋体" w:cs="Times New Roman"/>
                <w:b w:val="0"/>
                <w:bCs w:val="0"/>
                <w:color w:val="auto"/>
                <w:sz w:val="24"/>
                <w:szCs w:val="24"/>
                <w:vertAlign w:val="subscript"/>
              </w:rPr>
              <w:t>3</w:t>
            </w:r>
            <w:r>
              <w:rPr>
                <w:rFonts w:hint="default" w:ascii="Times New Roman" w:hAnsi="Times New Roman" w:eastAsia="宋体" w:cs="Times New Roman"/>
                <w:b w:val="0"/>
                <w:bCs w:val="0"/>
                <w:color w:val="auto"/>
                <w:sz w:val="24"/>
                <w:szCs w:val="24"/>
                <w:vertAlign w:val="superscript"/>
              </w:rPr>
              <w:t>-</w:t>
            </w:r>
            <w:r>
              <w:rPr>
                <w:rFonts w:hint="eastAsia" w:ascii="Times New Roman" w:hAnsi="Times New Roman" w:eastAsia="宋体" w:cs="Times New Roman"/>
                <w:b w:val="0"/>
                <w:bCs w:val="0"/>
                <w:color w:val="auto"/>
                <w:sz w:val="24"/>
                <w:szCs w:val="24"/>
              </w:rPr>
              <w:t>、C</w:t>
            </w:r>
            <w:r>
              <w:rPr>
                <w:rFonts w:hint="default" w:ascii="Times New Roman" w:hAnsi="Times New Roman" w:eastAsia="宋体" w:cs="Times New Roman"/>
                <w:b w:val="0"/>
                <w:bCs w:val="0"/>
                <w:color w:val="auto"/>
                <w:sz w:val="24"/>
                <w:szCs w:val="24"/>
              </w:rPr>
              <w:t>l</w:t>
            </w:r>
            <w:r>
              <w:rPr>
                <w:rFonts w:hint="default" w:ascii="Times New Roman" w:hAnsi="Times New Roman" w:eastAsia="宋体" w:cs="Times New Roman"/>
                <w:b w:val="0"/>
                <w:bCs w:val="0"/>
                <w:color w:val="auto"/>
                <w:sz w:val="24"/>
                <w:szCs w:val="24"/>
                <w:vertAlign w:val="superscript"/>
              </w:rPr>
              <w:t>-</w:t>
            </w:r>
            <w:r>
              <w:rPr>
                <w:rFonts w:hint="eastAsia" w:ascii="Times New Roman" w:hAnsi="Times New Roman" w:eastAsia="宋体" w:cs="Times New Roman"/>
                <w:b w:val="0"/>
                <w:bCs w:val="0"/>
                <w:color w:val="auto"/>
                <w:sz w:val="24"/>
                <w:szCs w:val="24"/>
              </w:rPr>
              <w:t>、S</w:t>
            </w:r>
            <w:r>
              <w:rPr>
                <w:rFonts w:hint="default" w:ascii="Times New Roman" w:hAnsi="Times New Roman" w:eastAsia="宋体" w:cs="Times New Roman"/>
                <w:b w:val="0"/>
                <w:bCs w:val="0"/>
                <w:color w:val="auto"/>
                <w:sz w:val="24"/>
                <w:szCs w:val="24"/>
              </w:rPr>
              <w:t>O</w:t>
            </w:r>
            <w:r>
              <w:rPr>
                <w:rFonts w:hint="default" w:ascii="Times New Roman" w:hAnsi="Times New Roman" w:eastAsia="宋体" w:cs="Times New Roman"/>
                <w:b w:val="0"/>
                <w:bCs w:val="0"/>
                <w:color w:val="auto"/>
                <w:sz w:val="24"/>
                <w:szCs w:val="24"/>
                <w:vertAlign w:val="subscript"/>
              </w:rPr>
              <w:t>4</w:t>
            </w:r>
            <w:r>
              <w:rPr>
                <w:rFonts w:hint="default" w:ascii="Times New Roman" w:hAnsi="Times New Roman" w:eastAsia="宋体" w:cs="Times New Roman"/>
                <w:b w:val="0"/>
                <w:bCs w:val="0"/>
                <w:color w:val="auto"/>
                <w:sz w:val="24"/>
                <w:szCs w:val="24"/>
                <w:vertAlign w:val="superscript"/>
              </w:rPr>
              <w:t>2-</w:t>
            </w:r>
            <w:r>
              <w:rPr>
                <w:rFonts w:hint="eastAsia" w:ascii="Times New Roman" w:hAnsi="Times New Roman" w:eastAsia="宋体" w:cs="Times New Roman"/>
                <w:b w:val="0"/>
                <w:bCs w:val="0"/>
                <w:color w:val="auto"/>
                <w:sz w:val="24"/>
                <w:szCs w:val="24"/>
              </w:rPr>
              <w:t>、溶解性总固体、总硬度、氨氮、硝酸盐、亚硝酸盐、耗氧量、挥发性酚类、铁、锰、氰化物、氟化物、Pb、A</w:t>
            </w:r>
            <w:r>
              <w:rPr>
                <w:rFonts w:hint="default" w:ascii="Times New Roman" w:hAnsi="Times New Roman" w:eastAsia="宋体" w:cs="Times New Roman"/>
                <w:b w:val="0"/>
                <w:bCs w:val="0"/>
                <w:color w:val="auto"/>
                <w:sz w:val="24"/>
                <w:szCs w:val="24"/>
              </w:rPr>
              <w:t>s</w:t>
            </w:r>
            <w:r>
              <w:rPr>
                <w:rFonts w:hint="eastAsia" w:ascii="Times New Roman" w:hAnsi="Times New Roman" w:eastAsia="宋体" w:cs="Times New Roman"/>
                <w:b w:val="0"/>
                <w:bCs w:val="0"/>
                <w:color w:val="auto"/>
                <w:sz w:val="24"/>
                <w:szCs w:val="24"/>
              </w:rPr>
              <w:t>、H</w:t>
            </w:r>
            <w:r>
              <w:rPr>
                <w:rFonts w:hint="default" w:ascii="Times New Roman" w:hAnsi="Times New Roman" w:eastAsia="宋体" w:cs="Times New Roman"/>
                <w:b w:val="0"/>
                <w:bCs w:val="0"/>
                <w:color w:val="auto"/>
                <w:sz w:val="24"/>
                <w:szCs w:val="24"/>
              </w:rPr>
              <w:t>g</w:t>
            </w:r>
            <w:r>
              <w:rPr>
                <w:rFonts w:hint="eastAsia"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rPr>
              <w:t>Cr</w:t>
            </w:r>
            <w:r>
              <w:rPr>
                <w:rFonts w:hint="default" w:ascii="Times New Roman" w:hAnsi="Times New Roman" w:eastAsia="宋体" w:cs="Times New Roman"/>
                <w:b w:val="0"/>
                <w:bCs w:val="0"/>
                <w:color w:val="auto"/>
                <w:sz w:val="24"/>
                <w:szCs w:val="24"/>
                <w:vertAlign w:val="superscript"/>
              </w:rPr>
              <w:t>6+</w:t>
            </w:r>
            <w:r>
              <w:rPr>
                <w:rFonts w:hint="default" w:ascii="Times New Roman" w:hAnsi="Times New Roman" w:eastAsia="宋体" w:cs="Times New Roman"/>
                <w:b w:val="0"/>
                <w:bCs w:val="0"/>
                <w:color w:val="auto"/>
                <w:sz w:val="24"/>
                <w:szCs w:val="24"/>
              </w:rPr>
              <w:t>、</w:t>
            </w:r>
            <w:r>
              <w:rPr>
                <w:rFonts w:hint="eastAsia" w:ascii="Times New Roman" w:hAnsi="Times New Roman" w:eastAsia="宋体" w:cs="Times New Roman"/>
                <w:b w:val="0"/>
                <w:bCs w:val="0"/>
                <w:color w:val="auto"/>
                <w:sz w:val="24"/>
                <w:szCs w:val="24"/>
              </w:rPr>
              <w:t>Cd、</w:t>
            </w:r>
            <w:r>
              <w:rPr>
                <w:rFonts w:hint="eastAsia" w:ascii="Times New Roman" w:hAnsi="Times New Roman" w:eastAsia="宋体" w:cs="Times New Roman"/>
                <w:b w:val="0"/>
                <w:bCs w:val="0"/>
                <w:color w:val="auto"/>
                <w:sz w:val="24"/>
                <w:szCs w:val="24"/>
                <w:lang w:val="en-US" w:eastAsia="zh-CN"/>
              </w:rPr>
              <w:t>钡、</w:t>
            </w:r>
            <w:r>
              <w:rPr>
                <w:rFonts w:hint="eastAsia" w:ascii="Times New Roman" w:hAnsi="Times New Roman" w:eastAsia="宋体" w:cs="Times New Roman"/>
                <w:b w:val="0"/>
                <w:bCs w:val="0"/>
                <w:color w:val="auto"/>
                <w:sz w:val="24"/>
                <w:szCs w:val="24"/>
              </w:rPr>
              <w:t>石油类、硫化物、</w:t>
            </w:r>
            <w:r>
              <w:rPr>
                <w:rFonts w:hint="eastAsia" w:ascii="Times New Roman" w:hAnsi="Times New Roman" w:eastAsia="宋体" w:cs="Times New Roman"/>
                <w:color w:val="auto"/>
                <w:sz w:val="24"/>
                <w:highlight w:val="none"/>
              </w:rPr>
              <w:t>阴离子表面活性剂</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b w:val="0"/>
                <w:bCs w:val="0"/>
                <w:color w:val="auto"/>
                <w:sz w:val="24"/>
                <w:szCs w:val="24"/>
              </w:rPr>
              <w:t>总大肠菌群、细菌总数</w:t>
            </w:r>
            <w:r>
              <w:rPr>
                <w:rFonts w:hint="eastAsia" w:ascii="Times New Roman" w:hAnsi="Times New Roman" w:eastAsia="宋体" w:cs="Times New Roman"/>
                <w:b w:val="0"/>
                <w:bCs w:val="0"/>
                <w:color w:val="auto"/>
                <w:sz w:val="24"/>
                <w:szCs w:val="24"/>
                <w:lang w:eastAsia="zh-CN"/>
              </w:rPr>
              <w:t>。</w:t>
            </w:r>
          </w:p>
          <w:p w14:paraId="2820ECD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3）监测频次</w:t>
            </w:r>
          </w:p>
          <w:p w14:paraId="1B6A7DB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监测1天，每天采样1次。</w:t>
            </w:r>
          </w:p>
          <w:p w14:paraId="0837584A">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4）监测时间</w:t>
            </w:r>
          </w:p>
          <w:p w14:paraId="65F7ADAE">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月</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日。</w:t>
            </w:r>
          </w:p>
          <w:p w14:paraId="7EE7149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5）评价标准</w:t>
            </w:r>
          </w:p>
          <w:p w14:paraId="33540449">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《地下水质量标准》（GB/T</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14848-2017）中Ⅲ类标准</w:t>
            </w:r>
            <w:r>
              <w:rPr>
                <w:rFonts w:hint="eastAsia" w:cs="Times New Roman"/>
                <w:color w:val="auto"/>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w:t>
            </w:r>
            <w:r>
              <w:rPr>
                <w:rFonts w:hint="default" w:ascii="Times New Roman" w:hAnsi="Times New Roman" w:eastAsia="宋体" w:cs="Times New Roman"/>
                <w:color w:val="auto"/>
                <w:kern w:val="0"/>
                <w:sz w:val="24"/>
                <w:szCs w:val="24"/>
                <w:highlight w:val="none"/>
              </w:rPr>
              <w:t>中的Ⅲ类标准</w:t>
            </w:r>
            <w:r>
              <w:rPr>
                <w:rFonts w:hint="default" w:ascii="Times New Roman" w:hAnsi="Times New Roman" w:eastAsia="宋体" w:cs="Times New Roman"/>
                <w:color w:val="auto"/>
                <w:sz w:val="24"/>
                <w:szCs w:val="24"/>
                <w:highlight w:val="none"/>
              </w:rPr>
              <w:t>。</w:t>
            </w:r>
          </w:p>
          <w:p w14:paraId="0F615631">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6）评价方法</w:t>
            </w:r>
          </w:p>
          <w:p w14:paraId="4282D85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根据《环境影响评价技术导则 地下水环境》（HJ</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610-2016），地下水环境质量现状评价方法采用标准指数法。</w:t>
            </w:r>
          </w:p>
          <w:p w14:paraId="6CBBCCF9">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7）监测结果</w:t>
            </w:r>
          </w:p>
          <w:p w14:paraId="54B8ABE0">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以《地下水质量标准》（GB/T</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14848-2017）中Ⅲ类水质标准作为评价依据</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w:t>
            </w:r>
            <w:r>
              <w:rPr>
                <w:rFonts w:hint="default" w:ascii="Times New Roman" w:hAnsi="Times New Roman" w:eastAsia="宋体" w:cs="Times New Roman"/>
                <w:color w:val="auto"/>
                <w:kern w:val="0"/>
                <w:sz w:val="24"/>
                <w:szCs w:val="24"/>
                <w:highlight w:val="none"/>
              </w:rPr>
              <w:t>中的Ⅲ类标准</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，水质现状监测结果见</w:t>
            </w:r>
            <w:r>
              <w:rPr>
                <w:rFonts w:hint="default" w:ascii="Times New Roman" w:hAnsi="Times New Roman" w:eastAsia="宋体"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rPr>
              <w:t>。</w:t>
            </w:r>
          </w:p>
          <w:p w14:paraId="3C0CE520">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项目区域地下水环境质量现状监测结果</w:t>
            </w:r>
          </w:p>
          <w:tbl>
            <w:tblPr>
              <w:tblStyle w:val="23"/>
              <w:tblW w:w="7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576"/>
              <w:gridCol w:w="1053"/>
              <w:gridCol w:w="814"/>
              <w:gridCol w:w="814"/>
              <w:gridCol w:w="814"/>
              <w:gridCol w:w="814"/>
              <w:gridCol w:w="818"/>
              <w:gridCol w:w="826"/>
            </w:tblGrid>
            <w:tr w14:paraId="73B3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vMerge w:val="restart"/>
                  <w:noWrap w:val="0"/>
                  <w:vAlign w:val="center"/>
                </w:tcPr>
                <w:p w14:paraId="05C488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项目</w:t>
                  </w:r>
                </w:p>
              </w:tc>
              <w:tc>
                <w:tcPr>
                  <w:tcW w:w="699" w:type="pct"/>
                  <w:vMerge w:val="restart"/>
                  <w:noWrap w:val="0"/>
                  <w:vAlign w:val="center"/>
                </w:tcPr>
                <w:p w14:paraId="6A4ADB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单位</w:t>
                  </w:r>
                </w:p>
              </w:tc>
              <w:tc>
                <w:tcPr>
                  <w:tcW w:w="2705" w:type="pct"/>
                  <w:gridSpan w:val="5"/>
                  <w:noWrap w:val="0"/>
                  <w:vAlign w:val="center"/>
                </w:tcPr>
                <w:p w14:paraId="58C516E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监测值</w:t>
                  </w:r>
                </w:p>
              </w:tc>
              <w:tc>
                <w:tcPr>
                  <w:tcW w:w="548" w:type="pct"/>
                  <w:vMerge w:val="restart"/>
                  <w:noWrap w:val="0"/>
                  <w:vAlign w:val="center"/>
                </w:tcPr>
                <w:p w14:paraId="3CD518F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eastAsia="宋体" w:cs="Times New Roman"/>
                      <w:b/>
                      <w:snapToGrid w:val="0"/>
                      <w:color w:val="auto"/>
                      <w:kern w:val="0"/>
                      <w:sz w:val="21"/>
                      <w:szCs w:val="21"/>
                      <w:highlight w:val="none"/>
                      <w:lang w:val="en-US" w:eastAsia="zh-CN"/>
                    </w:rPr>
                    <w:t>标准</w:t>
                  </w:r>
                </w:p>
                <w:p w14:paraId="305425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lang w:val="en-US" w:eastAsia="zh-CN"/>
                    </w:rPr>
                    <w:t>限值</w:t>
                  </w:r>
                </w:p>
              </w:tc>
            </w:tr>
            <w:tr w14:paraId="7FFD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vMerge w:val="continue"/>
                  <w:noWrap w:val="0"/>
                  <w:vAlign w:val="center"/>
                </w:tcPr>
                <w:p w14:paraId="49D9268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c>
                <w:tcPr>
                  <w:tcW w:w="699" w:type="pct"/>
                  <w:vMerge w:val="continue"/>
                  <w:noWrap w:val="0"/>
                  <w:vAlign w:val="center"/>
                </w:tcPr>
                <w:p w14:paraId="12018FF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c>
                <w:tcPr>
                  <w:tcW w:w="2705" w:type="pct"/>
                  <w:gridSpan w:val="5"/>
                  <w:noWrap w:val="0"/>
                  <w:vAlign w:val="center"/>
                </w:tcPr>
                <w:p w14:paraId="099EBED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lang w:val="en-US" w:eastAsia="zh-CN"/>
                    </w:rPr>
                  </w:pPr>
                  <w:r>
                    <w:rPr>
                      <w:rFonts w:hint="default" w:ascii="Times New Roman" w:hAnsi="Times New Roman" w:eastAsia="宋体" w:cs="Times New Roman"/>
                      <w:b/>
                      <w:snapToGrid w:val="0"/>
                      <w:color w:val="auto"/>
                      <w:kern w:val="0"/>
                      <w:sz w:val="21"/>
                      <w:szCs w:val="21"/>
                      <w:highlight w:val="none"/>
                    </w:rPr>
                    <w:t>202</w:t>
                  </w:r>
                  <w:r>
                    <w:rPr>
                      <w:rFonts w:hint="eastAsia" w:cs="Times New Roman"/>
                      <w:b/>
                      <w:snapToGrid w:val="0"/>
                      <w:color w:val="auto"/>
                      <w:kern w:val="0"/>
                      <w:sz w:val="21"/>
                      <w:szCs w:val="21"/>
                      <w:highlight w:val="none"/>
                      <w:lang w:val="en-US" w:eastAsia="zh-CN"/>
                    </w:rPr>
                    <w:t>6</w:t>
                  </w:r>
                  <w:r>
                    <w:rPr>
                      <w:rFonts w:hint="default" w:ascii="Times New Roman" w:hAnsi="Times New Roman" w:eastAsia="宋体" w:cs="Times New Roman"/>
                      <w:b/>
                      <w:snapToGrid w:val="0"/>
                      <w:color w:val="auto"/>
                      <w:kern w:val="0"/>
                      <w:sz w:val="21"/>
                      <w:szCs w:val="21"/>
                      <w:highlight w:val="none"/>
                    </w:rPr>
                    <w:t>年</w:t>
                  </w:r>
                  <w:r>
                    <w:rPr>
                      <w:rFonts w:hint="eastAsia" w:cs="Times New Roman"/>
                      <w:b/>
                      <w:snapToGrid w:val="0"/>
                      <w:color w:val="auto"/>
                      <w:kern w:val="0"/>
                      <w:sz w:val="21"/>
                      <w:szCs w:val="21"/>
                      <w:highlight w:val="none"/>
                      <w:lang w:val="en-US" w:eastAsia="zh-CN"/>
                    </w:rPr>
                    <w:t>7</w:t>
                  </w:r>
                  <w:r>
                    <w:rPr>
                      <w:rFonts w:hint="default" w:ascii="Times New Roman" w:hAnsi="Times New Roman" w:eastAsia="宋体" w:cs="Times New Roman"/>
                      <w:b/>
                      <w:snapToGrid w:val="0"/>
                      <w:color w:val="auto"/>
                      <w:kern w:val="0"/>
                      <w:sz w:val="21"/>
                      <w:szCs w:val="21"/>
                      <w:highlight w:val="none"/>
                    </w:rPr>
                    <w:t>月</w:t>
                  </w:r>
                  <w:r>
                    <w:rPr>
                      <w:rFonts w:hint="eastAsia" w:cs="Times New Roman"/>
                      <w:b/>
                      <w:snapToGrid w:val="0"/>
                      <w:color w:val="auto"/>
                      <w:kern w:val="0"/>
                      <w:sz w:val="21"/>
                      <w:szCs w:val="21"/>
                      <w:highlight w:val="none"/>
                      <w:lang w:val="en-US" w:eastAsia="zh-CN"/>
                    </w:rPr>
                    <w:t>6</w:t>
                  </w:r>
                  <w:r>
                    <w:rPr>
                      <w:rFonts w:hint="eastAsia" w:ascii="Times New Roman" w:hAnsi="Times New Roman" w:eastAsia="宋体" w:cs="Times New Roman"/>
                      <w:b/>
                      <w:snapToGrid w:val="0"/>
                      <w:color w:val="auto"/>
                      <w:kern w:val="0"/>
                      <w:sz w:val="21"/>
                      <w:szCs w:val="21"/>
                      <w:highlight w:val="none"/>
                      <w:lang w:val="en-US" w:eastAsia="zh-CN"/>
                    </w:rPr>
                    <w:t>日</w:t>
                  </w:r>
                </w:p>
              </w:tc>
              <w:tc>
                <w:tcPr>
                  <w:tcW w:w="548" w:type="pct"/>
                  <w:vMerge w:val="continue"/>
                  <w:noWrap w:val="0"/>
                  <w:vAlign w:val="center"/>
                </w:tcPr>
                <w:p w14:paraId="7AAFA8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r>
            <w:tr w14:paraId="0D01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vMerge w:val="continue"/>
                  <w:noWrap w:val="0"/>
                  <w:vAlign w:val="center"/>
                </w:tcPr>
                <w:p w14:paraId="744265E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c>
                <w:tcPr>
                  <w:tcW w:w="699" w:type="pct"/>
                  <w:vMerge w:val="continue"/>
                  <w:noWrap w:val="0"/>
                  <w:vAlign w:val="center"/>
                </w:tcPr>
                <w:p w14:paraId="25FDD39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c>
                <w:tcPr>
                  <w:tcW w:w="540" w:type="pct"/>
                  <w:noWrap w:val="0"/>
                  <w:vAlign w:val="center"/>
                </w:tcPr>
                <w:p w14:paraId="2A109F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1#</w:t>
                  </w:r>
                </w:p>
              </w:tc>
              <w:tc>
                <w:tcPr>
                  <w:tcW w:w="540" w:type="pct"/>
                  <w:noWrap w:val="0"/>
                  <w:vAlign w:val="center"/>
                </w:tcPr>
                <w:p w14:paraId="76A6DC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2#</w:t>
                  </w:r>
                </w:p>
              </w:tc>
              <w:tc>
                <w:tcPr>
                  <w:tcW w:w="540" w:type="pct"/>
                  <w:noWrap w:val="0"/>
                  <w:vAlign w:val="center"/>
                </w:tcPr>
                <w:p w14:paraId="0CF1428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3#</w:t>
                  </w:r>
                </w:p>
              </w:tc>
              <w:tc>
                <w:tcPr>
                  <w:tcW w:w="540" w:type="pct"/>
                  <w:noWrap w:val="0"/>
                  <w:vAlign w:val="center"/>
                </w:tcPr>
                <w:p w14:paraId="499B96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4#</w:t>
                  </w:r>
                </w:p>
              </w:tc>
              <w:tc>
                <w:tcPr>
                  <w:tcW w:w="543" w:type="pct"/>
                  <w:noWrap w:val="0"/>
                  <w:vAlign w:val="center"/>
                </w:tcPr>
                <w:p w14:paraId="15A147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b/>
                      <w:snapToGrid w:val="0"/>
                      <w:color w:val="auto"/>
                      <w:kern w:val="0"/>
                      <w:sz w:val="21"/>
                      <w:szCs w:val="21"/>
                      <w:highlight w:val="none"/>
                    </w:rPr>
                    <w:t>5#</w:t>
                  </w:r>
                </w:p>
              </w:tc>
              <w:tc>
                <w:tcPr>
                  <w:tcW w:w="548" w:type="pct"/>
                  <w:vMerge w:val="continue"/>
                  <w:noWrap w:val="0"/>
                  <w:vAlign w:val="center"/>
                </w:tcPr>
                <w:p w14:paraId="2B2D9D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p>
              </w:tc>
            </w:tr>
            <w:tr w14:paraId="03B0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B151B8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pH</w:t>
                  </w:r>
                </w:p>
              </w:tc>
              <w:tc>
                <w:tcPr>
                  <w:tcW w:w="699" w:type="pct"/>
                  <w:noWrap w:val="0"/>
                  <w:vAlign w:val="center"/>
                </w:tcPr>
                <w:p w14:paraId="4B007E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c>
                <w:tcPr>
                  <w:tcW w:w="814" w:type="dxa"/>
                  <w:noWrap w:val="0"/>
                  <w:vAlign w:val="center"/>
                </w:tcPr>
                <w:p w14:paraId="6AE8FB1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bCs/>
                      <w:color w:val="auto"/>
                      <w:spacing w:val="0"/>
                      <w:kern w:val="0"/>
                      <w:sz w:val="21"/>
                      <w:szCs w:val="21"/>
                      <w:highlight w:val="none"/>
                      <w:lang w:val="en-US" w:eastAsia="zh-CN" w:bidi="ar-SA"/>
                    </w:rPr>
                    <w:t>7.2</w:t>
                  </w:r>
                </w:p>
              </w:tc>
              <w:tc>
                <w:tcPr>
                  <w:tcW w:w="814" w:type="dxa"/>
                  <w:noWrap w:val="0"/>
                  <w:vAlign w:val="center"/>
                </w:tcPr>
                <w:p w14:paraId="3AA5C217">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bCs/>
                      <w:color w:val="auto"/>
                      <w:spacing w:val="0"/>
                      <w:kern w:val="0"/>
                      <w:sz w:val="21"/>
                      <w:szCs w:val="21"/>
                      <w:highlight w:val="none"/>
                      <w:lang w:val="en-US" w:eastAsia="zh-CN" w:bidi="ar-SA"/>
                    </w:rPr>
                    <w:t>7.1</w:t>
                  </w:r>
                </w:p>
              </w:tc>
              <w:tc>
                <w:tcPr>
                  <w:tcW w:w="814" w:type="dxa"/>
                  <w:noWrap w:val="0"/>
                  <w:vAlign w:val="center"/>
                </w:tcPr>
                <w:p w14:paraId="0910B9F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bCs/>
                      <w:color w:val="auto"/>
                      <w:spacing w:val="0"/>
                      <w:kern w:val="0"/>
                      <w:sz w:val="21"/>
                      <w:szCs w:val="21"/>
                      <w:highlight w:val="none"/>
                      <w:lang w:val="en-US" w:eastAsia="zh-CN" w:bidi="ar-SA"/>
                    </w:rPr>
                    <w:t>7.3</w:t>
                  </w:r>
                </w:p>
              </w:tc>
              <w:tc>
                <w:tcPr>
                  <w:tcW w:w="814" w:type="dxa"/>
                  <w:noWrap w:val="0"/>
                  <w:vAlign w:val="center"/>
                </w:tcPr>
                <w:p w14:paraId="5D8285B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bCs/>
                      <w:color w:val="auto"/>
                      <w:spacing w:val="0"/>
                      <w:kern w:val="0"/>
                      <w:sz w:val="21"/>
                      <w:szCs w:val="21"/>
                      <w:highlight w:val="none"/>
                      <w:lang w:val="en-US" w:eastAsia="zh-CN" w:bidi="ar-SA"/>
                    </w:rPr>
                    <w:t>7.2</w:t>
                  </w:r>
                </w:p>
              </w:tc>
              <w:tc>
                <w:tcPr>
                  <w:tcW w:w="818" w:type="dxa"/>
                  <w:noWrap w:val="0"/>
                  <w:vAlign w:val="center"/>
                </w:tcPr>
                <w:p w14:paraId="6C94B55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bCs/>
                      <w:color w:val="auto"/>
                      <w:spacing w:val="0"/>
                      <w:kern w:val="0"/>
                      <w:sz w:val="21"/>
                      <w:szCs w:val="21"/>
                      <w:highlight w:val="none"/>
                      <w:lang w:val="en-US" w:eastAsia="zh-CN" w:bidi="ar-SA"/>
                    </w:rPr>
                    <w:t>7.1</w:t>
                  </w:r>
                </w:p>
              </w:tc>
              <w:tc>
                <w:tcPr>
                  <w:tcW w:w="548" w:type="pct"/>
                  <w:noWrap w:val="0"/>
                  <w:vAlign w:val="center"/>
                </w:tcPr>
                <w:p w14:paraId="4E9EF21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6.5-8.5</w:t>
                  </w:r>
                </w:p>
              </w:tc>
            </w:tr>
            <w:tr w14:paraId="2E99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484D284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钾</w:t>
                  </w:r>
                </w:p>
              </w:tc>
              <w:tc>
                <w:tcPr>
                  <w:tcW w:w="699" w:type="pct"/>
                  <w:noWrap w:val="0"/>
                  <w:vAlign w:val="center"/>
                </w:tcPr>
                <w:p w14:paraId="348D555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6B028A0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1.67</w:t>
                  </w:r>
                </w:p>
              </w:tc>
              <w:tc>
                <w:tcPr>
                  <w:tcW w:w="814" w:type="dxa"/>
                  <w:noWrap w:val="0"/>
                  <w:vAlign w:val="center"/>
                </w:tcPr>
                <w:p w14:paraId="420BE58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1.85</w:t>
                  </w:r>
                </w:p>
              </w:tc>
              <w:tc>
                <w:tcPr>
                  <w:tcW w:w="814" w:type="dxa"/>
                  <w:noWrap w:val="0"/>
                  <w:vAlign w:val="center"/>
                </w:tcPr>
                <w:p w14:paraId="1AC18D3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1.91</w:t>
                  </w:r>
                </w:p>
              </w:tc>
              <w:tc>
                <w:tcPr>
                  <w:tcW w:w="814" w:type="dxa"/>
                  <w:noWrap w:val="0"/>
                  <w:vAlign w:val="center"/>
                </w:tcPr>
                <w:p w14:paraId="525056E7">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1.15</w:t>
                  </w:r>
                </w:p>
              </w:tc>
              <w:tc>
                <w:tcPr>
                  <w:tcW w:w="818" w:type="dxa"/>
                  <w:noWrap w:val="0"/>
                  <w:vAlign w:val="center"/>
                </w:tcPr>
                <w:p w14:paraId="35CD617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2.06</w:t>
                  </w:r>
                </w:p>
              </w:tc>
              <w:tc>
                <w:tcPr>
                  <w:tcW w:w="548" w:type="pct"/>
                  <w:noWrap w:val="0"/>
                  <w:vAlign w:val="center"/>
                </w:tcPr>
                <w:p w14:paraId="228BBC1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r>
            <w:tr w14:paraId="39DF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5A0B2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钠</w:t>
                  </w:r>
                </w:p>
              </w:tc>
              <w:tc>
                <w:tcPr>
                  <w:tcW w:w="699" w:type="pct"/>
                  <w:noWrap w:val="0"/>
                  <w:vAlign w:val="center"/>
                </w:tcPr>
                <w:p w14:paraId="7007E1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14BB9BC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10.2</w:t>
                  </w:r>
                </w:p>
              </w:tc>
              <w:tc>
                <w:tcPr>
                  <w:tcW w:w="814" w:type="dxa"/>
                  <w:noWrap w:val="0"/>
                  <w:vAlign w:val="center"/>
                </w:tcPr>
                <w:p w14:paraId="37030A5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5.06</w:t>
                  </w:r>
                </w:p>
              </w:tc>
              <w:tc>
                <w:tcPr>
                  <w:tcW w:w="814" w:type="dxa"/>
                  <w:noWrap w:val="0"/>
                  <w:vAlign w:val="center"/>
                </w:tcPr>
                <w:p w14:paraId="211E282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5.22</w:t>
                  </w:r>
                </w:p>
              </w:tc>
              <w:tc>
                <w:tcPr>
                  <w:tcW w:w="814" w:type="dxa"/>
                  <w:noWrap w:val="0"/>
                  <w:vAlign w:val="center"/>
                </w:tcPr>
                <w:p w14:paraId="1C4A0AC7">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9.76</w:t>
                  </w:r>
                </w:p>
              </w:tc>
              <w:tc>
                <w:tcPr>
                  <w:tcW w:w="818" w:type="dxa"/>
                  <w:noWrap w:val="0"/>
                  <w:vAlign w:val="center"/>
                </w:tcPr>
                <w:p w14:paraId="5B7FC39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5.31</w:t>
                  </w:r>
                </w:p>
              </w:tc>
              <w:tc>
                <w:tcPr>
                  <w:tcW w:w="548" w:type="pct"/>
                  <w:noWrap w:val="0"/>
                  <w:vAlign w:val="center"/>
                </w:tcPr>
                <w:p w14:paraId="079E2D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≤200</w:t>
                  </w:r>
                </w:p>
              </w:tc>
            </w:tr>
            <w:tr w14:paraId="3270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963E1A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钙</w:t>
                  </w:r>
                </w:p>
              </w:tc>
              <w:tc>
                <w:tcPr>
                  <w:tcW w:w="699" w:type="pct"/>
                  <w:noWrap w:val="0"/>
                  <w:vAlign w:val="center"/>
                </w:tcPr>
                <w:p w14:paraId="4562A36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327AF52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27.2</w:t>
                  </w:r>
                </w:p>
              </w:tc>
              <w:tc>
                <w:tcPr>
                  <w:tcW w:w="814" w:type="dxa"/>
                  <w:noWrap w:val="0"/>
                  <w:vAlign w:val="center"/>
                </w:tcPr>
                <w:p w14:paraId="2B6B190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26.4</w:t>
                  </w:r>
                </w:p>
              </w:tc>
              <w:tc>
                <w:tcPr>
                  <w:tcW w:w="814" w:type="dxa"/>
                  <w:noWrap w:val="0"/>
                  <w:vAlign w:val="center"/>
                </w:tcPr>
                <w:p w14:paraId="39985DB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26.5</w:t>
                  </w:r>
                </w:p>
              </w:tc>
              <w:tc>
                <w:tcPr>
                  <w:tcW w:w="814" w:type="dxa"/>
                  <w:noWrap w:val="0"/>
                  <w:vAlign w:val="center"/>
                </w:tcPr>
                <w:p w14:paraId="1E64AD2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28.3</w:t>
                  </w:r>
                </w:p>
              </w:tc>
              <w:tc>
                <w:tcPr>
                  <w:tcW w:w="818" w:type="dxa"/>
                  <w:noWrap w:val="0"/>
                  <w:vAlign w:val="center"/>
                </w:tcPr>
                <w:p w14:paraId="16B8C91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27.1</w:t>
                  </w:r>
                </w:p>
              </w:tc>
              <w:tc>
                <w:tcPr>
                  <w:tcW w:w="548" w:type="pct"/>
                  <w:noWrap w:val="0"/>
                  <w:vAlign w:val="center"/>
                </w:tcPr>
                <w:p w14:paraId="6A213C3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r>
            <w:tr w14:paraId="4E11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2E54F9B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镁</w:t>
                  </w:r>
                </w:p>
              </w:tc>
              <w:tc>
                <w:tcPr>
                  <w:tcW w:w="699" w:type="pct"/>
                  <w:noWrap w:val="0"/>
                  <w:vAlign w:val="center"/>
                </w:tcPr>
                <w:p w14:paraId="6AF3B8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0E162FC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22.4</w:t>
                  </w:r>
                </w:p>
              </w:tc>
              <w:tc>
                <w:tcPr>
                  <w:tcW w:w="814" w:type="dxa"/>
                  <w:noWrap w:val="0"/>
                  <w:vAlign w:val="center"/>
                </w:tcPr>
                <w:p w14:paraId="209D553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16.3</w:t>
                  </w:r>
                </w:p>
              </w:tc>
              <w:tc>
                <w:tcPr>
                  <w:tcW w:w="814" w:type="dxa"/>
                  <w:noWrap w:val="0"/>
                  <w:vAlign w:val="center"/>
                </w:tcPr>
                <w:p w14:paraId="61808B8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16.2</w:t>
                  </w:r>
                </w:p>
              </w:tc>
              <w:tc>
                <w:tcPr>
                  <w:tcW w:w="814" w:type="dxa"/>
                  <w:noWrap w:val="0"/>
                  <w:vAlign w:val="center"/>
                </w:tcPr>
                <w:p w14:paraId="15B8790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23.8</w:t>
                  </w:r>
                </w:p>
              </w:tc>
              <w:tc>
                <w:tcPr>
                  <w:tcW w:w="818" w:type="dxa"/>
                  <w:noWrap w:val="0"/>
                  <w:vAlign w:val="center"/>
                </w:tcPr>
                <w:p w14:paraId="4AC49FD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16.4</w:t>
                  </w:r>
                </w:p>
              </w:tc>
              <w:tc>
                <w:tcPr>
                  <w:tcW w:w="548" w:type="pct"/>
                  <w:noWrap w:val="0"/>
                  <w:vAlign w:val="center"/>
                </w:tcPr>
                <w:p w14:paraId="2A2FBC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r>
            <w:tr w14:paraId="2F18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5D56B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1"/>
                      <w:kern w:val="0"/>
                      <w:sz w:val="21"/>
                      <w:szCs w:val="21"/>
                      <w:highlight w:val="none"/>
                    </w:rPr>
                  </w:pPr>
                  <w:r>
                    <w:rPr>
                      <w:rFonts w:hint="default" w:ascii="Times New Roman" w:hAnsi="Times New Roman" w:eastAsia="宋体" w:cs="Times New Roman"/>
                      <w:color w:val="auto"/>
                      <w:spacing w:val="-1"/>
                      <w:kern w:val="0"/>
                      <w:sz w:val="21"/>
                      <w:szCs w:val="21"/>
                      <w:highlight w:val="none"/>
                    </w:rPr>
                    <w:t>碳酸盐</w:t>
                  </w:r>
                </w:p>
              </w:tc>
              <w:tc>
                <w:tcPr>
                  <w:tcW w:w="699" w:type="pct"/>
                  <w:noWrap w:val="0"/>
                  <w:vAlign w:val="center"/>
                </w:tcPr>
                <w:p w14:paraId="0CA3A6A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1608CAEA">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49885CE9">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A1E464C">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28D7504B">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C1A866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616D06F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r>
            <w:tr w14:paraId="160C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11E325F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pacing w:val="-1"/>
                      <w:kern w:val="0"/>
                      <w:sz w:val="21"/>
                      <w:szCs w:val="21"/>
                      <w:highlight w:val="none"/>
                    </w:rPr>
                  </w:pPr>
                  <w:r>
                    <w:rPr>
                      <w:rFonts w:hint="default" w:ascii="Times New Roman" w:hAnsi="Times New Roman" w:eastAsia="宋体" w:cs="Times New Roman"/>
                      <w:color w:val="auto"/>
                      <w:spacing w:val="-1"/>
                      <w:kern w:val="0"/>
                      <w:sz w:val="21"/>
                      <w:szCs w:val="21"/>
                      <w:highlight w:val="none"/>
                    </w:rPr>
                    <w:t>碳酸氢盐</w:t>
                  </w:r>
                </w:p>
              </w:tc>
              <w:tc>
                <w:tcPr>
                  <w:tcW w:w="699" w:type="pct"/>
                  <w:noWrap w:val="0"/>
                  <w:vAlign w:val="center"/>
                </w:tcPr>
                <w:p w14:paraId="1EC5B67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2B4FF70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131</w:t>
                  </w:r>
                </w:p>
              </w:tc>
              <w:tc>
                <w:tcPr>
                  <w:tcW w:w="814" w:type="dxa"/>
                  <w:noWrap w:val="0"/>
                  <w:vAlign w:val="center"/>
                </w:tcPr>
                <w:p w14:paraId="3967023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127</w:t>
                  </w:r>
                </w:p>
              </w:tc>
              <w:tc>
                <w:tcPr>
                  <w:tcW w:w="814" w:type="dxa"/>
                  <w:noWrap w:val="0"/>
                  <w:vAlign w:val="center"/>
                </w:tcPr>
                <w:p w14:paraId="72CD152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115</w:t>
                  </w:r>
                </w:p>
              </w:tc>
              <w:tc>
                <w:tcPr>
                  <w:tcW w:w="814" w:type="dxa"/>
                  <w:noWrap w:val="0"/>
                  <w:vAlign w:val="center"/>
                </w:tcPr>
                <w:p w14:paraId="255125F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136</w:t>
                  </w:r>
                </w:p>
              </w:tc>
              <w:tc>
                <w:tcPr>
                  <w:tcW w:w="818" w:type="dxa"/>
                  <w:noWrap w:val="0"/>
                  <w:vAlign w:val="center"/>
                </w:tcPr>
                <w:p w14:paraId="4D24B32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126</w:t>
                  </w:r>
                </w:p>
              </w:tc>
              <w:tc>
                <w:tcPr>
                  <w:tcW w:w="548" w:type="pct"/>
                  <w:noWrap w:val="0"/>
                  <w:vAlign w:val="center"/>
                </w:tcPr>
                <w:p w14:paraId="352832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p>
              </w:tc>
            </w:tr>
            <w:tr w14:paraId="13A1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576F4A9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总硬度</w:t>
                  </w:r>
                </w:p>
              </w:tc>
              <w:tc>
                <w:tcPr>
                  <w:tcW w:w="699" w:type="pct"/>
                  <w:noWrap w:val="0"/>
                  <w:vAlign w:val="center"/>
                </w:tcPr>
                <w:p w14:paraId="20FD23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205E4B6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164</w:t>
                  </w:r>
                </w:p>
              </w:tc>
              <w:tc>
                <w:tcPr>
                  <w:tcW w:w="814" w:type="dxa"/>
                  <w:noWrap w:val="0"/>
                  <w:vAlign w:val="center"/>
                </w:tcPr>
                <w:p w14:paraId="757BF98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131</w:t>
                  </w:r>
                </w:p>
              </w:tc>
              <w:tc>
                <w:tcPr>
                  <w:tcW w:w="814" w:type="dxa"/>
                  <w:noWrap w:val="0"/>
                  <w:vAlign w:val="center"/>
                </w:tcPr>
                <w:p w14:paraId="015BD8B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136</w:t>
                  </w:r>
                </w:p>
              </w:tc>
              <w:tc>
                <w:tcPr>
                  <w:tcW w:w="814" w:type="dxa"/>
                  <w:noWrap w:val="0"/>
                  <w:vAlign w:val="center"/>
                </w:tcPr>
                <w:p w14:paraId="0508479E">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170</w:t>
                  </w:r>
                </w:p>
              </w:tc>
              <w:tc>
                <w:tcPr>
                  <w:tcW w:w="818" w:type="dxa"/>
                  <w:noWrap w:val="0"/>
                  <w:vAlign w:val="center"/>
                </w:tcPr>
                <w:p w14:paraId="59D1D49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132</w:t>
                  </w:r>
                </w:p>
              </w:tc>
              <w:tc>
                <w:tcPr>
                  <w:tcW w:w="548" w:type="pct"/>
                  <w:noWrap w:val="0"/>
                  <w:vAlign w:val="center"/>
                </w:tcPr>
                <w:p w14:paraId="0EA02D7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≤450</w:t>
                  </w:r>
                </w:p>
              </w:tc>
            </w:tr>
            <w:tr w14:paraId="4AF0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254DBC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溶解性总固体</w:t>
                  </w:r>
                </w:p>
              </w:tc>
              <w:tc>
                <w:tcPr>
                  <w:tcW w:w="699" w:type="pct"/>
                  <w:noWrap w:val="0"/>
                  <w:vAlign w:val="center"/>
                </w:tcPr>
                <w:p w14:paraId="032AF3C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3D59627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203</w:t>
                  </w:r>
                </w:p>
              </w:tc>
              <w:tc>
                <w:tcPr>
                  <w:tcW w:w="814" w:type="dxa"/>
                  <w:noWrap w:val="0"/>
                  <w:vAlign w:val="center"/>
                </w:tcPr>
                <w:p w14:paraId="79DB6BA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145</w:t>
                  </w:r>
                </w:p>
              </w:tc>
              <w:tc>
                <w:tcPr>
                  <w:tcW w:w="814" w:type="dxa"/>
                  <w:noWrap w:val="0"/>
                  <w:vAlign w:val="center"/>
                </w:tcPr>
                <w:p w14:paraId="0D576CF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143</w:t>
                  </w:r>
                </w:p>
              </w:tc>
              <w:tc>
                <w:tcPr>
                  <w:tcW w:w="814" w:type="dxa"/>
                  <w:noWrap w:val="0"/>
                  <w:vAlign w:val="center"/>
                </w:tcPr>
                <w:p w14:paraId="5928F02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184</w:t>
                  </w:r>
                </w:p>
              </w:tc>
              <w:tc>
                <w:tcPr>
                  <w:tcW w:w="818" w:type="dxa"/>
                  <w:noWrap w:val="0"/>
                  <w:vAlign w:val="center"/>
                </w:tcPr>
                <w:p w14:paraId="7FBCEDC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154</w:t>
                  </w:r>
                </w:p>
              </w:tc>
              <w:tc>
                <w:tcPr>
                  <w:tcW w:w="548" w:type="pct"/>
                  <w:noWrap w:val="0"/>
                  <w:vAlign w:val="center"/>
                </w:tcPr>
                <w:p w14:paraId="7502D3D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≤1000</w:t>
                  </w:r>
                </w:p>
              </w:tc>
            </w:tr>
            <w:tr w14:paraId="6C7D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41496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硫酸盐</w:t>
                  </w:r>
                </w:p>
              </w:tc>
              <w:tc>
                <w:tcPr>
                  <w:tcW w:w="699" w:type="pct"/>
                  <w:noWrap w:val="0"/>
                  <w:vAlign w:val="center"/>
                </w:tcPr>
                <w:p w14:paraId="31F5887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2B7DECB5">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28.6</w:t>
                  </w:r>
                </w:p>
              </w:tc>
              <w:tc>
                <w:tcPr>
                  <w:tcW w:w="814" w:type="dxa"/>
                  <w:noWrap w:val="0"/>
                  <w:vAlign w:val="center"/>
                </w:tcPr>
                <w:p w14:paraId="69AB1AF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11.8</w:t>
                  </w:r>
                </w:p>
              </w:tc>
              <w:tc>
                <w:tcPr>
                  <w:tcW w:w="814" w:type="dxa"/>
                  <w:noWrap w:val="0"/>
                  <w:vAlign w:val="center"/>
                </w:tcPr>
                <w:p w14:paraId="559A3A8E">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11.5</w:t>
                  </w:r>
                </w:p>
              </w:tc>
              <w:tc>
                <w:tcPr>
                  <w:tcW w:w="814" w:type="dxa"/>
                  <w:noWrap w:val="0"/>
                  <w:vAlign w:val="center"/>
                </w:tcPr>
                <w:p w14:paraId="76E9A02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29.8</w:t>
                  </w:r>
                </w:p>
              </w:tc>
              <w:tc>
                <w:tcPr>
                  <w:tcW w:w="818" w:type="dxa"/>
                  <w:noWrap w:val="0"/>
                  <w:vAlign w:val="center"/>
                </w:tcPr>
                <w:p w14:paraId="6F3B5BFC">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w:t>
                  </w:r>
                </w:p>
              </w:tc>
              <w:tc>
                <w:tcPr>
                  <w:tcW w:w="548" w:type="pct"/>
                  <w:noWrap w:val="0"/>
                  <w:vAlign w:val="center"/>
                </w:tcPr>
                <w:p w14:paraId="42B4D36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≤250</w:t>
                  </w:r>
                </w:p>
              </w:tc>
            </w:tr>
            <w:tr w14:paraId="18D3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27D66FB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氯化物</w:t>
                  </w:r>
                </w:p>
              </w:tc>
              <w:tc>
                <w:tcPr>
                  <w:tcW w:w="699" w:type="pct"/>
                  <w:noWrap w:val="0"/>
                  <w:vAlign w:val="center"/>
                </w:tcPr>
                <w:p w14:paraId="4F11895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1B77779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29.1</w:t>
                  </w:r>
                </w:p>
              </w:tc>
              <w:tc>
                <w:tcPr>
                  <w:tcW w:w="814" w:type="dxa"/>
                  <w:noWrap w:val="0"/>
                  <w:vAlign w:val="center"/>
                </w:tcPr>
                <w:p w14:paraId="509F996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13.5</w:t>
                  </w:r>
                </w:p>
              </w:tc>
              <w:tc>
                <w:tcPr>
                  <w:tcW w:w="814" w:type="dxa"/>
                  <w:noWrap w:val="0"/>
                  <w:vAlign w:val="center"/>
                </w:tcPr>
                <w:p w14:paraId="575BA74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13.1</w:t>
                  </w:r>
                </w:p>
              </w:tc>
              <w:tc>
                <w:tcPr>
                  <w:tcW w:w="814" w:type="dxa"/>
                  <w:noWrap w:val="0"/>
                  <w:vAlign w:val="center"/>
                </w:tcPr>
                <w:p w14:paraId="52EC69BE">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15.8</w:t>
                  </w:r>
                </w:p>
              </w:tc>
              <w:tc>
                <w:tcPr>
                  <w:tcW w:w="818" w:type="dxa"/>
                  <w:noWrap w:val="0"/>
                  <w:vAlign w:val="center"/>
                </w:tcPr>
                <w:p w14:paraId="3E165BF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12.7</w:t>
                  </w:r>
                </w:p>
              </w:tc>
              <w:tc>
                <w:tcPr>
                  <w:tcW w:w="548" w:type="pct"/>
                  <w:noWrap w:val="0"/>
                  <w:vAlign w:val="center"/>
                </w:tcPr>
                <w:p w14:paraId="694231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≤250</w:t>
                  </w:r>
                </w:p>
              </w:tc>
            </w:tr>
            <w:tr w14:paraId="5F96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0DD89FD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铁（Fe）</w:t>
                  </w:r>
                </w:p>
              </w:tc>
              <w:tc>
                <w:tcPr>
                  <w:tcW w:w="699" w:type="pct"/>
                  <w:noWrap w:val="0"/>
                  <w:vAlign w:val="center"/>
                </w:tcPr>
                <w:p w14:paraId="4EF5897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11ECEA44">
                  <w:pPr>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027A6415">
                  <w:pPr>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448705E0">
                  <w:pPr>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10E1F756">
                  <w:pPr>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2E2BDA51">
                  <w:pPr>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548C3CB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≤0.3</w:t>
                  </w:r>
                </w:p>
              </w:tc>
            </w:tr>
            <w:tr w14:paraId="16B8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A144C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锰（Mn）</w:t>
                  </w:r>
                </w:p>
              </w:tc>
              <w:tc>
                <w:tcPr>
                  <w:tcW w:w="699" w:type="pct"/>
                  <w:noWrap w:val="0"/>
                  <w:vAlign w:val="center"/>
                </w:tcPr>
                <w:p w14:paraId="7805E51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7CE46EA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w:t>
                  </w:r>
                </w:p>
              </w:tc>
              <w:tc>
                <w:tcPr>
                  <w:tcW w:w="814" w:type="dxa"/>
                  <w:noWrap w:val="0"/>
                  <w:vAlign w:val="center"/>
                </w:tcPr>
                <w:p w14:paraId="740E711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w:t>
                  </w:r>
                </w:p>
              </w:tc>
              <w:tc>
                <w:tcPr>
                  <w:tcW w:w="814" w:type="dxa"/>
                  <w:noWrap w:val="0"/>
                  <w:vAlign w:val="center"/>
                </w:tcPr>
                <w:p w14:paraId="7C10EBF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w:t>
                  </w:r>
                </w:p>
              </w:tc>
              <w:tc>
                <w:tcPr>
                  <w:tcW w:w="814" w:type="dxa"/>
                  <w:noWrap w:val="0"/>
                  <w:vAlign w:val="center"/>
                </w:tcPr>
                <w:p w14:paraId="656AAED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0.05</w:t>
                  </w:r>
                </w:p>
              </w:tc>
              <w:tc>
                <w:tcPr>
                  <w:tcW w:w="818" w:type="dxa"/>
                  <w:noWrap w:val="0"/>
                  <w:vAlign w:val="center"/>
                </w:tcPr>
                <w:p w14:paraId="1D159D8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0.04</w:t>
                  </w:r>
                </w:p>
              </w:tc>
              <w:tc>
                <w:tcPr>
                  <w:tcW w:w="548" w:type="pct"/>
                  <w:noWrap w:val="0"/>
                  <w:vAlign w:val="center"/>
                </w:tcPr>
                <w:p w14:paraId="38F821C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≤0.10</w:t>
                  </w:r>
                </w:p>
              </w:tc>
            </w:tr>
            <w:tr w14:paraId="3927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007658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挥发性酚</w:t>
                  </w:r>
                </w:p>
              </w:tc>
              <w:tc>
                <w:tcPr>
                  <w:tcW w:w="699" w:type="pct"/>
                  <w:noWrap w:val="0"/>
                  <w:vAlign w:val="center"/>
                </w:tcPr>
                <w:p w14:paraId="6E29A61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55FB27A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889AA15">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298976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1DFB432A">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A6018B0">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1EA4C8B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b w:val="0"/>
                      <w:bCs/>
                      <w:color w:val="auto"/>
                      <w:sz w:val="21"/>
                      <w:szCs w:val="21"/>
                      <w:highlight w:val="none"/>
                      <w:lang w:val="en-US" w:eastAsia="zh-CN"/>
                    </w:rPr>
                    <w:t>0.002</w:t>
                  </w:r>
                </w:p>
              </w:tc>
            </w:tr>
            <w:tr w14:paraId="17C3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2A72DC2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耗氧量</w:t>
                  </w:r>
                </w:p>
              </w:tc>
              <w:tc>
                <w:tcPr>
                  <w:tcW w:w="699" w:type="pct"/>
                  <w:noWrap w:val="0"/>
                  <w:vAlign w:val="center"/>
                </w:tcPr>
                <w:p w14:paraId="6C045DF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19C7CFD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1.61</w:t>
                  </w:r>
                </w:p>
              </w:tc>
              <w:tc>
                <w:tcPr>
                  <w:tcW w:w="814" w:type="dxa"/>
                  <w:noWrap w:val="0"/>
                  <w:vAlign w:val="center"/>
                </w:tcPr>
                <w:p w14:paraId="257DB41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1.94</w:t>
                  </w:r>
                </w:p>
              </w:tc>
              <w:tc>
                <w:tcPr>
                  <w:tcW w:w="814" w:type="dxa"/>
                  <w:noWrap w:val="0"/>
                  <w:vAlign w:val="center"/>
                </w:tcPr>
                <w:p w14:paraId="114F8C8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2.62</w:t>
                  </w:r>
                </w:p>
              </w:tc>
              <w:tc>
                <w:tcPr>
                  <w:tcW w:w="814" w:type="dxa"/>
                  <w:noWrap w:val="0"/>
                  <w:vAlign w:val="center"/>
                </w:tcPr>
                <w:p w14:paraId="5B40CF7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1.76</w:t>
                  </w:r>
                </w:p>
              </w:tc>
              <w:tc>
                <w:tcPr>
                  <w:tcW w:w="818" w:type="dxa"/>
                  <w:noWrap w:val="0"/>
                  <w:vAlign w:val="center"/>
                </w:tcPr>
                <w:p w14:paraId="2D62D0B5">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2.86</w:t>
                  </w:r>
                </w:p>
              </w:tc>
              <w:tc>
                <w:tcPr>
                  <w:tcW w:w="548" w:type="pct"/>
                  <w:noWrap w:val="0"/>
                  <w:vAlign w:val="center"/>
                </w:tcPr>
                <w:p w14:paraId="1A0039F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≤3.0</w:t>
                  </w:r>
                </w:p>
              </w:tc>
            </w:tr>
            <w:tr w14:paraId="20B0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762188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硝酸盐（以N计）</w:t>
                  </w:r>
                </w:p>
              </w:tc>
              <w:tc>
                <w:tcPr>
                  <w:tcW w:w="699" w:type="pct"/>
                  <w:noWrap w:val="0"/>
                  <w:vAlign w:val="center"/>
                </w:tcPr>
                <w:p w14:paraId="36C92C5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500CEE4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3.39</w:t>
                  </w:r>
                </w:p>
              </w:tc>
              <w:tc>
                <w:tcPr>
                  <w:tcW w:w="814" w:type="dxa"/>
                  <w:noWrap w:val="0"/>
                  <w:vAlign w:val="center"/>
                </w:tcPr>
                <w:p w14:paraId="4BCB56E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0.86</w:t>
                  </w:r>
                </w:p>
              </w:tc>
              <w:tc>
                <w:tcPr>
                  <w:tcW w:w="814" w:type="dxa"/>
                  <w:noWrap w:val="0"/>
                  <w:vAlign w:val="center"/>
                </w:tcPr>
                <w:p w14:paraId="471C84D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0.77</w:t>
                  </w:r>
                </w:p>
              </w:tc>
              <w:tc>
                <w:tcPr>
                  <w:tcW w:w="814" w:type="dxa"/>
                  <w:noWrap w:val="0"/>
                  <w:vAlign w:val="center"/>
                </w:tcPr>
                <w:p w14:paraId="5303B19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0.71</w:t>
                  </w:r>
                </w:p>
              </w:tc>
              <w:tc>
                <w:tcPr>
                  <w:tcW w:w="818" w:type="dxa"/>
                  <w:noWrap w:val="0"/>
                  <w:vAlign w:val="center"/>
                </w:tcPr>
                <w:p w14:paraId="145FDA6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0.79</w:t>
                  </w:r>
                </w:p>
              </w:tc>
              <w:tc>
                <w:tcPr>
                  <w:tcW w:w="548" w:type="pct"/>
                  <w:noWrap w:val="0"/>
                  <w:vAlign w:val="center"/>
                </w:tcPr>
                <w:p w14:paraId="417ACF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≤20.0</w:t>
                  </w:r>
                </w:p>
              </w:tc>
            </w:tr>
            <w:tr w14:paraId="4E76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75FEDE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亚硝酸盐</w:t>
                  </w:r>
                </w:p>
                <w:p w14:paraId="6BE8171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（以N计）</w:t>
                  </w:r>
                </w:p>
              </w:tc>
              <w:tc>
                <w:tcPr>
                  <w:tcW w:w="699" w:type="pct"/>
                  <w:noWrap w:val="0"/>
                  <w:vAlign w:val="center"/>
                </w:tcPr>
                <w:p w14:paraId="0C14F9E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4DD135A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DD09F10">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ED0514B">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5A68DF7A">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D630368">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1680275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≤1.00</w:t>
                  </w:r>
                </w:p>
              </w:tc>
            </w:tr>
            <w:tr w14:paraId="3D3A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E518F8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氨氮（NH</w:t>
                  </w:r>
                  <w:r>
                    <w:rPr>
                      <w:rFonts w:hint="default" w:ascii="Times New Roman" w:hAnsi="Times New Roman" w:eastAsia="宋体" w:cs="Times New Roman"/>
                      <w:snapToGrid w:val="0"/>
                      <w:color w:val="auto"/>
                      <w:kern w:val="0"/>
                      <w:sz w:val="21"/>
                      <w:szCs w:val="21"/>
                      <w:highlight w:val="none"/>
                      <w:vertAlign w:val="subscript"/>
                    </w:rPr>
                    <w:t>3</w:t>
                  </w:r>
                  <w:r>
                    <w:rPr>
                      <w:rFonts w:hint="default" w:ascii="Times New Roman" w:hAnsi="Times New Roman" w:eastAsia="宋体" w:cs="Times New Roman"/>
                      <w:snapToGrid w:val="0"/>
                      <w:color w:val="auto"/>
                      <w:kern w:val="0"/>
                      <w:sz w:val="21"/>
                      <w:szCs w:val="21"/>
                      <w:highlight w:val="none"/>
                    </w:rPr>
                    <w:t>-N）</w:t>
                  </w:r>
                </w:p>
              </w:tc>
              <w:tc>
                <w:tcPr>
                  <w:tcW w:w="699" w:type="pct"/>
                  <w:noWrap w:val="0"/>
                  <w:vAlign w:val="center"/>
                </w:tcPr>
                <w:p w14:paraId="4F85851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37D5EDF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0.291</w:t>
                  </w:r>
                </w:p>
              </w:tc>
              <w:tc>
                <w:tcPr>
                  <w:tcW w:w="814" w:type="dxa"/>
                  <w:noWrap w:val="0"/>
                  <w:vAlign w:val="center"/>
                </w:tcPr>
                <w:p w14:paraId="4E3CCB5E">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0.304</w:t>
                  </w:r>
                </w:p>
              </w:tc>
              <w:tc>
                <w:tcPr>
                  <w:tcW w:w="814" w:type="dxa"/>
                  <w:noWrap w:val="0"/>
                  <w:vAlign w:val="center"/>
                </w:tcPr>
                <w:p w14:paraId="01670D30">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0.276</w:t>
                  </w:r>
                </w:p>
              </w:tc>
              <w:tc>
                <w:tcPr>
                  <w:tcW w:w="814" w:type="dxa"/>
                  <w:noWrap w:val="0"/>
                  <w:vAlign w:val="center"/>
                </w:tcPr>
                <w:p w14:paraId="32F0F12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0.284</w:t>
                  </w:r>
                </w:p>
              </w:tc>
              <w:tc>
                <w:tcPr>
                  <w:tcW w:w="818" w:type="dxa"/>
                  <w:noWrap w:val="0"/>
                  <w:vAlign w:val="center"/>
                </w:tcPr>
                <w:p w14:paraId="02C7BE6A">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0.312</w:t>
                  </w:r>
                </w:p>
              </w:tc>
              <w:tc>
                <w:tcPr>
                  <w:tcW w:w="548" w:type="pct"/>
                  <w:noWrap w:val="0"/>
                  <w:vAlign w:val="center"/>
                </w:tcPr>
                <w:p w14:paraId="1F8234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≤0.50</w:t>
                  </w:r>
                </w:p>
              </w:tc>
            </w:tr>
            <w:tr w14:paraId="18C9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4E13BFF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氰化物</w:t>
                  </w:r>
                </w:p>
              </w:tc>
              <w:tc>
                <w:tcPr>
                  <w:tcW w:w="699" w:type="pct"/>
                  <w:noWrap w:val="0"/>
                  <w:vAlign w:val="center"/>
                </w:tcPr>
                <w:p w14:paraId="59F026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6E23F402">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0C81F7A">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04B343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5267A8F">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2122E5FC">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442A78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≤0.05</w:t>
                  </w:r>
                </w:p>
              </w:tc>
            </w:tr>
            <w:tr w14:paraId="33CB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2399FD2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氟化物</w:t>
                  </w:r>
                </w:p>
              </w:tc>
              <w:tc>
                <w:tcPr>
                  <w:tcW w:w="699" w:type="pct"/>
                  <w:noWrap w:val="0"/>
                  <w:vAlign w:val="center"/>
                </w:tcPr>
                <w:p w14:paraId="30838FF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59E683B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0.24</w:t>
                  </w:r>
                </w:p>
              </w:tc>
              <w:tc>
                <w:tcPr>
                  <w:tcW w:w="814" w:type="dxa"/>
                  <w:noWrap w:val="0"/>
                  <w:vAlign w:val="center"/>
                </w:tcPr>
                <w:p w14:paraId="5369BC44">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0.25</w:t>
                  </w:r>
                </w:p>
              </w:tc>
              <w:tc>
                <w:tcPr>
                  <w:tcW w:w="814" w:type="dxa"/>
                  <w:noWrap w:val="0"/>
                  <w:vAlign w:val="center"/>
                </w:tcPr>
                <w:p w14:paraId="1EB3EB83">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0.26</w:t>
                  </w:r>
                </w:p>
              </w:tc>
              <w:tc>
                <w:tcPr>
                  <w:tcW w:w="814" w:type="dxa"/>
                  <w:noWrap w:val="0"/>
                  <w:vAlign w:val="center"/>
                </w:tcPr>
                <w:p w14:paraId="527F88A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0.30</w:t>
                  </w:r>
                </w:p>
              </w:tc>
              <w:tc>
                <w:tcPr>
                  <w:tcW w:w="818" w:type="dxa"/>
                  <w:noWrap w:val="0"/>
                  <w:vAlign w:val="center"/>
                </w:tcPr>
                <w:p w14:paraId="6067E2A9">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0.26</w:t>
                  </w:r>
                </w:p>
              </w:tc>
              <w:tc>
                <w:tcPr>
                  <w:tcW w:w="548" w:type="pct"/>
                  <w:noWrap w:val="0"/>
                  <w:vAlign w:val="center"/>
                </w:tcPr>
                <w:p w14:paraId="19B3196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1.0</w:t>
                  </w:r>
                </w:p>
              </w:tc>
            </w:tr>
            <w:tr w14:paraId="7C36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37C4A9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硫化物</w:t>
                  </w:r>
                </w:p>
              </w:tc>
              <w:tc>
                <w:tcPr>
                  <w:tcW w:w="699" w:type="pct"/>
                  <w:noWrap w:val="0"/>
                  <w:vAlign w:val="center"/>
                </w:tcPr>
                <w:p w14:paraId="0C72D9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6F481D5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5FE9DFB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0D1313E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83E9CA6">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3C531C6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46B2114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0.02</w:t>
                  </w:r>
                </w:p>
              </w:tc>
            </w:tr>
            <w:tr w14:paraId="54AF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44E32E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铅（Pb）</w:t>
                  </w:r>
                </w:p>
              </w:tc>
              <w:tc>
                <w:tcPr>
                  <w:tcW w:w="699" w:type="pct"/>
                  <w:noWrap w:val="0"/>
                  <w:vAlign w:val="center"/>
                </w:tcPr>
                <w:p w14:paraId="23D708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μg /L</w:t>
                  </w:r>
                </w:p>
              </w:tc>
              <w:tc>
                <w:tcPr>
                  <w:tcW w:w="540" w:type="pct"/>
                  <w:noWrap w:val="0"/>
                  <w:vAlign w:val="center"/>
                </w:tcPr>
                <w:p w14:paraId="10967F0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F4F24BB">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166254E2">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2ED90C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0940C521">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52A6356C">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10</w:t>
                  </w:r>
                </w:p>
              </w:tc>
            </w:tr>
            <w:tr w14:paraId="31D1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35019E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砷（As）</w:t>
                  </w:r>
                </w:p>
              </w:tc>
              <w:tc>
                <w:tcPr>
                  <w:tcW w:w="699" w:type="pct"/>
                  <w:noWrap w:val="0"/>
                  <w:vAlign w:val="center"/>
                </w:tcPr>
                <w:p w14:paraId="71C8C3E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μg/L</w:t>
                  </w:r>
                </w:p>
              </w:tc>
              <w:tc>
                <w:tcPr>
                  <w:tcW w:w="540" w:type="pct"/>
                  <w:noWrap w:val="0"/>
                  <w:vAlign w:val="center"/>
                </w:tcPr>
                <w:p w14:paraId="4340B2F1">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4A87CFD1">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29537CC">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A6B9B4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86F21AB">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46976E55">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10</w:t>
                  </w:r>
                </w:p>
              </w:tc>
            </w:tr>
            <w:tr w14:paraId="5E4F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1FA9B59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汞（Hg）</w:t>
                  </w:r>
                </w:p>
              </w:tc>
              <w:tc>
                <w:tcPr>
                  <w:tcW w:w="699" w:type="pct"/>
                  <w:noWrap w:val="0"/>
                  <w:vAlign w:val="center"/>
                </w:tcPr>
                <w:p w14:paraId="341AF4B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μg/L</w:t>
                  </w:r>
                </w:p>
              </w:tc>
              <w:tc>
                <w:tcPr>
                  <w:tcW w:w="540" w:type="pct"/>
                  <w:noWrap w:val="0"/>
                  <w:vAlign w:val="center"/>
                </w:tcPr>
                <w:p w14:paraId="55CEA7C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14D1514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23E3CE29">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2BFEDC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2E0A37B0">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6C471CA9">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1</w:t>
                  </w:r>
                </w:p>
              </w:tc>
            </w:tr>
            <w:tr w14:paraId="67FB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B5210C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镉（Cd）</w:t>
                  </w:r>
                </w:p>
              </w:tc>
              <w:tc>
                <w:tcPr>
                  <w:tcW w:w="699" w:type="pct"/>
                  <w:noWrap w:val="0"/>
                  <w:vAlign w:val="center"/>
                </w:tcPr>
                <w:p w14:paraId="761974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μg/L</w:t>
                  </w:r>
                </w:p>
              </w:tc>
              <w:tc>
                <w:tcPr>
                  <w:tcW w:w="540" w:type="pct"/>
                  <w:noWrap w:val="0"/>
                  <w:vAlign w:val="center"/>
                </w:tcPr>
                <w:p w14:paraId="7A5C1B8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4D10DC9">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AD8B90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E7F112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270226C0">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367F9D7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5</w:t>
                  </w:r>
                </w:p>
              </w:tc>
            </w:tr>
            <w:tr w14:paraId="3D03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DB020B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六价铬（Cr</w:t>
                  </w:r>
                  <w:r>
                    <w:rPr>
                      <w:rFonts w:hint="default" w:ascii="Times New Roman" w:hAnsi="Times New Roman" w:eastAsia="宋体" w:cs="Times New Roman"/>
                      <w:snapToGrid w:val="0"/>
                      <w:color w:val="auto"/>
                      <w:kern w:val="0"/>
                      <w:sz w:val="21"/>
                      <w:szCs w:val="21"/>
                      <w:highlight w:val="none"/>
                      <w:vertAlign w:val="superscript"/>
                    </w:rPr>
                    <w:t>6+</w:t>
                  </w:r>
                  <w:r>
                    <w:rPr>
                      <w:rFonts w:hint="default" w:ascii="Times New Roman" w:hAnsi="Times New Roman" w:eastAsia="宋体" w:cs="Times New Roman"/>
                      <w:snapToGrid w:val="0"/>
                      <w:color w:val="auto"/>
                      <w:kern w:val="0"/>
                      <w:sz w:val="21"/>
                      <w:szCs w:val="21"/>
                      <w:highlight w:val="none"/>
                    </w:rPr>
                    <w:t>）</w:t>
                  </w:r>
                </w:p>
              </w:tc>
              <w:tc>
                <w:tcPr>
                  <w:tcW w:w="699" w:type="pct"/>
                  <w:noWrap w:val="0"/>
                  <w:vAlign w:val="center"/>
                </w:tcPr>
                <w:p w14:paraId="14E170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6BB7AAC6">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76B6E8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68292E26">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49F9C53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8F11A95">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55A01294">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0.05</w:t>
                  </w:r>
                </w:p>
              </w:tc>
            </w:tr>
            <w:tr w14:paraId="794D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6F6BBE7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石油类</w:t>
                  </w:r>
                  <w:r>
                    <w:rPr>
                      <w:rFonts w:hint="default" w:ascii="Times New Roman" w:hAnsi="Times New Roman" w:eastAsia="宋体" w:cs="Times New Roman"/>
                      <w:snapToGrid w:val="0"/>
                      <w:color w:val="auto"/>
                      <w:kern w:val="0"/>
                      <w:sz w:val="21"/>
                      <w:szCs w:val="21"/>
                      <w:highlight w:val="none"/>
                      <w:lang w:val="en-US" w:eastAsia="zh-CN"/>
                    </w:rPr>
                    <w:t>*</w:t>
                  </w:r>
                </w:p>
              </w:tc>
              <w:tc>
                <w:tcPr>
                  <w:tcW w:w="699" w:type="pct"/>
                  <w:noWrap w:val="0"/>
                  <w:vAlign w:val="center"/>
                </w:tcPr>
                <w:p w14:paraId="68A4037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4B4F3B7F">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59C65266">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77D14B33">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3C48B2C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4F567DFD">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600FBB7A">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0.05</w:t>
                  </w:r>
                </w:p>
              </w:tc>
            </w:tr>
            <w:tr w14:paraId="0C08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319C713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钡</w:t>
                  </w:r>
                </w:p>
              </w:tc>
              <w:tc>
                <w:tcPr>
                  <w:tcW w:w="699" w:type="pct"/>
                  <w:noWrap w:val="0"/>
                  <w:vAlign w:val="center"/>
                </w:tcPr>
                <w:p w14:paraId="1A3F59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814" w:type="dxa"/>
                  <w:noWrap w:val="0"/>
                  <w:vAlign w:val="center"/>
                </w:tcPr>
                <w:p w14:paraId="499F38C8">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0.24</w:t>
                  </w:r>
                </w:p>
              </w:tc>
              <w:tc>
                <w:tcPr>
                  <w:tcW w:w="814" w:type="dxa"/>
                  <w:noWrap w:val="0"/>
                  <w:vAlign w:val="center"/>
                </w:tcPr>
                <w:p w14:paraId="6C7C0CE2">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0.09</w:t>
                  </w:r>
                </w:p>
              </w:tc>
              <w:tc>
                <w:tcPr>
                  <w:tcW w:w="814" w:type="dxa"/>
                  <w:noWrap w:val="0"/>
                  <w:vAlign w:val="center"/>
                </w:tcPr>
                <w:p w14:paraId="34C1B47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0.08</w:t>
                  </w:r>
                </w:p>
              </w:tc>
              <w:tc>
                <w:tcPr>
                  <w:tcW w:w="814" w:type="dxa"/>
                  <w:noWrap w:val="0"/>
                  <w:vAlign w:val="center"/>
                </w:tcPr>
                <w:p w14:paraId="5364036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0.34</w:t>
                  </w:r>
                </w:p>
              </w:tc>
              <w:tc>
                <w:tcPr>
                  <w:tcW w:w="818" w:type="dxa"/>
                  <w:noWrap w:val="0"/>
                  <w:vAlign w:val="center"/>
                </w:tcPr>
                <w:p w14:paraId="179B5F5B">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0.09</w:t>
                  </w:r>
                </w:p>
              </w:tc>
              <w:tc>
                <w:tcPr>
                  <w:tcW w:w="548" w:type="pct"/>
                  <w:noWrap w:val="0"/>
                  <w:vAlign w:val="center"/>
                </w:tcPr>
                <w:p w14:paraId="7949D698">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0.70</w:t>
                  </w:r>
                </w:p>
              </w:tc>
            </w:tr>
            <w:tr w14:paraId="73DD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01D559D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阴离子表面活性剂</w:t>
                  </w:r>
                </w:p>
              </w:tc>
              <w:tc>
                <w:tcPr>
                  <w:tcW w:w="699" w:type="pct"/>
                  <w:noWrap w:val="0"/>
                  <w:vAlign w:val="center"/>
                </w:tcPr>
                <w:p w14:paraId="345A768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mg/L</w:t>
                  </w:r>
                </w:p>
              </w:tc>
              <w:tc>
                <w:tcPr>
                  <w:tcW w:w="540" w:type="pct"/>
                  <w:noWrap w:val="0"/>
                  <w:vAlign w:val="center"/>
                </w:tcPr>
                <w:p w14:paraId="0938C1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5F4582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19D9F8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未检出</w:t>
                  </w:r>
                </w:p>
              </w:tc>
              <w:tc>
                <w:tcPr>
                  <w:tcW w:w="540" w:type="pct"/>
                  <w:noWrap w:val="0"/>
                  <w:vAlign w:val="center"/>
                </w:tcPr>
                <w:p w14:paraId="25E5E9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未检出</w:t>
                  </w:r>
                </w:p>
              </w:tc>
              <w:tc>
                <w:tcPr>
                  <w:tcW w:w="543" w:type="pct"/>
                  <w:noWrap w:val="0"/>
                  <w:vAlign w:val="center"/>
                </w:tcPr>
                <w:p w14:paraId="747AA2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未检出</w:t>
                  </w:r>
                </w:p>
              </w:tc>
              <w:tc>
                <w:tcPr>
                  <w:tcW w:w="548" w:type="pct"/>
                  <w:noWrap w:val="0"/>
                  <w:vAlign w:val="center"/>
                </w:tcPr>
                <w:p w14:paraId="33E74DA4">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0.3</w:t>
                  </w:r>
                </w:p>
              </w:tc>
            </w:tr>
            <w:tr w14:paraId="2329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7FDAB15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总大肠菌群</w:t>
                  </w:r>
                </w:p>
              </w:tc>
              <w:tc>
                <w:tcPr>
                  <w:tcW w:w="699" w:type="pct"/>
                  <w:noWrap w:val="0"/>
                  <w:vAlign w:val="center"/>
                </w:tcPr>
                <w:p w14:paraId="3E496A6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MPN/100mL</w:t>
                  </w:r>
                  <w:r>
                    <w:rPr>
                      <w:rFonts w:hint="default" w:ascii="Times New Roman" w:hAnsi="Times New Roman" w:eastAsia="宋体" w:cs="Times New Roman"/>
                      <w:color w:val="auto"/>
                      <w:kern w:val="0"/>
                      <w:sz w:val="21"/>
                      <w:szCs w:val="21"/>
                      <w:highlight w:val="none"/>
                      <w:lang w:eastAsia="zh-CN"/>
                    </w:rPr>
                    <w:t>)</w:t>
                  </w:r>
                </w:p>
              </w:tc>
              <w:tc>
                <w:tcPr>
                  <w:tcW w:w="540" w:type="pct"/>
                  <w:noWrap w:val="0"/>
                  <w:vAlign w:val="center"/>
                </w:tcPr>
                <w:p w14:paraId="6A160636">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&lt;</w:t>
                  </w:r>
                  <w:r>
                    <w:rPr>
                      <w:rFonts w:hint="default" w:ascii="Times New Roman" w:hAnsi="Times New Roman" w:eastAsia="宋体" w:cs="Times New Roman"/>
                      <w:snapToGrid w:val="0"/>
                      <w:color w:val="auto"/>
                      <w:kern w:val="0"/>
                      <w:sz w:val="21"/>
                      <w:szCs w:val="21"/>
                      <w:highlight w:val="none"/>
                      <w:lang w:val="en-US" w:eastAsia="zh-CN"/>
                    </w:rPr>
                    <w:t>2</w:t>
                  </w:r>
                </w:p>
              </w:tc>
              <w:tc>
                <w:tcPr>
                  <w:tcW w:w="540" w:type="pct"/>
                  <w:noWrap w:val="0"/>
                  <w:vAlign w:val="center"/>
                </w:tcPr>
                <w:p w14:paraId="4ADE0AB5">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&lt;</w:t>
                  </w:r>
                  <w:r>
                    <w:rPr>
                      <w:rFonts w:hint="default" w:ascii="Times New Roman" w:hAnsi="Times New Roman" w:eastAsia="宋体" w:cs="Times New Roman"/>
                      <w:snapToGrid w:val="0"/>
                      <w:color w:val="auto"/>
                      <w:kern w:val="0"/>
                      <w:sz w:val="21"/>
                      <w:szCs w:val="21"/>
                      <w:highlight w:val="none"/>
                      <w:lang w:val="en-US" w:eastAsia="zh-CN"/>
                    </w:rPr>
                    <w:t>2</w:t>
                  </w:r>
                </w:p>
              </w:tc>
              <w:tc>
                <w:tcPr>
                  <w:tcW w:w="540" w:type="pct"/>
                  <w:noWrap w:val="0"/>
                  <w:vAlign w:val="center"/>
                </w:tcPr>
                <w:p w14:paraId="4A1EFF58">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&lt;</w:t>
                  </w:r>
                  <w:r>
                    <w:rPr>
                      <w:rFonts w:hint="default" w:ascii="Times New Roman" w:hAnsi="Times New Roman" w:eastAsia="宋体" w:cs="Times New Roman"/>
                      <w:snapToGrid w:val="0"/>
                      <w:color w:val="auto"/>
                      <w:kern w:val="0"/>
                      <w:sz w:val="21"/>
                      <w:szCs w:val="21"/>
                      <w:highlight w:val="none"/>
                      <w:lang w:val="en-US" w:eastAsia="zh-CN"/>
                    </w:rPr>
                    <w:t>2</w:t>
                  </w:r>
                </w:p>
              </w:tc>
              <w:tc>
                <w:tcPr>
                  <w:tcW w:w="540" w:type="pct"/>
                  <w:noWrap w:val="0"/>
                  <w:vAlign w:val="center"/>
                </w:tcPr>
                <w:p w14:paraId="308265A7">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&lt;</w:t>
                  </w:r>
                  <w:r>
                    <w:rPr>
                      <w:rFonts w:hint="default" w:ascii="Times New Roman" w:hAnsi="Times New Roman" w:eastAsia="宋体" w:cs="Times New Roman"/>
                      <w:snapToGrid w:val="0"/>
                      <w:color w:val="auto"/>
                      <w:kern w:val="0"/>
                      <w:sz w:val="21"/>
                      <w:szCs w:val="21"/>
                      <w:highlight w:val="none"/>
                      <w:lang w:val="en-US" w:eastAsia="zh-CN"/>
                    </w:rPr>
                    <w:t>2</w:t>
                  </w:r>
                </w:p>
              </w:tc>
              <w:tc>
                <w:tcPr>
                  <w:tcW w:w="543" w:type="pct"/>
                  <w:noWrap w:val="0"/>
                  <w:vAlign w:val="center"/>
                </w:tcPr>
                <w:p w14:paraId="554A3A01">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snapToGrid w:val="0"/>
                      <w:color w:val="auto"/>
                      <w:kern w:val="0"/>
                      <w:sz w:val="21"/>
                      <w:szCs w:val="21"/>
                      <w:highlight w:val="none"/>
                      <w:lang w:val="en-US" w:eastAsia="zh-CN"/>
                    </w:rPr>
                    <w:t>&lt;</w:t>
                  </w:r>
                  <w:r>
                    <w:rPr>
                      <w:rFonts w:hint="default" w:ascii="Times New Roman" w:hAnsi="Times New Roman" w:eastAsia="宋体" w:cs="Times New Roman"/>
                      <w:snapToGrid w:val="0"/>
                      <w:color w:val="auto"/>
                      <w:kern w:val="0"/>
                      <w:sz w:val="21"/>
                      <w:szCs w:val="21"/>
                      <w:highlight w:val="none"/>
                      <w:lang w:val="en-US" w:eastAsia="zh-CN"/>
                    </w:rPr>
                    <w:t>2</w:t>
                  </w:r>
                </w:p>
              </w:tc>
              <w:tc>
                <w:tcPr>
                  <w:tcW w:w="548" w:type="pct"/>
                  <w:noWrap w:val="0"/>
                  <w:vAlign w:val="center"/>
                </w:tcPr>
                <w:p w14:paraId="3F59FCB2">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3.0</w:t>
                  </w:r>
                </w:p>
              </w:tc>
            </w:tr>
            <w:tr w14:paraId="6965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54" w:hRule="atLeast"/>
                <w:jc w:val="center"/>
              </w:trPr>
              <w:tc>
                <w:tcPr>
                  <w:tcW w:w="1046" w:type="pct"/>
                  <w:noWrap w:val="0"/>
                  <w:vAlign w:val="center"/>
                </w:tcPr>
                <w:p w14:paraId="01611CD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细菌总数</w:t>
                  </w:r>
                </w:p>
              </w:tc>
              <w:tc>
                <w:tcPr>
                  <w:tcW w:w="699" w:type="pct"/>
                  <w:noWrap w:val="0"/>
                  <w:vAlign w:val="center"/>
                </w:tcPr>
                <w:p w14:paraId="4F5DB3E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CFU/mL</w:t>
                  </w:r>
                  <w:r>
                    <w:rPr>
                      <w:rFonts w:hint="default" w:ascii="Times New Roman" w:hAnsi="Times New Roman" w:eastAsia="宋体" w:cs="Times New Roman"/>
                      <w:color w:val="auto"/>
                      <w:kern w:val="0"/>
                      <w:sz w:val="21"/>
                      <w:szCs w:val="21"/>
                      <w:highlight w:val="none"/>
                      <w:lang w:eastAsia="zh-CN"/>
                    </w:rPr>
                    <w:t>)</w:t>
                  </w:r>
                </w:p>
              </w:tc>
              <w:tc>
                <w:tcPr>
                  <w:tcW w:w="814" w:type="dxa"/>
                  <w:noWrap w:val="0"/>
                  <w:vAlign w:val="center"/>
                </w:tcPr>
                <w:p w14:paraId="4594AB11">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24</w:t>
                  </w:r>
                </w:p>
              </w:tc>
              <w:tc>
                <w:tcPr>
                  <w:tcW w:w="814" w:type="dxa"/>
                  <w:noWrap w:val="0"/>
                  <w:vAlign w:val="center"/>
                </w:tcPr>
                <w:p w14:paraId="77D37AD6">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w:t>
                  </w:r>
                </w:p>
              </w:tc>
              <w:tc>
                <w:tcPr>
                  <w:tcW w:w="814" w:type="dxa"/>
                  <w:noWrap w:val="0"/>
                  <w:vAlign w:val="center"/>
                </w:tcPr>
                <w:p w14:paraId="4B851DF7">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w:t>
                  </w:r>
                </w:p>
              </w:tc>
              <w:tc>
                <w:tcPr>
                  <w:tcW w:w="814" w:type="dxa"/>
                  <w:noWrap w:val="0"/>
                  <w:vAlign w:val="center"/>
                </w:tcPr>
                <w:p w14:paraId="5289D07F">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w:t>
                  </w:r>
                </w:p>
              </w:tc>
              <w:tc>
                <w:tcPr>
                  <w:tcW w:w="818" w:type="dxa"/>
                  <w:noWrap w:val="0"/>
                  <w:vAlign w:val="center"/>
                </w:tcPr>
                <w:p w14:paraId="557CBABD">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548" w:type="pct"/>
                  <w:noWrap w:val="0"/>
                  <w:vAlign w:val="center"/>
                </w:tcPr>
                <w:p w14:paraId="424A615E">
                  <w:pPr>
                    <w:keepNext w:val="0"/>
                    <w:keepLines w:val="0"/>
                    <w:suppressLineNumbers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rPr>
                    <w:t>≤</w:t>
                  </w:r>
                  <w:r>
                    <w:rPr>
                      <w:rFonts w:hint="default" w:ascii="Times New Roman" w:hAnsi="Times New Roman" w:eastAsia="宋体" w:cs="Times New Roman"/>
                      <w:snapToGrid w:val="0"/>
                      <w:color w:val="auto"/>
                      <w:kern w:val="0"/>
                      <w:sz w:val="21"/>
                      <w:szCs w:val="21"/>
                      <w:highlight w:val="none"/>
                      <w:lang w:val="en-US" w:eastAsia="zh-CN"/>
                    </w:rPr>
                    <w:t>100</w:t>
                  </w:r>
                </w:p>
              </w:tc>
            </w:tr>
          </w:tbl>
          <w:p w14:paraId="2EF0E67C">
            <w:pPr>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kern w:val="0"/>
                <w:sz w:val="21"/>
                <w:szCs w:val="21"/>
                <w:highlight w:val="none"/>
              </w:rPr>
              <w:t>注：*为未列入《地下水质量标准》（GB/T</w:t>
            </w:r>
            <w:r>
              <w:rPr>
                <w:rFonts w:hint="eastAsia" w:ascii="Times New Roman" w:hAnsi="Times New Roman" w:eastAsia="宋体" w:cs="Times New Roman"/>
                <w:b w:val="0"/>
                <w:bCs w:val="0"/>
                <w:color w:val="auto"/>
                <w:kern w:val="0"/>
                <w:sz w:val="21"/>
                <w:szCs w:val="21"/>
                <w:highlight w:val="none"/>
                <w:lang w:val="en-US" w:eastAsia="zh-CN"/>
              </w:rPr>
              <w:t xml:space="preserve"> </w:t>
            </w:r>
            <w:r>
              <w:rPr>
                <w:rFonts w:hint="default" w:ascii="Times New Roman" w:hAnsi="Times New Roman" w:eastAsia="宋体" w:cs="Times New Roman"/>
                <w:b w:val="0"/>
                <w:bCs w:val="0"/>
                <w:color w:val="auto"/>
                <w:kern w:val="0"/>
                <w:sz w:val="21"/>
                <w:szCs w:val="21"/>
                <w:highlight w:val="none"/>
              </w:rPr>
              <w:t>14848-2017）指标，参照执行《地表水环境质量标准》（GB</w:t>
            </w:r>
            <w:r>
              <w:rPr>
                <w:rFonts w:hint="eastAsia" w:ascii="Times New Roman" w:hAnsi="Times New Roman" w:eastAsia="宋体" w:cs="Times New Roman"/>
                <w:b w:val="0"/>
                <w:bCs w:val="0"/>
                <w:color w:val="auto"/>
                <w:kern w:val="0"/>
                <w:sz w:val="21"/>
                <w:szCs w:val="21"/>
                <w:highlight w:val="none"/>
                <w:lang w:val="en-US" w:eastAsia="zh-CN"/>
              </w:rPr>
              <w:t xml:space="preserve"> </w:t>
            </w:r>
            <w:r>
              <w:rPr>
                <w:rFonts w:hint="default" w:ascii="Times New Roman" w:hAnsi="Times New Roman" w:eastAsia="宋体" w:cs="Times New Roman"/>
                <w:b w:val="0"/>
                <w:bCs w:val="0"/>
                <w:color w:val="auto"/>
                <w:kern w:val="0"/>
                <w:sz w:val="21"/>
                <w:szCs w:val="21"/>
                <w:highlight w:val="none"/>
              </w:rPr>
              <w:t>3838-2002）。</w:t>
            </w:r>
          </w:p>
          <w:p w14:paraId="05B6B97C">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kern w:val="0"/>
                <w:sz w:val="24"/>
                <w:szCs w:val="24"/>
                <w:highlight w:val="none"/>
              </w:rPr>
              <w:t>评价方法</w:t>
            </w:r>
          </w:p>
          <w:p w14:paraId="1BDE0CC9">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采用标准指数法进行评价。标准指数计算公式分为以下两种情况：</w:t>
            </w:r>
          </w:p>
          <w:p w14:paraId="1170A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1）对于评价标准为定值的水质因子，其标准指数计算公式：</w:t>
            </w:r>
          </w:p>
          <w:p w14:paraId="55EED2FD">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647700" cy="457200"/>
                  <wp:effectExtent l="0" t="0" r="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5"/>
                          <a:stretch>
                            <a:fillRect/>
                          </a:stretch>
                        </pic:blipFill>
                        <pic:spPr>
                          <a:xfrm>
                            <a:off x="0" y="0"/>
                            <a:ext cx="647700" cy="457200"/>
                          </a:xfrm>
                          <a:prstGeom prst="rect">
                            <a:avLst/>
                          </a:prstGeom>
                          <a:noFill/>
                          <a:ln>
                            <a:noFill/>
                          </a:ln>
                        </pic:spPr>
                      </pic:pic>
                    </a:graphicData>
                  </a:graphic>
                </wp:inline>
              </w:drawing>
            </w:r>
          </w:p>
          <w:p w14:paraId="4C6D8C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rPr>
              <w:drawing>
                <wp:inline distT="0" distB="0" distL="114300" distR="114300">
                  <wp:extent cx="161925" cy="228600"/>
                  <wp:effectExtent l="0" t="0" r="3175" b="1905"/>
                  <wp:docPr id="1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5"/>
                          <pic:cNvPicPr>
                            <a:picLocks noChangeAspect="1"/>
                          </pic:cNvPicPr>
                        </pic:nvPicPr>
                        <pic:blipFill>
                          <a:blip r:embed="rId26"/>
                          <a:stretch>
                            <a:fillRect/>
                          </a:stretch>
                        </pic:blipFill>
                        <pic:spPr>
                          <a:xfrm>
                            <a:off x="0" y="0"/>
                            <a:ext cx="16192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—第i个水质因子的标准指数，无量纲；</w:t>
            </w:r>
          </w:p>
          <w:p w14:paraId="16104DD3">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80975" cy="228600"/>
                  <wp:effectExtent l="0" t="0" r="0" b="1905"/>
                  <wp:docPr id="1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6"/>
                          <pic:cNvPicPr>
                            <a:picLocks noChangeAspect="1"/>
                          </pic:cNvPicPr>
                        </pic:nvPicPr>
                        <pic:blipFill>
                          <a:blip r:embed="rId27"/>
                          <a:stretch>
                            <a:fillRect/>
                          </a:stretch>
                        </pic:blipFill>
                        <pic:spPr>
                          <a:xfrm>
                            <a:off x="0" y="0"/>
                            <a:ext cx="18097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—第i个水质因子的监测浓度，mg/L；</w:t>
            </w:r>
          </w:p>
          <w:p w14:paraId="22EA904B">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228600" cy="228600"/>
                  <wp:effectExtent l="0" t="0" r="2540" b="1905"/>
                  <wp:docPr id="13"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17"/>
                          <pic:cNvPicPr>
                            <a:picLocks noChangeAspect="1"/>
                          </pic:cNvPicPr>
                        </pic:nvPicPr>
                        <pic:blipFill>
                          <a:blip r:embed="rId28"/>
                          <a:stretch>
                            <a:fillRect/>
                          </a:stretch>
                        </pic:blipFill>
                        <pic:spPr>
                          <a:xfrm>
                            <a:off x="0" y="0"/>
                            <a:ext cx="228600"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—第i个水质因子的标准浓度，mg/L。</w:t>
            </w:r>
          </w:p>
          <w:p w14:paraId="46B469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2）对于评价标准为区间值的水质因子（如pH值），其标准指数计算公式：</w:t>
            </w:r>
          </w:p>
          <w:tbl>
            <w:tblPr>
              <w:tblStyle w:val="23"/>
              <w:tblW w:w="6907" w:type="dxa"/>
              <w:tblInd w:w="0" w:type="dxa"/>
              <w:tblLayout w:type="fixed"/>
              <w:tblCellMar>
                <w:top w:w="0" w:type="dxa"/>
                <w:left w:w="108" w:type="dxa"/>
                <w:bottom w:w="0" w:type="dxa"/>
                <w:right w:w="108" w:type="dxa"/>
              </w:tblCellMar>
            </w:tblPr>
            <w:tblGrid>
              <w:gridCol w:w="3902"/>
              <w:gridCol w:w="3005"/>
            </w:tblGrid>
            <w:tr w14:paraId="1D2C4BC9">
              <w:tblPrEx>
                <w:tblCellMar>
                  <w:top w:w="0" w:type="dxa"/>
                  <w:left w:w="108" w:type="dxa"/>
                  <w:bottom w:w="0" w:type="dxa"/>
                  <w:right w:w="108" w:type="dxa"/>
                </w:tblCellMar>
              </w:tblPrEx>
              <w:tc>
                <w:tcPr>
                  <w:tcW w:w="3902" w:type="dxa"/>
                  <w:noWrap w:val="0"/>
                  <w:vAlign w:val="center"/>
                </w:tcPr>
                <w:p w14:paraId="77DF9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257300" cy="447675"/>
                        <wp:effectExtent l="0" t="0" r="0" b="14605"/>
                        <wp:docPr id="1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5"/>
                                <pic:cNvPicPr>
                                  <a:picLocks noChangeAspect="1"/>
                                </pic:cNvPicPr>
                              </pic:nvPicPr>
                              <pic:blipFill>
                                <a:blip r:embed="rId29"/>
                                <a:stretch>
                                  <a:fillRect/>
                                </a:stretch>
                              </pic:blipFill>
                              <pic:spPr>
                                <a:xfrm>
                                  <a:off x="0" y="0"/>
                                  <a:ext cx="1257300" cy="447675"/>
                                </a:xfrm>
                                <a:prstGeom prst="rect">
                                  <a:avLst/>
                                </a:prstGeom>
                                <a:noFill/>
                                <a:ln>
                                  <a:noFill/>
                                </a:ln>
                              </pic:spPr>
                            </pic:pic>
                          </a:graphicData>
                        </a:graphic>
                      </wp:inline>
                    </w:drawing>
                  </w:r>
                </w:p>
              </w:tc>
              <w:tc>
                <w:tcPr>
                  <w:tcW w:w="3005" w:type="dxa"/>
                  <w:noWrap w:val="0"/>
                  <w:vAlign w:val="center"/>
                </w:tcPr>
                <w:p w14:paraId="34B53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pH≤7时</w:t>
                  </w:r>
                </w:p>
              </w:tc>
            </w:tr>
            <w:tr w14:paraId="3D81012F">
              <w:tblPrEx>
                <w:tblCellMar>
                  <w:top w:w="0" w:type="dxa"/>
                  <w:left w:w="108" w:type="dxa"/>
                  <w:bottom w:w="0" w:type="dxa"/>
                  <w:right w:w="108" w:type="dxa"/>
                </w:tblCellMar>
              </w:tblPrEx>
              <w:tc>
                <w:tcPr>
                  <w:tcW w:w="3902" w:type="dxa"/>
                  <w:noWrap w:val="0"/>
                  <w:vAlign w:val="center"/>
                </w:tcPr>
                <w:p w14:paraId="1E564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257300" cy="447675"/>
                        <wp:effectExtent l="0" t="0" r="13970" b="14605"/>
                        <wp:docPr id="15"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19"/>
                                <pic:cNvPicPr>
                                  <a:picLocks noChangeAspect="1"/>
                                </pic:cNvPicPr>
                              </pic:nvPicPr>
                              <pic:blipFill>
                                <a:blip r:embed="rId30"/>
                                <a:stretch>
                                  <a:fillRect/>
                                </a:stretch>
                              </pic:blipFill>
                              <pic:spPr>
                                <a:xfrm>
                                  <a:off x="0" y="0"/>
                                  <a:ext cx="1257300" cy="447675"/>
                                </a:xfrm>
                                <a:prstGeom prst="rect">
                                  <a:avLst/>
                                </a:prstGeom>
                                <a:noFill/>
                                <a:ln>
                                  <a:noFill/>
                                </a:ln>
                              </pic:spPr>
                            </pic:pic>
                          </a:graphicData>
                        </a:graphic>
                      </wp:inline>
                    </w:drawing>
                  </w:r>
                </w:p>
              </w:tc>
              <w:tc>
                <w:tcPr>
                  <w:tcW w:w="3005" w:type="dxa"/>
                  <w:noWrap w:val="0"/>
                  <w:vAlign w:val="center"/>
                </w:tcPr>
                <w:p w14:paraId="130DE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pH＞7时</w:t>
                  </w:r>
                </w:p>
              </w:tc>
            </w:tr>
          </w:tbl>
          <w:p w14:paraId="43BD2D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rPr>
              <w:drawing>
                <wp:inline distT="0" distB="0" distL="114300" distR="114300">
                  <wp:extent cx="238125" cy="238125"/>
                  <wp:effectExtent l="0" t="0" r="0" b="11430"/>
                  <wp:docPr id="16"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4"/>
                          <pic:cNvPicPr>
                            <a:picLocks noChangeAspect="1"/>
                          </pic:cNvPicPr>
                        </pic:nvPicPr>
                        <pic:blipFill>
                          <a:blip r:embed="rId31"/>
                          <a:stretch>
                            <a:fillRect/>
                          </a:stretch>
                        </pic:blipFill>
                        <pic:spPr>
                          <a:xfrm>
                            <a:off x="0" y="0"/>
                            <a:ext cx="238125" cy="238125"/>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—pH的标准指数，无量纲；</w:t>
            </w:r>
          </w:p>
          <w:p w14:paraId="712A0BB7">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238125" cy="190500"/>
                  <wp:effectExtent l="0" t="0" r="9525" b="9525"/>
                  <wp:docPr id="17"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25"/>
                          <pic:cNvPicPr>
                            <a:picLocks noChangeAspect="1"/>
                          </pic:cNvPicPr>
                        </pic:nvPicPr>
                        <pic:blipFill>
                          <a:blip r:embed="rId32"/>
                          <a:stretch>
                            <a:fillRect/>
                          </a:stretch>
                        </pic:blipFill>
                        <pic:spPr>
                          <a:xfrm>
                            <a:off x="0" y="0"/>
                            <a:ext cx="238125" cy="1905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—pH监测值；</w:t>
            </w:r>
          </w:p>
          <w:p w14:paraId="5E7D72F6">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42900" cy="228600"/>
                  <wp:effectExtent l="0" t="0" r="3810" b="1905"/>
                  <wp:docPr id="18"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6"/>
                          <pic:cNvPicPr>
                            <a:picLocks noChangeAspect="1"/>
                          </pic:cNvPicPr>
                        </pic:nvPicPr>
                        <pic:blipFill>
                          <a:blip r:embed="rId33"/>
                          <a:stretch>
                            <a:fillRect/>
                          </a:stretch>
                        </pic:blipFill>
                        <pic:spPr>
                          <a:xfrm>
                            <a:off x="0" y="0"/>
                            <a:ext cx="342900"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—标准中pH的下限值；</w:t>
            </w:r>
          </w:p>
          <w:p w14:paraId="36D4CAC8">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33375" cy="228600"/>
                  <wp:effectExtent l="0" t="0" r="13335" b="1905"/>
                  <wp:docPr id="19"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7"/>
                          <pic:cNvPicPr>
                            <a:picLocks noChangeAspect="1"/>
                          </pic:cNvPicPr>
                        </pic:nvPicPr>
                        <pic:blipFill>
                          <a:blip r:embed="rId34"/>
                          <a:stretch>
                            <a:fillRect/>
                          </a:stretch>
                        </pic:blipFill>
                        <pic:spPr>
                          <a:xfrm>
                            <a:off x="0" y="0"/>
                            <a:ext cx="33337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—标准中pH的上限值。</w:t>
            </w:r>
          </w:p>
          <w:p w14:paraId="73369C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bookmarkStart w:id="45" w:name="_Hlk522649955"/>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rPr>
              <w:t>）评价结果</w:t>
            </w:r>
          </w:p>
          <w:bookmarkEnd w:id="45"/>
          <w:p w14:paraId="3D8C9449">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评价区地下水执行《地下水质量标准》（GB/T 14848-2017）中的Ⅲ类标准。根据监测数据评价结果（下表），本项目区监测的地下水水样中各项指标均满足《地下水质量标准》（GB/T 14848-2017）中的Ⅲ类标准要求</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w:t>
            </w:r>
            <w:r>
              <w:rPr>
                <w:rFonts w:hint="default" w:ascii="Times New Roman" w:hAnsi="Times New Roman" w:eastAsia="宋体" w:cs="Times New Roman"/>
                <w:color w:val="auto"/>
                <w:kern w:val="0"/>
                <w:sz w:val="24"/>
                <w:szCs w:val="24"/>
                <w:highlight w:val="none"/>
              </w:rPr>
              <w:t>中的Ⅲ类标准</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区域地下水环境质量较好</w:t>
            </w:r>
            <w:r>
              <w:rPr>
                <w:rFonts w:hint="default" w:ascii="Times New Roman" w:hAnsi="Times New Roman" w:eastAsia="宋体" w:cs="Times New Roman"/>
                <w:color w:val="auto"/>
                <w:kern w:val="0"/>
                <w:sz w:val="24"/>
                <w:szCs w:val="24"/>
                <w:highlight w:val="none"/>
              </w:rPr>
              <w:t>。</w:t>
            </w:r>
          </w:p>
          <w:p w14:paraId="34FB326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地下水环境质量现状监测评价结果</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1095"/>
              <w:gridCol w:w="1151"/>
              <w:gridCol w:w="1149"/>
              <w:gridCol w:w="1177"/>
              <w:gridCol w:w="1177"/>
            </w:tblGrid>
            <w:tr w14:paraId="587A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vMerge w:val="restart"/>
                  <w:noWrap w:val="0"/>
                  <w:vAlign w:val="center"/>
                </w:tcPr>
                <w:p w14:paraId="5E5DF52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w:t>
                  </w:r>
                </w:p>
              </w:tc>
              <w:tc>
                <w:tcPr>
                  <w:tcW w:w="3796" w:type="pct"/>
                  <w:gridSpan w:val="5"/>
                  <w:noWrap w:val="0"/>
                  <w:vAlign w:val="center"/>
                </w:tcPr>
                <w:p w14:paraId="7033FD9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评价值Pi</w:t>
                  </w:r>
                </w:p>
              </w:tc>
            </w:tr>
            <w:tr w14:paraId="43AB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vMerge w:val="continue"/>
                  <w:noWrap w:val="0"/>
                  <w:vAlign w:val="center"/>
                </w:tcPr>
                <w:p w14:paraId="70A0995A">
                  <w:pPr>
                    <w:keepNext w:val="0"/>
                    <w:keepLines w:val="0"/>
                    <w:suppressLineNumbers w:val="0"/>
                    <w:snapToGrid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p>
              </w:tc>
              <w:tc>
                <w:tcPr>
                  <w:tcW w:w="723" w:type="pct"/>
                  <w:noWrap w:val="0"/>
                  <w:vAlign w:val="center"/>
                </w:tcPr>
                <w:p w14:paraId="318AA3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1#</w:t>
                  </w:r>
                </w:p>
              </w:tc>
              <w:tc>
                <w:tcPr>
                  <w:tcW w:w="760" w:type="pct"/>
                  <w:noWrap w:val="0"/>
                  <w:vAlign w:val="center"/>
                </w:tcPr>
                <w:p w14:paraId="7C8317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2#</w:t>
                  </w:r>
                </w:p>
              </w:tc>
              <w:tc>
                <w:tcPr>
                  <w:tcW w:w="759" w:type="pct"/>
                  <w:noWrap w:val="0"/>
                  <w:vAlign w:val="center"/>
                </w:tcPr>
                <w:p w14:paraId="14F9B9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3#</w:t>
                  </w:r>
                </w:p>
              </w:tc>
              <w:tc>
                <w:tcPr>
                  <w:tcW w:w="777" w:type="pct"/>
                  <w:noWrap w:val="0"/>
                  <w:vAlign w:val="center"/>
                </w:tcPr>
                <w:p w14:paraId="523477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4#</w:t>
                  </w:r>
                </w:p>
              </w:tc>
              <w:tc>
                <w:tcPr>
                  <w:tcW w:w="775" w:type="pct"/>
                  <w:noWrap w:val="0"/>
                  <w:vAlign w:val="center"/>
                </w:tcPr>
                <w:p w14:paraId="3A3ED1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spacing w:val="0"/>
                      <w:sz w:val="21"/>
                      <w:szCs w:val="21"/>
                      <w:highlight w:val="none"/>
                      <w:lang w:val="en-US" w:eastAsia="zh-CN"/>
                    </w:rPr>
                  </w:pPr>
                  <w:r>
                    <w:rPr>
                      <w:rFonts w:hint="default" w:ascii="Times New Roman" w:hAnsi="Times New Roman" w:eastAsia="宋体" w:cs="Times New Roman"/>
                      <w:b/>
                      <w:bCs w:val="0"/>
                      <w:color w:val="auto"/>
                      <w:spacing w:val="0"/>
                      <w:sz w:val="21"/>
                      <w:szCs w:val="21"/>
                      <w:highlight w:val="none"/>
                      <w:lang w:val="en-US" w:eastAsia="zh-CN"/>
                    </w:rPr>
                    <w:t>5#</w:t>
                  </w:r>
                </w:p>
              </w:tc>
            </w:tr>
            <w:tr w14:paraId="4B9B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432E84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pH</w:t>
                  </w:r>
                </w:p>
              </w:tc>
              <w:tc>
                <w:tcPr>
                  <w:tcW w:w="1232" w:type="dxa"/>
                  <w:noWrap w:val="0"/>
                  <w:vAlign w:val="center"/>
                </w:tcPr>
                <w:p w14:paraId="044B1C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0.133</w:t>
                  </w:r>
                </w:p>
              </w:tc>
              <w:tc>
                <w:tcPr>
                  <w:tcW w:w="1296" w:type="dxa"/>
                  <w:noWrap w:val="0"/>
                  <w:vAlign w:val="center"/>
                </w:tcPr>
                <w:p w14:paraId="43A2C8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0.067</w:t>
                  </w:r>
                </w:p>
              </w:tc>
              <w:tc>
                <w:tcPr>
                  <w:tcW w:w="1294" w:type="dxa"/>
                  <w:noWrap w:val="0"/>
                  <w:vAlign w:val="center"/>
                </w:tcPr>
                <w:p w14:paraId="137B381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0.200</w:t>
                  </w:r>
                </w:p>
              </w:tc>
              <w:tc>
                <w:tcPr>
                  <w:tcW w:w="1325" w:type="dxa"/>
                  <w:noWrap w:val="0"/>
                  <w:vAlign w:val="center"/>
                </w:tcPr>
                <w:p w14:paraId="02A1A9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0.133</w:t>
                  </w:r>
                </w:p>
              </w:tc>
              <w:tc>
                <w:tcPr>
                  <w:tcW w:w="1325" w:type="dxa"/>
                  <w:noWrap w:val="0"/>
                  <w:vAlign w:val="center"/>
                </w:tcPr>
                <w:p w14:paraId="56AB7C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0.067</w:t>
                  </w:r>
                </w:p>
              </w:tc>
            </w:tr>
            <w:tr w14:paraId="450D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3A37F0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钾</w:t>
                  </w:r>
                </w:p>
              </w:tc>
              <w:tc>
                <w:tcPr>
                  <w:tcW w:w="1232" w:type="dxa"/>
                  <w:noWrap w:val="0"/>
                  <w:vAlign w:val="center"/>
                </w:tcPr>
                <w:p w14:paraId="09CEE86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1C0216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33E1A5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5D4022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03F364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7909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56B648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钠</w:t>
                  </w:r>
                </w:p>
              </w:tc>
              <w:tc>
                <w:tcPr>
                  <w:tcW w:w="1232" w:type="dxa"/>
                  <w:noWrap w:val="0"/>
                  <w:vAlign w:val="center"/>
                </w:tcPr>
                <w:p w14:paraId="037AA1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0.051</w:t>
                  </w:r>
                </w:p>
              </w:tc>
              <w:tc>
                <w:tcPr>
                  <w:tcW w:w="1296" w:type="dxa"/>
                  <w:noWrap w:val="0"/>
                  <w:vAlign w:val="center"/>
                </w:tcPr>
                <w:p w14:paraId="5ECA7B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0.025</w:t>
                  </w:r>
                </w:p>
              </w:tc>
              <w:tc>
                <w:tcPr>
                  <w:tcW w:w="1294" w:type="dxa"/>
                  <w:noWrap w:val="0"/>
                  <w:vAlign w:val="center"/>
                </w:tcPr>
                <w:p w14:paraId="724A9C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0.026</w:t>
                  </w:r>
                </w:p>
              </w:tc>
              <w:tc>
                <w:tcPr>
                  <w:tcW w:w="1325" w:type="dxa"/>
                  <w:noWrap w:val="0"/>
                  <w:vAlign w:val="center"/>
                </w:tcPr>
                <w:p w14:paraId="2D6B77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0.049</w:t>
                  </w:r>
                </w:p>
              </w:tc>
              <w:tc>
                <w:tcPr>
                  <w:tcW w:w="1325" w:type="dxa"/>
                  <w:noWrap w:val="0"/>
                  <w:vAlign w:val="center"/>
                </w:tcPr>
                <w:p w14:paraId="6C32A8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0.027</w:t>
                  </w:r>
                </w:p>
              </w:tc>
            </w:tr>
            <w:tr w14:paraId="092E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490185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钙</w:t>
                  </w:r>
                </w:p>
              </w:tc>
              <w:tc>
                <w:tcPr>
                  <w:tcW w:w="723" w:type="pct"/>
                  <w:noWrap w:val="0"/>
                  <w:vAlign w:val="center"/>
                </w:tcPr>
                <w:p w14:paraId="46AC8B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60" w:type="pct"/>
                  <w:noWrap w:val="0"/>
                  <w:vAlign w:val="center"/>
                </w:tcPr>
                <w:p w14:paraId="0691F1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59" w:type="pct"/>
                  <w:noWrap w:val="0"/>
                  <w:vAlign w:val="center"/>
                </w:tcPr>
                <w:p w14:paraId="24AB21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77" w:type="pct"/>
                  <w:noWrap w:val="0"/>
                  <w:vAlign w:val="center"/>
                </w:tcPr>
                <w:p w14:paraId="6AD2E3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75" w:type="pct"/>
                  <w:noWrap w:val="0"/>
                  <w:vAlign w:val="center"/>
                </w:tcPr>
                <w:p w14:paraId="70CCC7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041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14C8401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镁</w:t>
                  </w:r>
                </w:p>
              </w:tc>
              <w:tc>
                <w:tcPr>
                  <w:tcW w:w="723" w:type="pct"/>
                  <w:noWrap w:val="0"/>
                  <w:vAlign w:val="center"/>
                </w:tcPr>
                <w:p w14:paraId="6BD71F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60" w:type="pct"/>
                  <w:noWrap w:val="0"/>
                  <w:vAlign w:val="center"/>
                </w:tcPr>
                <w:p w14:paraId="3E8100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59" w:type="pct"/>
                  <w:noWrap w:val="0"/>
                  <w:vAlign w:val="center"/>
                </w:tcPr>
                <w:p w14:paraId="3EEECA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77" w:type="pct"/>
                  <w:noWrap w:val="0"/>
                  <w:vAlign w:val="center"/>
                </w:tcPr>
                <w:p w14:paraId="684DE2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775" w:type="pct"/>
                  <w:noWrap w:val="0"/>
                  <w:vAlign w:val="center"/>
                </w:tcPr>
                <w:p w14:paraId="0EB314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54B6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F5FBC7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spacing w:val="-1"/>
                      <w:kern w:val="0"/>
                      <w:sz w:val="21"/>
                      <w:szCs w:val="21"/>
                      <w:highlight w:val="none"/>
                    </w:rPr>
                    <w:t>碳酸盐</w:t>
                  </w:r>
                </w:p>
              </w:tc>
              <w:tc>
                <w:tcPr>
                  <w:tcW w:w="1232" w:type="dxa"/>
                  <w:noWrap w:val="0"/>
                  <w:vAlign w:val="center"/>
                </w:tcPr>
                <w:p w14:paraId="4C8F10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70E4E9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42EFF4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07C535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6651A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3E3C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5DD7D50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color w:val="auto"/>
                      <w:spacing w:val="-1"/>
                      <w:kern w:val="0"/>
                      <w:sz w:val="21"/>
                      <w:szCs w:val="21"/>
                      <w:highlight w:val="none"/>
                    </w:rPr>
                    <w:t>碳酸氢盐</w:t>
                  </w:r>
                </w:p>
              </w:tc>
              <w:tc>
                <w:tcPr>
                  <w:tcW w:w="1232" w:type="dxa"/>
                  <w:noWrap w:val="0"/>
                  <w:vAlign w:val="center"/>
                </w:tcPr>
                <w:p w14:paraId="2FC1A0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064477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7E6B45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50D148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576CA4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54D5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2D4BA8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总硬度</w:t>
                  </w:r>
                </w:p>
              </w:tc>
              <w:tc>
                <w:tcPr>
                  <w:tcW w:w="1232" w:type="dxa"/>
                  <w:noWrap w:val="0"/>
                  <w:vAlign w:val="center"/>
                </w:tcPr>
                <w:p w14:paraId="65004E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0.364</w:t>
                  </w:r>
                </w:p>
              </w:tc>
              <w:tc>
                <w:tcPr>
                  <w:tcW w:w="1296" w:type="dxa"/>
                  <w:noWrap w:val="0"/>
                  <w:vAlign w:val="center"/>
                </w:tcPr>
                <w:p w14:paraId="69B325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0.291</w:t>
                  </w:r>
                </w:p>
              </w:tc>
              <w:tc>
                <w:tcPr>
                  <w:tcW w:w="1294" w:type="dxa"/>
                  <w:noWrap w:val="0"/>
                  <w:vAlign w:val="center"/>
                </w:tcPr>
                <w:p w14:paraId="17D56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0.302</w:t>
                  </w:r>
                </w:p>
              </w:tc>
              <w:tc>
                <w:tcPr>
                  <w:tcW w:w="1325" w:type="dxa"/>
                  <w:noWrap w:val="0"/>
                  <w:vAlign w:val="center"/>
                </w:tcPr>
                <w:p w14:paraId="0B0EF0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0.378</w:t>
                  </w:r>
                </w:p>
              </w:tc>
              <w:tc>
                <w:tcPr>
                  <w:tcW w:w="1325" w:type="dxa"/>
                  <w:noWrap w:val="0"/>
                  <w:vAlign w:val="center"/>
                </w:tcPr>
                <w:p w14:paraId="1CB0C3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0.293</w:t>
                  </w:r>
                </w:p>
              </w:tc>
            </w:tr>
            <w:tr w14:paraId="3883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391C91A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溶解性总固体</w:t>
                  </w:r>
                </w:p>
              </w:tc>
              <w:tc>
                <w:tcPr>
                  <w:tcW w:w="1232" w:type="dxa"/>
                  <w:noWrap w:val="0"/>
                  <w:vAlign w:val="center"/>
                </w:tcPr>
                <w:p w14:paraId="1AD378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0.203</w:t>
                  </w:r>
                </w:p>
              </w:tc>
              <w:tc>
                <w:tcPr>
                  <w:tcW w:w="1296" w:type="dxa"/>
                  <w:noWrap w:val="0"/>
                  <w:vAlign w:val="center"/>
                </w:tcPr>
                <w:p w14:paraId="473203D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0.145</w:t>
                  </w:r>
                </w:p>
              </w:tc>
              <w:tc>
                <w:tcPr>
                  <w:tcW w:w="1294" w:type="dxa"/>
                  <w:noWrap w:val="0"/>
                  <w:vAlign w:val="center"/>
                </w:tcPr>
                <w:p w14:paraId="1951AE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0.143</w:t>
                  </w:r>
                </w:p>
              </w:tc>
              <w:tc>
                <w:tcPr>
                  <w:tcW w:w="1325" w:type="dxa"/>
                  <w:noWrap w:val="0"/>
                  <w:vAlign w:val="center"/>
                </w:tcPr>
                <w:p w14:paraId="7B7F37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0.184</w:t>
                  </w:r>
                </w:p>
              </w:tc>
              <w:tc>
                <w:tcPr>
                  <w:tcW w:w="1325" w:type="dxa"/>
                  <w:noWrap w:val="0"/>
                  <w:vAlign w:val="center"/>
                </w:tcPr>
                <w:p w14:paraId="2B1149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0.154</w:t>
                  </w:r>
                </w:p>
              </w:tc>
            </w:tr>
            <w:tr w14:paraId="60DC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00808B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硫酸盐</w:t>
                  </w:r>
                </w:p>
              </w:tc>
              <w:tc>
                <w:tcPr>
                  <w:tcW w:w="1232" w:type="dxa"/>
                  <w:noWrap w:val="0"/>
                  <w:vAlign w:val="center"/>
                </w:tcPr>
                <w:p w14:paraId="727842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0.114</w:t>
                  </w:r>
                </w:p>
              </w:tc>
              <w:tc>
                <w:tcPr>
                  <w:tcW w:w="1296" w:type="dxa"/>
                  <w:noWrap w:val="0"/>
                  <w:vAlign w:val="center"/>
                </w:tcPr>
                <w:p w14:paraId="6F1D50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0.047</w:t>
                  </w:r>
                </w:p>
              </w:tc>
              <w:tc>
                <w:tcPr>
                  <w:tcW w:w="1294" w:type="dxa"/>
                  <w:noWrap w:val="0"/>
                  <w:vAlign w:val="center"/>
                </w:tcPr>
                <w:p w14:paraId="6F7F8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0.046</w:t>
                  </w:r>
                </w:p>
              </w:tc>
              <w:tc>
                <w:tcPr>
                  <w:tcW w:w="1325" w:type="dxa"/>
                  <w:noWrap w:val="0"/>
                  <w:vAlign w:val="center"/>
                </w:tcPr>
                <w:p w14:paraId="3BBDFE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0.119</w:t>
                  </w:r>
                </w:p>
              </w:tc>
              <w:tc>
                <w:tcPr>
                  <w:tcW w:w="1325" w:type="dxa"/>
                  <w:noWrap w:val="0"/>
                  <w:vAlign w:val="center"/>
                </w:tcPr>
                <w:p w14:paraId="5E5462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0.048</w:t>
                  </w:r>
                </w:p>
              </w:tc>
            </w:tr>
            <w:tr w14:paraId="5727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74008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氯化物</w:t>
                  </w:r>
                </w:p>
              </w:tc>
              <w:tc>
                <w:tcPr>
                  <w:tcW w:w="1232" w:type="dxa"/>
                  <w:noWrap w:val="0"/>
                  <w:vAlign w:val="center"/>
                </w:tcPr>
                <w:p w14:paraId="25CD9F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0.116</w:t>
                  </w:r>
                </w:p>
              </w:tc>
              <w:tc>
                <w:tcPr>
                  <w:tcW w:w="1296" w:type="dxa"/>
                  <w:noWrap w:val="0"/>
                  <w:vAlign w:val="center"/>
                </w:tcPr>
                <w:p w14:paraId="566D24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0.054</w:t>
                  </w:r>
                </w:p>
              </w:tc>
              <w:tc>
                <w:tcPr>
                  <w:tcW w:w="1294" w:type="dxa"/>
                  <w:noWrap w:val="0"/>
                  <w:vAlign w:val="center"/>
                </w:tcPr>
                <w:p w14:paraId="76D30B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0.052</w:t>
                  </w:r>
                </w:p>
              </w:tc>
              <w:tc>
                <w:tcPr>
                  <w:tcW w:w="1325" w:type="dxa"/>
                  <w:noWrap w:val="0"/>
                  <w:vAlign w:val="center"/>
                </w:tcPr>
                <w:p w14:paraId="64DCDE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0.063</w:t>
                  </w:r>
                </w:p>
              </w:tc>
              <w:tc>
                <w:tcPr>
                  <w:tcW w:w="1325" w:type="dxa"/>
                  <w:noWrap w:val="0"/>
                  <w:vAlign w:val="center"/>
                </w:tcPr>
                <w:p w14:paraId="1F3173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0.051</w:t>
                  </w:r>
                </w:p>
              </w:tc>
            </w:tr>
            <w:tr w14:paraId="023C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D9095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铁（Fe）</w:t>
                  </w:r>
                </w:p>
              </w:tc>
              <w:tc>
                <w:tcPr>
                  <w:tcW w:w="1232" w:type="dxa"/>
                  <w:noWrap w:val="0"/>
                  <w:vAlign w:val="center"/>
                </w:tcPr>
                <w:p w14:paraId="04BAB1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29AF0C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661AFC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47E3A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0D86BE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752C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2B0397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锰（Mn）</w:t>
                  </w:r>
                </w:p>
              </w:tc>
              <w:tc>
                <w:tcPr>
                  <w:tcW w:w="1232" w:type="dxa"/>
                  <w:noWrap w:val="0"/>
                  <w:vAlign w:val="center"/>
                </w:tcPr>
                <w:p w14:paraId="2AB017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0.400</w:t>
                  </w:r>
                </w:p>
              </w:tc>
              <w:tc>
                <w:tcPr>
                  <w:tcW w:w="1296" w:type="dxa"/>
                  <w:noWrap w:val="0"/>
                  <w:vAlign w:val="center"/>
                </w:tcPr>
                <w:p w14:paraId="7D47F9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0.400</w:t>
                  </w:r>
                </w:p>
              </w:tc>
              <w:tc>
                <w:tcPr>
                  <w:tcW w:w="1294" w:type="dxa"/>
                  <w:noWrap w:val="0"/>
                  <w:vAlign w:val="center"/>
                </w:tcPr>
                <w:p w14:paraId="3E1C39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0.400</w:t>
                  </w:r>
                </w:p>
              </w:tc>
              <w:tc>
                <w:tcPr>
                  <w:tcW w:w="1325" w:type="dxa"/>
                  <w:noWrap w:val="0"/>
                  <w:vAlign w:val="center"/>
                </w:tcPr>
                <w:p w14:paraId="21BAF0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0.500</w:t>
                  </w:r>
                </w:p>
              </w:tc>
              <w:tc>
                <w:tcPr>
                  <w:tcW w:w="1325" w:type="dxa"/>
                  <w:noWrap w:val="0"/>
                  <w:vAlign w:val="center"/>
                </w:tcPr>
                <w:p w14:paraId="3CB160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0.400</w:t>
                  </w:r>
                </w:p>
              </w:tc>
            </w:tr>
            <w:tr w14:paraId="40CB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2770F24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挥发性酚</w:t>
                  </w:r>
                </w:p>
              </w:tc>
              <w:tc>
                <w:tcPr>
                  <w:tcW w:w="1232" w:type="dxa"/>
                  <w:noWrap w:val="0"/>
                  <w:vAlign w:val="center"/>
                </w:tcPr>
                <w:p w14:paraId="408F0F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3DF787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23BA77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359C81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58C3C4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5A88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1AFD73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耗氧量</w:t>
                  </w:r>
                </w:p>
              </w:tc>
              <w:tc>
                <w:tcPr>
                  <w:tcW w:w="1232" w:type="dxa"/>
                  <w:noWrap w:val="0"/>
                  <w:vAlign w:val="center"/>
                </w:tcPr>
                <w:p w14:paraId="2A4F231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0.537</w:t>
                  </w:r>
                </w:p>
              </w:tc>
              <w:tc>
                <w:tcPr>
                  <w:tcW w:w="1296" w:type="dxa"/>
                  <w:noWrap w:val="0"/>
                  <w:vAlign w:val="center"/>
                </w:tcPr>
                <w:p w14:paraId="03833C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0.647</w:t>
                  </w:r>
                </w:p>
              </w:tc>
              <w:tc>
                <w:tcPr>
                  <w:tcW w:w="1294" w:type="dxa"/>
                  <w:noWrap w:val="0"/>
                  <w:vAlign w:val="center"/>
                </w:tcPr>
                <w:p w14:paraId="597CA8A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0.873</w:t>
                  </w:r>
                </w:p>
              </w:tc>
              <w:tc>
                <w:tcPr>
                  <w:tcW w:w="1325" w:type="dxa"/>
                  <w:noWrap w:val="0"/>
                  <w:vAlign w:val="center"/>
                </w:tcPr>
                <w:p w14:paraId="21805BA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0.587</w:t>
                  </w:r>
                </w:p>
              </w:tc>
              <w:tc>
                <w:tcPr>
                  <w:tcW w:w="1325" w:type="dxa"/>
                  <w:noWrap w:val="0"/>
                  <w:vAlign w:val="center"/>
                </w:tcPr>
                <w:p w14:paraId="493502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0.953</w:t>
                  </w:r>
                </w:p>
              </w:tc>
            </w:tr>
            <w:tr w14:paraId="20A2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4898274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硝酸盐（以N计）</w:t>
                  </w:r>
                </w:p>
              </w:tc>
              <w:tc>
                <w:tcPr>
                  <w:tcW w:w="1232" w:type="dxa"/>
                  <w:noWrap w:val="0"/>
                  <w:vAlign w:val="center"/>
                </w:tcPr>
                <w:p w14:paraId="61DFD0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0.170</w:t>
                  </w:r>
                </w:p>
              </w:tc>
              <w:tc>
                <w:tcPr>
                  <w:tcW w:w="1296" w:type="dxa"/>
                  <w:noWrap w:val="0"/>
                  <w:vAlign w:val="center"/>
                </w:tcPr>
                <w:p w14:paraId="37F87F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0.043</w:t>
                  </w:r>
                </w:p>
              </w:tc>
              <w:tc>
                <w:tcPr>
                  <w:tcW w:w="1294" w:type="dxa"/>
                  <w:noWrap w:val="0"/>
                  <w:vAlign w:val="center"/>
                </w:tcPr>
                <w:p w14:paraId="0F1945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0.039</w:t>
                  </w:r>
                </w:p>
              </w:tc>
              <w:tc>
                <w:tcPr>
                  <w:tcW w:w="1325" w:type="dxa"/>
                  <w:noWrap w:val="0"/>
                  <w:vAlign w:val="center"/>
                </w:tcPr>
                <w:p w14:paraId="21EBF4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0.036</w:t>
                  </w:r>
                </w:p>
              </w:tc>
              <w:tc>
                <w:tcPr>
                  <w:tcW w:w="1325" w:type="dxa"/>
                  <w:noWrap w:val="0"/>
                  <w:vAlign w:val="center"/>
                </w:tcPr>
                <w:p w14:paraId="5730CB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0.040</w:t>
                  </w:r>
                </w:p>
              </w:tc>
            </w:tr>
            <w:tr w14:paraId="47CF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780787D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亚硝酸盐（以N计）</w:t>
                  </w:r>
                </w:p>
              </w:tc>
              <w:tc>
                <w:tcPr>
                  <w:tcW w:w="1232" w:type="dxa"/>
                  <w:noWrap w:val="0"/>
                  <w:vAlign w:val="center"/>
                </w:tcPr>
                <w:p w14:paraId="1174C3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458CDD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1AF76E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33097A0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27D166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782B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0B457E4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氨氮（NH</w:t>
                  </w:r>
                  <w:r>
                    <w:rPr>
                      <w:rFonts w:hint="default" w:ascii="Times New Roman" w:hAnsi="Times New Roman" w:eastAsia="宋体" w:cs="Times New Roman"/>
                      <w:snapToGrid w:val="0"/>
                      <w:color w:val="auto"/>
                      <w:kern w:val="0"/>
                      <w:sz w:val="21"/>
                      <w:szCs w:val="21"/>
                      <w:highlight w:val="none"/>
                      <w:vertAlign w:val="subscript"/>
                    </w:rPr>
                    <w:t>3</w:t>
                  </w:r>
                  <w:r>
                    <w:rPr>
                      <w:rFonts w:hint="default" w:ascii="Times New Roman" w:hAnsi="Times New Roman" w:eastAsia="宋体" w:cs="Times New Roman"/>
                      <w:snapToGrid w:val="0"/>
                      <w:color w:val="auto"/>
                      <w:kern w:val="0"/>
                      <w:sz w:val="21"/>
                      <w:szCs w:val="21"/>
                      <w:highlight w:val="none"/>
                    </w:rPr>
                    <w:t>-N）</w:t>
                  </w:r>
                </w:p>
              </w:tc>
              <w:tc>
                <w:tcPr>
                  <w:tcW w:w="1232" w:type="dxa"/>
                  <w:noWrap w:val="0"/>
                  <w:vAlign w:val="center"/>
                </w:tcPr>
                <w:p w14:paraId="30CFC7E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0.582</w:t>
                  </w:r>
                </w:p>
              </w:tc>
              <w:tc>
                <w:tcPr>
                  <w:tcW w:w="1296" w:type="dxa"/>
                  <w:noWrap w:val="0"/>
                  <w:vAlign w:val="center"/>
                </w:tcPr>
                <w:p w14:paraId="2CADD7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0.608</w:t>
                  </w:r>
                </w:p>
              </w:tc>
              <w:tc>
                <w:tcPr>
                  <w:tcW w:w="1294" w:type="dxa"/>
                  <w:noWrap w:val="0"/>
                  <w:vAlign w:val="center"/>
                </w:tcPr>
                <w:p w14:paraId="1B3CAC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0.552</w:t>
                  </w:r>
                </w:p>
              </w:tc>
              <w:tc>
                <w:tcPr>
                  <w:tcW w:w="1325" w:type="dxa"/>
                  <w:noWrap w:val="0"/>
                  <w:vAlign w:val="center"/>
                </w:tcPr>
                <w:p w14:paraId="15A2E0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0.568</w:t>
                  </w:r>
                </w:p>
              </w:tc>
              <w:tc>
                <w:tcPr>
                  <w:tcW w:w="1325" w:type="dxa"/>
                  <w:noWrap w:val="0"/>
                  <w:vAlign w:val="center"/>
                </w:tcPr>
                <w:p w14:paraId="3480FE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0.624</w:t>
                  </w:r>
                </w:p>
              </w:tc>
            </w:tr>
            <w:tr w14:paraId="3D54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35F694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氰化物</w:t>
                  </w:r>
                </w:p>
              </w:tc>
              <w:tc>
                <w:tcPr>
                  <w:tcW w:w="1232" w:type="dxa"/>
                  <w:noWrap w:val="0"/>
                  <w:vAlign w:val="center"/>
                </w:tcPr>
                <w:p w14:paraId="6DD35A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4A6602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71CCBA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7A4AE3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4CE78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4C7B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987C02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氟化物</w:t>
                  </w:r>
                </w:p>
              </w:tc>
              <w:tc>
                <w:tcPr>
                  <w:tcW w:w="1232" w:type="dxa"/>
                  <w:noWrap w:val="0"/>
                  <w:vAlign w:val="center"/>
                </w:tcPr>
                <w:p w14:paraId="5DA951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0.240</w:t>
                  </w:r>
                </w:p>
              </w:tc>
              <w:tc>
                <w:tcPr>
                  <w:tcW w:w="1296" w:type="dxa"/>
                  <w:noWrap w:val="0"/>
                  <w:vAlign w:val="center"/>
                </w:tcPr>
                <w:p w14:paraId="05358C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0.250</w:t>
                  </w:r>
                </w:p>
              </w:tc>
              <w:tc>
                <w:tcPr>
                  <w:tcW w:w="1294" w:type="dxa"/>
                  <w:noWrap w:val="0"/>
                  <w:vAlign w:val="center"/>
                </w:tcPr>
                <w:p w14:paraId="762C03F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0.260</w:t>
                  </w:r>
                </w:p>
              </w:tc>
              <w:tc>
                <w:tcPr>
                  <w:tcW w:w="1325" w:type="dxa"/>
                  <w:noWrap w:val="0"/>
                  <w:vAlign w:val="center"/>
                </w:tcPr>
                <w:p w14:paraId="1CF7B8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0.300</w:t>
                  </w:r>
                </w:p>
              </w:tc>
              <w:tc>
                <w:tcPr>
                  <w:tcW w:w="1325" w:type="dxa"/>
                  <w:noWrap w:val="0"/>
                  <w:vAlign w:val="center"/>
                </w:tcPr>
                <w:p w14:paraId="4DE771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0.260</w:t>
                  </w:r>
                </w:p>
              </w:tc>
            </w:tr>
            <w:tr w14:paraId="0183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73ADAA6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硫化物</w:t>
                  </w:r>
                </w:p>
              </w:tc>
              <w:tc>
                <w:tcPr>
                  <w:tcW w:w="1232" w:type="dxa"/>
                  <w:noWrap w:val="0"/>
                  <w:vAlign w:val="center"/>
                </w:tcPr>
                <w:p w14:paraId="31B762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65AE86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179F1E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8DF58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2345201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11B6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EF4F23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铅（Pb）</w:t>
                  </w:r>
                </w:p>
              </w:tc>
              <w:tc>
                <w:tcPr>
                  <w:tcW w:w="1232" w:type="dxa"/>
                  <w:noWrap w:val="0"/>
                  <w:vAlign w:val="center"/>
                </w:tcPr>
                <w:p w14:paraId="749ED3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292EE7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7164D4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247B9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6337D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5441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40C3374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砷（As）</w:t>
                  </w:r>
                </w:p>
              </w:tc>
              <w:tc>
                <w:tcPr>
                  <w:tcW w:w="1232" w:type="dxa"/>
                  <w:noWrap w:val="0"/>
                  <w:vAlign w:val="center"/>
                </w:tcPr>
                <w:p w14:paraId="62389B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750411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40206C4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608F74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770E18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587B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725C502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汞（Hg）</w:t>
                  </w:r>
                </w:p>
              </w:tc>
              <w:tc>
                <w:tcPr>
                  <w:tcW w:w="1232" w:type="dxa"/>
                  <w:noWrap w:val="0"/>
                  <w:vAlign w:val="center"/>
                </w:tcPr>
                <w:p w14:paraId="6925EC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586C3D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658A30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095990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152804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6501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3C2E41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镉（Cd）</w:t>
                  </w:r>
                </w:p>
              </w:tc>
              <w:tc>
                <w:tcPr>
                  <w:tcW w:w="1232" w:type="dxa"/>
                  <w:noWrap w:val="0"/>
                  <w:vAlign w:val="center"/>
                </w:tcPr>
                <w:p w14:paraId="2DADD6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137921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5FB43F1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31E10F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773D240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374E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5FFD20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六价铬（Cr</w:t>
                  </w:r>
                  <w:r>
                    <w:rPr>
                      <w:rFonts w:hint="default" w:ascii="Times New Roman" w:hAnsi="Times New Roman" w:eastAsia="宋体" w:cs="Times New Roman"/>
                      <w:snapToGrid w:val="0"/>
                      <w:color w:val="auto"/>
                      <w:kern w:val="0"/>
                      <w:sz w:val="21"/>
                      <w:szCs w:val="21"/>
                      <w:highlight w:val="none"/>
                      <w:vertAlign w:val="superscript"/>
                    </w:rPr>
                    <w:t>6+</w:t>
                  </w:r>
                  <w:r>
                    <w:rPr>
                      <w:rFonts w:hint="default" w:ascii="Times New Roman" w:hAnsi="Times New Roman" w:eastAsia="宋体" w:cs="Times New Roman"/>
                      <w:snapToGrid w:val="0"/>
                      <w:color w:val="auto"/>
                      <w:kern w:val="0"/>
                      <w:sz w:val="21"/>
                      <w:szCs w:val="21"/>
                      <w:highlight w:val="none"/>
                    </w:rPr>
                    <w:t>）</w:t>
                  </w:r>
                </w:p>
              </w:tc>
              <w:tc>
                <w:tcPr>
                  <w:tcW w:w="1232" w:type="dxa"/>
                  <w:noWrap w:val="0"/>
                  <w:vAlign w:val="center"/>
                </w:tcPr>
                <w:p w14:paraId="5DC747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60AD02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7A98D8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327ED6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15B8CC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1540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5CA96F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石油类</w:t>
                  </w:r>
                </w:p>
              </w:tc>
              <w:tc>
                <w:tcPr>
                  <w:tcW w:w="1232" w:type="dxa"/>
                  <w:noWrap w:val="0"/>
                  <w:vAlign w:val="center"/>
                </w:tcPr>
                <w:p w14:paraId="477A19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26D755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4EE7DB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15E387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7D0AF5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47E3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46717F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钡</w:t>
                  </w:r>
                </w:p>
              </w:tc>
              <w:tc>
                <w:tcPr>
                  <w:tcW w:w="1232" w:type="dxa"/>
                  <w:noWrap w:val="0"/>
                  <w:vAlign w:val="center"/>
                </w:tcPr>
                <w:p w14:paraId="75C76E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0.343</w:t>
                  </w:r>
                </w:p>
              </w:tc>
              <w:tc>
                <w:tcPr>
                  <w:tcW w:w="1296" w:type="dxa"/>
                  <w:noWrap w:val="0"/>
                  <w:vAlign w:val="center"/>
                </w:tcPr>
                <w:p w14:paraId="7CFEE0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0.129</w:t>
                  </w:r>
                </w:p>
              </w:tc>
              <w:tc>
                <w:tcPr>
                  <w:tcW w:w="1294" w:type="dxa"/>
                  <w:noWrap w:val="0"/>
                  <w:vAlign w:val="center"/>
                </w:tcPr>
                <w:p w14:paraId="44B98C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0.114</w:t>
                  </w:r>
                </w:p>
              </w:tc>
              <w:tc>
                <w:tcPr>
                  <w:tcW w:w="1325" w:type="dxa"/>
                  <w:noWrap w:val="0"/>
                  <w:vAlign w:val="center"/>
                </w:tcPr>
                <w:p w14:paraId="553FF7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0.486</w:t>
                  </w:r>
                </w:p>
              </w:tc>
              <w:tc>
                <w:tcPr>
                  <w:tcW w:w="1325" w:type="dxa"/>
                  <w:noWrap w:val="0"/>
                  <w:vAlign w:val="center"/>
                </w:tcPr>
                <w:p w14:paraId="109859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0.129</w:t>
                  </w:r>
                </w:p>
              </w:tc>
            </w:tr>
            <w:tr w14:paraId="014E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37CF736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阴离子表面活性剂</w:t>
                  </w:r>
                </w:p>
              </w:tc>
              <w:tc>
                <w:tcPr>
                  <w:tcW w:w="1232" w:type="dxa"/>
                  <w:noWrap w:val="0"/>
                  <w:vAlign w:val="center"/>
                </w:tcPr>
                <w:p w14:paraId="18D5A0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60518E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2D9224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7443E0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0FA29B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1B09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74B0F08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总大肠菌群</w:t>
                  </w:r>
                </w:p>
              </w:tc>
              <w:tc>
                <w:tcPr>
                  <w:tcW w:w="1232" w:type="dxa"/>
                  <w:noWrap w:val="0"/>
                  <w:vAlign w:val="center"/>
                </w:tcPr>
                <w:p w14:paraId="1511E4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6" w:type="dxa"/>
                  <w:noWrap w:val="0"/>
                  <w:vAlign w:val="center"/>
                </w:tcPr>
                <w:p w14:paraId="75CBD3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294" w:type="dxa"/>
                  <w:noWrap w:val="0"/>
                  <w:vAlign w:val="center"/>
                </w:tcPr>
                <w:p w14:paraId="47566F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528D02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c>
                <w:tcPr>
                  <w:tcW w:w="1325" w:type="dxa"/>
                  <w:noWrap w:val="0"/>
                  <w:vAlign w:val="center"/>
                </w:tcPr>
                <w:p w14:paraId="4C9329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default" w:ascii="Times New Roman" w:hAnsi="Times New Roman" w:eastAsia="宋体" w:cs="Times New Roman"/>
                      <w:b w:val="0"/>
                      <w:bCs w:val="0"/>
                      <w:color w:val="auto"/>
                      <w:spacing w:val="0"/>
                      <w:sz w:val="21"/>
                      <w:szCs w:val="21"/>
                      <w:highlight w:val="none"/>
                      <w:lang w:val="en-US" w:eastAsia="zh-CN"/>
                    </w:rPr>
                    <w:t>-</w:t>
                  </w:r>
                </w:p>
              </w:tc>
            </w:tr>
            <w:tr w14:paraId="3211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pct"/>
                  <w:noWrap w:val="0"/>
                  <w:vAlign w:val="center"/>
                </w:tcPr>
                <w:p w14:paraId="6359E5C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0"/>
                      <w:sz w:val="21"/>
                      <w:szCs w:val="21"/>
                      <w:highlight w:val="none"/>
                    </w:rPr>
                  </w:pPr>
                  <w:r>
                    <w:rPr>
                      <w:rFonts w:hint="default" w:ascii="Times New Roman" w:hAnsi="Times New Roman" w:eastAsia="宋体" w:cs="Times New Roman"/>
                      <w:snapToGrid w:val="0"/>
                      <w:color w:val="auto"/>
                      <w:kern w:val="0"/>
                      <w:sz w:val="21"/>
                      <w:szCs w:val="21"/>
                      <w:highlight w:val="none"/>
                    </w:rPr>
                    <w:t>细菌总数</w:t>
                  </w:r>
                </w:p>
              </w:tc>
              <w:tc>
                <w:tcPr>
                  <w:tcW w:w="1232" w:type="dxa"/>
                  <w:noWrap w:val="0"/>
                  <w:vAlign w:val="center"/>
                </w:tcPr>
                <w:p w14:paraId="255439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0.240</w:t>
                  </w:r>
                </w:p>
              </w:tc>
              <w:tc>
                <w:tcPr>
                  <w:tcW w:w="1296" w:type="dxa"/>
                  <w:noWrap w:val="0"/>
                  <w:vAlign w:val="center"/>
                </w:tcPr>
                <w:p w14:paraId="05BC1B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0.220</w:t>
                  </w:r>
                </w:p>
              </w:tc>
              <w:tc>
                <w:tcPr>
                  <w:tcW w:w="1294" w:type="dxa"/>
                  <w:noWrap w:val="0"/>
                  <w:vAlign w:val="center"/>
                </w:tcPr>
                <w:p w14:paraId="2D63E7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0.220</w:t>
                  </w:r>
                </w:p>
              </w:tc>
              <w:tc>
                <w:tcPr>
                  <w:tcW w:w="1325" w:type="dxa"/>
                  <w:noWrap w:val="0"/>
                  <w:vAlign w:val="center"/>
                </w:tcPr>
                <w:p w14:paraId="36E3D0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0.220</w:t>
                  </w:r>
                </w:p>
              </w:tc>
              <w:tc>
                <w:tcPr>
                  <w:tcW w:w="1325" w:type="dxa"/>
                  <w:noWrap w:val="0"/>
                  <w:vAlign w:val="center"/>
                </w:tcPr>
                <w:p w14:paraId="265796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pacing w:val="0"/>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lang w:val="en-US" w:eastAsia="zh-CN"/>
                    </w:rPr>
                    <w:t>0.250</w:t>
                  </w:r>
                </w:p>
              </w:tc>
            </w:tr>
          </w:tbl>
          <w:p w14:paraId="406E4C16">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（5）土壤环境质量现状</w:t>
            </w:r>
          </w:p>
          <w:p w14:paraId="2E0F83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rPr>
              <w:t>1）监测布点</w:t>
            </w:r>
          </w:p>
          <w:p w14:paraId="675855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本项目布设5个监测点，监测</w:t>
            </w:r>
            <w:r>
              <w:rPr>
                <w:rFonts w:hint="eastAsia" w:ascii="Times New Roman" w:hAnsi="Times New Roman" w:cs="Times New Roman"/>
                <w:color w:val="auto"/>
                <w:sz w:val="24"/>
                <w:lang w:val="en-US" w:eastAsia="zh-CN"/>
              </w:rPr>
              <w:t>点位</w:t>
            </w:r>
            <w:r>
              <w:rPr>
                <w:rFonts w:hint="default" w:ascii="Times New Roman" w:hAnsi="Times New Roman" w:cs="Times New Roman"/>
                <w:color w:val="auto"/>
                <w:sz w:val="24"/>
              </w:rPr>
              <w:t>布设情况</w:t>
            </w:r>
            <w:r>
              <w:rPr>
                <w:rFonts w:hint="eastAsia" w:ascii="Times New Roman" w:hAnsi="Times New Roman" w:cs="Times New Roman"/>
                <w:color w:val="auto"/>
                <w:sz w:val="24"/>
                <w:lang w:val="en-US" w:eastAsia="zh-CN"/>
              </w:rPr>
              <w:t>如</w:t>
            </w:r>
            <w:r>
              <w:rPr>
                <w:rFonts w:hint="default" w:ascii="Times New Roman" w:hAnsi="Times New Roman" w:cs="Times New Roman"/>
                <w:color w:val="auto"/>
                <w:sz w:val="24"/>
              </w:rPr>
              <w:t>下表</w:t>
            </w:r>
            <w:r>
              <w:rPr>
                <w:rFonts w:hint="eastAsia" w:ascii="Times New Roman" w:hAnsi="Times New Roman" w:cs="Times New Roman"/>
                <w:color w:val="auto"/>
                <w:sz w:val="24"/>
                <w:lang w:val="en-US" w:eastAsia="zh-CN"/>
              </w:rPr>
              <w:t>所示</w:t>
            </w:r>
            <w:r>
              <w:rPr>
                <w:rFonts w:hint="default" w:ascii="Times New Roman" w:hAnsi="Times New Roman" w:cs="Times New Roman"/>
                <w:color w:val="auto"/>
                <w:sz w:val="24"/>
              </w:rPr>
              <w:t>。</w:t>
            </w:r>
          </w:p>
          <w:p w14:paraId="2484B62C">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土壤环境监测点位分布表</w:t>
            </w:r>
          </w:p>
          <w:tbl>
            <w:tblPr>
              <w:tblStyle w:val="2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2376"/>
              <w:gridCol w:w="1248"/>
              <w:gridCol w:w="3083"/>
            </w:tblGrid>
            <w:tr w14:paraId="6A97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19CF7A0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取样点</w:t>
                  </w:r>
                </w:p>
              </w:tc>
              <w:tc>
                <w:tcPr>
                  <w:tcW w:w="1570" w:type="pct"/>
                  <w:noWrap w:val="0"/>
                  <w:vAlign w:val="center"/>
                </w:tcPr>
                <w:p w14:paraId="2D5F5D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方位</w:t>
                  </w:r>
                </w:p>
              </w:tc>
              <w:tc>
                <w:tcPr>
                  <w:tcW w:w="824" w:type="pct"/>
                  <w:noWrap w:val="0"/>
                  <w:vAlign w:val="center"/>
                </w:tcPr>
                <w:p w14:paraId="19CD56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取样位置</w:t>
                  </w:r>
                </w:p>
              </w:tc>
              <w:tc>
                <w:tcPr>
                  <w:tcW w:w="2037" w:type="pct"/>
                  <w:noWrap w:val="0"/>
                  <w:vAlign w:val="center"/>
                </w:tcPr>
                <w:p w14:paraId="6288FCE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r>
            <w:tr w14:paraId="1E38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27E1D18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color w:val="auto"/>
                      <w:kern w:val="0"/>
                      <w:sz w:val="21"/>
                      <w:szCs w:val="21"/>
                      <w:lang w:val="en-US" w:eastAsia="zh-CN"/>
                    </w:rPr>
                    <w:t>S</w:t>
                  </w:r>
                  <w:r>
                    <w:rPr>
                      <w:rFonts w:hint="default" w:ascii="Times New Roman" w:hAnsi="Times New Roman" w:eastAsia="宋体" w:cs="Times New Roman"/>
                      <w:color w:val="auto"/>
                      <w:kern w:val="0"/>
                      <w:sz w:val="21"/>
                      <w:szCs w:val="21"/>
                    </w:rPr>
                    <w:t>1</w:t>
                  </w:r>
                </w:p>
              </w:tc>
              <w:tc>
                <w:tcPr>
                  <w:tcW w:w="1570" w:type="pct"/>
                  <w:shd w:val="clear" w:color="auto" w:fill="auto"/>
                  <w:noWrap w:val="0"/>
                  <w:vAlign w:val="center"/>
                </w:tcPr>
                <w:p w14:paraId="2B6C8BBA">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lang w:val="en-US" w:eastAsia="zh-CN" w:bidi="ar-SA"/>
                    </w:rPr>
                  </w:pPr>
                  <w:r>
                    <w:rPr>
                      <w:rFonts w:hint="eastAsia"/>
                      <w:color w:val="auto"/>
                      <w:sz w:val="21"/>
                      <w:szCs w:val="21"/>
                    </w:rPr>
                    <w:t>项目占地范围内</w:t>
                  </w:r>
                </w:p>
              </w:tc>
              <w:tc>
                <w:tcPr>
                  <w:tcW w:w="824" w:type="pct"/>
                  <w:vMerge w:val="restart"/>
                  <w:noWrap w:val="0"/>
                  <w:vAlign w:val="center"/>
                </w:tcPr>
                <w:p w14:paraId="12559A7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表层样（0~0.2m）</w:t>
                  </w:r>
                </w:p>
              </w:tc>
              <w:tc>
                <w:tcPr>
                  <w:tcW w:w="2037" w:type="pct"/>
                  <w:noWrap w:val="0"/>
                  <w:vAlign w:val="center"/>
                </w:tcPr>
                <w:p w14:paraId="249C1D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特征因子</w:t>
                  </w:r>
                </w:p>
              </w:tc>
            </w:tr>
            <w:tr w14:paraId="4D88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652857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color w:val="auto"/>
                      <w:kern w:val="0"/>
                      <w:sz w:val="21"/>
                      <w:szCs w:val="21"/>
                      <w:lang w:val="en-US" w:eastAsia="zh-CN"/>
                    </w:rPr>
                    <w:t>S</w:t>
                  </w:r>
                  <w:r>
                    <w:rPr>
                      <w:rFonts w:hint="default" w:ascii="Times New Roman" w:hAnsi="Times New Roman" w:eastAsia="宋体" w:cs="Times New Roman"/>
                      <w:color w:val="auto"/>
                      <w:kern w:val="0"/>
                      <w:sz w:val="21"/>
                      <w:szCs w:val="21"/>
                    </w:rPr>
                    <w:t>2</w:t>
                  </w:r>
                </w:p>
              </w:tc>
              <w:tc>
                <w:tcPr>
                  <w:tcW w:w="1570" w:type="pct"/>
                  <w:shd w:val="clear" w:color="auto" w:fill="auto"/>
                  <w:noWrap w:val="0"/>
                  <w:vAlign w:val="center"/>
                </w:tcPr>
                <w:p w14:paraId="49368F7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项目占地范围内</w:t>
                  </w:r>
                </w:p>
              </w:tc>
              <w:tc>
                <w:tcPr>
                  <w:tcW w:w="824" w:type="pct"/>
                  <w:vMerge w:val="continue"/>
                  <w:noWrap w:val="0"/>
                  <w:vAlign w:val="center"/>
                </w:tcPr>
                <w:p w14:paraId="4B5DB6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037" w:type="pct"/>
                  <w:noWrap w:val="0"/>
                  <w:vAlign w:val="center"/>
                </w:tcPr>
                <w:p w14:paraId="2583CD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理化性质、基本因子、特征因子</w:t>
                  </w:r>
                </w:p>
              </w:tc>
            </w:tr>
            <w:tr w14:paraId="691E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6DF94B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color w:val="auto"/>
                      <w:kern w:val="0"/>
                      <w:sz w:val="21"/>
                      <w:szCs w:val="21"/>
                      <w:lang w:val="en-US" w:eastAsia="zh-CN"/>
                    </w:rPr>
                    <w:t>S</w:t>
                  </w:r>
                  <w:r>
                    <w:rPr>
                      <w:rFonts w:hint="default" w:ascii="Times New Roman" w:hAnsi="Times New Roman" w:eastAsia="宋体" w:cs="Times New Roman"/>
                      <w:color w:val="auto"/>
                      <w:kern w:val="0"/>
                      <w:sz w:val="21"/>
                      <w:szCs w:val="21"/>
                    </w:rPr>
                    <w:t>3</w:t>
                  </w:r>
                </w:p>
              </w:tc>
              <w:tc>
                <w:tcPr>
                  <w:tcW w:w="1570" w:type="pct"/>
                  <w:shd w:val="clear" w:color="auto" w:fill="auto"/>
                  <w:noWrap w:val="0"/>
                  <w:vAlign w:val="center"/>
                </w:tcPr>
                <w:p w14:paraId="0C385872">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项目占地范围内</w:t>
                  </w:r>
                </w:p>
              </w:tc>
              <w:tc>
                <w:tcPr>
                  <w:tcW w:w="824" w:type="pct"/>
                  <w:vMerge w:val="continue"/>
                  <w:noWrap w:val="0"/>
                  <w:vAlign w:val="center"/>
                </w:tcPr>
                <w:p w14:paraId="77A3A0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037" w:type="pct"/>
                  <w:noWrap w:val="0"/>
                  <w:vAlign w:val="center"/>
                </w:tcPr>
                <w:p w14:paraId="6272E59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特征因子</w:t>
                  </w:r>
                </w:p>
              </w:tc>
            </w:tr>
            <w:tr w14:paraId="661D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7C16E3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color w:val="auto"/>
                      <w:kern w:val="0"/>
                      <w:sz w:val="21"/>
                      <w:szCs w:val="21"/>
                      <w:lang w:val="en-US" w:eastAsia="zh-CN"/>
                    </w:rPr>
                    <w:t>S</w:t>
                  </w:r>
                  <w:r>
                    <w:rPr>
                      <w:rFonts w:hint="default" w:ascii="Times New Roman" w:hAnsi="Times New Roman" w:eastAsia="宋体" w:cs="Times New Roman"/>
                      <w:color w:val="auto"/>
                      <w:kern w:val="0"/>
                      <w:sz w:val="21"/>
                      <w:szCs w:val="21"/>
                    </w:rPr>
                    <w:t>4</w:t>
                  </w:r>
                </w:p>
              </w:tc>
              <w:tc>
                <w:tcPr>
                  <w:tcW w:w="1570" w:type="pct"/>
                  <w:shd w:val="clear" w:color="auto" w:fill="auto"/>
                  <w:noWrap w:val="0"/>
                  <w:vAlign w:val="center"/>
                </w:tcPr>
                <w:p w14:paraId="6057972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项目占地范围外</w:t>
                  </w:r>
                  <w:r>
                    <w:rPr>
                      <w:rFonts w:hint="eastAsia"/>
                      <w:color w:val="auto"/>
                      <w:sz w:val="21"/>
                      <w:szCs w:val="21"/>
                      <w:lang w:val="en-US" w:eastAsia="zh-CN"/>
                    </w:rPr>
                    <w:t>北侧</w:t>
                  </w:r>
                </w:p>
              </w:tc>
              <w:tc>
                <w:tcPr>
                  <w:tcW w:w="824" w:type="pct"/>
                  <w:vMerge w:val="continue"/>
                  <w:noWrap w:val="0"/>
                  <w:vAlign w:val="center"/>
                </w:tcPr>
                <w:p w14:paraId="102CC5D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037" w:type="pct"/>
                  <w:noWrap w:val="0"/>
                  <w:vAlign w:val="center"/>
                </w:tcPr>
                <w:p w14:paraId="1F98A98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基本因子</w:t>
                  </w:r>
                </w:p>
              </w:tc>
            </w:tr>
            <w:tr w14:paraId="63AC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3585D6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eastAsia" w:ascii="Times New Roman" w:hAnsi="Times New Roman" w:eastAsia="宋体" w:cs="Times New Roman"/>
                      <w:color w:val="auto"/>
                      <w:kern w:val="0"/>
                      <w:sz w:val="21"/>
                      <w:szCs w:val="21"/>
                      <w:lang w:val="en-US" w:eastAsia="zh-CN"/>
                    </w:rPr>
                    <w:t>S</w:t>
                  </w:r>
                  <w:r>
                    <w:rPr>
                      <w:rFonts w:hint="default" w:ascii="Times New Roman" w:hAnsi="Times New Roman" w:eastAsia="宋体" w:cs="Times New Roman"/>
                      <w:color w:val="auto"/>
                      <w:kern w:val="0"/>
                      <w:sz w:val="21"/>
                      <w:szCs w:val="21"/>
                    </w:rPr>
                    <w:t>5</w:t>
                  </w:r>
                </w:p>
              </w:tc>
              <w:tc>
                <w:tcPr>
                  <w:tcW w:w="1570" w:type="pct"/>
                  <w:shd w:val="clear" w:color="auto" w:fill="auto"/>
                  <w:noWrap w:val="0"/>
                  <w:vAlign w:val="center"/>
                </w:tcPr>
                <w:p w14:paraId="2DCD0CA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项目占地范围外</w:t>
                  </w:r>
                  <w:r>
                    <w:rPr>
                      <w:rFonts w:hint="eastAsia"/>
                      <w:color w:val="auto"/>
                      <w:sz w:val="21"/>
                      <w:szCs w:val="21"/>
                      <w:lang w:val="en-US" w:eastAsia="zh-CN"/>
                    </w:rPr>
                    <w:t>东南</w:t>
                  </w:r>
                  <w:r>
                    <w:rPr>
                      <w:rFonts w:hint="eastAsia"/>
                      <w:color w:val="auto"/>
                      <w:sz w:val="21"/>
                      <w:szCs w:val="21"/>
                    </w:rPr>
                    <w:t>侧</w:t>
                  </w:r>
                </w:p>
              </w:tc>
              <w:tc>
                <w:tcPr>
                  <w:tcW w:w="824" w:type="pct"/>
                  <w:vMerge w:val="continue"/>
                  <w:noWrap w:val="0"/>
                  <w:vAlign w:val="center"/>
                </w:tcPr>
                <w:p w14:paraId="4EA5B0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037" w:type="pct"/>
                  <w:noWrap w:val="0"/>
                  <w:vAlign w:val="center"/>
                </w:tcPr>
                <w:p w14:paraId="7CF122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基本因子</w:t>
                  </w:r>
                </w:p>
              </w:tc>
            </w:tr>
          </w:tbl>
          <w:p w14:paraId="12721B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2）监测指标</w:t>
            </w:r>
          </w:p>
          <w:p w14:paraId="0ABD14FF">
            <w:pPr>
              <w:pStyle w:val="5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S</w:t>
            </w:r>
            <w:r>
              <w:rPr>
                <w:rFonts w:hint="default" w:ascii="Times New Roman" w:hAnsi="Times New Roman" w:eastAsia="宋体" w:cs="Times New Roman"/>
                <w:color w:val="auto"/>
                <w:sz w:val="24"/>
                <w:szCs w:val="24"/>
              </w:rPr>
              <w:t>2点监测指标：</w:t>
            </w:r>
          </w:p>
          <w:p w14:paraId="55C08507">
            <w:pPr>
              <w:pStyle w:val="5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rPr>
            </w:pPr>
            <w:r>
              <w:rPr>
                <w:rFonts w:hint="default" w:ascii="Times New Roman" w:hAnsi="Times New Roman" w:eastAsia="宋体" w:cs="Times New Roman"/>
                <w:b/>
                <w:bCs w:val="0"/>
                <w:color w:val="auto"/>
                <w:sz w:val="24"/>
                <w:szCs w:val="24"/>
                <w:u w:val="single"/>
              </w:rPr>
              <w:t>基本因子：</w:t>
            </w:r>
            <w:r>
              <w:rPr>
                <w:rFonts w:hint="default" w:ascii="Times New Roman" w:hAnsi="Times New Roman" w:eastAsia="宋体" w:cs="Times New Roman"/>
                <w:color w:val="auto"/>
                <w:sz w:val="24"/>
                <w:szCs w:val="24"/>
              </w:rPr>
              <w:t>砷、镉、铬（六价）、铜、铅、汞、镍、四氯化碳、氯仿、氯甲烷、1,1-二氯乙烷、1,2-二氯乙烷、1,1-二氯乙烯、顺-1,2-二氯乙烯、反-1,2-二氯乙烯、二氯甲烷、1,2-二氯丙烷、1,1,1,2-四氯乙烷、1,1,2,2-四氯乙烷、四氯乙烯、1,1,1-</w:t>
            </w:r>
            <w:r>
              <w:rPr>
                <w:rFonts w:hint="default" w:ascii="Times New Roman" w:hAnsi="Times New Roman" w:eastAsia="宋体" w:cs="Times New Roman"/>
                <w:color w:val="auto"/>
                <w:sz w:val="24"/>
                <w:szCs w:val="24"/>
                <w:lang w:val="en-US" w:eastAsia="zh-CN"/>
              </w:rPr>
              <w:t>三氯乙烷</w:t>
            </w:r>
            <w:r>
              <w:rPr>
                <w:rFonts w:hint="default" w:ascii="Times New Roman" w:hAnsi="Times New Roman" w:eastAsia="宋体" w:cs="Times New Roman"/>
                <w:color w:val="auto"/>
                <w:sz w:val="24"/>
                <w:szCs w:val="24"/>
              </w:rPr>
              <w:t>、1,1,2-三氯乙烷、三氯乙烯、1,2,3-三氯丙烷、氯乙烯、苯、氯苯、1,2-二氯苯、1,4二氯苯、乙苯、苯乙烯、甲苯、间二甲苯+对二甲苯、邻二甲苯、硝基苯、苯胺、2-氯酚、苯并[a]蒽、苯并[a]芘、苯并[b]荧蒽、苯并[k]荧蒽、䓛、二苯并[a、h]蒽、茚并[1,2,3-cd]芘、萘</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 w:val="0"/>
                <w:bCs w:val="0"/>
                <w:color w:val="auto"/>
                <w:sz w:val="24"/>
                <w:szCs w:val="24"/>
              </w:rPr>
              <w:t>锌、铬</w:t>
            </w:r>
            <w:r>
              <w:rPr>
                <w:rFonts w:hint="default" w:ascii="Times New Roman" w:hAnsi="Times New Roman" w:eastAsia="宋体" w:cs="Times New Roman"/>
                <w:color w:val="auto"/>
                <w:sz w:val="24"/>
                <w:szCs w:val="24"/>
              </w:rPr>
              <w:t>；</w:t>
            </w:r>
          </w:p>
          <w:p w14:paraId="63C4BD7B">
            <w:pPr>
              <w:pStyle w:val="5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rPr>
            </w:pPr>
            <w:r>
              <w:rPr>
                <w:rFonts w:hint="default" w:ascii="Times New Roman" w:hAnsi="Times New Roman" w:eastAsia="宋体" w:cs="Times New Roman"/>
                <w:b/>
                <w:bCs w:val="0"/>
                <w:color w:val="auto"/>
                <w:sz w:val="24"/>
                <w:szCs w:val="24"/>
                <w:u w:val="single"/>
              </w:rPr>
              <w:t>特征因子：</w:t>
            </w:r>
            <w:r>
              <w:rPr>
                <w:rFonts w:hint="default" w:ascii="Times New Roman" w:hAnsi="Times New Roman" w:eastAsia="宋体" w:cs="Times New Roman"/>
                <w:color w:val="auto"/>
                <w:sz w:val="24"/>
                <w:szCs w:val="24"/>
              </w:rPr>
              <w:t>pH、石油烃</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lang w:val="en-US" w:eastAsia="zh-CN"/>
              </w:rPr>
              <w:t>C</w:t>
            </w:r>
            <w:r>
              <w:rPr>
                <w:rFonts w:hint="default" w:ascii="Times New Roman" w:hAnsi="Times New Roman" w:eastAsia="宋体" w:cs="Times New Roman"/>
                <w:color w:val="auto"/>
                <w:kern w:val="0"/>
                <w:sz w:val="24"/>
                <w:szCs w:val="24"/>
                <w:vertAlign w:val="subscript"/>
                <w:lang w:val="en-US" w:eastAsia="zh-CN"/>
              </w:rPr>
              <w:t>10-</w:t>
            </w:r>
            <w:r>
              <w:rPr>
                <w:rFonts w:hint="default" w:ascii="Times New Roman" w:hAnsi="Times New Roman" w:eastAsia="宋体" w:cs="Times New Roman"/>
                <w:color w:val="auto"/>
                <w:kern w:val="0"/>
                <w:sz w:val="24"/>
                <w:szCs w:val="24"/>
                <w:lang w:val="en-US" w:eastAsia="zh-CN"/>
              </w:rPr>
              <w:t>C</w:t>
            </w:r>
            <w:r>
              <w:rPr>
                <w:rFonts w:hint="default" w:ascii="Times New Roman" w:hAnsi="Times New Roman" w:eastAsia="宋体" w:cs="Times New Roman"/>
                <w:color w:val="auto"/>
                <w:kern w:val="0"/>
                <w:sz w:val="24"/>
                <w:szCs w:val="24"/>
                <w:vertAlign w:val="subscript"/>
                <w:lang w:val="en-US" w:eastAsia="zh-CN"/>
              </w:rPr>
              <w:t>40</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sz w:val="24"/>
                <w:szCs w:val="24"/>
              </w:rPr>
              <w:t>、土壤含盐量</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 w:val="0"/>
                <w:bCs w:val="0"/>
                <w:color w:val="auto"/>
                <w:sz w:val="24"/>
                <w:szCs w:val="24"/>
                <w:lang w:val="en-US" w:eastAsia="zh-CN"/>
              </w:rPr>
              <w:t>钡</w:t>
            </w:r>
            <w:r>
              <w:rPr>
                <w:rFonts w:hint="default" w:ascii="Times New Roman" w:hAnsi="Times New Roman" w:eastAsia="宋体" w:cs="Times New Roman"/>
                <w:color w:val="auto"/>
                <w:sz w:val="24"/>
                <w:szCs w:val="24"/>
              </w:rPr>
              <w:t>；</w:t>
            </w:r>
          </w:p>
          <w:p w14:paraId="40DA178D">
            <w:pPr>
              <w:pStyle w:val="5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S</w:t>
            </w:r>
            <w:r>
              <w:rPr>
                <w:rFonts w:hint="default"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lang w:val="en-US" w:eastAsia="zh-CN"/>
              </w:rPr>
              <w:t>S</w:t>
            </w:r>
            <w:r>
              <w:rPr>
                <w:rFonts w:hint="default" w:ascii="Times New Roman" w:hAnsi="Times New Roman" w:eastAsia="宋体" w:cs="Times New Roman"/>
                <w:color w:val="auto"/>
                <w:kern w:val="0"/>
                <w:sz w:val="24"/>
                <w:szCs w:val="24"/>
              </w:rPr>
              <w:t>3点监测指标：pH、石油烃</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lang w:val="en-US" w:eastAsia="zh-CN"/>
              </w:rPr>
              <w:t>C</w:t>
            </w:r>
            <w:r>
              <w:rPr>
                <w:rFonts w:hint="default" w:ascii="Times New Roman" w:hAnsi="Times New Roman" w:eastAsia="宋体" w:cs="Times New Roman"/>
                <w:color w:val="auto"/>
                <w:kern w:val="0"/>
                <w:sz w:val="24"/>
                <w:szCs w:val="24"/>
                <w:vertAlign w:val="subscript"/>
                <w:lang w:val="en-US" w:eastAsia="zh-CN"/>
              </w:rPr>
              <w:t>10-</w:t>
            </w:r>
            <w:r>
              <w:rPr>
                <w:rFonts w:hint="default" w:ascii="Times New Roman" w:hAnsi="Times New Roman" w:eastAsia="宋体" w:cs="Times New Roman"/>
                <w:color w:val="auto"/>
                <w:kern w:val="0"/>
                <w:sz w:val="24"/>
                <w:szCs w:val="24"/>
                <w:lang w:val="en-US" w:eastAsia="zh-CN"/>
              </w:rPr>
              <w:t>C</w:t>
            </w:r>
            <w:r>
              <w:rPr>
                <w:rFonts w:hint="default" w:ascii="Times New Roman" w:hAnsi="Times New Roman" w:eastAsia="宋体" w:cs="Times New Roman"/>
                <w:color w:val="auto"/>
                <w:kern w:val="0"/>
                <w:sz w:val="24"/>
                <w:szCs w:val="24"/>
                <w:vertAlign w:val="subscript"/>
                <w:lang w:val="en-US" w:eastAsia="zh-CN"/>
              </w:rPr>
              <w:t>40</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、土壤含盐量</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b w:val="0"/>
                <w:bCs w:val="0"/>
                <w:color w:val="auto"/>
                <w:sz w:val="24"/>
                <w:szCs w:val="24"/>
                <w:lang w:val="en-US" w:eastAsia="zh-CN"/>
              </w:rPr>
              <w:t>钡</w:t>
            </w:r>
            <w:r>
              <w:rPr>
                <w:rFonts w:hint="default" w:ascii="Times New Roman" w:hAnsi="Times New Roman" w:eastAsia="宋体" w:cs="Times New Roman"/>
                <w:color w:val="auto"/>
                <w:kern w:val="0"/>
                <w:sz w:val="24"/>
                <w:szCs w:val="24"/>
              </w:rPr>
              <w:t>。</w:t>
            </w:r>
          </w:p>
          <w:p w14:paraId="0E703584">
            <w:pPr>
              <w:pStyle w:val="58"/>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lang w:val="en-US" w:eastAsia="zh-CN"/>
              </w:rPr>
              <w:t>4、</w:t>
            </w: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lang w:val="en-US" w:eastAsia="zh-CN"/>
              </w:rPr>
              <w:t>5点监测指标：</w:t>
            </w:r>
            <w:r>
              <w:rPr>
                <w:rFonts w:hint="default" w:ascii="Times New Roman" w:hAnsi="Times New Roman" w:eastAsia="宋体" w:cs="Times New Roman"/>
                <w:color w:val="auto"/>
                <w:kern w:val="0"/>
                <w:sz w:val="24"/>
                <w:szCs w:val="24"/>
                <w:highlight w:val="none"/>
              </w:rPr>
              <w:t>pH、</w:t>
            </w:r>
            <w:r>
              <w:rPr>
                <w:rFonts w:hint="default" w:ascii="Times New Roman" w:hAnsi="Times New Roman" w:eastAsia="宋体" w:cs="Times New Roman"/>
                <w:color w:val="auto"/>
                <w:kern w:val="0"/>
                <w:sz w:val="24"/>
                <w:szCs w:val="24"/>
                <w:highlight w:val="none"/>
                <w:lang w:eastAsia="zh-CN"/>
              </w:rPr>
              <w:t>镉、汞、砷、铅、铬、铜、镍、锌、</w:t>
            </w:r>
            <w:r>
              <w:rPr>
                <w:rFonts w:hint="default" w:ascii="Times New Roman" w:hAnsi="Times New Roman" w:eastAsia="宋体" w:cs="Times New Roman"/>
                <w:color w:val="auto"/>
                <w:kern w:val="0"/>
                <w:sz w:val="24"/>
                <w:szCs w:val="24"/>
                <w:highlight w:val="none"/>
              </w:rPr>
              <w:t>石油烃</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10-</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40</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钡</w:t>
            </w:r>
            <w:r>
              <w:rPr>
                <w:rFonts w:hint="default" w:ascii="Times New Roman" w:hAnsi="Times New Roman" w:eastAsia="宋体" w:cs="Times New Roman"/>
                <w:color w:val="auto"/>
                <w:kern w:val="0"/>
                <w:sz w:val="24"/>
                <w:szCs w:val="24"/>
                <w:highlight w:val="none"/>
                <w:lang w:eastAsia="zh-CN"/>
              </w:rPr>
              <w:t>。</w:t>
            </w:r>
          </w:p>
          <w:p w14:paraId="68A20C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3）监测频次</w:t>
            </w:r>
          </w:p>
          <w:p w14:paraId="180249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监测1天，每天监测1次。</w:t>
            </w:r>
          </w:p>
          <w:p w14:paraId="500421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bCs/>
                <w:color w:val="auto"/>
                <w:sz w:val="24"/>
                <w:lang w:val="en-US" w:eastAsia="zh-CN"/>
              </w:rPr>
              <w:t>4）</w:t>
            </w:r>
            <w:r>
              <w:rPr>
                <w:rFonts w:hint="eastAsia" w:ascii="Times New Roman" w:hAnsi="Times New Roman" w:cs="Times New Roman"/>
                <w:bCs/>
                <w:color w:val="auto"/>
                <w:sz w:val="24"/>
                <w:lang w:eastAsia="zh-CN"/>
              </w:rPr>
              <w:t>监测</w:t>
            </w:r>
            <w:r>
              <w:rPr>
                <w:rFonts w:hint="default" w:ascii="Times New Roman" w:hAnsi="Times New Roman" w:cs="Times New Roman"/>
                <w:color w:val="auto"/>
                <w:sz w:val="24"/>
              </w:rPr>
              <w:t>时间</w:t>
            </w:r>
          </w:p>
          <w:p w14:paraId="1D371EF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color w:val="auto"/>
                <w:sz w:val="24"/>
              </w:rPr>
              <w:t>202</w:t>
            </w:r>
            <w:r>
              <w:rPr>
                <w:rFonts w:hint="eastAsia" w:cs="Times New Roman"/>
                <w:color w:val="auto"/>
                <w:sz w:val="24"/>
                <w:lang w:val="en-US" w:eastAsia="zh-CN"/>
              </w:rPr>
              <w:t>6</w:t>
            </w:r>
            <w:r>
              <w:rPr>
                <w:rFonts w:hint="default" w:ascii="Times New Roman" w:hAnsi="Times New Roman" w:cs="Times New Roman"/>
                <w:color w:val="auto"/>
                <w:sz w:val="24"/>
              </w:rPr>
              <w:t>年</w:t>
            </w:r>
            <w:r>
              <w:rPr>
                <w:rFonts w:hint="eastAsia" w:cs="Times New Roman"/>
                <w:color w:val="auto"/>
                <w:sz w:val="24"/>
                <w:lang w:val="en-US" w:eastAsia="zh-CN"/>
              </w:rPr>
              <w:t>7</w:t>
            </w:r>
            <w:r>
              <w:rPr>
                <w:rFonts w:hint="default" w:ascii="Times New Roman" w:hAnsi="Times New Roman" w:cs="Times New Roman"/>
                <w:color w:val="auto"/>
                <w:sz w:val="24"/>
              </w:rPr>
              <w:t>月</w:t>
            </w:r>
            <w:r>
              <w:rPr>
                <w:rFonts w:hint="eastAsia" w:ascii="Times New Roman" w:hAnsi="Times New Roman" w:cs="Times New Roman"/>
                <w:color w:val="auto"/>
                <w:sz w:val="24"/>
              </w:rPr>
              <w:t>1</w:t>
            </w:r>
            <w:r>
              <w:rPr>
                <w:rFonts w:hint="eastAsia" w:cs="Times New Roman"/>
                <w:color w:val="auto"/>
                <w:sz w:val="24"/>
                <w:lang w:val="en-US" w:eastAsia="zh-CN"/>
              </w:rPr>
              <w:t>1</w:t>
            </w:r>
            <w:r>
              <w:rPr>
                <w:rFonts w:hint="default" w:ascii="Times New Roman" w:hAnsi="Times New Roman" w:cs="Times New Roman"/>
                <w:color w:val="auto"/>
                <w:sz w:val="24"/>
              </w:rPr>
              <w:t>日</w:t>
            </w:r>
          </w:p>
          <w:p w14:paraId="5267244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5）执行标准</w:t>
            </w:r>
          </w:p>
          <w:p w14:paraId="32C88CA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cs="Times New Roman"/>
                <w:color w:val="auto"/>
                <w:kern w:val="0"/>
                <w:sz w:val="24"/>
                <w:lang w:val="en-US" w:eastAsia="zh-CN"/>
              </w:rPr>
              <w:t>S</w:t>
            </w:r>
            <w:r>
              <w:rPr>
                <w:rFonts w:hint="default" w:ascii="Times New Roman" w:hAnsi="Times New Roman" w:cs="Times New Roman"/>
                <w:color w:val="auto"/>
                <w:kern w:val="0"/>
                <w:sz w:val="24"/>
              </w:rPr>
              <w:t>1、</w:t>
            </w:r>
            <w:r>
              <w:rPr>
                <w:rFonts w:hint="eastAsia" w:ascii="Times New Roman" w:hAnsi="Times New Roman" w:cs="Times New Roman"/>
                <w:color w:val="auto"/>
                <w:kern w:val="0"/>
                <w:sz w:val="24"/>
                <w:lang w:val="en-US" w:eastAsia="zh-CN"/>
              </w:rPr>
              <w:t>S</w:t>
            </w:r>
            <w:r>
              <w:rPr>
                <w:rFonts w:hint="default" w:ascii="Times New Roman" w:hAnsi="Times New Roman" w:cs="Times New Roman"/>
                <w:color w:val="auto"/>
                <w:kern w:val="0"/>
                <w:sz w:val="24"/>
              </w:rPr>
              <w:t>2、</w:t>
            </w:r>
            <w:r>
              <w:rPr>
                <w:rFonts w:hint="eastAsia" w:ascii="Times New Roman" w:hAnsi="Times New Roman" w:cs="Times New Roman"/>
                <w:color w:val="auto"/>
                <w:kern w:val="0"/>
                <w:sz w:val="24"/>
                <w:lang w:val="en-US" w:eastAsia="zh-CN"/>
              </w:rPr>
              <w:t>S</w:t>
            </w:r>
            <w:r>
              <w:rPr>
                <w:rFonts w:hint="default" w:ascii="Times New Roman" w:hAnsi="Times New Roman" w:cs="Times New Roman"/>
                <w:color w:val="auto"/>
                <w:kern w:val="0"/>
                <w:sz w:val="24"/>
              </w:rPr>
              <w:t>3执行《土壤环境质量 建设用地土壤</w:t>
            </w:r>
            <w:r>
              <w:rPr>
                <w:rFonts w:hint="eastAsia" w:ascii="Times New Roman" w:hAnsi="Times New Roman" w:cs="Times New Roman"/>
                <w:color w:val="auto"/>
                <w:kern w:val="0"/>
                <w:sz w:val="24"/>
                <w:lang w:val="en-US" w:eastAsia="zh-CN"/>
              </w:rPr>
              <w:t>污染</w:t>
            </w:r>
            <w:r>
              <w:rPr>
                <w:rFonts w:hint="default" w:ascii="Times New Roman" w:hAnsi="Times New Roman" w:cs="Times New Roman"/>
                <w:color w:val="auto"/>
                <w:kern w:val="0"/>
                <w:sz w:val="24"/>
              </w:rPr>
              <w:t>风险管控标准（试行）》（GB</w:t>
            </w:r>
            <w:r>
              <w:rPr>
                <w:rFonts w:hint="eastAsia" w:ascii="Times New Roman" w:hAnsi="Times New Roman" w:cs="Times New Roman"/>
                <w:color w:val="auto"/>
                <w:kern w:val="0"/>
                <w:sz w:val="24"/>
                <w:lang w:val="en-US" w:eastAsia="zh-CN"/>
              </w:rPr>
              <w:t xml:space="preserve"> </w:t>
            </w:r>
            <w:r>
              <w:rPr>
                <w:rFonts w:hint="default" w:ascii="Times New Roman" w:hAnsi="Times New Roman" w:cs="Times New Roman"/>
                <w:color w:val="auto"/>
                <w:kern w:val="0"/>
                <w:sz w:val="24"/>
              </w:rPr>
              <w:t>36600-2018）第二类用地筛选值</w:t>
            </w:r>
            <w:r>
              <w:rPr>
                <w:rFonts w:hint="eastAsia" w:ascii="Times New Roman" w:hAnsi="Times New Roman" w:cs="Times New Roman"/>
                <w:color w:val="auto"/>
                <w:kern w:val="0"/>
                <w:sz w:val="24"/>
                <w:lang w:eastAsia="zh-CN"/>
              </w:rPr>
              <w:t>，</w:t>
            </w:r>
            <w:r>
              <w:rPr>
                <w:rFonts w:hint="eastAsia" w:ascii="Times New Roman" w:hAnsi="Times New Roman" w:cs="Times New Roman"/>
                <w:color w:val="auto"/>
                <w:kern w:val="0"/>
                <w:sz w:val="24"/>
                <w:lang w:val="en-US" w:eastAsia="zh-CN"/>
              </w:rPr>
              <w:t>其中</w:t>
            </w:r>
            <w:r>
              <w:rPr>
                <w:rFonts w:hint="eastAsia" w:ascii="Times New Roman" w:hAnsi="Times New Roman" w:eastAsia="宋体" w:cs="Times New Roman"/>
                <w:b w:val="0"/>
                <w:bCs/>
                <w:color w:val="auto"/>
                <w:sz w:val="24"/>
                <w:highlight w:val="none"/>
                <w:lang w:val="en-US" w:eastAsia="zh-CN"/>
              </w:rPr>
              <w:t>钡</w:t>
            </w:r>
            <w:r>
              <w:rPr>
                <w:rFonts w:hint="eastAsia" w:cs="Times New Roman"/>
                <w:b w:val="0"/>
                <w:bCs/>
                <w:color w:val="auto"/>
                <w:sz w:val="24"/>
                <w:highlight w:val="none"/>
                <w:lang w:val="en-US" w:eastAsia="zh-CN"/>
              </w:rPr>
              <w:t>、铬</w:t>
            </w:r>
            <w:r>
              <w:rPr>
                <w:rFonts w:hint="eastAsia" w:ascii="Times New Roman" w:hAnsi="Times New Roman" w:eastAsia="宋体" w:cs="Times New Roman"/>
                <w:b w:val="0"/>
                <w:bCs/>
                <w:color w:val="auto"/>
                <w:sz w:val="24"/>
                <w:highlight w:val="none"/>
                <w:lang w:val="en-US" w:eastAsia="zh-CN"/>
              </w:rPr>
              <w:t>执行《四川省建设用地土壤污染风险管控标准》（DB 51/2978-2023）表1中第二类用地筛选值</w:t>
            </w:r>
            <w:r>
              <w:rPr>
                <w:rFonts w:hint="default" w:ascii="Times New Roman" w:hAnsi="Times New Roman" w:cs="Times New Roman"/>
                <w:color w:val="auto"/>
                <w:kern w:val="0"/>
                <w:sz w:val="24"/>
              </w:rPr>
              <w:t>；</w:t>
            </w:r>
          </w:p>
          <w:p w14:paraId="7042C4DB">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ascii="Times New Roman" w:hAnsi="Times New Roman" w:cs="Times New Roman"/>
                <w:color w:val="auto"/>
                <w:sz w:val="24"/>
                <w:lang w:val="en-US" w:eastAsia="zh-CN"/>
              </w:rPr>
              <w:t>S</w:t>
            </w:r>
            <w:r>
              <w:rPr>
                <w:rFonts w:hint="default" w:ascii="Times New Roman" w:hAnsi="Times New Roman" w:cs="Times New Roman"/>
                <w:color w:val="auto"/>
                <w:sz w:val="24"/>
              </w:rPr>
              <w:t>4、</w:t>
            </w:r>
            <w:r>
              <w:rPr>
                <w:rFonts w:hint="eastAsia" w:ascii="Times New Roman" w:hAnsi="Times New Roman" w:cs="Times New Roman"/>
                <w:color w:val="auto"/>
                <w:sz w:val="24"/>
                <w:lang w:val="en-US" w:eastAsia="zh-CN"/>
              </w:rPr>
              <w:t>S</w:t>
            </w:r>
            <w:r>
              <w:rPr>
                <w:rFonts w:hint="default" w:ascii="Times New Roman" w:hAnsi="Times New Roman" w:cs="Times New Roman"/>
                <w:color w:val="auto"/>
                <w:sz w:val="24"/>
              </w:rPr>
              <w:t>5执行《土壤环境质量 农用地土壤污染风险管控标准（试行）》（GB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15618-2018）筛选值</w:t>
            </w:r>
            <w:r>
              <w:rPr>
                <w:rFonts w:hint="eastAsia" w:cs="Times New Roman"/>
                <w:color w:val="auto"/>
                <w:sz w:val="24"/>
                <w:lang w:eastAsia="zh-CN"/>
              </w:rPr>
              <w:t>，</w:t>
            </w:r>
            <w:r>
              <w:rPr>
                <w:rFonts w:hint="default" w:ascii="Times New Roman" w:hAnsi="Times New Roman" w:eastAsia="宋体" w:cs="Times New Roman"/>
                <w:color w:val="auto"/>
                <w:sz w:val="24"/>
                <w:lang w:val="en-US" w:eastAsia="zh-CN"/>
              </w:rPr>
              <w:t>石油烃采用《农用地土壤环境风险评价技术规定（试行）》中参考值500mg/kg。</w:t>
            </w:r>
          </w:p>
          <w:p w14:paraId="21475FB5">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2"/>
                <w:sz w:val="24"/>
              </w:rPr>
            </w:pPr>
            <w:r>
              <w:rPr>
                <w:rFonts w:hint="default" w:ascii="Times New Roman" w:hAnsi="Times New Roman" w:cs="Times New Roman"/>
                <w:color w:val="auto"/>
                <w:kern w:val="2"/>
                <w:sz w:val="24"/>
              </w:rPr>
              <w:t>6）评价方法</w:t>
            </w:r>
          </w:p>
          <w:p w14:paraId="7121D8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根据《环境影响评价技术导则 土壤环境</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试行</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946-2018），土壤环境质量现状评价方法采用标准指数法。</w:t>
            </w:r>
          </w:p>
          <w:p w14:paraId="5E1F28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7）监测结果</w:t>
            </w:r>
          </w:p>
          <w:p w14:paraId="32CF8A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eastAsia="宋体" w:cs="Times New Roman"/>
                <w:color w:val="auto"/>
                <w:sz w:val="24"/>
              </w:rPr>
              <w:t>土壤现状监测结果</w:t>
            </w:r>
            <w:r>
              <w:rPr>
                <w:rFonts w:hint="eastAsia" w:ascii="Times New Roman" w:hAnsi="Times New Roman" w:eastAsia="宋体" w:cs="Times New Roman"/>
                <w:color w:val="auto"/>
                <w:sz w:val="24"/>
                <w:lang w:val="en-US" w:eastAsia="zh-CN"/>
              </w:rPr>
              <w:t>如下表所示</w:t>
            </w:r>
            <w:r>
              <w:rPr>
                <w:rFonts w:hint="default" w:ascii="Times New Roman" w:hAnsi="Times New Roman" w:cs="Times New Roman"/>
                <w:color w:val="auto"/>
                <w:sz w:val="24"/>
              </w:rPr>
              <w:t>。</w:t>
            </w:r>
          </w:p>
          <w:p w14:paraId="70F5FE13">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bookmarkStart w:id="46" w:name="_Ref124257711"/>
            <w:r>
              <w:rPr>
                <w:rFonts w:hint="eastAsia" w:ascii="Times New Roman" w:hAnsi="Times New Roman" w:eastAsia="宋体" w:cs="Times New Roman"/>
                <w:b/>
                <w:bCs/>
                <w:color w:val="auto"/>
                <w:highlight w:val="none"/>
                <w:lang w:val="en-US" w:eastAsia="zh-CN"/>
              </w:rPr>
              <w:t>土壤环境现状监测结果</w:t>
            </w:r>
            <w:bookmarkEnd w:id="46"/>
          </w:p>
          <w:tbl>
            <w:tblPr>
              <w:tblStyle w:val="23"/>
              <w:tblW w:w="49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358"/>
              <w:gridCol w:w="1971"/>
              <w:gridCol w:w="1052"/>
              <w:gridCol w:w="1338"/>
              <w:gridCol w:w="1719"/>
            </w:tblGrid>
            <w:tr w14:paraId="00A2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tblHeader/>
                <w:jc w:val="center"/>
              </w:trPr>
              <w:tc>
                <w:tcPr>
                  <w:tcW w:w="912" w:type="pct"/>
                  <w:noWrap w:val="0"/>
                  <w:vAlign w:val="center"/>
                </w:tcPr>
                <w:p w14:paraId="64A9AC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val="en-US" w:eastAsia="zh-CN"/>
                    </w:rPr>
                    <w:t>监测</w:t>
                  </w:r>
                  <w:r>
                    <w:rPr>
                      <w:rFonts w:hint="default" w:ascii="Times New Roman" w:hAnsi="Times New Roman" w:eastAsia="宋体" w:cs="Times New Roman"/>
                      <w:b/>
                      <w:bCs/>
                      <w:color w:val="auto"/>
                      <w:sz w:val="21"/>
                      <w:szCs w:val="21"/>
                      <w:lang w:eastAsia="zh-CN"/>
                    </w:rPr>
                    <w:t>点位</w:t>
                  </w:r>
                </w:p>
              </w:tc>
              <w:tc>
                <w:tcPr>
                  <w:tcW w:w="1324" w:type="pct"/>
                  <w:noWrap w:val="0"/>
                  <w:vAlign w:val="center"/>
                </w:tcPr>
                <w:p w14:paraId="57011D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检测项目</w:t>
                  </w:r>
                </w:p>
              </w:tc>
              <w:tc>
                <w:tcPr>
                  <w:tcW w:w="707" w:type="pct"/>
                  <w:noWrap w:val="0"/>
                  <w:vAlign w:val="center"/>
                </w:tcPr>
                <w:p w14:paraId="6618EF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单位</w:t>
                  </w:r>
                </w:p>
              </w:tc>
              <w:tc>
                <w:tcPr>
                  <w:tcW w:w="899" w:type="pct"/>
                  <w:noWrap w:val="0"/>
                  <w:vAlign w:val="center"/>
                </w:tcPr>
                <w:p w14:paraId="5516C6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检测结果</w:t>
                  </w:r>
                </w:p>
              </w:tc>
              <w:tc>
                <w:tcPr>
                  <w:tcW w:w="1155" w:type="pct"/>
                  <w:noWrap w:val="0"/>
                  <w:vAlign w:val="center"/>
                </w:tcPr>
                <w:p w14:paraId="219D58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标准限值（mg/kg）</w:t>
                  </w:r>
                </w:p>
              </w:tc>
            </w:tr>
            <w:tr w14:paraId="5958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restart"/>
                  <w:noWrap w:val="0"/>
                  <w:vAlign w:val="center"/>
                </w:tcPr>
                <w:p w14:paraId="37F287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REF 土壤1 \h \* MERGEFORMAT</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1</w:t>
                  </w:r>
                </w:p>
                <w:p w14:paraId="5E5079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占地范围内</w:t>
                  </w:r>
                  <w:r>
                    <w:rPr>
                      <w:rFonts w:hint="default" w:ascii="Times New Roman" w:hAnsi="Times New Roman" w:eastAsia="宋体" w:cs="Times New Roman"/>
                      <w:color w:val="auto"/>
                      <w:sz w:val="21"/>
                      <w:szCs w:val="21"/>
                      <w:lang w:val="en-US" w:eastAsia="zh-CN"/>
                    </w:rPr>
                    <w:fldChar w:fldCharType="end"/>
                  </w:r>
                </w:p>
              </w:tc>
              <w:tc>
                <w:tcPr>
                  <w:tcW w:w="1324" w:type="pct"/>
                  <w:noWrap w:val="0"/>
                  <w:vAlign w:val="center"/>
                </w:tcPr>
                <w:p w14:paraId="091F25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pH</w:t>
                  </w:r>
                </w:p>
              </w:tc>
              <w:tc>
                <w:tcPr>
                  <w:tcW w:w="707" w:type="pct"/>
                  <w:noWrap w:val="0"/>
                  <w:vAlign w:val="center"/>
                </w:tcPr>
                <w:p w14:paraId="2CF2D3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99" w:type="pct"/>
                  <w:noWrap w:val="0"/>
                  <w:vAlign w:val="center"/>
                </w:tcPr>
                <w:p w14:paraId="087C3B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6.82</w:t>
                  </w:r>
                </w:p>
              </w:tc>
              <w:tc>
                <w:tcPr>
                  <w:tcW w:w="1155" w:type="pct"/>
                  <w:noWrap w:val="0"/>
                  <w:vAlign w:val="center"/>
                </w:tcPr>
                <w:p w14:paraId="220225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6FB2A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03A3B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3BF5E1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全盐量</w:t>
                  </w:r>
                </w:p>
              </w:tc>
              <w:tc>
                <w:tcPr>
                  <w:tcW w:w="707" w:type="pct"/>
                  <w:noWrap w:val="0"/>
                  <w:vAlign w:val="center"/>
                </w:tcPr>
                <w:p w14:paraId="39C02C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g/kg</w:t>
                  </w:r>
                </w:p>
              </w:tc>
              <w:tc>
                <w:tcPr>
                  <w:tcW w:w="899" w:type="pct"/>
                  <w:noWrap w:val="0"/>
                  <w:vAlign w:val="center"/>
                </w:tcPr>
                <w:p w14:paraId="2B8CBE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9</w:t>
                  </w:r>
                </w:p>
              </w:tc>
              <w:tc>
                <w:tcPr>
                  <w:tcW w:w="1155" w:type="pct"/>
                  <w:noWrap w:val="0"/>
                  <w:vAlign w:val="center"/>
                </w:tcPr>
                <w:p w14:paraId="6EAE73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6CF2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6ED61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4C60E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石油烃（C</w:t>
                  </w:r>
                  <w:r>
                    <w:rPr>
                      <w:rFonts w:hint="default" w:ascii="Times New Roman" w:hAnsi="Times New Roman" w:eastAsia="宋体" w:cs="Times New Roman"/>
                      <w:color w:val="auto"/>
                      <w:sz w:val="21"/>
                      <w:szCs w:val="21"/>
                      <w:vertAlign w:val="subscript"/>
                      <w:lang w:eastAsia="zh-CN"/>
                    </w:rPr>
                    <w:t>10</w:t>
                  </w:r>
                  <w:r>
                    <w:rPr>
                      <w:rFonts w:hint="default" w:ascii="Times New Roman" w:hAnsi="Times New Roman" w:eastAsia="宋体" w:cs="Times New Roman"/>
                      <w:color w:val="auto"/>
                      <w:sz w:val="21"/>
                      <w:szCs w:val="21"/>
                      <w:lang w:eastAsia="zh-CN"/>
                    </w:rPr>
                    <w:t>-C</w:t>
                  </w:r>
                  <w:r>
                    <w:rPr>
                      <w:rFonts w:hint="default" w:ascii="Times New Roman" w:hAnsi="Times New Roman" w:eastAsia="宋体" w:cs="Times New Roman"/>
                      <w:color w:val="auto"/>
                      <w:sz w:val="21"/>
                      <w:szCs w:val="21"/>
                      <w:vertAlign w:val="subscript"/>
                      <w:lang w:eastAsia="zh-CN"/>
                    </w:rPr>
                    <w:t>40</w:t>
                  </w:r>
                  <w:r>
                    <w:rPr>
                      <w:rFonts w:hint="default" w:ascii="Times New Roman" w:hAnsi="Times New Roman" w:eastAsia="宋体" w:cs="Times New Roman"/>
                      <w:color w:val="auto"/>
                      <w:sz w:val="21"/>
                      <w:szCs w:val="21"/>
                      <w:lang w:eastAsia="zh-CN"/>
                    </w:rPr>
                    <w:t>）</w:t>
                  </w:r>
                </w:p>
              </w:tc>
              <w:tc>
                <w:tcPr>
                  <w:tcW w:w="707" w:type="pct"/>
                  <w:noWrap w:val="0"/>
                  <w:vAlign w:val="center"/>
                </w:tcPr>
                <w:p w14:paraId="2062CC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B15AD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w:t>
                  </w:r>
                </w:p>
              </w:tc>
              <w:tc>
                <w:tcPr>
                  <w:tcW w:w="1155" w:type="pct"/>
                  <w:noWrap w:val="0"/>
                  <w:vAlign w:val="center"/>
                </w:tcPr>
                <w:p w14:paraId="00F51D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4500</w:t>
                  </w:r>
                </w:p>
              </w:tc>
            </w:tr>
            <w:tr w14:paraId="5834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AC5C6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031ECA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钡</w:t>
                  </w:r>
                </w:p>
              </w:tc>
              <w:tc>
                <w:tcPr>
                  <w:tcW w:w="707" w:type="pct"/>
                  <w:noWrap w:val="0"/>
                  <w:vAlign w:val="center"/>
                </w:tcPr>
                <w:p w14:paraId="02E56F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EB982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680</w:t>
                  </w:r>
                </w:p>
              </w:tc>
              <w:tc>
                <w:tcPr>
                  <w:tcW w:w="1155" w:type="pct"/>
                  <w:noWrap w:val="0"/>
                  <w:vAlign w:val="center"/>
                </w:tcPr>
                <w:p w14:paraId="590EDA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8660</w:t>
                  </w:r>
                </w:p>
              </w:tc>
            </w:tr>
            <w:tr w14:paraId="6246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restart"/>
                  <w:noWrap w:val="0"/>
                  <w:vAlign w:val="center"/>
                </w:tcPr>
                <w:p w14:paraId="5F1BB4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REF 土壤2 \h \* MERGEFORMAT</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2</w:t>
                  </w:r>
                </w:p>
                <w:p w14:paraId="064333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占地范围内</w:t>
                  </w:r>
                  <w:r>
                    <w:rPr>
                      <w:rFonts w:hint="default" w:ascii="Times New Roman" w:hAnsi="Times New Roman" w:eastAsia="宋体" w:cs="Times New Roman"/>
                      <w:color w:val="auto"/>
                      <w:sz w:val="21"/>
                      <w:szCs w:val="21"/>
                      <w:lang w:val="en-US" w:eastAsia="zh-CN"/>
                    </w:rPr>
                    <w:fldChar w:fldCharType="end"/>
                  </w:r>
                </w:p>
              </w:tc>
              <w:tc>
                <w:tcPr>
                  <w:tcW w:w="1324" w:type="pct"/>
                  <w:noWrap w:val="0"/>
                  <w:vAlign w:val="center"/>
                </w:tcPr>
                <w:p w14:paraId="126753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w:t>
                  </w:r>
                </w:p>
              </w:tc>
              <w:tc>
                <w:tcPr>
                  <w:tcW w:w="707" w:type="pct"/>
                  <w:noWrap w:val="0"/>
                  <w:vAlign w:val="center"/>
                </w:tcPr>
                <w:p w14:paraId="707684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99" w:type="pct"/>
                  <w:noWrap w:val="0"/>
                  <w:vAlign w:val="center"/>
                </w:tcPr>
                <w:p w14:paraId="71A5C7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6.91</w:t>
                  </w:r>
                </w:p>
              </w:tc>
              <w:tc>
                <w:tcPr>
                  <w:tcW w:w="1155" w:type="pct"/>
                  <w:noWrap w:val="0"/>
                  <w:vAlign w:val="center"/>
                </w:tcPr>
                <w:p w14:paraId="3C9823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3C9A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83B10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1D88D4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氧化还原电位</w:t>
                  </w:r>
                </w:p>
              </w:tc>
              <w:tc>
                <w:tcPr>
                  <w:tcW w:w="707" w:type="pct"/>
                  <w:noWrap w:val="0"/>
                  <w:vAlign w:val="center"/>
                </w:tcPr>
                <w:p w14:paraId="7E2745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mV</w:t>
                  </w:r>
                </w:p>
              </w:tc>
              <w:tc>
                <w:tcPr>
                  <w:tcW w:w="899" w:type="pct"/>
                  <w:noWrap w:val="0"/>
                  <w:vAlign w:val="center"/>
                </w:tcPr>
                <w:p w14:paraId="757008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w:t>
                  </w:r>
                  <w:r>
                    <w:rPr>
                      <w:rFonts w:hint="eastAsia" w:cs="Times New Roman"/>
                      <w:color w:val="auto"/>
                      <w:kern w:val="2"/>
                      <w:sz w:val="21"/>
                      <w:szCs w:val="21"/>
                      <w:lang w:val="en-US" w:eastAsia="zh-CN" w:bidi="ar-SA"/>
                    </w:rPr>
                    <w:t>95</w:t>
                  </w:r>
                </w:p>
              </w:tc>
              <w:tc>
                <w:tcPr>
                  <w:tcW w:w="1155" w:type="pct"/>
                  <w:noWrap w:val="0"/>
                  <w:vAlign w:val="center"/>
                </w:tcPr>
                <w:p w14:paraId="2CBB89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0A83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166D4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298C31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阳离子交换量</w:t>
                  </w:r>
                </w:p>
              </w:tc>
              <w:tc>
                <w:tcPr>
                  <w:tcW w:w="707" w:type="pct"/>
                  <w:noWrap w:val="0"/>
                  <w:vAlign w:val="center"/>
                </w:tcPr>
                <w:p w14:paraId="4EA9B7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cmol+/kg</w:t>
                  </w:r>
                </w:p>
              </w:tc>
              <w:tc>
                <w:tcPr>
                  <w:tcW w:w="899" w:type="pct"/>
                  <w:noWrap w:val="0"/>
                  <w:vAlign w:val="center"/>
                </w:tcPr>
                <w:p w14:paraId="53FCC8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1.2</w:t>
                  </w:r>
                </w:p>
              </w:tc>
              <w:tc>
                <w:tcPr>
                  <w:tcW w:w="1155" w:type="pct"/>
                  <w:noWrap w:val="0"/>
                  <w:vAlign w:val="center"/>
                </w:tcPr>
                <w:p w14:paraId="6132B1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7C0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A823B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5FDB96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容重</w:t>
                  </w:r>
                </w:p>
              </w:tc>
              <w:tc>
                <w:tcPr>
                  <w:tcW w:w="707" w:type="pct"/>
                  <w:noWrap w:val="0"/>
                  <w:vAlign w:val="center"/>
                </w:tcPr>
                <w:p w14:paraId="5AE4FE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g/cm</w:t>
                  </w:r>
                  <w:r>
                    <w:rPr>
                      <w:rFonts w:hint="default" w:ascii="Times New Roman" w:hAnsi="Times New Roman" w:eastAsia="宋体" w:cs="Times New Roman"/>
                      <w:color w:val="auto"/>
                      <w:sz w:val="21"/>
                      <w:szCs w:val="21"/>
                      <w:vertAlign w:val="superscript"/>
                    </w:rPr>
                    <w:t>3</w:t>
                  </w:r>
                </w:p>
              </w:tc>
              <w:tc>
                <w:tcPr>
                  <w:tcW w:w="899" w:type="pct"/>
                  <w:noWrap w:val="0"/>
                  <w:vAlign w:val="center"/>
                </w:tcPr>
                <w:p w14:paraId="4F1FA8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Cs w:val="21"/>
                      <w:highlight w:val="none"/>
                      <w:lang w:val="en-US" w:eastAsia="zh-CN"/>
                    </w:rPr>
                    <w:t>1.4</w:t>
                  </w:r>
                  <w:r>
                    <w:rPr>
                      <w:rFonts w:hint="eastAsia" w:cs="Times New Roman"/>
                      <w:color w:val="auto"/>
                      <w:szCs w:val="21"/>
                      <w:highlight w:val="none"/>
                      <w:lang w:val="en-US" w:eastAsia="zh-CN"/>
                    </w:rPr>
                    <w:t>4</w:t>
                  </w:r>
                </w:p>
              </w:tc>
              <w:tc>
                <w:tcPr>
                  <w:tcW w:w="1155" w:type="pct"/>
                  <w:noWrap w:val="0"/>
                  <w:vAlign w:val="center"/>
                </w:tcPr>
                <w:p w14:paraId="454E8C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87D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A6DBD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2A0A39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孔隙度</w:t>
                  </w:r>
                </w:p>
              </w:tc>
              <w:tc>
                <w:tcPr>
                  <w:tcW w:w="707" w:type="pct"/>
                  <w:noWrap w:val="0"/>
                  <w:vAlign w:val="center"/>
                </w:tcPr>
                <w:p w14:paraId="5E7CBB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体积</w:t>
                  </w:r>
                  <w:r>
                    <w:rPr>
                      <w:rFonts w:hint="default" w:ascii="Times New Roman" w:hAnsi="Times New Roman" w:eastAsia="宋体" w:cs="Times New Roman"/>
                      <w:color w:val="auto"/>
                      <w:sz w:val="21"/>
                      <w:szCs w:val="21"/>
                      <w:lang w:val="en-US" w:eastAsia="zh-CN"/>
                    </w:rPr>
                    <w:t>%</w:t>
                  </w:r>
                </w:p>
              </w:tc>
              <w:tc>
                <w:tcPr>
                  <w:tcW w:w="899" w:type="pct"/>
                  <w:noWrap w:val="0"/>
                  <w:vAlign w:val="center"/>
                </w:tcPr>
                <w:p w14:paraId="36E99C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Cs w:val="21"/>
                      <w:highlight w:val="none"/>
                      <w:lang w:val="en-US" w:eastAsia="zh-CN"/>
                    </w:rPr>
                    <w:t>48.</w:t>
                  </w:r>
                  <w:r>
                    <w:rPr>
                      <w:rFonts w:hint="eastAsia" w:cs="Times New Roman"/>
                      <w:color w:val="auto"/>
                      <w:szCs w:val="21"/>
                      <w:highlight w:val="none"/>
                      <w:lang w:val="en-US" w:eastAsia="zh-CN"/>
                    </w:rPr>
                    <w:t>1</w:t>
                  </w:r>
                </w:p>
              </w:tc>
              <w:tc>
                <w:tcPr>
                  <w:tcW w:w="1155" w:type="pct"/>
                  <w:noWrap w:val="0"/>
                  <w:vAlign w:val="center"/>
                </w:tcPr>
                <w:p w14:paraId="36BE10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850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D88C5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38DEB4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渗透性</w:t>
                  </w:r>
                </w:p>
              </w:tc>
              <w:tc>
                <w:tcPr>
                  <w:tcW w:w="707" w:type="pct"/>
                  <w:noWrap w:val="0"/>
                  <w:vAlign w:val="center"/>
                </w:tcPr>
                <w:p w14:paraId="4D8AD1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sz w:val="21"/>
                      <w:szCs w:val="21"/>
                    </w:rPr>
                    <w:t>m/</w:t>
                  </w:r>
                  <w:r>
                    <w:rPr>
                      <w:rFonts w:hint="eastAsia" w:ascii="Times New Roman" w:hAnsi="Times New Roman" w:eastAsia="宋体" w:cs="Times New Roman"/>
                      <w:color w:val="auto"/>
                      <w:sz w:val="21"/>
                      <w:szCs w:val="21"/>
                      <w:lang w:val="en-US" w:eastAsia="zh-CN"/>
                    </w:rPr>
                    <w:t>s</w:t>
                  </w:r>
                </w:p>
              </w:tc>
              <w:tc>
                <w:tcPr>
                  <w:tcW w:w="899" w:type="pct"/>
                  <w:noWrap w:val="0"/>
                  <w:vAlign w:val="center"/>
                </w:tcPr>
                <w:p w14:paraId="5B95F5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5.</w:t>
                  </w:r>
                  <w:r>
                    <w:rPr>
                      <w:rFonts w:hint="eastAsia" w:cs="Times New Roman"/>
                      <w:color w:val="auto"/>
                      <w:kern w:val="2"/>
                      <w:sz w:val="21"/>
                      <w:szCs w:val="21"/>
                      <w:highlight w:val="none"/>
                      <w:lang w:val="en-US" w:eastAsia="zh-CN" w:bidi="ar-SA"/>
                    </w:rPr>
                    <w:t>22</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szCs w:val="21"/>
                      <w:highlight w:val="none"/>
                      <w:lang w:val="en-US" w:eastAsia="zh-CN"/>
                    </w:rPr>
                    <w:t>10</w:t>
                  </w:r>
                  <w:r>
                    <w:rPr>
                      <w:rFonts w:hint="eastAsia" w:ascii="Times New Roman" w:hAnsi="Times New Roman" w:eastAsia="宋体" w:cs="Times New Roman"/>
                      <w:color w:val="auto"/>
                      <w:szCs w:val="21"/>
                      <w:highlight w:val="none"/>
                      <w:vertAlign w:val="superscript"/>
                      <w:lang w:val="en-US" w:eastAsia="zh-CN"/>
                    </w:rPr>
                    <w:t>-3</w:t>
                  </w:r>
                </w:p>
              </w:tc>
              <w:tc>
                <w:tcPr>
                  <w:tcW w:w="1155" w:type="pct"/>
                  <w:noWrap w:val="0"/>
                  <w:vAlign w:val="center"/>
                </w:tcPr>
                <w:p w14:paraId="33111C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6CF5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27CA3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09374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全盐量</w:t>
                  </w:r>
                </w:p>
              </w:tc>
              <w:tc>
                <w:tcPr>
                  <w:tcW w:w="707" w:type="pct"/>
                  <w:noWrap w:val="0"/>
                  <w:vAlign w:val="center"/>
                </w:tcPr>
                <w:p w14:paraId="7F9627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g/kg</w:t>
                  </w:r>
                </w:p>
              </w:tc>
              <w:tc>
                <w:tcPr>
                  <w:tcW w:w="899" w:type="pct"/>
                  <w:noWrap w:val="0"/>
                  <w:vAlign w:val="center"/>
                </w:tcPr>
                <w:p w14:paraId="21398A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8</w:t>
                  </w:r>
                </w:p>
              </w:tc>
              <w:tc>
                <w:tcPr>
                  <w:tcW w:w="1155" w:type="pct"/>
                  <w:noWrap w:val="0"/>
                  <w:vAlign w:val="center"/>
                </w:tcPr>
                <w:p w14:paraId="598A20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4681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3597D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97D31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石油烃（C</w:t>
                  </w:r>
                  <w:r>
                    <w:rPr>
                      <w:rFonts w:hint="default" w:ascii="Times New Roman" w:hAnsi="Times New Roman" w:eastAsia="宋体" w:cs="Times New Roman"/>
                      <w:color w:val="auto"/>
                      <w:sz w:val="21"/>
                      <w:szCs w:val="21"/>
                      <w:vertAlign w:val="subscript"/>
                      <w:lang w:eastAsia="zh-CN"/>
                    </w:rPr>
                    <w:t>10</w:t>
                  </w:r>
                  <w:r>
                    <w:rPr>
                      <w:rFonts w:hint="default" w:ascii="Times New Roman" w:hAnsi="Times New Roman" w:eastAsia="宋体" w:cs="Times New Roman"/>
                      <w:color w:val="auto"/>
                      <w:sz w:val="21"/>
                      <w:szCs w:val="21"/>
                      <w:lang w:eastAsia="zh-CN"/>
                    </w:rPr>
                    <w:t>-C</w:t>
                  </w:r>
                  <w:r>
                    <w:rPr>
                      <w:rFonts w:hint="default" w:ascii="Times New Roman" w:hAnsi="Times New Roman" w:eastAsia="宋体" w:cs="Times New Roman"/>
                      <w:color w:val="auto"/>
                      <w:sz w:val="21"/>
                      <w:szCs w:val="21"/>
                      <w:vertAlign w:val="subscript"/>
                      <w:lang w:eastAsia="zh-CN"/>
                    </w:rPr>
                    <w:t>40</w:t>
                  </w:r>
                  <w:r>
                    <w:rPr>
                      <w:rFonts w:hint="default" w:ascii="Times New Roman" w:hAnsi="Times New Roman" w:eastAsia="宋体" w:cs="Times New Roman"/>
                      <w:color w:val="auto"/>
                      <w:sz w:val="21"/>
                      <w:szCs w:val="21"/>
                      <w:lang w:eastAsia="zh-CN"/>
                    </w:rPr>
                    <w:t>）</w:t>
                  </w:r>
                </w:p>
              </w:tc>
              <w:tc>
                <w:tcPr>
                  <w:tcW w:w="707" w:type="pct"/>
                  <w:noWrap w:val="0"/>
                  <w:vAlign w:val="center"/>
                </w:tcPr>
                <w:p w14:paraId="2419A2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95467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3</w:t>
                  </w:r>
                  <w:r>
                    <w:rPr>
                      <w:rFonts w:hint="eastAsia" w:cs="Times New Roman"/>
                      <w:color w:val="auto"/>
                      <w:spacing w:val="0"/>
                      <w:kern w:val="2"/>
                      <w:sz w:val="21"/>
                      <w:szCs w:val="21"/>
                      <w:highlight w:val="none"/>
                      <w:lang w:val="en-US" w:eastAsia="zh-CN" w:bidi="ar-SA"/>
                    </w:rPr>
                    <w:t>5</w:t>
                  </w:r>
                </w:p>
              </w:tc>
              <w:tc>
                <w:tcPr>
                  <w:tcW w:w="1155" w:type="pct"/>
                  <w:noWrap w:val="0"/>
                  <w:vAlign w:val="center"/>
                </w:tcPr>
                <w:p w14:paraId="7AEFE0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4500</w:t>
                  </w:r>
                </w:p>
              </w:tc>
            </w:tr>
            <w:tr w14:paraId="4113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2796B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50E94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钡</w:t>
                  </w:r>
                </w:p>
              </w:tc>
              <w:tc>
                <w:tcPr>
                  <w:tcW w:w="707" w:type="pct"/>
                  <w:noWrap w:val="0"/>
                  <w:vAlign w:val="center"/>
                </w:tcPr>
                <w:p w14:paraId="51C714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59F80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val="en-US" w:eastAsia="zh-CN"/>
                    </w:rPr>
                    <w:t>4</w:t>
                  </w:r>
                </w:p>
              </w:tc>
              <w:tc>
                <w:tcPr>
                  <w:tcW w:w="1155" w:type="pct"/>
                  <w:noWrap w:val="0"/>
                  <w:vAlign w:val="center"/>
                </w:tcPr>
                <w:p w14:paraId="3711B9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8660</w:t>
                  </w:r>
                </w:p>
              </w:tc>
            </w:tr>
            <w:tr w14:paraId="62C1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67A43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58C1C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铅</w:t>
                  </w:r>
                </w:p>
              </w:tc>
              <w:tc>
                <w:tcPr>
                  <w:tcW w:w="707" w:type="pct"/>
                  <w:noWrap w:val="0"/>
                  <w:vAlign w:val="center"/>
                </w:tcPr>
                <w:p w14:paraId="2844F5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434B5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52</w:t>
                  </w:r>
                </w:p>
              </w:tc>
              <w:tc>
                <w:tcPr>
                  <w:tcW w:w="1155" w:type="pct"/>
                  <w:noWrap w:val="0"/>
                  <w:vAlign w:val="center"/>
                </w:tcPr>
                <w:p w14:paraId="55F7A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800</w:t>
                  </w:r>
                </w:p>
              </w:tc>
            </w:tr>
            <w:tr w14:paraId="6A29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25276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02DD70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镉</w:t>
                  </w:r>
                </w:p>
              </w:tc>
              <w:tc>
                <w:tcPr>
                  <w:tcW w:w="707" w:type="pct"/>
                  <w:noWrap w:val="0"/>
                  <w:vAlign w:val="center"/>
                </w:tcPr>
                <w:p w14:paraId="3F3C69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C5793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0.1</w:t>
                  </w:r>
                  <w:r>
                    <w:rPr>
                      <w:rFonts w:hint="eastAsia" w:cs="Times New Roman"/>
                      <w:color w:val="auto"/>
                      <w:spacing w:val="0"/>
                      <w:kern w:val="2"/>
                      <w:sz w:val="21"/>
                      <w:szCs w:val="21"/>
                      <w:highlight w:val="none"/>
                      <w:lang w:val="en-US" w:eastAsia="zh-CN" w:bidi="ar-SA"/>
                    </w:rPr>
                    <w:t>4</w:t>
                  </w:r>
                </w:p>
              </w:tc>
              <w:tc>
                <w:tcPr>
                  <w:tcW w:w="1155" w:type="pct"/>
                  <w:noWrap w:val="0"/>
                  <w:vAlign w:val="center"/>
                </w:tcPr>
                <w:p w14:paraId="4CD279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65</w:t>
                  </w:r>
                </w:p>
              </w:tc>
            </w:tr>
            <w:tr w14:paraId="47D6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F29E3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4F3F6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铜</w:t>
                  </w:r>
                </w:p>
              </w:tc>
              <w:tc>
                <w:tcPr>
                  <w:tcW w:w="707" w:type="pct"/>
                  <w:noWrap w:val="0"/>
                  <w:vAlign w:val="center"/>
                </w:tcPr>
                <w:p w14:paraId="466D56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5CCF44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76</w:t>
                  </w:r>
                </w:p>
              </w:tc>
              <w:tc>
                <w:tcPr>
                  <w:tcW w:w="1155" w:type="pct"/>
                  <w:noWrap w:val="0"/>
                  <w:vAlign w:val="center"/>
                </w:tcPr>
                <w:p w14:paraId="35D3D7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18000</w:t>
                  </w:r>
                </w:p>
              </w:tc>
            </w:tr>
            <w:tr w14:paraId="746F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78E77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65B46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镍</w:t>
                  </w:r>
                </w:p>
              </w:tc>
              <w:tc>
                <w:tcPr>
                  <w:tcW w:w="707" w:type="pct"/>
                  <w:noWrap w:val="0"/>
                  <w:vAlign w:val="center"/>
                </w:tcPr>
                <w:p w14:paraId="224D09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BF8F3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50</w:t>
                  </w:r>
                </w:p>
              </w:tc>
              <w:tc>
                <w:tcPr>
                  <w:tcW w:w="1155" w:type="pct"/>
                  <w:noWrap w:val="0"/>
                  <w:vAlign w:val="center"/>
                </w:tcPr>
                <w:p w14:paraId="34708B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900</w:t>
                  </w:r>
                </w:p>
              </w:tc>
            </w:tr>
            <w:tr w14:paraId="1669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A9059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ACA80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锌</w:t>
                  </w:r>
                </w:p>
              </w:tc>
              <w:tc>
                <w:tcPr>
                  <w:tcW w:w="707" w:type="pct"/>
                  <w:noWrap w:val="0"/>
                  <w:vAlign w:val="center"/>
                </w:tcPr>
                <w:p w14:paraId="24A9EC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4B01EB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80</w:t>
                  </w:r>
                </w:p>
              </w:tc>
              <w:tc>
                <w:tcPr>
                  <w:tcW w:w="1155" w:type="pct"/>
                  <w:noWrap w:val="0"/>
                  <w:vAlign w:val="center"/>
                </w:tcPr>
                <w:p w14:paraId="39CCAC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55E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02681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112A1F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铬</w:t>
                  </w:r>
                </w:p>
              </w:tc>
              <w:tc>
                <w:tcPr>
                  <w:tcW w:w="707" w:type="pct"/>
                  <w:noWrap w:val="0"/>
                  <w:vAlign w:val="center"/>
                </w:tcPr>
                <w:p w14:paraId="05DDA5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BB01E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78</w:t>
                  </w:r>
                </w:p>
              </w:tc>
              <w:tc>
                <w:tcPr>
                  <w:tcW w:w="1155" w:type="pct"/>
                  <w:noWrap w:val="0"/>
                  <w:vAlign w:val="center"/>
                </w:tcPr>
                <w:p w14:paraId="2F779E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2882</w:t>
                  </w:r>
                </w:p>
              </w:tc>
            </w:tr>
            <w:tr w14:paraId="5B79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62B12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09F31D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六价铬</w:t>
                  </w:r>
                </w:p>
              </w:tc>
              <w:tc>
                <w:tcPr>
                  <w:tcW w:w="707" w:type="pct"/>
                  <w:noWrap w:val="0"/>
                  <w:vAlign w:val="center"/>
                </w:tcPr>
                <w:p w14:paraId="2F9D3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CB119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BBF62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5.7</w:t>
                  </w:r>
                </w:p>
              </w:tc>
            </w:tr>
            <w:tr w14:paraId="0485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C82E8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C994B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汞</w:t>
                  </w:r>
                </w:p>
              </w:tc>
              <w:tc>
                <w:tcPr>
                  <w:tcW w:w="707" w:type="pct"/>
                  <w:noWrap w:val="0"/>
                  <w:vAlign w:val="center"/>
                </w:tcPr>
                <w:p w14:paraId="1A751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D281E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pacing w:val="0"/>
                      <w:kern w:val="2"/>
                      <w:sz w:val="21"/>
                      <w:szCs w:val="21"/>
                      <w:highlight w:val="none"/>
                      <w:lang w:val="en-US" w:eastAsia="zh-CN" w:bidi="ar-SA"/>
                    </w:rPr>
                    <w:t>0.251</w:t>
                  </w:r>
                </w:p>
              </w:tc>
              <w:tc>
                <w:tcPr>
                  <w:tcW w:w="1155" w:type="pct"/>
                  <w:noWrap w:val="0"/>
                  <w:vAlign w:val="center"/>
                </w:tcPr>
                <w:p w14:paraId="5C748D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38</w:t>
                  </w:r>
                </w:p>
              </w:tc>
            </w:tr>
            <w:tr w14:paraId="0E15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27805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E4368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砷</w:t>
                  </w:r>
                </w:p>
              </w:tc>
              <w:tc>
                <w:tcPr>
                  <w:tcW w:w="707" w:type="pct"/>
                  <w:noWrap w:val="0"/>
                  <w:vAlign w:val="center"/>
                </w:tcPr>
                <w:p w14:paraId="118029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E62F3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pacing w:val="0"/>
                      <w:kern w:val="2"/>
                      <w:sz w:val="21"/>
                      <w:szCs w:val="21"/>
                      <w:highlight w:val="none"/>
                      <w:lang w:val="en-US" w:eastAsia="zh-CN" w:bidi="ar-SA"/>
                    </w:rPr>
                    <w:t>3.23</w:t>
                  </w:r>
                </w:p>
              </w:tc>
              <w:tc>
                <w:tcPr>
                  <w:tcW w:w="1155" w:type="pct"/>
                  <w:noWrap w:val="0"/>
                  <w:vAlign w:val="center"/>
                </w:tcPr>
                <w:p w14:paraId="70F43E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r>
            <w:tr w14:paraId="5AB8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FB85B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A9D3E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氯甲烷</w:t>
                  </w:r>
                </w:p>
              </w:tc>
              <w:tc>
                <w:tcPr>
                  <w:tcW w:w="707" w:type="pct"/>
                  <w:noWrap w:val="0"/>
                  <w:vAlign w:val="center"/>
                </w:tcPr>
                <w:p w14:paraId="577514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5314BD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1C898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37</w:t>
                  </w:r>
                </w:p>
              </w:tc>
            </w:tr>
            <w:tr w14:paraId="51C1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0214A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BA1F8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氯乙烯</w:t>
                  </w:r>
                </w:p>
              </w:tc>
              <w:tc>
                <w:tcPr>
                  <w:tcW w:w="707" w:type="pct"/>
                  <w:noWrap w:val="0"/>
                  <w:vAlign w:val="center"/>
                </w:tcPr>
                <w:p w14:paraId="492FF7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47666F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9D4C0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0.43</w:t>
                  </w:r>
                </w:p>
              </w:tc>
            </w:tr>
            <w:tr w14:paraId="7EF2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6FD8C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67721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1,1-二氯乙烯</w:t>
                  </w:r>
                </w:p>
              </w:tc>
              <w:tc>
                <w:tcPr>
                  <w:tcW w:w="707" w:type="pct"/>
                  <w:noWrap w:val="0"/>
                  <w:vAlign w:val="center"/>
                </w:tcPr>
                <w:p w14:paraId="2F609E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52F81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2A6EA5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66</w:t>
                  </w:r>
                </w:p>
              </w:tc>
            </w:tr>
            <w:tr w14:paraId="5E8C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BEA20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5999F3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二氯甲烷</w:t>
                  </w:r>
                </w:p>
              </w:tc>
              <w:tc>
                <w:tcPr>
                  <w:tcW w:w="707" w:type="pct"/>
                  <w:noWrap w:val="0"/>
                  <w:vAlign w:val="center"/>
                </w:tcPr>
                <w:p w14:paraId="2AF36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575B46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5D5891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616</w:t>
                  </w:r>
                </w:p>
              </w:tc>
            </w:tr>
            <w:tr w14:paraId="2AD9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81A1B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4B3977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反式-1,2-二氯乙烯</w:t>
                  </w:r>
                </w:p>
              </w:tc>
              <w:tc>
                <w:tcPr>
                  <w:tcW w:w="707" w:type="pct"/>
                  <w:noWrap w:val="0"/>
                  <w:vAlign w:val="center"/>
                </w:tcPr>
                <w:p w14:paraId="2489B3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347E2E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D7631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54</w:t>
                  </w:r>
                </w:p>
              </w:tc>
            </w:tr>
            <w:tr w14:paraId="10D5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7D00F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0B340F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1,1-二氯乙烷</w:t>
                  </w:r>
                </w:p>
              </w:tc>
              <w:tc>
                <w:tcPr>
                  <w:tcW w:w="707" w:type="pct"/>
                  <w:noWrap w:val="0"/>
                  <w:vAlign w:val="center"/>
                </w:tcPr>
                <w:p w14:paraId="2EB073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0BFB5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576866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w:t>
                  </w:r>
                </w:p>
              </w:tc>
            </w:tr>
            <w:tr w14:paraId="4724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F1E2D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18DD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顺式-1,2-二氯乙烯</w:t>
                  </w:r>
                </w:p>
              </w:tc>
              <w:tc>
                <w:tcPr>
                  <w:tcW w:w="707" w:type="pct"/>
                  <w:noWrap w:val="0"/>
                  <w:vAlign w:val="center"/>
                </w:tcPr>
                <w:p w14:paraId="17F5DB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7162F6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E0F7E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596</w:t>
                  </w:r>
                </w:p>
              </w:tc>
            </w:tr>
            <w:tr w14:paraId="1D65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6EA6C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1FA86B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氯仿</w:t>
                  </w:r>
                </w:p>
              </w:tc>
              <w:tc>
                <w:tcPr>
                  <w:tcW w:w="707" w:type="pct"/>
                  <w:noWrap w:val="0"/>
                  <w:vAlign w:val="center"/>
                </w:tcPr>
                <w:p w14:paraId="60E994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53A8C8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0C09B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0.9</w:t>
                  </w:r>
                </w:p>
              </w:tc>
            </w:tr>
            <w:tr w14:paraId="11A5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20CBA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1F6EB6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1,1,1-三氯乙烷</w:t>
                  </w:r>
                </w:p>
              </w:tc>
              <w:tc>
                <w:tcPr>
                  <w:tcW w:w="707" w:type="pct"/>
                  <w:noWrap w:val="0"/>
                  <w:vAlign w:val="center"/>
                </w:tcPr>
                <w:p w14:paraId="7333D1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0D646F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2F1D3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840</w:t>
                  </w:r>
                </w:p>
              </w:tc>
            </w:tr>
            <w:tr w14:paraId="29FF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ADCF4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9154F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四氯化碳</w:t>
                  </w:r>
                </w:p>
              </w:tc>
              <w:tc>
                <w:tcPr>
                  <w:tcW w:w="707" w:type="pct"/>
                  <w:noWrap w:val="0"/>
                  <w:vAlign w:val="center"/>
                </w:tcPr>
                <w:p w14:paraId="68AE56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38CFB3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1ADC7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r>
            <w:tr w14:paraId="67CC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75B33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691DC2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w:t>
                  </w:r>
                </w:p>
              </w:tc>
              <w:tc>
                <w:tcPr>
                  <w:tcW w:w="707" w:type="pct"/>
                  <w:noWrap w:val="0"/>
                  <w:vAlign w:val="center"/>
                </w:tcPr>
                <w:p w14:paraId="63D639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0D8692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2D2FB5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r>
            <w:tr w14:paraId="643C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D38B5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35E0FB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1,2-二氯乙烷</w:t>
                  </w:r>
                </w:p>
              </w:tc>
              <w:tc>
                <w:tcPr>
                  <w:tcW w:w="707" w:type="pct"/>
                  <w:noWrap w:val="0"/>
                  <w:vAlign w:val="center"/>
                </w:tcPr>
                <w:p w14:paraId="133965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01B178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6B75D3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r>
            <w:tr w14:paraId="079B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E3B96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71D423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三氯乙烯</w:t>
                  </w:r>
                </w:p>
              </w:tc>
              <w:tc>
                <w:tcPr>
                  <w:tcW w:w="707" w:type="pct"/>
                  <w:noWrap w:val="0"/>
                  <w:vAlign w:val="center"/>
                </w:tcPr>
                <w:p w14:paraId="74433F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4DD1AE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6E4DB1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r>
            <w:tr w14:paraId="19B5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88593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FBDB1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1,2-二氯丙烷</w:t>
                  </w:r>
                </w:p>
              </w:tc>
              <w:tc>
                <w:tcPr>
                  <w:tcW w:w="707" w:type="pct"/>
                  <w:noWrap w:val="0"/>
                  <w:vAlign w:val="center"/>
                </w:tcPr>
                <w:p w14:paraId="422B58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C2815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239E87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r>
            <w:tr w14:paraId="3342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89A9E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09079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甲苯</w:t>
                  </w:r>
                </w:p>
              </w:tc>
              <w:tc>
                <w:tcPr>
                  <w:tcW w:w="707" w:type="pct"/>
                  <w:noWrap w:val="0"/>
                  <w:vAlign w:val="center"/>
                </w:tcPr>
                <w:p w14:paraId="7EDCFE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3E746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19FC88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1200</w:t>
                  </w:r>
                </w:p>
              </w:tc>
            </w:tr>
            <w:tr w14:paraId="3FC8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52631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6BCF3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1,1,2-三氯乙烷</w:t>
                  </w:r>
                </w:p>
              </w:tc>
              <w:tc>
                <w:tcPr>
                  <w:tcW w:w="707" w:type="pct"/>
                  <w:noWrap w:val="0"/>
                  <w:vAlign w:val="center"/>
                </w:tcPr>
                <w:p w14:paraId="5CEB2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57493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A480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r>
            <w:tr w14:paraId="50C2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D63C9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597021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四氯乙烯</w:t>
                  </w:r>
                </w:p>
              </w:tc>
              <w:tc>
                <w:tcPr>
                  <w:tcW w:w="707" w:type="pct"/>
                  <w:noWrap w:val="0"/>
                  <w:vAlign w:val="center"/>
                </w:tcPr>
                <w:p w14:paraId="155704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E717B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1D230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53</w:t>
                  </w:r>
                </w:p>
              </w:tc>
            </w:tr>
            <w:tr w14:paraId="70A7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BB2A1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336088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氯苯</w:t>
                  </w:r>
                </w:p>
              </w:tc>
              <w:tc>
                <w:tcPr>
                  <w:tcW w:w="707" w:type="pct"/>
                  <w:noWrap w:val="0"/>
                  <w:vAlign w:val="center"/>
                </w:tcPr>
                <w:p w14:paraId="7AB56A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51A33B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1DEE80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270</w:t>
                  </w:r>
                </w:p>
              </w:tc>
            </w:tr>
            <w:tr w14:paraId="002E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81609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85499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1,1,1,2-四氯乙烷</w:t>
                  </w:r>
                </w:p>
              </w:tc>
              <w:tc>
                <w:tcPr>
                  <w:tcW w:w="707" w:type="pct"/>
                  <w:noWrap w:val="0"/>
                  <w:vAlign w:val="center"/>
                </w:tcPr>
                <w:p w14:paraId="5036A1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62DCA0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AEBF9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r>
            <w:tr w14:paraId="3964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C3301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52E223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乙苯</w:t>
                  </w:r>
                </w:p>
              </w:tc>
              <w:tc>
                <w:tcPr>
                  <w:tcW w:w="707" w:type="pct"/>
                  <w:noWrap w:val="0"/>
                  <w:vAlign w:val="center"/>
                </w:tcPr>
                <w:p w14:paraId="66C0F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4796DC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2430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r>
            <w:tr w14:paraId="7D0F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21345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51B189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间,对-二甲苯</w:t>
                  </w:r>
                </w:p>
              </w:tc>
              <w:tc>
                <w:tcPr>
                  <w:tcW w:w="707" w:type="pct"/>
                  <w:noWrap w:val="0"/>
                  <w:vAlign w:val="center"/>
                </w:tcPr>
                <w:p w14:paraId="6D24CA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6F5AFF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00202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570</w:t>
                  </w:r>
                </w:p>
              </w:tc>
            </w:tr>
            <w:tr w14:paraId="30FC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37B77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5122A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邻-二甲苯</w:t>
                  </w:r>
                </w:p>
              </w:tc>
              <w:tc>
                <w:tcPr>
                  <w:tcW w:w="707" w:type="pct"/>
                  <w:noWrap w:val="0"/>
                  <w:vAlign w:val="center"/>
                </w:tcPr>
                <w:p w14:paraId="48F60A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73B78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1630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640</w:t>
                  </w:r>
                </w:p>
              </w:tc>
            </w:tr>
            <w:tr w14:paraId="4084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97D5D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32C3CD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苯乙烯</w:t>
                  </w:r>
                </w:p>
              </w:tc>
              <w:tc>
                <w:tcPr>
                  <w:tcW w:w="707" w:type="pct"/>
                  <w:noWrap w:val="0"/>
                  <w:vAlign w:val="center"/>
                </w:tcPr>
                <w:p w14:paraId="002353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43E07B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74EBB9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1290</w:t>
                  </w:r>
                </w:p>
              </w:tc>
            </w:tr>
            <w:tr w14:paraId="4FBC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D69CB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3439D1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1,1,2,2-四氯乙烷</w:t>
                  </w:r>
                </w:p>
              </w:tc>
              <w:tc>
                <w:tcPr>
                  <w:tcW w:w="707" w:type="pct"/>
                  <w:noWrap w:val="0"/>
                  <w:vAlign w:val="center"/>
                </w:tcPr>
                <w:p w14:paraId="1CDCC0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9941E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4B396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w:t>
                  </w:r>
                </w:p>
              </w:tc>
            </w:tr>
            <w:tr w14:paraId="7C82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4E139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16FFD9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1,2,3-三氯丙烷</w:t>
                  </w:r>
                </w:p>
              </w:tc>
              <w:tc>
                <w:tcPr>
                  <w:tcW w:w="707" w:type="pct"/>
                  <w:noWrap w:val="0"/>
                  <w:vAlign w:val="center"/>
                </w:tcPr>
                <w:p w14:paraId="141E70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35B369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CCE48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w:t>
                  </w:r>
                </w:p>
              </w:tc>
            </w:tr>
            <w:tr w14:paraId="0EAB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90DE5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42D7F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1,4-二氯苯</w:t>
                  </w:r>
                </w:p>
              </w:tc>
              <w:tc>
                <w:tcPr>
                  <w:tcW w:w="707" w:type="pct"/>
                  <w:noWrap w:val="0"/>
                  <w:vAlign w:val="center"/>
                </w:tcPr>
                <w:p w14:paraId="376A4B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2F0EE0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2AFF57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w:t>
                  </w:r>
                </w:p>
              </w:tc>
            </w:tr>
            <w:tr w14:paraId="47F1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E36F9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674514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1,2-二氯苯</w:t>
                  </w:r>
                </w:p>
              </w:tc>
              <w:tc>
                <w:tcPr>
                  <w:tcW w:w="707" w:type="pct"/>
                  <w:noWrap w:val="0"/>
                  <w:vAlign w:val="center"/>
                </w:tcPr>
                <w:p w14:paraId="635513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µg/kg</w:t>
                  </w:r>
                </w:p>
              </w:tc>
              <w:tc>
                <w:tcPr>
                  <w:tcW w:w="899" w:type="pct"/>
                  <w:noWrap w:val="0"/>
                  <w:vAlign w:val="center"/>
                </w:tcPr>
                <w:p w14:paraId="5FC71F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B3BC8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560</w:t>
                  </w:r>
                </w:p>
              </w:tc>
            </w:tr>
            <w:tr w14:paraId="0F5F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4FDF5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2B6AE7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2-氯苯酚</w:t>
                  </w:r>
                </w:p>
              </w:tc>
              <w:tc>
                <w:tcPr>
                  <w:tcW w:w="707" w:type="pct"/>
                  <w:noWrap w:val="0"/>
                  <w:vAlign w:val="center"/>
                </w:tcPr>
                <w:p w14:paraId="37402D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5450E5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14EB6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2256</w:t>
                  </w:r>
                </w:p>
              </w:tc>
            </w:tr>
            <w:tr w14:paraId="672B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F32D8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4E0E42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萘</w:t>
                  </w:r>
                </w:p>
              </w:tc>
              <w:tc>
                <w:tcPr>
                  <w:tcW w:w="707" w:type="pct"/>
                  <w:noWrap w:val="0"/>
                  <w:vAlign w:val="center"/>
                </w:tcPr>
                <w:p w14:paraId="72463C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8450C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3A9AC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w:t>
                  </w:r>
                </w:p>
              </w:tc>
            </w:tr>
            <w:tr w14:paraId="645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90FEC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21EEA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苯并(a)蒽</w:t>
                  </w:r>
                </w:p>
              </w:tc>
              <w:tc>
                <w:tcPr>
                  <w:tcW w:w="707" w:type="pct"/>
                  <w:noWrap w:val="0"/>
                  <w:vAlign w:val="center"/>
                </w:tcPr>
                <w:p w14:paraId="09E82C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9D9D2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7E72E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r>
            <w:tr w14:paraId="400C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B33A8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5A9E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䓛</w:t>
                  </w:r>
                </w:p>
              </w:tc>
              <w:tc>
                <w:tcPr>
                  <w:tcW w:w="707" w:type="pct"/>
                  <w:noWrap w:val="0"/>
                  <w:vAlign w:val="center"/>
                </w:tcPr>
                <w:p w14:paraId="6F1C37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EF654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108D60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1293</w:t>
                  </w:r>
                </w:p>
              </w:tc>
            </w:tr>
            <w:tr w14:paraId="41F6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7FE70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55836C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苯并(b)荧蒽</w:t>
                  </w:r>
                </w:p>
              </w:tc>
              <w:tc>
                <w:tcPr>
                  <w:tcW w:w="707" w:type="pct"/>
                  <w:noWrap w:val="0"/>
                  <w:vAlign w:val="center"/>
                </w:tcPr>
                <w:p w14:paraId="0ECBF0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6E5D3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09C090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r>
            <w:tr w14:paraId="3A88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205D3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328040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苯并(k)荧蒽</w:t>
                  </w:r>
                </w:p>
              </w:tc>
              <w:tc>
                <w:tcPr>
                  <w:tcW w:w="707" w:type="pct"/>
                  <w:noWrap w:val="0"/>
                  <w:vAlign w:val="center"/>
                </w:tcPr>
                <w:p w14:paraId="71711A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A7C15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84CBA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151</w:t>
                  </w:r>
                </w:p>
              </w:tc>
            </w:tr>
            <w:tr w14:paraId="1973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B86B3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2E8526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苯并(a)芘</w:t>
                  </w:r>
                </w:p>
              </w:tc>
              <w:tc>
                <w:tcPr>
                  <w:tcW w:w="707" w:type="pct"/>
                  <w:noWrap w:val="0"/>
                  <w:vAlign w:val="center"/>
                </w:tcPr>
                <w:p w14:paraId="2944D7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F57D1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4D3A2A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r>
            <w:tr w14:paraId="4572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30223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01D7F2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茚并(1,2,3-cd)芘</w:t>
                  </w:r>
                </w:p>
              </w:tc>
              <w:tc>
                <w:tcPr>
                  <w:tcW w:w="707" w:type="pct"/>
                  <w:noWrap w:val="0"/>
                  <w:vAlign w:val="center"/>
                </w:tcPr>
                <w:p w14:paraId="0836AE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0A513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754CA0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r>
            <w:tr w14:paraId="3695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743B1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rPr>
                  </w:pPr>
                </w:p>
              </w:tc>
              <w:tc>
                <w:tcPr>
                  <w:tcW w:w="1324" w:type="pct"/>
                  <w:noWrap w:val="0"/>
                  <w:vAlign w:val="center"/>
                </w:tcPr>
                <w:p w14:paraId="43B279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二苯并(ah)蒽</w:t>
                  </w:r>
                </w:p>
              </w:tc>
              <w:tc>
                <w:tcPr>
                  <w:tcW w:w="707" w:type="pct"/>
                  <w:noWrap w:val="0"/>
                  <w:vAlign w:val="center"/>
                </w:tcPr>
                <w:p w14:paraId="369AD5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019699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334E6F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w:t>
                  </w:r>
                </w:p>
              </w:tc>
            </w:tr>
            <w:tr w14:paraId="370F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14ECA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p>
              </w:tc>
              <w:tc>
                <w:tcPr>
                  <w:tcW w:w="1324" w:type="pct"/>
                  <w:noWrap w:val="0"/>
                  <w:vAlign w:val="center"/>
                </w:tcPr>
                <w:p w14:paraId="6B3659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硝基苯</w:t>
                  </w:r>
                </w:p>
              </w:tc>
              <w:tc>
                <w:tcPr>
                  <w:tcW w:w="707" w:type="pct"/>
                  <w:noWrap w:val="0"/>
                  <w:vAlign w:val="center"/>
                </w:tcPr>
                <w:p w14:paraId="61C3A3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AC995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16DA38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76</w:t>
                  </w:r>
                </w:p>
              </w:tc>
            </w:tr>
            <w:tr w14:paraId="0465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616CC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0FDD3E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苯胺</w:t>
                  </w:r>
                </w:p>
              </w:tc>
              <w:tc>
                <w:tcPr>
                  <w:tcW w:w="707" w:type="pct"/>
                  <w:noWrap w:val="0"/>
                  <w:vAlign w:val="center"/>
                </w:tcPr>
                <w:p w14:paraId="1A1AB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46075A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未检出</w:t>
                  </w:r>
                </w:p>
              </w:tc>
              <w:tc>
                <w:tcPr>
                  <w:tcW w:w="1155" w:type="pct"/>
                  <w:noWrap w:val="0"/>
                  <w:vAlign w:val="center"/>
                </w:tcPr>
                <w:p w14:paraId="648F48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260</w:t>
                  </w:r>
                </w:p>
              </w:tc>
            </w:tr>
            <w:tr w14:paraId="67E2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restart"/>
                  <w:noWrap w:val="0"/>
                  <w:vAlign w:val="center"/>
                </w:tcPr>
                <w:p w14:paraId="601CA8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REF 土壤3 \h \* MERGEFORMAT</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3</w:t>
                  </w:r>
                </w:p>
                <w:p w14:paraId="7E2BB2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占地范围内</w:t>
                  </w:r>
                  <w:r>
                    <w:rPr>
                      <w:rFonts w:hint="default" w:ascii="Times New Roman" w:hAnsi="Times New Roman" w:eastAsia="宋体" w:cs="Times New Roman"/>
                      <w:color w:val="auto"/>
                      <w:sz w:val="21"/>
                      <w:szCs w:val="21"/>
                      <w:lang w:val="en-US" w:eastAsia="zh-CN"/>
                    </w:rPr>
                    <w:fldChar w:fldCharType="end"/>
                  </w:r>
                </w:p>
              </w:tc>
              <w:tc>
                <w:tcPr>
                  <w:tcW w:w="1324" w:type="pct"/>
                  <w:noWrap w:val="0"/>
                  <w:vAlign w:val="center"/>
                </w:tcPr>
                <w:p w14:paraId="0064C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pH</w:t>
                  </w:r>
                </w:p>
              </w:tc>
              <w:tc>
                <w:tcPr>
                  <w:tcW w:w="707" w:type="pct"/>
                  <w:noWrap w:val="0"/>
                  <w:vAlign w:val="center"/>
                </w:tcPr>
                <w:p w14:paraId="6A6614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99" w:type="pct"/>
                  <w:noWrap w:val="0"/>
                  <w:vAlign w:val="center"/>
                </w:tcPr>
                <w:p w14:paraId="03C7C0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6.77</w:t>
                  </w:r>
                </w:p>
              </w:tc>
              <w:tc>
                <w:tcPr>
                  <w:tcW w:w="1155" w:type="pct"/>
                  <w:noWrap w:val="0"/>
                  <w:vAlign w:val="center"/>
                </w:tcPr>
                <w:p w14:paraId="5243F4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526B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DBD39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581CB0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全盐量</w:t>
                  </w:r>
                </w:p>
              </w:tc>
              <w:tc>
                <w:tcPr>
                  <w:tcW w:w="707" w:type="pct"/>
                  <w:noWrap w:val="0"/>
                  <w:vAlign w:val="center"/>
                </w:tcPr>
                <w:p w14:paraId="6D634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g/kg</w:t>
                  </w:r>
                </w:p>
              </w:tc>
              <w:tc>
                <w:tcPr>
                  <w:tcW w:w="899" w:type="pct"/>
                  <w:noWrap w:val="0"/>
                  <w:vAlign w:val="center"/>
                </w:tcPr>
                <w:p w14:paraId="0FC8AD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0.8</w:t>
                  </w:r>
                </w:p>
              </w:tc>
              <w:tc>
                <w:tcPr>
                  <w:tcW w:w="1155" w:type="pct"/>
                  <w:noWrap w:val="0"/>
                  <w:vAlign w:val="center"/>
                </w:tcPr>
                <w:p w14:paraId="5DB84C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054B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D8ED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9DDEF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石油烃（C</w:t>
                  </w:r>
                  <w:r>
                    <w:rPr>
                      <w:rFonts w:hint="default" w:ascii="Times New Roman" w:hAnsi="Times New Roman" w:eastAsia="宋体" w:cs="Times New Roman"/>
                      <w:color w:val="auto"/>
                      <w:sz w:val="21"/>
                      <w:szCs w:val="21"/>
                      <w:vertAlign w:val="subscript"/>
                      <w:lang w:eastAsia="zh-CN"/>
                    </w:rPr>
                    <w:t>10</w:t>
                  </w:r>
                  <w:r>
                    <w:rPr>
                      <w:rFonts w:hint="default" w:ascii="Times New Roman" w:hAnsi="Times New Roman" w:eastAsia="宋体" w:cs="Times New Roman"/>
                      <w:color w:val="auto"/>
                      <w:sz w:val="21"/>
                      <w:szCs w:val="21"/>
                      <w:lang w:eastAsia="zh-CN"/>
                    </w:rPr>
                    <w:t>-C</w:t>
                  </w:r>
                  <w:r>
                    <w:rPr>
                      <w:rFonts w:hint="default" w:ascii="Times New Roman" w:hAnsi="Times New Roman" w:eastAsia="宋体" w:cs="Times New Roman"/>
                      <w:color w:val="auto"/>
                      <w:sz w:val="21"/>
                      <w:szCs w:val="21"/>
                      <w:vertAlign w:val="subscript"/>
                      <w:lang w:eastAsia="zh-CN"/>
                    </w:rPr>
                    <w:t>40</w:t>
                  </w:r>
                  <w:r>
                    <w:rPr>
                      <w:rFonts w:hint="default" w:ascii="Times New Roman" w:hAnsi="Times New Roman" w:eastAsia="宋体" w:cs="Times New Roman"/>
                      <w:color w:val="auto"/>
                      <w:sz w:val="21"/>
                      <w:szCs w:val="21"/>
                      <w:lang w:eastAsia="zh-CN"/>
                    </w:rPr>
                    <w:t>）</w:t>
                  </w:r>
                </w:p>
              </w:tc>
              <w:tc>
                <w:tcPr>
                  <w:tcW w:w="707" w:type="pct"/>
                  <w:noWrap w:val="0"/>
                  <w:vAlign w:val="center"/>
                </w:tcPr>
                <w:p w14:paraId="78908D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4E41C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33</w:t>
                  </w:r>
                </w:p>
              </w:tc>
              <w:tc>
                <w:tcPr>
                  <w:tcW w:w="1155" w:type="pct"/>
                  <w:noWrap w:val="0"/>
                  <w:vAlign w:val="center"/>
                </w:tcPr>
                <w:p w14:paraId="414B11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4500</w:t>
                  </w:r>
                </w:p>
              </w:tc>
            </w:tr>
            <w:tr w14:paraId="6FBB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6479C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759E88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钡</w:t>
                  </w:r>
                </w:p>
              </w:tc>
              <w:tc>
                <w:tcPr>
                  <w:tcW w:w="707" w:type="pct"/>
                  <w:noWrap w:val="0"/>
                  <w:vAlign w:val="center"/>
                </w:tcPr>
                <w:p w14:paraId="15E16F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1836C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400</w:t>
                  </w:r>
                </w:p>
              </w:tc>
              <w:tc>
                <w:tcPr>
                  <w:tcW w:w="1155" w:type="pct"/>
                  <w:noWrap w:val="0"/>
                  <w:vAlign w:val="center"/>
                </w:tcPr>
                <w:p w14:paraId="0FA893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8660</w:t>
                  </w:r>
                </w:p>
              </w:tc>
            </w:tr>
            <w:tr w14:paraId="2156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restart"/>
                  <w:noWrap w:val="0"/>
                  <w:vAlign w:val="center"/>
                </w:tcPr>
                <w:p w14:paraId="36586819">
                  <w:pPr>
                    <w:pStyle w:val="55"/>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lang w:val="en-US" w:eastAsia="zh-CN"/>
                    </w:rPr>
                    <w:t>4</w:t>
                  </w:r>
                </w:p>
                <w:p w14:paraId="58C9939D">
                  <w:pPr>
                    <w:pStyle w:val="55"/>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highlight w:val="none"/>
                      <w:lang w:val="en-US" w:eastAsia="zh-CN"/>
                    </w:rPr>
                    <w:t>占地范围外西南侧</w:t>
                  </w:r>
                </w:p>
              </w:tc>
              <w:tc>
                <w:tcPr>
                  <w:tcW w:w="1324" w:type="pct"/>
                  <w:noWrap w:val="0"/>
                  <w:vAlign w:val="center"/>
                </w:tcPr>
                <w:p w14:paraId="0AA403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pH</w:t>
                  </w:r>
                </w:p>
              </w:tc>
              <w:tc>
                <w:tcPr>
                  <w:tcW w:w="707" w:type="pct"/>
                  <w:noWrap w:val="0"/>
                  <w:vAlign w:val="center"/>
                </w:tcPr>
                <w:p w14:paraId="508FF3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99" w:type="pct"/>
                  <w:noWrap w:val="0"/>
                  <w:vAlign w:val="center"/>
                </w:tcPr>
                <w:p w14:paraId="781C2F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6.51</w:t>
                  </w:r>
                </w:p>
              </w:tc>
              <w:tc>
                <w:tcPr>
                  <w:tcW w:w="1155" w:type="pct"/>
                  <w:noWrap w:val="0"/>
                  <w:vAlign w:val="center"/>
                </w:tcPr>
                <w:p w14:paraId="0D3D1A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7C60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C7A6C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55C746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铅</w:t>
                  </w:r>
                </w:p>
              </w:tc>
              <w:tc>
                <w:tcPr>
                  <w:tcW w:w="707" w:type="pct"/>
                  <w:noWrap w:val="0"/>
                  <w:vAlign w:val="center"/>
                </w:tcPr>
                <w:p w14:paraId="0D41AE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733BA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5</w:t>
                  </w:r>
                  <w:r>
                    <w:rPr>
                      <w:rFonts w:hint="eastAsia" w:ascii="Times New Roman" w:hAnsi="Times New Roman" w:eastAsia="宋体" w:cs="Times New Roman"/>
                      <w:color w:val="auto"/>
                      <w:kern w:val="2"/>
                      <w:sz w:val="21"/>
                      <w:szCs w:val="21"/>
                      <w:highlight w:val="none"/>
                      <w:lang w:val="en-US" w:eastAsia="zh-CN" w:bidi="ar-SA"/>
                    </w:rPr>
                    <w:t>6</w:t>
                  </w:r>
                </w:p>
              </w:tc>
              <w:tc>
                <w:tcPr>
                  <w:tcW w:w="1155" w:type="pct"/>
                  <w:noWrap w:val="0"/>
                  <w:vAlign w:val="center"/>
                </w:tcPr>
                <w:p w14:paraId="7B281B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w:t>
                  </w:r>
                </w:p>
              </w:tc>
            </w:tr>
            <w:tr w14:paraId="44A3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7C2E2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02ECD0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镉</w:t>
                  </w:r>
                </w:p>
              </w:tc>
              <w:tc>
                <w:tcPr>
                  <w:tcW w:w="707" w:type="pct"/>
                  <w:noWrap w:val="0"/>
                  <w:vAlign w:val="center"/>
                </w:tcPr>
                <w:p w14:paraId="7D8955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7AB611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cs="Times New Roman"/>
                      <w:color w:val="auto"/>
                      <w:spacing w:val="0"/>
                      <w:kern w:val="2"/>
                      <w:sz w:val="21"/>
                      <w:szCs w:val="21"/>
                      <w:highlight w:val="none"/>
                      <w:lang w:val="en-US" w:eastAsia="zh-CN" w:bidi="ar-SA"/>
                    </w:rPr>
                    <w:t>14</w:t>
                  </w:r>
                </w:p>
              </w:tc>
              <w:tc>
                <w:tcPr>
                  <w:tcW w:w="1155" w:type="pct"/>
                  <w:noWrap w:val="0"/>
                  <w:vAlign w:val="center"/>
                </w:tcPr>
                <w:p w14:paraId="41DF71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3</w:t>
                  </w:r>
                </w:p>
              </w:tc>
            </w:tr>
            <w:tr w14:paraId="5582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9E9AC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D52C8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铜</w:t>
                  </w:r>
                </w:p>
              </w:tc>
              <w:tc>
                <w:tcPr>
                  <w:tcW w:w="707" w:type="pct"/>
                  <w:noWrap w:val="0"/>
                  <w:vAlign w:val="center"/>
                </w:tcPr>
                <w:p w14:paraId="11048D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5B5CA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72</w:t>
                  </w:r>
                </w:p>
              </w:tc>
              <w:tc>
                <w:tcPr>
                  <w:tcW w:w="1155" w:type="pct"/>
                  <w:noWrap w:val="0"/>
                  <w:vAlign w:val="center"/>
                </w:tcPr>
                <w:p w14:paraId="2843FD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w:t>
                  </w:r>
                </w:p>
              </w:tc>
            </w:tr>
            <w:tr w14:paraId="487C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8AF80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65E326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镍</w:t>
                  </w:r>
                </w:p>
              </w:tc>
              <w:tc>
                <w:tcPr>
                  <w:tcW w:w="707" w:type="pct"/>
                  <w:noWrap w:val="0"/>
                  <w:vAlign w:val="center"/>
                </w:tcPr>
                <w:p w14:paraId="28B3CF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08D0B2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40</w:t>
                  </w:r>
                </w:p>
              </w:tc>
              <w:tc>
                <w:tcPr>
                  <w:tcW w:w="1155" w:type="pct"/>
                  <w:noWrap w:val="0"/>
                  <w:vAlign w:val="center"/>
                </w:tcPr>
                <w:p w14:paraId="573F1E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w:t>
                  </w:r>
                </w:p>
              </w:tc>
            </w:tr>
            <w:tr w14:paraId="4596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2DEA8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B9388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锌</w:t>
                  </w:r>
                </w:p>
              </w:tc>
              <w:tc>
                <w:tcPr>
                  <w:tcW w:w="707" w:type="pct"/>
                  <w:noWrap w:val="0"/>
                  <w:vAlign w:val="center"/>
                </w:tcPr>
                <w:p w14:paraId="31D3C7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0E475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7</w:t>
                  </w:r>
                  <w:r>
                    <w:rPr>
                      <w:rFonts w:hint="eastAsia" w:ascii="Times New Roman" w:hAnsi="Times New Roman" w:eastAsia="宋体" w:cs="Times New Roman"/>
                      <w:color w:val="auto"/>
                      <w:kern w:val="2"/>
                      <w:sz w:val="21"/>
                      <w:szCs w:val="21"/>
                      <w:highlight w:val="none"/>
                      <w:lang w:val="en-US" w:eastAsia="zh-CN" w:bidi="ar-SA"/>
                    </w:rPr>
                    <w:t>1</w:t>
                  </w:r>
                </w:p>
              </w:tc>
              <w:tc>
                <w:tcPr>
                  <w:tcW w:w="1155" w:type="pct"/>
                  <w:noWrap w:val="0"/>
                  <w:vAlign w:val="center"/>
                </w:tcPr>
                <w:p w14:paraId="6FF1AA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0</w:t>
                  </w:r>
                </w:p>
              </w:tc>
            </w:tr>
            <w:tr w14:paraId="2AA9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5F44C1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E19F6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铬</w:t>
                  </w:r>
                </w:p>
              </w:tc>
              <w:tc>
                <w:tcPr>
                  <w:tcW w:w="707" w:type="pct"/>
                  <w:noWrap w:val="0"/>
                  <w:vAlign w:val="center"/>
                </w:tcPr>
                <w:p w14:paraId="72409B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CEE08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6</w:t>
                  </w:r>
                  <w:r>
                    <w:rPr>
                      <w:rFonts w:hint="eastAsia" w:cs="Times New Roman"/>
                      <w:color w:val="auto"/>
                      <w:kern w:val="2"/>
                      <w:sz w:val="21"/>
                      <w:szCs w:val="21"/>
                      <w:highlight w:val="none"/>
                      <w:lang w:val="en-US" w:eastAsia="zh-CN" w:bidi="ar-SA"/>
                    </w:rPr>
                    <w:t>0</w:t>
                  </w:r>
                </w:p>
              </w:tc>
              <w:tc>
                <w:tcPr>
                  <w:tcW w:w="1155" w:type="pct"/>
                  <w:noWrap w:val="0"/>
                  <w:vAlign w:val="center"/>
                </w:tcPr>
                <w:p w14:paraId="6D6AF6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w:t>
                  </w:r>
                </w:p>
              </w:tc>
            </w:tr>
            <w:tr w14:paraId="0C66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8D58A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2D4E21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汞</w:t>
                  </w:r>
                </w:p>
              </w:tc>
              <w:tc>
                <w:tcPr>
                  <w:tcW w:w="707" w:type="pct"/>
                  <w:noWrap w:val="0"/>
                  <w:vAlign w:val="center"/>
                </w:tcPr>
                <w:p w14:paraId="49A8B3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05C48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0.269</w:t>
                  </w:r>
                </w:p>
              </w:tc>
              <w:tc>
                <w:tcPr>
                  <w:tcW w:w="1155" w:type="pct"/>
                  <w:noWrap w:val="0"/>
                  <w:vAlign w:val="center"/>
                </w:tcPr>
                <w:p w14:paraId="794C28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.4</w:t>
                  </w:r>
                </w:p>
              </w:tc>
            </w:tr>
            <w:tr w14:paraId="4DE3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6D20A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EC432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砷</w:t>
                  </w:r>
                </w:p>
              </w:tc>
              <w:tc>
                <w:tcPr>
                  <w:tcW w:w="707" w:type="pct"/>
                  <w:noWrap w:val="0"/>
                  <w:vAlign w:val="center"/>
                </w:tcPr>
                <w:p w14:paraId="2CC64A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21BE4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pacing w:val="0"/>
                      <w:kern w:val="2"/>
                      <w:sz w:val="21"/>
                      <w:szCs w:val="21"/>
                      <w:highlight w:val="none"/>
                      <w:lang w:val="en-US" w:eastAsia="zh-CN" w:bidi="ar-SA"/>
                    </w:rPr>
                    <w:t>3.77</w:t>
                  </w:r>
                </w:p>
              </w:tc>
              <w:tc>
                <w:tcPr>
                  <w:tcW w:w="1155" w:type="pct"/>
                  <w:noWrap w:val="0"/>
                  <w:vAlign w:val="center"/>
                </w:tcPr>
                <w:p w14:paraId="574ED9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30</w:t>
                  </w:r>
                </w:p>
              </w:tc>
            </w:tr>
            <w:tr w14:paraId="0618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0BB0F6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6ED59EA">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highlight w:val="none"/>
                      <w:lang w:val="en-US" w:eastAsia="zh-CN"/>
                    </w:rPr>
                    <w:t>石油烃</w:t>
                  </w:r>
                  <w:r>
                    <w:rPr>
                      <w:rFonts w:hint="eastAsia" w:ascii="Times New Roman" w:cs="Times New Roman"/>
                      <w:color w:val="auto"/>
                      <w:spacing w:val="0"/>
                      <w:sz w:val="21"/>
                      <w:szCs w:val="24"/>
                      <w:highlight w:val="none"/>
                      <w:lang w:val="en-US" w:eastAsia="zh-CN"/>
                    </w:rPr>
                    <w:t>(C</w:t>
                  </w:r>
                  <w:r>
                    <w:rPr>
                      <w:rFonts w:hint="eastAsia" w:ascii="Times New Roman" w:cs="Times New Roman"/>
                      <w:color w:val="auto"/>
                      <w:spacing w:val="0"/>
                      <w:sz w:val="21"/>
                      <w:szCs w:val="24"/>
                      <w:highlight w:val="none"/>
                      <w:vertAlign w:val="subscript"/>
                      <w:lang w:val="en-US" w:eastAsia="zh-CN"/>
                    </w:rPr>
                    <w:t>10</w:t>
                  </w:r>
                  <w:r>
                    <w:rPr>
                      <w:rFonts w:hint="eastAsia" w:ascii="Times New Roman" w:cs="Times New Roman"/>
                      <w:color w:val="auto"/>
                      <w:spacing w:val="0"/>
                      <w:sz w:val="21"/>
                      <w:szCs w:val="24"/>
                      <w:highlight w:val="none"/>
                      <w:lang w:val="en-US" w:eastAsia="zh-CN"/>
                    </w:rPr>
                    <w:t>~C</w:t>
                  </w:r>
                  <w:r>
                    <w:rPr>
                      <w:rFonts w:hint="eastAsia" w:ascii="Times New Roman" w:cs="Times New Roman"/>
                      <w:color w:val="auto"/>
                      <w:spacing w:val="0"/>
                      <w:sz w:val="21"/>
                      <w:szCs w:val="24"/>
                      <w:highlight w:val="none"/>
                      <w:vertAlign w:val="subscript"/>
                      <w:lang w:val="en-US" w:eastAsia="zh-CN"/>
                    </w:rPr>
                    <w:t>40</w:t>
                  </w:r>
                  <w:r>
                    <w:rPr>
                      <w:rFonts w:hint="eastAsia" w:ascii="Times New Roman" w:cs="Times New Roman"/>
                      <w:color w:val="auto"/>
                      <w:spacing w:val="0"/>
                      <w:sz w:val="21"/>
                      <w:szCs w:val="24"/>
                      <w:highlight w:val="none"/>
                      <w:lang w:val="en-US" w:eastAsia="zh-CN"/>
                    </w:rPr>
                    <w:t>)</w:t>
                  </w:r>
                </w:p>
              </w:tc>
              <w:tc>
                <w:tcPr>
                  <w:tcW w:w="707" w:type="pct"/>
                  <w:noWrap w:val="0"/>
                  <w:vAlign w:val="center"/>
                </w:tcPr>
                <w:p w14:paraId="086843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006D0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3</w:t>
                  </w:r>
                  <w:r>
                    <w:rPr>
                      <w:rFonts w:hint="eastAsia" w:cs="Times New Roman"/>
                      <w:color w:val="auto"/>
                      <w:spacing w:val="0"/>
                      <w:kern w:val="2"/>
                      <w:sz w:val="21"/>
                      <w:szCs w:val="21"/>
                      <w:highlight w:val="none"/>
                      <w:lang w:val="en-US" w:eastAsia="zh-CN" w:bidi="ar-SA"/>
                    </w:rPr>
                    <w:t>4</w:t>
                  </w:r>
                </w:p>
              </w:tc>
              <w:tc>
                <w:tcPr>
                  <w:tcW w:w="1155" w:type="pct"/>
                  <w:noWrap w:val="0"/>
                  <w:vAlign w:val="center"/>
                </w:tcPr>
                <w:p w14:paraId="5227F5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w:t>
                  </w:r>
                </w:p>
              </w:tc>
            </w:tr>
            <w:tr w14:paraId="272F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116E5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DEFC349">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highlight w:val="none"/>
                      <w:vertAlign w:val="baseline"/>
                      <w:lang w:val="en-US" w:eastAsia="zh-CN" w:bidi="ar-SA"/>
                    </w:rPr>
                    <w:t>钡</w:t>
                  </w:r>
                </w:p>
              </w:tc>
              <w:tc>
                <w:tcPr>
                  <w:tcW w:w="707" w:type="pct"/>
                  <w:noWrap w:val="0"/>
                  <w:vAlign w:val="center"/>
                </w:tcPr>
                <w:p w14:paraId="43F9C0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021AF6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0.73</w:t>
                  </w:r>
                </w:p>
              </w:tc>
              <w:tc>
                <w:tcPr>
                  <w:tcW w:w="1155" w:type="pct"/>
                  <w:noWrap w:val="0"/>
                  <w:vAlign w:val="center"/>
                </w:tcPr>
                <w:p w14:paraId="12D166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4012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restart"/>
                  <w:noWrap w:val="0"/>
                  <w:vAlign w:val="center"/>
                </w:tcPr>
                <w:p w14:paraId="7629BD09">
                  <w:pPr>
                    <w:pStyle w:val="55"/>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lang w:val="en-US" w:eastAsia="zh-CN"/>
                    </w:rPr>
                    <w:t>5</w:t>
                  </w:r>
                </w:p>
                <w:p w14:paraId="25ABDEFC">
                  <w:pPr>
                    <w:pStyle w:val="55"/>
                    <w:keepNext w:val="0"/>
                    <w:keepLines w:val="0"/>
                    <w:suppressLineNumbers w:val="0"/>
                    <w:bidi w:val="0"/>
                    <w:spacing w:before="0" w:beforeAutospacing="0" w:after="0" w:afterAutospacing="0"/>
                    <w:ind w:left="0" w:right="0" w:firstLine="0" w:firstLineChars="0"/>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highlight w:val="none"/>
                      <w:lang w:val="en-US" w:eastAsia="zh-CN"/>
                    </w:rPr>
                    <w:t>占地范围外东侧</w:t>
                  </w:r>
                </w:p>
              </w:tc>
              <w:tc>
                <w:tcPr>
                  <w:tcW w:w="1324" w:type="pct"/>
                  <w:noWrap w:val="0"/>
                  <w:vAlign w:val="center"/>
                </w:tcPr>
                <w:p w14:paraId="114EA8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pH</w:t>
                  </w:r>
                </w:p>
              </w:tc>
              <w:tc>
                <w:tcPr>
                  <w:tcW w:w="707" w:type="pct"/>
                  <w:noWrap w:val="0"/>
                  <w:vAlign w:val="center"/>
                </w:tcPr>
                <w:p w14:paraId="79ECB3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99" w:type="pct"/>
                  <w:noWrap w:val="0"/>
                  <w:vAlign w:val="center"/>
                </w:tcPr>
                <w:p w14:paraId="1B765F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6.63</w:t>
                  </w:r>
                </w:p>
              </w:tc>
              <w:tc>
                <w:tcPr>
                  <w:tcW w:w="1155" w:type="pct"/>
                  <w:shd w:val="clear" w:color="auto" w:fill="auto"/>
                  <w:noWrap w:val="0"/>
                  <w:vAlign w:val="center"/>
                </w:tcPr>
                <w:p w14:paraId="54E08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4569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3D928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0BF2A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铅</w:t>
                  </w:r>
                </w:p>
              </w:tc>
              <w:tc>
                <w:tcPr>
                  <w:tcW w:w="707" w:type="pct"/>
                  <w:noWrap w:val="0"/>
                  <w:vAlign w:val="center"/>
                </w:tcPr>
                <w:p w14:paraId="408D34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5981B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49</w:t>
                  </w:r>
                </w:p>
              </w:tc>
              <w:tc>
                <w:tcPr>
                  <w:tcW w:w="1155" w:type="pct"/>
                  <w:shd w:val="clear" w:color="auto" w:fill="auto"/>
                  <w:noWrap w:val="0"/>
                  <w:vAlign w:val="center"/>
                </w:tcPr>
                <w:p w14:paraId="06B51A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w:t>
                  </w:r>
                </w:p>
              </w:tc>
            </w:tr>
            <w:tr w14:paraId="3BBF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913CA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22A07B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镉</w:t>
                  </w:r>
                </w:p>
              </w:tc>
              <w:tc>
                <w:tcPr>
                  <w:tcW w:w="707" w:type="pct"/>
                  <w:noWrap w:val="0"/>
                  <w:vAlign w:val="center"/>
                </w:tcPr>
                <w:p w14:paraId="77CA23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EFCFE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cs="Times New Roman"/>
                      <w:color w:val="auto"/>
                      <w:spacing w:val="0"/>
                      <w:kern w:val="2"/>
                      <w:sz w:val="21"/>
                      <w:szCs w:val="21"/>
                      <w:highlight w:val="none"/>
                      <w:lang w:val="en-US" w:eastAsia="zh-CN" w:bidi="ar-SA"/>
                    </w:rPr>
                    <w:t>07</w:t>
                  </w:r>
                </w:p>
              </w:tc>
              <w:tc>
                <w:tcPr>
                  <w:tcW w:w="1155" w:type="pct"/>
                  <w:shd w:val="clear" w:color="auto" w:fill="auto"/>
                  <w:noWrap w:val="0"/>
                  <w:vAlign w:val="center"/>
                </w:tcPr>
                <w:p w14:paraId="02005D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3</w:t>
                  </w:r>
                </w:p>
              </w:tc>
            </w:tr>
            <w:tr w14:paraId="7AD1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26E549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91E47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铜</w:t>
                  </w:r>
                </w:p>
              </w:tc>
              <w:tc>
                <w:tcPr>
                  <w:tcW w:w="707" w:type="pct"/>
                  <w:noWrap w:val="0"/>
                  <w:vAlign w:val="center"/>
                </w:tcPr>
                <w:p w14:paraId="6E26FD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D6A3D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67</w:t>
                  </w:r>
                </w:p>
              </w:tc>
              <w:tc>
                <w:tcPr>
                  <w:tcW w:w="1155" w:type="pct"/>
                  <w:shd w:val="clear" w:color="auto" w:fill="auto"/>
                  <w:noWrap w:val="0"/>
                  <w:vAlign w:val="center"/>
                </w:tcPr>
                <w:p w14:paraId="54FFA3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100</w:t>
                  </w:r>
                </w:p>
              </w:tc>
            </w:tr>
            <w:tr w14:paraId="0338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99A8D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558C0D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镍</w:t>
                  </w:r>
                </w:p>
              </w:tc>
              <w:tc>
                <w:tcPr>
                  <w:tcW w:w="707" w:type="pct"/>
                  <w:noWrap w:val="0"/>
                  <w:vAlign w:val="center"/>
                </w:tcPr>
                <w:p w14:paraId="37397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A748E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3</w:t>
                  </w:r>
                  <w:r>
                    <w:rPr>
                      <w:rFonts w:hint="eastAsia" w:cs="Times New Roman"/>
                      <w:color w:val="auto"/>
                      <w:kern w:val="2"/>
                      <w:sz w:val="21"/>
                      <w:szCs w:val="21"/>
                      <w:highlight w:val="none"/>
                      <w:lang w:val="en-US" w:eastAsia="zh-CN" w:bidi="ar-SA"/>
                    </w:rPr>
                    <w:t>4</w:t>
                  </w:r>
                </w:p>
              </w:tc>
              <w:tc>
                <w:tcPr>
                  <w:tcW w:w="1155" w:type="pct"/>
                  <w:shd w:val="clear" w:color="auto" w:fill="auto"/>
                  <w:noWrap w:val="0"/>
                  <w:vAlign w:val="center"/>
                </w:tcPr>
                <w:p w14:paraId="762DCE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w:t>
                  </w:r>
                </w:p>
              </w:tc>
            </w:tr>
            <w:tr w14:paraId="17CD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6B39C6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066FB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锌</w:t>
                  </w:r>
                </w:p>
              </w:tc>
              <w:tc>
                <w:tcPr>
                  <w:tcW w:w="707" w:type="pct"/>
                  <w:noWrap w:val="0"/>
                  <w:vAlign w:val="center"/>
                </w:tcPr>
                <w:p w14:paraId="282227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06A6EF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67</w:t>
                  </w:r>
                </w:p>
              </w:tc>
              <w:tc>
                <w:tcPr>
                  <w:tcW w:w="1155" w:type="pct"/>
                  <w:shd w:val="clear" w:color="auto" w:fill="auto"/>
                  <w:noWrap w:val="0"/>
                  <w:vAlign w:val="center"/>
                </w:tcPr>
                <w:p w14:paraId="00CEA6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25</w:t>
                  </w:r>
                  <w:r>
                    <w:rPr>
                      <w:rFonts w:hint="default" w:ascii="Times New Roman" w:hAnsi="Times New Roman" w:eastAsia="宋体" w:cs="Times New Roman"/>
                      <w:color w:val="auto"/>
                      <w:sz w:val="21"/>
                      <w:szCs w:val="21"/>
                      <w:lang w:val="en-US" w:eastAsia="zh-CN"/>
                    </w:rPr>
                    <w:t>0</w:t>
                  </w:r>
                </w:p>
              </w:tc>
            </w:tr>
            <w:tr w14:paraId="3758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0D5A3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4F16F6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铬</w:t>
                  </w:r>
                </w:p>
              </w:tc>
              <w:tc>
                <w:tcPr>
                  <w:tcW w:w="707" w:type="pct"/>
                  <w:noWrap w:val="0"/>
                  <w:vAlign w:val="center"/>
                </w:tcPr>
                <w:p w14:paraId="20EDB7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619F5F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kern w:val="2"/>
                      <w:sz w:val="21"/>
                      <w:szCs w:val="21"/>
                      <w:highlight w:val="none"/>
                      <w:lang w:val="en-US" w:eastAsia="zh-CN" w:bidi="ar-SA"/>
                    </w:rPr>
                    <w:t>6</w:t>
                  </w:r>
                  <w:r>
                    <w:rPr>
                      <w:rFonts w:hint="eastAsia" w:ascii="Times New Roman" w:hAnsi="Times New Roman" w:eastAsia="宋体" w:cs="Times New Roman"/>
                      <w:color w:val="auto"/>
                      <w:kern w:val="2"/>
                      <w:sz w:val="21"/>
                      <w:szCs w:val="21"/>
                      <w:highlight w:val="none"/>
                      <w:lang w:val="en-US" w:eastAsia="zh-CN" w:bidi="ar-SA"/>
                    </w:rPr>
                    <w:t>5</w:t>
                  </w:r>
                </w:p>
              </w:tc>
              <w:tc>
                <w:tcPr>
                  <w:tcW w:w="1155" w:type="pct"/>
                  <w:shd w:val="clear" w:color="auto" w:fill="auto"/>
                  <w:noWrap w:val="0"/>
                  <w:vAlign w:val="center"/>
                </w:tcPr>
                <w:p w14:paraId="049F8F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w:t>
                  </w:r>
                </w:p>
              </w:tc>
            </w:tr>
            <w:tr w14:paraId="2A1B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1DFD8C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7E08D1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汞</w:t>
                  </w:r>
                </w:p>
              </w:tc>
              <w:tc>
                <w:tcPr>
                  <w:tcW w:w="707" w:type="pct"/>
                  <w:noWrap w:val="0"/>
                  <w:vAlign w:val="center"/>
                </w:tcPr>
                <w:p w14:paraId="73C04A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139ADC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cs="Times New Roman"/>
                      <w:color w:val="auto"/>
                      <w:spacing w:val="0"/>
                      <w:kern w:val="2"/>
                      <w:sz w:val="21"/>
                      <w:szCs w:val="21"/>
                      <w:highlight w:val="none"/>
                      <w:lang w:val="en-US" w:eastAsia="zh-CN" w:bidi="ar-SA"/>
                    </w:rPr>
                    <w:t>284</w:t>
                  </w:r>
                </w:p>
              </w:tc>
              <w:tc>
                <w:tcPr>
                  <w:tcW w:w="1155" w:type="pct"/>
                  <w:shd w:val="clear" w:color="auto" w:fill="auto"/>
                  <w:noWrap w:val="0"/>
                  <w:vAlign w:val="center"/>
                </w:tcPr>
                <w:p w14:paraId="722A2F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.4</w:t>
                  </w:r>
                </w:p>
              </w:tc>
            </w:tr>
            <w:tr w14:paraId="67BD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32A127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320385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砷</w:t>
                  </w:r>
                </w:p>
              </w:tc>
              <w:tc>
                <w:tcPr>
                  <w:tcW w:w="707" w:type="pct"/>
                  <w:noWrap w:val="0"/>
                  <w:vAlign w:val="center"/>
                </w:tcPr>
                <w:p w14:paraId="13BFB5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46263D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pacing w:val="0"/>
                      <w:kern w:val="2"/>
                      <w:sz w:val="21"/>
                      <w:szCs w:val="21"/>
                      <w:highlight w:val="none"/>
                      <w:lang w:val="en-US" w:eastAsia="zh-CN" w:bidi="ar-SA"/>
                    </w:rPr>
                    <w:t>3.87</w:t>
                  </w:r>
                </w:p>
              </w:tc>
              <w:tc>
                <w:tcPr>
                  <w:tcW w:w="1155" w:type="pct"/>
                  <w:shd w:val="clear" w:color="auto" w:fill="auto"/>
                  <w:noWrap w:val="0"/>
                  <w:vAlign w:val="center"/>
                </w:tcPr>
                <w:p w14:paraId="2A752E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30</w:t>
                  </w:r>
                </w:p>
              </w:tc>
            </w:tr>
            <w:tr w14:paraId="1281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48D649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179311BD">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highlight w:val="none"/>
                      <w:lang w:val="en-US" w:eastAsia="zh-CN"/>
                    </w:rPr>
                    <w:t>石油烃</w:t>
                  </w:r>
                  <w:r>
                    <w:rPr>
                      <w:rFonts w:hint="eastAsia" w:ascii="Times New Roman" w:cs="Times New Roman"/>
                      <w:color w:val="auto"/>
                      <w:spacing w:val="0"/>
                      <w:sz w:val="21"/>
                      <w:szCs w:val="24"/>
                      <w:highlight w:val="none"/>
                      <w:lang w:val="en-US" w:eastAsia="zh-CN"/>
                    </w:rPr>
                    <w:t>(C</w:t>
                  </w:r>
                  <w:r>
                    <w:rPr>
                      <w:rFonts w:hint="eastAsia" w:ascii="Times New Roman" w:cs="Times New Roman"/>
                      <w:color w:val="auto"/>
                      <w:spacing w:val="0"/>
                      <w:sz w:val="21"/>
                      <w:szCs w:val="24"/>
                      <w:highlight w:val="none"/>
                      <w:vertAlign w:val="subscript"/>
                      <w:lang w:val="en-US" w:eastAsia="zh-CN"/>
                    </w:rPr>
                    <w:t>10</w:t>
                  </w:r>
                  <w:r>
                    <w:rPr>
                      <w:rFonts w:hint="eastAsia" w:ascii="Times New Roman" w:cs="Times New Roman"/>
                      <w:color w:val="auto"/>
                      <w:spacing w:val="0"/>
                      <w:sz w:val="21"/>
                      <w:szCs w:val="24"/>
                      <w:highlight w:val="none"/>
                      <w:lang w:val="en-US" w:eastAsia="zh-CN"/>
                    </w:rPr>
                    <w:t>~C</w:t>
                  </w:r>
                  <w:r>
                    <w:rPr>
                      <w:rFonts w:hint="eastAsia" w:ascii="Times New Roman" w:cs="Times New Roman"/>
                      <w:color w:val="auto"/>
                      <w:spacing w:val="0"/>
                      <w:sz w:val="21"/>
                      <w:szCs w:val="24"/>
                      <w:highlight w:val="none"/>
                      <w:vertAlign w:val="subscript"/>
                      <w:lang w:val="en-US" w:eastAsia="zh-CN"/>
                    </w:rPr>
                    <w:t>40</w:t>
                  </w:r>
                  <w:r>
                    <w:rPr>
                      <w:rFonts w:hint="eastAsia" w:ascii="Times New Roman" w:cs="Times New Roman"/>
                      <w:color w:val="auto"/>
                      <w:spacing w:val="0"/>
                      <w:sz w:val="21"/>
                      <w:szCs w:val="24"/>
                      <w:highlight w:val="none"/>
                      <w:lang w:val="en-US" w:eastAsia="zh-CN"/>
                    </w:rPr>
                    <w:t>)</w:t>
                  </w:r>
                </w:p>
              </w:tc>
              <w:tc>
                <w:tcPr>
                  <w:tcW w:w="707" w:type="pct"/>
                  <w:noWrap w:val="0"/>
                  <w:vAlign w:val="center"/>
                </w:tcPr>
                <w:p w14:paraId="5051D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2C59E28A">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pacing w:val="0"/>
                      <w:kern w:val="2"/>
                      <w:sz w:val="21"/>
                      <w:szCs w:val="21"/>
                      <w:highlight w:val="none"/>
                      <w:lang w:val="en-US" w:eastAsia="zh-CN" w:bidi="ar-SA"/>
                    </w:rPr>
                    <w:t>3</w:t>
                  </w:r>
                  <w:r>
                    <w:rPr>
                      <w:rFonts w:hint="eastAsia" w:ascii="Times New Roman" w:hAnsi="Times New Roman" w:cs="Times New Roman"/>
                      <w:color w:val="auto"/>
                      <w:spacing w:val="0"/>
                      <w:kern w:val="2"/>
                      <w:sz w:val="21"/>
                      <w:szCs w:val="21"/>
                      <w:highlight w:val="none"/>
                      <w:lang w:val="en-US" w:eastAsia="zh-CN" w:bidi="ar-SA"/>
                    </w:rPr>
                    <w:t>3</w:t>
                  </w:r>
                </w:p>
              </w:tc>
              <w:tc>
                <w:tcPr>
                  <w:tcW w:w="1155" w:type="pct"/>
                  <w:shd w:val="clear" w:color="auto" w:fill="auto"/>
                  <w:noWrap w:val="0"/>
                  <w:vAlign w:val="center"/>
                </w:tcPr>
                <w:p w14:paraId="487BF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500</w:t>
                  </w:r>
                </w:p>
              </w:tc>
            </w:tr>
            <w:tr w14:paraId="5AD4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12" w:type="pct"/>
                  <w:vMerge w:val="continue"/>
                  <w:noWrap w:val="0"/>
                  <w:vAlign w:val="center"/>
                </w:tcPr>
                <w:p w14:paraId="741D1B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eastAsia="zh-CN"/>
                    </w:rPr>
                  </w:pPr>
                </w:p>
              </w:tc>
              <w:tc>
                <w:tcPr>
                  <w:tcW w:w="1324" w:type="pct"/>
                  <w:noWrap w:val="0"/>
                  <w:vAlign w:val="center"/>
                </w:tcPr>
                <w:p w14:paraId="6236B0F0">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钡</w:t>
                  </w:r>
                </w:p>
              </w:tc>
              <w:tc>
                <w:tcPr>
                  <w:tcW w:w="707" w:type="pct"/>
                  <w:noWrap w:val="0"/>
                  <w:vAlign w:val="center"/>
                </w:tcPr>
                <w:p w14:paraId="002559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mg/kg</w:t>
                  </w:r>
                </w:p>
              </w:tc>
              <w:tc>
                <w:tcPr>
                  <w:tcW w:w="899" w:type="pct"/>
                  <w:noWrap w:val="0"/>
                  <w:vAlign w:val="center"/>
                </w:tcPr>
                <w:p w14:paraId="31595243">
                  <w:pPr>
                    <w:pStyle w:val="19"/>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0.</w:t>
                  </w:r>
                  <w:r>
                    <w:rPr>
                      <w:rFonts w:hint="eastAsia" w:ascii="Times New Roman" w:hAnsi="Times New Roman" w:cs="Times New Roman"/>
                      <w:color w:val="auto"/>
                      <w:kern w:val="2"/>
                      <w:sz w:val="21"/>
                      <w:szCs w:val="21"/>
                      <w:highlight w:val="none"/>
                      <w:lang w:val="en-US" w:eastAsia="zh-CN" w:bidi="ar-SA"/>
                    </w:rPr>
                    <w:t>74</w:t>
                  </w:r>
                </w:p>
              </w:tc>
              <w:tc>
                <w:tcPr>
                  <w:tcW w:w="1155" w:type="pct"/>
                  <w:shd w:val="clear" w:color="auto" w:fill="auto"/>
                  <w:noWrap w:val="0"/>
                  <w:vAlign w:val="center"/>
                </w:tcPr>
                <w:p w14:paraId="782C2B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bl>
          <w:p w14:paraId="38DB883C">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土壤理化性质一览表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5"/>
              <w:gridCol w:w="2112"/>
              <w:gridCol w:w="1077"/>
              <w:gridCol w:w="1564"/>
            </w:tblGrid>
            <w:tr w14:paraId="39A6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7B25E55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点位</w:t>
                  </w:r>
                </w:p>
              </w:tc>
              <w:tc>
                <w:tcPr>
                  <w:tcW w:w="1395" w:type="pct"/>
                  <w:noWrap w:val="0"/>
                  <w:vAlign w:val="center"/>
                </w:tcPr>
                <w:p w14:paraId="4744A9D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项目占地范围内</w:t>
                  </w:r>
                  <w:r>
                    <w:rPr>
                      <w:rFonts w:hint="eastAsia" w:ascii="Times New Roman" w:hAnsi="Times New Roman" w:eastAsia="宋体" w:cs="Times New Roman"/>
                      <w:color w:val="auto"/>
                      <w:sz w:val="21"/>
                      <w:szCs w:val="21"/>
                      <w:lang w:val="en-US" w:eastAsia="zh-CN"/>
                    </w:rPr>
                    <w:t>S</w:t>
                  </w:r>
                  <w:r>
                    <w:rPr>
                      <w:rFonts w:hint="default" w:ascii="Times New Roman" w:hAnsi="Times New Roman" w:eastAsia="宋体" w:cs="Times New Roman"/>
                      <w:color w:val="auto"/>
                      <w:spacing w:val="-6"/>
                      <w:sz w:val="21"/>
                      <w:szCs w:val="21"/>
                    </w:rPr>
                    <w:t>2</w:t>
                  </w:r>
                </w:p>
              </w:tc>
              <w:tc>
                <w:tcPr>
                  <w:tcW w:w="711" w:type="pct"/>
                  <w:noWrap w:val="0"/>
                  <w:vAlign w:val="center"/>
                </w:tcPr>
                <w:p w14:paraId="58B888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采样时间</w:t>
                  </w:r>
                </w:p>
              </w:tc>
              <w:tc>
                <w:tcPr>
                  <w:tcW w:w="1033" w:type="pct"/>
                  <w:noWrap w:val="0"/>
                  <w:vAlign w:val="center"/>
                </w:tcPr>
                <w:p w14:paraId="0651D58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w:t>
                  </w:r>
                  <w:r>
                    <w:rPr>
                      <w:rFonts w:hint="eastAsia" w:cs="Times New Roman"/>
                      <w:color w:val="auto"/>
                      <w:sz w:val="21"/>
                      <w:szCs w:val="21"/>
                      <w:lang w:val="en-US" w:eastAsia="zh-CN"/>
                    </w:rPr>
                    <w:t>6.7</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1</w:t>
                  </w:r>
                </w:p>
              </w:tc>
            </w:tr>
            <w:tr w14:paraId="6940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6EF7430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经纬度</w:t>
                  </w:r>
                </w:p>
              </w:tc>
              <w:tc>
                <w:tcPr>
                  <w:tcW w:w="3140" w:type="pct"/>
                  <w:gridSpan w:val="3"/>
                  <w:noWrap w:val="0"/>
                  <w:vAlign w:val="center"/>
                </w:tcPr>
                <w:p w14:paraId="4CDC3A1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highlight w:val="none"/>
                      <w:lang w:val="en-US" w:eastAsia="zh-CN"/>
                    </w:rPr>
                    <w:t>106.545839</w:t>
                  </w:r>
                  <w:r>
                    <w:rPr>
                      <w:rFonts w:hint="default" w:cs="Times New Roman"/>
                      <w:color w:val="auto"/>
                      <w:sz w:val="21"/>
                      <w:szCs w:val="21"/>
                      <w:highlight w:val="none"/>
                      <w:lang w:eastAsia="zh-CN"/>
                    </w:rPr>
                    <w:t>°</w:t>
                  </w:r>
                  <w:r>
                    <w:rPr>
                      <w:rFonts w:hint="eastAsia" w:cs="Times New Roman"/>
                      <w:color w:val="auto"/>
                      <w:sz w:val="21"/>
                      <w:szCs w:val="21"/>
                      <w:highlight w:val="none"/>
                      <w:lang w:val="en-US" w:eastAsia="zh-CN"/>
                    </w:rPr>
                    <w:t>E，31.829072</w:t>
                  </w:r>
                  <w:r>
                    <w:rPr>
                      <w:rFonts w:hint="default" w:cs="Times New Roman"/>
                      <w:color w:val="auto"/>
                      <w:sz w:val="21"/>
                      <w:szCs w:val="21"/>
                      <w:highlight w:val="none"/>
                      <w:lang w:eastAsia="zh-CN"/>
                    </w:rPr>
                    <w:t>°</w:t>
                  </w:r>
                  <w:r>
                    <w:rPr>
                      <w:rFonts w:hint="eastAsia" w:cs="Times New Roman"/>
                      <w:color w:val="auto"/>
                      <w:sz w:val="21"/>
                      <w:szCs w:val="21"/>
                      <w:highlight w:val="none"/>
                      <w:lang w:val="en-US" w:eastAsia="zh-CN"/>
                    </w:rPr>
                    <w:t>N</w:t>
                  </w:r>
                </w:p>
              </w:tc>
            </w:tr>
            <w:tr w14:paraId="3322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495F906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层次（m）</w:t>
                  </w:r>
                </w:p>
              </w:tc>
              <w:tc>
                <w:tcPr>
                  <w:tcW w:w="3140" w:type="pct"/>
                  <w:gridSpan w:val="3"/>
                  <w:noWrap w:val="0"/>
                  <w:vAlign w:val="center"/>
                </w:tcPr>
                <w:p w14:paraId="487654F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0~0.2m</w:t>
                  </w:r>
                </w:p>
              </w:tc>
            </w:tr>
            <w:tr w14:paraId="7599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7F6B133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颜色</w:t>
                  </w:r>
                </w:p>
              </w:tc>
              <w:tc>
                <w:tcPr>
                  <w:tcW w:w="3140" w:type="pct"/>
                  <w:gridSpan w:val="3"/>
                  <w:noWrap w:val="0"/>
                  <w:vAlign w:val="center"/>
                </w:tcPr>
                <w:p w14:paraId="6B2AAF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棕</w:t>
                  </w:r>
                  <w:r>
                    <w:rPr>
                      <w:rFonts w:hint="eastAsia" w:cs="Times New Roman"/>
                      <w:color w:val="auto"/>
                      <w:sz w:val="21"/>
                      <w:szCs w:val="21"/>
                      <w:lang w:val="en-US" w:eastAsia="zh-CN"/>
                    </w:rPr>
                    <w:t>色</w:t>
                  </w:r>
                </w:p>
              </w:tc>
            </w:tr>
            <w:tr w14:paraId="2DCA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4A1CB6D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w:t>
                  </w:r>
                </w:p>
              </w:tc>
              <w:tc>
                <w:tcPr>
                  <w:tcW w:w="3140" w:type="pct"/>
                  <w:gridSpan w:val="3"/>
                  <w:noWrap w:val="0"/>
                  <w:vAlign w:val="center"/>
                </w:tcPr>
                <w:p w14:paraId="2999F76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团粒</w:t>
                  </w:r>
                </w:p>
              </w:tc>
            </w:tr>
            <w:tr w14:paraId="1059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698FAF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质地</w:t>
                  </w:r>
                </w:p>
              </w:tc>
              <w:tc>
                <w:tcPr>
                  <w:tcW w:w="3140" w:type="pct"/>
                  <w:gridSpan w:val="3"/>
                  <w:noWrap w:val="0"/>
                  <w:vAlign w:val="center"/>
                </w:tcPr>
                <w:p w14:paraId="368834F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粘土</w:t>
                  </w:r>
                </w:p>
              </w:tc>
            </w:tr>
            <w:tr w14:paraId="09AA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363DA83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氧化还原电位（mV）</w:t>
                  </w:r>
                </w:p>
              </w:tc>
              <w:tc>
                <w:tcPr>
                  <w:tcW w:w="3140" w:type="pct"/>
                  <w:gridSpan w:val="3"/>
                  <w:noWrap w:val="0"/>
                  <w:vAlign w:val="center"/>
                </w:tcPr>
                <w:p w14:paraId="20E972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95</w:t>
                  </w:r>
                </w:p>
              </w:tc>
            </w:tr>
            <w:tr w14:paraId="48D6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6F8E90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砂砾含量（%）</w:t>
                  </w:r>
                </w:p>
              </w:tc>
              <w:tc>
                <w:tcPr>
                  <w:tcW w:w="3140" w:type="pct"/>
                  <w:gridSpan w:val="3"/>
                  <w:noWrap w:val="0"/>
                  <w:vAlign w:val="center"/>
                </w:tcPr>
                <w:p w14:paraId="3B50B31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3</w:t>
                  </w:r>
                  <w:r>
                    <w:rPr>
                      <w:rFonts w:hint="default" w:ascii="Times New Roman" w:hAnsi="Times New Roman" w:eastAsia="宋体" w:cs="Times New Roman"/>
                      <w:color w:val="auto"/>
                      <w:sz w:val="21"/>
                      <w:szCs w:val="21"/>
                    </w:rPr>
                    <w:t>%</w:t>
                  </w:r>
                </w:p>
              </w:tc>
            </w:tr>
            <w:tr w14:paraId="63D4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1F7299F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其他异物</w:t>
                  </w:r>
                </w:p>
              </w:tc>
              <w:tc>
                <w:tcPr>
                  <w:tcW w:w="3140" w:type="pct"/>
                  <w:gridSpan w:val="3"/>
                  <w:noWrap w:val="0"/>
                  <w:vAlign w:val="center"/>
                </w:tcPr>
                <w:p w14:paraId="4798E25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tc>
            </w:tr>
            <w:tr w14:paraId="1A8B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4C4CF8B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阳离子交换量（cmol（+）/kg）</w:t>
                  </w:r>
                </w:p>
              </w:tc>
              <w:tc>
                <w:tcPr>
                  <w:tcW w:w="3140" w:type="pct"/>
                  <w:gridSpan w:val="3"/>
                  <w:noWrap w:val="0"/>
                  <w:vAlign w:val="center"/>
                </w:tcPr>
                <w:p w14:paraId="304C90F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11.2</w:t>
                  </w:r>
                </w:p>
              </w:tc>
            </w:tr>
            <w:tr w14:paraId="397C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0273274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渗透性</w:t>
                  </w:r>
                  <w:r>
                    <w:rPr>
                      <w:rFonts w:hint="default" w:ascii="Times New Roman" w:hAnsi="Times New Roman" w:eastAsia="宋体" w:cs="Times New Roman"/>
                      <w:color w:val="auto"/>
                      <w:sz w:val="21"/>
                      <w:szCs w:val="21"/>
                    </w:rPr>
                    <w:t>（cm/s）</w:t>
                  </w:r>
                </w:p>
              </w:tc>
              <w:tc>
                <w:tcPr>
                  <w:tcW w:w="3140" w:type="pct"/>
                  <w:gridSpan w:val="3"/>
                  <w:noWrap w:val="0"/>
                  <w:vAlign w:val="center"/>
                </w:tcPr>
                <w:p w14:paraId="0D8FB5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kern w:val="2"/>
                      <w:sz w:val="21"/>
                      <w:szCs w:val="21"/>
                      <w:highlight w:val="none"/>
                      <w:lang w:val="en-US" w:eastAsia="zh-CN" w:bidi="ar-SA"/>
                    </w:rPr>
                    <w:t>5.</w:t>
                  </w:r>
                  <w:r>
                    <w:rPr>
                      <w:rFonts w:hint="eastAsia" w:cs="Times New Roman"/>
                      <w:color w:val="auto"/>
                      <w:kern w:val="2"/>
                      <w:sz w:val="21"/>
                      <w:szCs w:val="21"/>
                      <w:highlight w:val="none"/>
                      <w:lang w:val="en-US" w:eastAsia="zh-CN" w:bidi="ar-SA"/>
                    </w:rPr>
                    <w:t>22</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szCs w:val="21"/>
                      <w:highlight w:val="none"/>
                      <w:lang w:val="en-US" w:eastAsia="zh-CN"/>
                    </w:rPr>
                    <w:t>10</w:t>
                  </w:r>
                  <w:r>
                    <w:rPr>
                      <w:rFonts w:hint="eastAsia" w:ascii="Times New Roman" w:hAnsi="Times New Roman" w:eastAsia="宋体" w:cs="Times New Roman"/>
                      <w:color w:val="auto"/>
                      <w:szCs w:val="21"/>
                      <w:highlight w:val="none"/>
                      <w:vertAlign w:val="superscript"/>
                      <w:lang w:val="en-US" w:eastAsia="zh-CN"/>
                    </w:rPr>
                    <w:t>-3</w:t>
                  </w:r>
                </w:p>
              </w:tc>
            </w:tr>
            <w:tr w14:paraId="2F72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547A2D0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容重（g/cm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3140" w:type="pct"/>
                  <w:gridSpan w:val="3"/>
                  <w:noWrap w:val="0"/>
                  <w:vAlign w:val="center"/>
                </w:tcPr>
                <w:p w14:paraId="66E163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1.4</w:t>
                  </w:r>
                  <w:r>
                    <w:rPr>
                      <w:rFonts w:hint="eastAsia" w:cs="Times New Roman"/>
                      <w:color w:val="auto"/>
                      <w:szCs w:val="21"/>
                      <w:highlight w:val="none"/>
                      <w:lang w:val="en-US" w:eastAsia="zh-CN"/>
                    </w:rPr>
                    <w:t>4</w:t>
                  </w:r>
                </w:p>
              </w:tc>
            </w:tr>
            <w:tr w14:paraId="3505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9" w:type="pct"/>
                  <w:noWrap w:val="0"/>
                  <w:vAlign w:val="center"/>
                </w:tcPr>
                <w:p w14:paraId="1B32F6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孔隙度（%）</w:t>
                  </w:r>
                </w:p>
              </w:tc>
              <w:tc>
                <w:tcPr>
                  <w:tcW w:w="3140" w:type="pct"/>
                  <w:gridSpan w:val="3"/>
                  <w:noWrap w:val="0"/>
                  <w:vAlign w:val="center"/>
                </w:tcPr>
                <w:p w14:paraId="7D9FBD9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48.</w:t>
                  </w:r>
                  <w:r>
                    <w:rPr>
                      <w:rFonts w:hint="eastAsia" w:cs="Times New Roman"/>
                      <w:color w:val="auto"/>
                      <w:szCs w:val="21"/>
                      <w:highlight w:val="none"/>
                      <w:lang w:val="en-US" w:eastAsia="zh-CN"/>
                    </w:rPr>
                    <w:t>1</w:t>
                  </w:r>
                </w:p>
              </w:tc>
            </w:tr>
          </w:tbl>
          <w:p w14:paraId="3EA6E7B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监测结果表明，</w:t>
            </w:r>
            <w:r>
              <w:rPr>
                <w:rFonts w:hint="eastAsia" w:cs="Times New Roman"/>
                <w:color w:val="auto"/>
                <w:sz w:val="24"/>
                <w:lang w:eastAsia="zh-CN"/>
              </w:rPr>
              <w:t>元陆39井钻探工程</w:t>
            </w:r>
            <w:r>
              <w:rPr>
                <w:rFonts w:hint="default" w:ascii="Times New Roman" w:hAnsi="Times New Roman" w:cs="Times New Roman"/>
                <w:color w:val="auto"/>
                <w:sz w:val="24"/>
              </w:rPr>
              <w:t>所在地</w:t>
            </w:r>
            <w:r>
              <w:rPr>
                <w:rFonts w:hint="eastAsia" w:ascii="Times New Roman" w:hAnsi="Times New Roman" w:cs="Times New Roman"/>
                <w:color w:val="auto"/>
                <w:sz w:val="24"/>
                <w:lang w:val="en-US" w:eastAsia="zh-CN"/>
              </w:rPr>
              <w:t>占地范围内S</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S</w:t>
            </w:r>
            <w:r>
              <w:rPr>
                <w:rFonts w:hint="default" w:ascii="Times New Roman" w:hAnsi="Times New Roman" w:cs="Times New Roman"/>
                <w:color w:val="auto"/>
                <w:sz w:val="24"/>
              </w:rPr>
              <w:t>3点位土壤各项指标均满足《</w:t>
            </w:r>
            <w:r>
              <w:rPr>
                <w:rFonts w:hint="eastAsia" w:ascii="Times New Roman" w:hAnsi="Times New Roman" w:cs="Times New Roman"/>
                <w:color w:val="auto"/>
                <w:sz w:val="24"/>
                <w:lang w:eastAsia="zh-CN"/>
              </w:rPr>
              <w:t>土壤环境质量 建设用地土壤污染风险管控标准（试行）</w:t>
            </w:r>
            <w:r>
              <w:rPr>
                <w:rFonts w:hint="default" w:ascii="Times New Roman" w:hAnsi="Times New Roman" w:cs="Times New Roman"/>
                <w:color w:val="auto"/>
                <w:sz w:val="24"/>
              </w:rPr>
              <w:t>》（GB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36600-2018）第二类用地筛选值</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其中钡</w:t>
            </w:r>
            <w:r>
              <w:rPr>
                <w:rFonts w:hint="eastAsia" w:cs="Times New Roman"/>
                <w:color w:val="auto"/>
                <w:sz w:val="24"/>
                <w:highlight w:val="none"/>
                <w:lang w:val="en-US" w:eastAsia="zh-CN"/>
              </w:rPr>
              <w:t>、铬</w:t>
            </w:r>
            <w:r>
              <w:rPr>
                <w:rFonts w:hint="eastAsia" w:ascii="Times New Roman" w:hAnsi="Times New Roman" w:eastAsia="宋体" w:cs="Times New Roman"/>
                <w:color w:val="auto"/>
                <w:sz w:val="24"/>
                <w:highlight w:val="none"/>
                <w:lang w:val="en-US" w:eastAsia="zh-CN"/>
              </w:rPr>
              <w:t>指标可以满足《四川省建设用地土壤污染风险管控标准》（DB 51/2978-2023）表1中第二类用地筛选值</w:t>
            </w:r>
            <w:r>
              <w:rPr>
                <w:rFonts w:hint="eastAsia" w:cs="Times New Roman"/>
                <w:color w:val="auto"/>
                <w:sz w:val="24"/>
                <w:lang w:eastAsia="zh-CN"/>
              </w:rPr>
              <w:t>；</w:t>
            </w:r>
            <w:r>
              <w:rPr>
                <w:rFonts w:hint="eastAsia" w:ascii="Times New Roman" w:hAnsi="Times New Roman" w:cs="Times New Roman"/>
                <w:color w:val="auto"/>
                <w:sz w:val="24"/>
                <w:lang w:val="en-US" w:eastAsia="zh-CN"/>
              </w:rPr>
              <w:t>占地范围外S</w:t>
            </w:r>
            <w:r>
              <w:rPr>
                <w:rFonts w:hint="default" w:ascii="Times New Roman" w:hAnsi="Times New Roman" w:cs="Times New Roman"/>
                <w:color w:val="auto"/>
                <w:sz w:val="24"/>
              </w:rPr>
              <w:t>4和</w:t>
            </w:r>
            <w:r>
              <w:rPr>
                <w:rFonts w:hint="eastAsia" w:ascii="Times New Roman" w:hAnsi="Times New Roman" w:cs="Times New Roman"/>
                <w:color w:val="auto"/>
                <w:sz w:val="24"/>
                <w:lang w:val="en-US" w:eastAsia="zh-CN"/>
              </w:rPr>
              <w:t>S</w:t>
            </w:r>
            <w:r>
              <w:rPr>
                <w:rFonts w:hint="default" w:ascii="Times New Roman" w:hAnsi="Times New Roman" w:cs="Times New Roman"/>
                <w:color w:val="auto"/>
                <w:sz w:val="24"/>
              </w:rPr>
              <w:t>5点位土壤各项指标均满足《</w:t>
            </w:r>
            <w:r>
              <w:rPr>
                <w:rFonts w:hint="eastAsia" w:ascii="Times New Roman" w:hAnsi="Times New Roman" w:cs="Times New Roman"/>
                <w:color w:val="auto"/>
                <w:sz w:val="24"/>
                <w:lang w:eastAsia="zh-CN"/>
              </w:rPr>
              <w:t>土壤环境质量 农用地土壤污染风险管控标准（试行）</w:t>
            </w:r>
            <w:r>
              <w:rPr>
                <w:rFonts w:hint="default" w:ascii="Times New Roman" w:hAnsi="Times New Roman" w:cs="Times New Roman"/>
                <w:color w:val="auto"/>
                <w:sz w:val="24"/>
              </w:rPr>
              <w:t>》（GB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15618-2018）相应</w:t>
            </w:r>
            <w:r>
              <w:rPr>
                <w:rFonts w:hint="default" w:ascii="Times New Roman" w:hAnsi="Times New Roman" w:eastAsia="宋体" w:cs="Times New Roman"/>
                <w:color w:val="auto"/>
                <w:sz w:val="24"/>
              </w:rPr>
              <w:t>的筛选值要求</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石油烃</w:t>
            </w:r>
            <w:r>
              <w:rPr>
                <w:rFonts w:hint="eastAsia" w:ascii="Times New Roman" w:hAnsi="Times New Roman" w:eastAsia="宋体" w:cs="Times New Roman"/>
                <w:color w:val="auto"/>
                <w:sz w:val="24"/>
                <w:lang w:val="en-US" w:eastAsia="zh-CN"/>
              </w:rPr>
              <w:t>满足</w:t>
            </w:r>
            <w:r>
              <w:rPr>
                <w:rFonts w:hint="default" w:ascii="Times New Roman" w:hAnsi="Times New Roman" w:eastAsia="宋体" w:cs="Times New Roman"/>
                <w:color w:val="auto"/>
                <w:sz w:val="24"/>
                <w:lang w:val="en-US" w:eastAsia="zh-CN"/>
              </w:rPr>
              <w:t>《农用地土壤环境风险评价技术规定（试行）》中参考值</w:t>
            </w:r>
            <w:r>
              <w:rPr>
                <w:rFonts w:hint="eastAsia" w:ascii="Times New Roman" w:hAnsi="Times New Roman" w:eastAsia="宋体" w:cs="Times New Roman"/>
                <w:color w:val="auto"/>
                <w:sz w:val="24"/>
                <w:lang w:val="en-US" w:eastAsia="zh-CN"/>
              </w:rPr>
              <w:t>要求</w:t>
            </w:r>
            <w:r>
              <w:rPr>
                <w:rFonts w:hint="default" w:ascii="Times New Roman" w:hAnsi="Times New Roman" w:eastAsia="宋体" w:cs="Times New Roman"/>
                <w:color w:val="auto"/>
                <w:sz w:val="24"/>
              </w:rPr>
              <w:t>。</w:t>
            </w:r>
          </w:p>
        </w:tc>
      </w:tr>
      <w:tr w14:paraId="2A4E8F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3" w:hRule="atLeast"/>
          <w:jc w:val="center"/>
        </w:trPr>
        <w:tc>
          <w:tcPr>
            <w:tcW w:w="1018" w:type="dxa"/>
            <w:noWrap w:val="0"/>
            <w:vAlign w:val="center"/>
          </w:tcPr>
          <w:p w14:paraId="168E9A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bCs/>
                <w:color w:val="auto"/>
                <w:sz w:val="24"/>
              </w:rPr>
              <w:t>与项目有关的原有环境污染和生态破坏问题</w:t>
            </w:r>
          </w:p>
        </w:tc>
        <w:tc>
          <w:tcPr>
            <w:tcW w:w="7797" w:type="dxa"/>
            <w:noWrap w:val="0"/>
            <w:vAlign w:val="center"/>
          </w:tcPr>
          <w:p w14:paraId="494AF9D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本项目为新建项目，项目现场</w:t>
            </w:r>
            <w:r>
              <w:rPr>
                <w:rFonts w:hint="eastAsia" w:ascii="Times New Roman" w:hAnsi="Times New Roman" w:cs="Times New Roman"/>
                <w:color w:val="auto"/>
                <w:sz w:val="24"/>
                <w:lang w:val="en-US" w:eastAsia="zh-CN"/>
              </w:rPr>
              <w:t>无</w:t>
            </w:r>
            <w:r>
              <w:rPr>
                <w:rFonts w:hint="default" w:ascii="Times New Roman" w:hAnsi="Times New Roman" w:cs="Times New Roman"/>
                <w:color w:val="auto"/>
                <w:sz w:val="24"/>
              </w:rPr>
              <w:t>环境污染遗留问题。</w:t>
            </w:r>
          </w:p>
        </w:tc>
      </w:tr>
      <w:tr w14:paraId="7BF836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1018" w:type="dxa"/>
            <w:noWrap w:val="0"/>
            <w:vAlign w:val="center"/>
          </w:tcPr>
          <w:p w14:paraId="438700E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生态环境保护目标</w:t>
            </w:r>
          </w:p>
        </w:tc>
        <w:tc>
          <w:tcPr>
            <w:tcW w:w="7797" w:type="dxa"/>
            <w:noWrap w:val="0"/>
            <w:vAlign w:val="center"/>
          </w:tcPr>
          <w:p w14:paraId="49F9059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一、区域外环境关系</w:t>
            </w:r>
          </w:p>
          <w:p w14:paraId="078BDA5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项目周边外环境简况</w:t>
            </w:r>
          </w:p>
          <w:p w14:paraId="65CBA3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四川省巴中市</w:t>
            </w:r>
            <w:r>
              <w:rPr>
                <w:rFonts w:hint="eastAsia" w:cs="Times New Roman"/>
                <w:color w:val="auto"/>
                <w:sz w:val="24"/>
                <w:lang w:eastAsia="zh-CN"/>
              </w:rPr>
              <w:t>恩阳区上八庙镇季台村6组</w:t>
            </w:r>
            <w:r>
              <w:rPr>
                <w:rFonts w:hint="eastAsia" w:ascii="Times New Roman" w:hAnsi="Times New Roman" w:eastAsia="宋体" w:cs="Times New Roman"/>
                <w:color w:val="auto"/>
                <w:sz w:val="24"/>
                <w:lang w:val="en-US" w:eastAsia="zh-CN"/>
              </w:rPr>
              <w:t>，地势以低山丘陵为主，周边属农村生态环境。</w:t>
            </w:r>
            <w:r>
              <w:rPr>
                <w:rFonts w:hint="default" w:ascii="Times New Roman" w:hAnsi="Times New Roman" w:cs="Times New Roman"/>
                <w:color w:val="auto"/>
                <w:sz w:val="24"/>
              </w:rPr>
              <w:t>根据现场踏勘，</w:t>
            </w:r>
            <w:r>
              <w:rPr>
                <w:rFonts w:hint="eastAsia" w:cs="Times New Roman"/>
                <w:color w:val="auto"/>
                <w:sz w:val="24"/>
                <w:lang w:val="en-US" w:eastAsia="zh-CN"/>
              </w:rPr>
              <w:t>元陆39井</w:t>
            </w:r>
            <w:r>
              <w:rPr>
                <w:rFonts w:hint="default" w:ascii="Times New Roman" w:hAnsi="Times New Roman" w:cs="Times New Roman"/>
                <w:color w:val="auto"/>
                <w:sz w:val="24"/>
              </w:rPr>
              <w:t>井场区域属山地地貌，井场工程地质条件较好，井场周围主要为农用地。</w:t>
            </w:r>
            <w:r>
              <w:rPr>
                <w:rFonts w:hint="eastAsia" w:ascii="Times New Roman" w:hAnsi="Times New Roman" w:cs="Times New Roman"/>
                <w:color w:val="auto"/>
                <w:sz w:val="24"/>
              </w:rPr>
              <w:t>本项目</w:t>
            </w:r>
            <w:r>
              <w:rPr>
                <w:rFonts w:hint="default" w:ascii="Times New Roman" w:hAnsi="Times New Roman" w:cs="Times New Roman"/>
                <w:color w:val="auto"/>
                <w:sz w:val="24"/>
              </w:rPr>
              <w:t>拆除</w:t>
            </w:r>
            <w:r>
              <w:rPr>
                <w:rFonts w:hint="eastAsia" w:ascii="Times New Roman" w:hAnsi="Times New Roman" w:cs="Times New Roman"/>
                <w:color w:val="auto"/>
                <w:sz w:val="24"/>
                <w:lang w:val="en-US" w:eastAsia="zh-CN"/>
              </w:rPr>
              <w:t>民房</w:t>
            </w:r>
            <w:r>
              <w:rPr>
                <w:rFonts w:hint="eastAsia" w:cs="Times New Roman"/>
                <w:color w:val="auto"/>
                <w:sz w:val="24"/>
                <w:lang w:val="en-US" w:eastAsia="zh-CN"/>
              </w:rPr>
              <w:t>2</w:t>
            </w:r>
            <w:r>
              <w:rPr>
                <w:rFonts w:hint="default" w:ascii="Times New Roman" w:hAnsi="Times New Roman" w:cs="Times New Roman"/>
                <w:color w:val="auto"/>
                <w:sz w:val="24"/>
              </w:rPr>
              <w:t>栋</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井场</w:t>
            </w:r>
            <w:r>
              <w:rPr>
                <w:rFonts w:hint="default" w:ascii="Times New Roman" w:hAnsi="Times New Roman" w:cs="Times New Roman"/>
                <w:color w:val="auto"/>
                <w:sz w:val="24"/>
              </w:rPr>
              <w:t>周边500m范围内主要</w:t>
            </w:r>
            <w:r>
              <w:rPr>
                <w:rFonts w:hint="eastAsia" w:cs="Times New Roman"/>
                <w:color w:val="auto"/>
                <w:sz w:val="24"/>
                <w:lang w:val="en-US" w:eastAsia="zh-CN"/>
              </w:rPr>
              <w:t>保护目标为农户</w:t>
            </w:r>
            <w:r>
              <w:rPr>
                <w:rFonts w:hint="default" w:ascii="Times New Roman" w:hAnsi="Times New Roman" w:cs="Times New Roman"/>
                <w:color w:val="auto"/>
                <w:sz w:val="24"/>
              </w:rPr>
              <w:t>，无学校、医院、场镇等人口</w:t>
            </w:r>
            <w:r>
              <w:rPr>
                <w:rFonts w:hint="eastAsia" w:ascii="Times New Roman" w:hAnsi="Times New Roman" w:cs="Times New Roman"/>
                <w:color w:val="auto"/>
                <w:sz w:val="24"/>
                <w:lang w:eastAsia="zh-CN"/>
              </w:rPr>
              <w:t>密集型</w:t>
            </w:r>
            <w:r>
              <w:rPr>
                <w:rFonts w:hint="default" w:ascii="Times New Roman" w:hAnsi="Times New Roman" w:cs="Times New Roman"/>
                <w:color w:val="auto"/>
                <w:sz w:val="24"/>
              </w:rPr>
              <w:t>场所</w:t>
            </w:r>
            <w:r>
              <w:rPr>
                <w:rFonts w:hint="eastAsia" w:ascii="Times New Roman" w:hAnsi="Times New Roman" w:cs="Times New Roman"/>
                <w:color w:val="auto"/>
                <w:sz w:val="24"/>
                <w:lang w:val="en-US" w:eastAsia="zh-CN"/>
              </w:rPr>
              <w:t>分布</w:t>
            </w:r>
            <w:r>
              <w:rPr>
                <w:rFonts w:hint="default" w:ascii="Times New Roman" w:hAnsi="Times New Roman" w:cs="Times New Roman"/>
                <w:color w:val="auto"/>
                <w:sz w:val="24"/>
              </w:rPr>
              <w:t>。</w:t>
            </w:r>
          </w:p>
          <w:p w14:paraId="4A85EEC1">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井场周边植被及地表水现状</w:t>
            </w:r>
          </w:p>
          <w:p w14:paraId="228D672F">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根据调查，</w:t>
            </w:r>
            <w:r>
              <w:rPr>
                <w:rFonts w:hint="eastAsia" w:ascii="Times New Roman" w:hAnsi="Times New Roman" w:cs="Times New Roman"/>
                <w:bCs/>
                <w:color w:val="auto"/>
                <w:sz w:val="24"/>
              </w:rPr>
              <w:t>拟建项目井场</w:t>
            </w:r>
            <w:r>
              <w:rPr>
                <w:rFonts w:hint="eastAsia" w:ascii="Times New Roman" w:hAnsi="Times New Roman" w:cs="Times New Roman"/>
                <w:bCs/>
                <w:color w:val="auto"/>
                <w:sz w:val="24"/>
                <w:lang w:val="en-US" w:eastAsia="zh-CN"/>
              </w:rPr>
              <w:t>周边主要</w:t>
            </w:r>
            <w:r>
              <w:rPr>
                <w:rFonts w:hint="eastAsia" w:ascii="Times New Roman" w:hAnsi="Times New Roman" w:cs="Times New Roman"/>
                <w:bCs/>
                <w:color w:val="auto"/>
                <w:sz w:val="24"/>
              </w:rPr>
              <w:t>用地为</w:t>
            </w:r>
            <w:r>
              <w:rPr>
                <w:rFonts w:hint="eastAsia" w:ascii="Times New Roman" w:hAnsi="Times New Roman" w:eastAsia="宋体" w:cs="Times New Roman"/>
                <w:color w:val="auto"/>
                <w:sz w:val="24"/>
                <w:lang w:val="en-US" w:eastAsia="zh-CN"/>
              </w:rPr>
              <w:t>耕地、林地、</w:t>
            </w:r>
            <w:r>
              <w:rPr>
                <w:rFonts w:hint="eastAsia" w:cs="Times New Roman"/>
                <w:color w:val="auto"/>
                <w:sz w:val="24"/>
                <w:lang w:val="en-US" w:eastAsia="zh-CN"/>
              </w:rPr>
              <w:t>坑塘水面</w:t>
            </w:r>
            <w:r>
              <w:rPr>
                <w:rFonts w:hint="eastAsia" w:ascii="Times New Roman" w:hAnsi="Times New Roman" w:eastAsia="宋体" w:cs="Times New Roman"/>
                <w:color w:val="auto"/>
                <w:sz w:val="24"/>
                <w:lang w:val="en-US" w:eastAsia="zh-CN"/>
              </w:rPr>
              <w:t>、农村宅基地</w:t>
            </w:r>
            <w:r>
              <w:rPr>
                <w:rFonts w:hint="eastAsia" w:ascii="Times New Roman" w:hAnsi="Times New Roman" w:cs="Times New Roman"/>
                <w:bCs/>
                <w:color w:val="auto"/>
                <w:sz w:val="24"/>
              </w:rPr>
              <w:t>，林地主要为</w:t>
            </w:r>
            <w:r>
              <w:rPr>
                <w:rFonts w:hint="eastAsia" w:ascii="Times New Roman" w:hAnsi="Times New Roman" w:cs="Times New Roman"/>
                <w:bCs/>
                <w:color w:val="auto"/>
                <w:sz w:val="24"/>
                <w:lang w:val="en-US" w:eastAsia="zh-CN"/>
              </w:rPr>
              <w:t>柏树、松树、青冈</w:t>
            </w:r>
            <w:r>
              <w:rPr>
                <w:rFonts w:hint="eastAsia" w:ascii="Times New Roman" w:hAnsi="Times New Roman" w:cs="Times New Roman"/>
                <w:bCs/>
                <w:color w:val="auto"/>
                <w:sz w:val="24"/>
              </w:rPr>
              <w:t>树</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蔷薇、黄荆</w:t>
            </w:r>
            <w:r>
              <w:rPr>
                <w:rFonts w:hint="eastAsia" w:cs="Times New Roman"/>
                <w:bCs/>
                <w:color w:val="auto"/>
                <w:sz w:val="24"/>
                <w:lang w:val="en-US" w:eastAsia="zh-CN"/>
              </w:rPr>
              <w:t>、连翘</w:t>
            </w:r>
            <w:r>
              <w:rPr>
                <w:rFonts w:hint="eastAsia" w:ascii="Times New Roman" w:hAnsi="Times New Roman" w:cs="Times New Roman"/>
                <w:bCs/>
                <w:color w:val="auto"/>
                <w:sz w:val="24"/>
                <w:lang w:val="en-US" w:eastAsia="zh-CN"/>
              </w:rPr>
              <w:t>等</w:t>
            </w:r>
            <w:r>
              <w:rPr>
                <w:rFonts w:hint="eastAsia" w:ascii="Times New Roman" w:hAnsi="Times New Roman" w:cs="Times New Roman"/>
                <w:bCs/>
                <w:color w:val="auto"/>
                <w:sz w:val="24"/>
              </w:rPr>
              <w:t>，植被</w:t>
            </w:r>
            <w:r>
              <w:rPr>
                <w:rFonts w:hint="eastAsia" w:ascii="Times New Roman" w:hAnsi="Times New Roman" w:cs="Times New Roman"/>
                <w:bCs/>
                <w:color w:val="auto"/>
                <w:sz w:val="24"/>
                <w:lang w:val="en-US" w:eastAsia="zh-CN"/>
              </w:rPr>
              <w:t>覆盖</w:t>
            </w:r>
            <w:r>
              <w:rPr>
                <w:rFonts w:hint="eastAsia" w:ascii="Times New Roman" w:hAnsi="Times New Roman" w:cs="Times New Roman"/>
                <w:bCs/>
                <w:color w:val="auto"/>
                <w:sz w:val="24"/>
              </w:rPr>
              <w:t>较好；</w:t>
            </w:r>
            <w:r>
              <w:rPr>
                <w:rFonts w:hint="eastAsia" w:cs="Times New Roman"/>
                <w:bCs/>
                <w:color w:val="auto"/>
                <w:sz w:val="24"/>
                <w:lang w:val="en-US" w:eastAsia="zh-CN"/>
              </w:rPr>
              <w:t>根据</w:t>
            </w:r>
            <w:r>
              <w:rPr>
                <w:rFonts w:hint="eastAsia" w:cs="Times New Roman"/>
                <w:color w:val="auto"/>
                <w:sz w:val="24"/>
                <w:lang w:val="en-US" w:eastAsia="zh-CN"/>
              </w:rPr>
              <w:t>巴中市恩阳区农业农村局《</w:t>
            </w:r>
            <w:r>
              <w:rPr>
                <w:rFonts w:hint="eastAsia" w:ascii="Times New Roman" w:hAnsi="Times New Roman" w:cs="Times New Roman"/>
                <w:color w:val="auto"/>
                <w:sz w:val="24"/>
                <w:lang w:val="en-US" w:eastAsia="zh-CN"/>
              </w:rPr>
              <w:t>关于</w:t>
            </w:r>
            <w:r>
              <w:rPr>
                <w:rFonts w:hint="eastAsia" w:cs="Times New Roman"/>
                <w:color w:val="auto"/>
                <w:sz w:val="24"/>
                <w:lang w:val="en-US" w:eastAsia="zh-CN"/>
              </w:rPr>
              <w:t>元陆39井钻探工程建设项目拟占用林地核实情况的复函》，项目不涉及占用天然林和公益林，不涉及珍稀保护动植物、名木古树</w:t>
            </w:r>
            <w:r>
              <w:rPr>
                <w:rFonts w:hint="eastAsia" w:ascii="Times New Roman" w:hAnsi="Times New Roman" w:cs="Times New Roman"/>
                <w:bCs/>
                <w:color w:val="auto"/>
                <w:sz w:val="24"/>
              </w:rPr>
              <w:t>。</w:t>
            </w:r>
          </w:p>
          <w:p w14:paraId="18CA3EE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同时本项目</w:t>
            </w:r>
            <w:r>
              <w:rPr>
                <w:rFonts w:hint="default" w:ascii="Times New Roman" w:hAnsi="Times New Roman" w:eastAsia="宋体" w:cs="Times New Roman"/>
                <w:color w:val="auto"/>
                <w:sz w:val="24"/>
              </w:rPr>
              <w:t>生活用水</w:t>
            </w:r>
            <w:r>
              <w:rPr>
                <w:rFonts w:hint="eastAsia" w:ascii="Times New Roman" w:hAnsi="Times New Roman" w:eastAsia="宋体" w:cs="Times New Roman"/>
                <w:color w:val="auto"/>
                <w:sz w:val="24"/>
                <w:lang w:val="en-US" w:eastAsia="zh-CN"/>
              </w:rPr>
              <w:t>外购自来水和</w:t>
            </w:r>
            <w:r>
              <w:rPr>
                <w:rFonts w:hint="default" w:ascii="Times New Roman" w:hAnsi="Times New Roman" w:eastAsia="宋体" w:cs="Times New Roman"/>
                <w:color w:val="auto"/>
                <w:sz w:val="24"/>
              </w:rPr>
              <w:t>桶装水车载</w:t>
            </w:r>
            <w:r>
              <w:rPr>
                <w:rFonts w:hint="eastAsia" w:ascii="Times New Roman" w:hAnsi="Times New Roman" w:eastAsia="宋体" w:cs="Times New Roman"/>
                <w:color w:val="auto"/>
                <w:sz w:val="24"/>
                <w:lang w:val="en-US" w:eastAsia="zh-CN"/>
              </w:rPr>
              <w:t>运输</w:t>
            </w:r>
            <w:r>
              <w:rPr>
                <w:rFonts w:hint="default" w:ascii="Times New Roman" w:hAnsi="Times New Roman" w:eastAsia="宋体" w:cs="Times New Roman"/>
                <w:color w:val="auto"/>
                <w:sz w:val="24"/>
              </w:rPr>
              <w:t>至场地</w:t>
            </w:r>
            <w:r>
              <w:rPr>
                <w:rFonts w:hint="eastAsia" w:ascii="Times New Roman" w:hAnsi="Times New Roman" w:eastAsia="宋体" w:cs="Times New Roman"/>
                <w:color w:val="auto"/>
                <w:sz w:val="24"/>
                <w:lang w:val="en-US" w:eastAsia="zh-CN"/>
              </w:rPr>
              <w:t>使用</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作业用水来源为井场内</w:t>
            </w:r>
            <w:r>
              <w:rPr>
                <w:rFonts w:hint="eastAsia" w:cs="Times New Roman"/>
                <w:color w:val="auto"/>
                <w:sz w:val="24"/>
                <w:lang w:val="en-US" w:eastAsia="zh-CN"/>
              </w:rPr>
              <w:t>初期雨水</w:t>
            </w:r>
            <w:r>
              <w:rPr>
                <w:rFonts w:hint="eastAsia" w:ascii="Times New Roman" w:hAnsi="Times New Roman" w:eastAsia="宋体" w:cs="Times New Roman"/>
                <w:color w:val="auto"/>
                <w:sz w:val="24"/>
                <w:lang w:val="en-US" w:eastAsia="zh-CN"/>
              </w:rPr>
              <w:t>，周边池塘、河流等，在取用前由施工作业单位</w:t>
            </w:r>
            <w:r>
              <w:rPr>
                <w:rFonts w:hint="eastAsia" w:ascii="Times New Roman" w:hAnsi="Times New Roman" w:eastAsia="宋体" w:cs="Times New Roman"/>
                <w:color w:val="auto"/>
                <w:sz w:val="24"/>
              </w:rPr>
              <w:t>按照</w:t>
            </w:r>
            <w:r>
              <w:rPr>
                <w:rFonts w:hint="default" w:ascii="Times New Roman" w:hAnsi="Times New Roman" w:eastAsia="宋体" w:cs="Times New Roman"/>
                <w:color w:val="auto"/>
                <w:sz w:val="24"/>
              </w:rPr>
              <w:t>《取水许可和水资源费征收管理条例</w:t>
            </w:r>
            <w:r>
              <w:rPr>
                <w:rFonts w:hint="eastAsia" w:ascii="Times New Roman" w:hAnsi="Times New Roman" w:eastAsia="宋体" w:cs="Times New Roman"/>
                <w:color w:val="auto"/>
                <w:sz w:val="24"/>
                <w:lang w:eastAsia="zh-CN"/>
              </w:rPr>
              <w:t>》和</w:t>
            </w:r>
            <w:r>
              <w:rPr>
                <w:rFonts w:hint="default" w:ascii="Times New Roman" w:hAnsi="Times New Roman" w:eastAsia="宋体" w:cs="Times New Roman"/>
                <w:color w:val="auto"/>
                <w:sz w:val="24"/>
              </w:rPr>
              <w:t>《四川省水资源条例</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等相关要求办理取水手续</w:t>
            </w:r>
            <w:r>
              <w:rPr>
                <w:rFonts w:hint="eastAsia" w:ascii="Times New Roman" w:hAnsi="Times New Roman" w:cs="Times New Roman"/>
                <w:color w:val="auto"/>
                <w:sz w:val="24"/>
              </w:rPr>
              <w:t>。</w:t>
            </w:r>
            <w:r>
              <w:rPr>
                <w:rFonts w:hint="eastAsia" w:cs="Times New Roman"/>
                <w:color w:val="auto"/>
                <w:sz w:val="24"/>
                <w:lang w:val="en-US" w:eastAsia="zh-CN"/>
              </w:rPr>
              <w:t>根据巴中市恩阳生态环境局《关于&lt;关于核实元陆39井钻探工程区域饮用水水源保护区分布情况的函&gt;的复函》及现场调查，</w:t>
            </w:r>
            <w:r>
              <w:rPr>
                <w:rFonts w:hint="default" w:ascii="Times New Roman" w:hAnsi="Times New Roman" w:eastAsia="宋体" w:cs="Times New Roman"/>
                <w:color w:val="auto"/>
                <w:sz w:val="24"/>
              </w:rPr>
              <w:t>项目不涉及</w:t>
            </w:r>
            <w:r>
              <w:rPr>
                <w:rFonts w:hint="eastAsia" w:cs="Times New Roman"/>
                <w:color w:val="auto"/>
                <w:sz w:val="24"/>
                <w:lang w:val="en-US" w:eastAsia="zh-CN"/>
              </w:rPr>
              <w:t>集中式饮用水</w:t>
            </w:r>
            <w:r>
              <w:rPr>
                <w:rFonts w:hint="default" w:ascii="Times New Roman" w:hAnsi="Times New Roman" w:eastAsia="宋体" w:cs="Times New Roman"/>
                <w:color w:val="auto"/>
                <w:sz w:val="24"/>
              </w:rPr>
              <w:t>水</w:t>
            </w:r>
            <w:r>
              <w:rPr>
                <w:rFonts w:hint="eastAsia" w:cs="Times New Roman"/>
                <w:color w:val="auto"/>
                <w:sz w:val="24"/>
                <w:lang w:val="en-US" w:eastAsia="zh-CN"/>
              </w:rPr>
              <w:t>源</w:t>
            </w:r>
            <w:r>
              <w:rPr>
                <w:rFonts w:hint="default" w:ascii="Times New Roman" w:hAnsi="Times New Roman" w:eastAsia="宋体" w:cs="Times New Roman"/>
                <w:color w:val="auto"/>
                <w:sz w:val="24"/>
              </w:rPr>
              <w:t>保护区，项目拟建地不涉及</w:t>
            </w:r>
            <w:r>
              <w:rPr>
                <w:rFonts w:hint="eastAsia" w:ascii="Times New Roman" w:hAnsi="Times New Roman" w:eastAsia="宋体" w:cs="Times New Roman"/>
                <w:color w:val="auto"/>
                <w:sz w:val="24"/>
              </w:rPr>
              <w:t>自然保护区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风景名胜区、</w:t>
            </w:r>
            <w:r>
              <w:rPr>
                <w:rFonts w:hint="eastAsia" w:cs="Times New Roman"/>
                <w:color w:val="auto"/>
                <w:sz w:val="24"/>
                <w:lang w:val="en-US" w:eastAsia="zh-CN"/>
              </w:rPr>
              <w:t>饮用水水源保护区、</w:t>
            </w:r>
            <w:r>
              <w:rPr>
                <w:rFonts w:hint="eastAsia" w:ascii="Times New Roman" w:hAnsi="Times New Roman" w:eastAsia="宋体" w:cs="Times New Roman"/>
                <w:color w:val="auto"/>
                <w:sz w:val="24"/>
                <w:lang w:val="en-US" w:eastAsia="zh-CN"/>
              </w:rPr>
              <w:t>自然公园、重要</w:t>
            </w:r>
            <w:r>
              <w:rPr>
                <w:rFonts w:hint="eastAsia" w:ascii="Times New Roman" w:hAnsi="Times New Roman" w:eastAsia="宋体" w:cs="Times New Roman"/>
                <w:color w:val="auto"/>
                <w:sz w:val="24"/>
              </w:rPr>
              <w:t>湿地</w:t>
            </w:r>
            <w:r>
              <w:rPr>
                <w:rFonts w:hint="eastAsia" w:ascii="Times New Roman" w:hAnsi="Times New Roman" w:eastAsia="宋体" w:cs="Times New Roman"/>
                <w:color w:val="auto"/>
                <w:sz w:val="24"/>
                <w:lang w:val="en-US" w:eastAsia="zh-CN"/>
              </w:rPr>
              <w:t>等</w:t>
            </w:r>
            <w:r>
              <w:rPr>
                <w:rFonts w:hint="eastAsia" w:ascii="Times New Roman" w:hAnsi="Times New Roman" w:eastAsia="宋体" w:cs="Times New Roman"/>
                <w:color w:val="auto"/>
                <w:sz w:val="24"/>
              </w:rPr>
              <w:t>。</w:t>
            </w:r>
          </w:p>
          <w:p w14:paraId="661940D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项目周边居民分散式地下水饮用水源现状</w:t>
            </w:r>
          </w:p>
          <w:p w14:paraId="6C6F152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20"/>
              </w:rPr>
            </w:pPr>
            <w:r>
              <w:rPr>
                <w:rFonts w:hint="default" w:ascii="Times New Roman" w:hAnsi="Times New Roman" w:cs="Times New Roman"/>
                <w:color w:val="auto"/>
                <w:sz w:val="24"/>
                <w:szCs w:val="20"/>
                <w:highlight w:val="none"/>
              </w:rPr>
              <w:t>本项目评价范围内没有地下水集中式饮用水水源保护</w:t>
            </w:r>
            <w:r>
              <w:rPr>
                <w:rFonts w:hint="default" w:ascii="Times New Roman" w:hAnsi="Times New Roman" w:eastAsia="宋体" w:cs="Times New Roman"/>
                <w:color w:val="auto"/>
                <w:sz w:val="24"/>
                <w:szCs w:val="20"/>
                <w:highlight w:val="none"/>
              </w:rPr>
              <w:t>区，</w:t>
            </w:r>
            <w:r>
              <w:rPr>
                <w:rFonts w:hint="eastAsia" w:ascii="Times New Roman" w:hAnsi="Times New Roman" w:eastAsia="宋体" w:cs="Times New Roman"/>
                <w:color w:val="auto"/>
                <w:sz w:val="24"/>
                <w:szCs w:val="20"/>
                <w:highlight w:val="none"/>
              </w:rPr>
              <w:t>该</w:t>
            </w:r>
            <w:r>
              <w:rPr>
                <w:rFonts w:hint="eastAsia" w:ascii="Times New Roman" w:hAnsi="Times New Roman" w:eastAsia="宋体" w:cs="Times New Roman"/>
                <w:color w:val="auto"/>
                <w:sz w:val="24"/>
                <w:szCs w:val="20"/>
                <w:highlight w:val="none"/>
                <w:lang w:eastAsia="zh-CN"/>
              </w:rPr>
              <w:t>区域大部分农户以自来水供水为饮用水，少量散户采用</w:t>
            </w:r>
            <w:r>
              <w:rPr>
                <w:rFonts w:hint="eastAsia" w:ascii="Times New Roman" w:hAnsi="Times New Roman" w:eastAsia="宋体" w:cs="Times New Roman"/>
                <w:color w:val="auto"/>
                <w:sz w:val="24"/>
                <w:szCs w:val="20"/>
                <w:highlight w:val="none"/>
              </w:rPr>
              <w:t>井水作为生活饮用水</w:t>
            </w:r>
            <w:r>
              <w:rPr>
                <w:rFonts w:hint="default" w:ascii="Times New Roman" w:hAnsi="Times New Roman" w:cs="Times New Roman"/>
                <w:bCs/>
                <w:color w:val="auto"/>
                <w:sz w:val="24"/>
                <w:szCs w:val="20"/>
                <w:highlight w:val="none"/>
              </w:rPr>
              <w:t>，</w:t>
            </w:r>
            <w:r>
              <w:rPr>
                <w:rFonts w:hint="default" w:ascii="Times New Roman" w:hAnsi="Times New Roman" w:cs="Times New Roman"/>
                <w:color w:val="auto"/>
                <w:sz w:val="24"/>
                <w:szCs w:val="20"/>
                <w:highlight w:val="none"/>
              </w:rPr>
              <w:t>故本项目地下水评价范围内地下水具有分散式饮用水水源功能。根据区域调查，当地村民开发利用地下水多直接利用泉水，或以平塘、大口井开采浅层风化带裂隙水，取水层位为潜水含水层，</w:t>
            </w:r>
            <w:r>
              <w:rPr>
                <w:rFonts w:hint="default" w:ascii="Times New Roman" w:hAnsi="Times New Roman" w:cs="Times New Roman"/>
                <w:color w:val="auto"/>
                <w:sz w:val="24"/>
                <w:szCs w:val="20"/>
              </w:rPr>
              <w:t>地下水类型</w:t>
            </w:r>
            <w:r>
              <w:rPr>
                <w:rFonts w:hint="default" w:ascii="Times New Roman" w:hAnsi="Times New Roman" w:cs="Times New Roman"/>
                <w:color w:val="auto"/>
                <w:kern w:val="0"/>
                <w:sz w:val="24"/>
              </w:rPr>
              <w:t>主要为</w:t>
            </w:r>
            <w:r>
              <w:rPr>
                <w:rFonts w:hint="default" w:ascii="Times New Roman" w:hAnsi="Times New Roman" w:cs="Times New Roman"/>
                <w:color w:val="auto"/>
                <w:sz w:val="24"/>
              </w:rPr>
              <w:t>白垩系下统</w:t>
            </w:r>
            <w:r>
              <w:rPr>
                <w:rFonts w:hint="eastAsia" w:ascii="Times New Roman" w:hAnsi="Times New Roman" w:cs="Times New Roman"/>
                <w:color w:val="auto"/>
                <w:sz w:val="24"/>
              </w:rPr>
              <w:t>剑门关组</w:t>
            </w:r>
            <w:r>
              <w:rPr>
                <w:rFonts w:hint="eastAsia" w:ascii="Times New Roman" w:hAnsi="Times New Roman" w:cs="Times New Roman"/>
                <w:bCs/>
                <w:color w:val="auto"/>
                <w:kern w:val="0"/>
                <w:sz w:val="24"/>
              </w:rPr>
              <w:t>（</w:t>
            </w:r>
            <w:r>
              <w:rPr>
                <w:rFonts w:hint="eastAsia" w:ascii="Times New Roman" w:hAnsi="Times New Roman" w:cs="Times New Roman"/>
                <w:color w:val="auto"/>
                <w:sz w:val="24"/>
              </w:rPr>
              <w:t>K</w:t>
            </w:r>
            <w:r>
              <w:rPr>
                <w:rFonts w:hint="eastAsia" w:ascii="Times New Roman" w:hAnsi="Times New Roman" w:cs="Times New Roman"/>
                <w:color w:val="auto"/>
                <w:sz w:val="24"/>
                <w:vertAlign w:val="subscript"/>
              </w:rPr>
              <w:t>1</w:t>
            </w:r>
            <w:r>
              <w:rPr>
                <w:rFonts w:hint="eastAsia" w:ascii="Times New Roman" w:hAnsi="Times New Roman" w:cs="Times New Roman"/>
                <w:i/>
                <w:iCs/>
                <w:color w:val="auto"/>
                <w:sz w:val="24"/>
              </w:rPr>
              <w:t>j</w:t>
            </w:r>
            <w:r>
              <w:rPr>
                <w:rFonts w:hint="eastAsia" w:ascii="Times New Roman" w:hAnsi="Times New Roman" w:cs="Times New Roman"/>
                <w:bCs/>
                <w:color w:val="auto"/>
                <w:kern w:val="0"/>
                <w:sz w:val="24"/>
              </w:rPr>
              <w:t>）</w:t>
            </w:r>
            <w:r>
              <w:rPr>
                <w:rFonts w:hint="eastAsia" w:ascii="Times New Roman" w:hAnsi="Times New Roman" w:cs="Times New Roman"/>
                <w:color w:val="auto"/>
                <w:sz w:val="24"/>
              </w:rPr>
              <w:t>基岩裂隙水</w:t>
            </w:r>
            <w:r>
              <w:rPr>
                <w:rFonts w:hint="default" w:ascii="Times New Roman" w:hAnsi="Times New Roman" w:cs="Times New Roman"/>
                <w:bCs/>
                <w:color w:val="auto"/>
                <w:kern w:val="0"/>
                <w:sz w:val="24"/>
              </w:rPr>
              <w:t>。</w:t>
            </w:r>
            <w:r>
              <w:rPr>
                <w:rFonts w:hint="default" w:ascii="Times New Roman" w:hAnsi="Times New Roman" w:cs="Times New Roman"/>
                <w:color w:val="auto"/>
                <w:sz w:val="24"/>
                <w:szCs w:val="20"/>
              </w:rPr>
              <w:t>因此，本项目地下水环境保护目标为评价范围内的分散式水井（项目</w:t>
            </w:r>
            <w:r>
              <w:rPr>
                <w:rFonts w:hint="eastAsia" w:cs="Times New Roman"/>
                <w:color w:val="auto"/>
                <w:sz w:val="24"/>
                <w:szCs w:val="20"/>
                <w:lang w:val="en-US" w:eastAsia="zh-CN"/>
              </w:rPr>
              <w:t>井口</w:t>
            </w:r>
            <w:r>
              <w:rPr>
                <w:rFonts w:hint="default" w:ascii="Times New Roman" w:hAnsi="Times New Roman" w:cs="Times New Roman"/>
                <w:color w:val="auto"/>
                <w:sz w:val="24"/>
                <w:szCs w:val="20"/>
              </w:rPr>
              <w:t>周边约</w:t>
            </w:r>
            <w:r>
              <w:rPr>
                <w:rFonts w:hint="eastAsia" w:ascii="Times New Roman" w:hAnsi="Times New Roman" w:cs="Times New Roman"/>
                <w:color w:val="auto"/>
                <w:sz w:val="24"/>
                <w:szCs w:val="20"/>
                <w:lang w:val="en-US" w:eastAsia="zh-CN"/>
              </w:rPr>
              <w:t>1</w:t>
            </w:r>
            <w:r>
              <w:rPr>
                <w:rFonts w:hint="eastAsia" w:cs="Times New Roman"/>
                <w:color w:val="auto"/>
                <w:sz w:val="24"/>
                <w:szCs w:val="20"/>
                <w:lang w:val="en-US" w:eastAsia="zh-CN"/>
              </w:rPr>
              <w:t>4</w:t>
            </w:r>
            <w:r>
              <w:rPr>
                <w:rFonts w:hint="eastAsia" w:ascii="Times New Roman" w:hAnsi="Times New Roman" w:cs="Times New Roman"/>
                <w:color w:val="auto"/>
                <w:sz w:val="24"/>
                <w:szCs w:val="20"/>
                <w:lang w:val="en-US" w:eastAsia="zh-CN"/>
              </w:rPr>
              <w:t>0</w:t>
            </w:r>
            <w:r>
              <w:rPr>
                <w:rFonts w:hint="default" w:ascii="Times New Roman" w:hAnsi="Times New Roman" w:cs="Times New Roman"/>
                <w:color w:val="auto"/>
                <w:sz w:val="24"/>
                <w:szCs w:val="20"/>
              </w:rPr>
              <w:t>m~</w:t>
            </w:r>
            <w:r>
              <w:rPr>
                <w:rFonts w:hint="eastAsia" w:cs="Times New Roman"/>
                <w:color w:val="auto"/>
                <w:sz w:val="24"/>
                <w:szCs w:val="20"/>
                <w:lang w:val="en-US" w:eastAsia="zh-CN"/>
              </w:rPr>
              <w:t>1300</w:t>
            </w:r>
            <w:r>
              <w:rPr>
                <w:rFonts w:hint="default" w:ascii="Times New Roman" w:hAnsi="Times New Roman" w:cs="Times New Roman"/>
                <w:color w:val="auto"/>
                <w:sz w:val="24"/>
                <w:szCs w:val="20"/>
              </w:rPr>
              <w:t>m范围内民井2</w:t>
            </w:r>
            <w:r>
              <w:rPr>
                <w:rFonts w:hint="eastAsia" w:cs="Times New Roman"/>
                <w:color w:val="auto"/>
                <w:sz w:val="24"/>
                <w:szCs w:val="20"/>
                <w:lang w:val="en-US" w:eastAsia="zh-CN"/>
              </w:rPr>
              <w:t>8</w:t>
            </w:r>
            <w:r>
              <w:rPr>
                <w:rFonts w:hint="default" w:ascii="Times New Roman" w:hAnsi="Times New Roman" w:cs="Times New Roman"/>
                <w:color w:val="auto"/>
                <w:sz w:val="24"/>
                <w:szCs w:val="20"/>
              </w:rPr>
              <w:t>口</w:t>
            </w:r>
            <w:r>
              <w:rPr>
                <w:rFonts w:hint="eastAsia" w:cs="Times New Roman"/>
                <w:color w:val="auto"/>
                <w:sz w:val="24"/>
                <w:szCs w:val="20"/>
                <w:lang w:eastAsia="zh-CN"/>
              </w:rPr>
              <w:t>，</w:t>
            </w:r>
            <w:r>
              <w:rPr>
                <w:rFonts w:hint="eastAsia" w:cs="Times New Roman"/>
                <w:color w:val="auto"/>
                <w:sz w:val="24"/>
                <w:szCs w:val="20"/>
                <w:lang w:val="en-US" w:eastAsia="zh-CN"/>
              </w:rPr>
              <w:t>井深介于10~30m之间</w:t>
            </w:r>
            <w:r>
              <w:rPr>
                <w:rFonts w:hint="default" w:ascii="Times New Roman" w:hAnsi="Times New Roman" w:cs="Times New Roman"/>
                <w:color w:val="auto"/>
                <w:sz w:val="24"/>
                <w:szCs w:val="20"/>
              </w:rPr>
              <w:t>）及下伏</w:t>
            </w:r>
            <w:r>
              <w:rPr>
                <w:rFonts w:hint="eastAsia" w:cs="Times New Roman"/>
                <w:color w:val="auto"/>
                <w:sz w:val="24"/>
                <w:szCs w:val="20"/>
                <w:lang w:val="en-US" w:eastAsia="zh-CN"/>
              </w:rPr>
              <w:t>基岩裂隙水含水层</w:t>
            </w:r>
            <w:r>
              <w:rPr>
                <w:rFonts w:hint="eastAsia" w:ascii="Times New Roman" w:hAnsi="Times New Roman" w:cs="Times New Roman"/>
                <w:color w:val="auto"/>
                <w:sz w:val="24"/>
                <w:szCs w:val="20"/>
              </w:rPr>
              <w:t>。</w:t>
            </w:r>
          </w:p>
          <w:p w14:paraId="1436773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w:t>
            </w:r>
            <w:r>
              <w:rPr>
                <w:rFonts w:hint="eastAsia" w:ascii="Times New Roman" w:hAnsi="Times New Roman" w:cs="Times New Roman"/>
                <w:b/>
                <w:bCs/>
                <w:color w:val="auto"/>
                <w:sz w:val="24"/>
                <w:szCs w:val="28"/>
                <w:lang w:eastAsia="zh-CN"/>
              </w:rPr>
              <w:t>、</w:t>
            </w:r>
            <w:r>
              <w:rPr>
                <w:rFonts w:hint="eastAsia" w:ascii="Times New Roman" w:hAnsi="Times New Roman" w:cs="Times New Roman"/>
                <w:b/>
                <w:bCs/>
                <w:color w:val="auto"/>
                <w:sz w:val="24"/>
                <w:szCs w:val="28"/>
                <w:lang w:val="en-US" w:eastAsia="zh-CN"/>
              </w:rPr>
              <w:t>永久</w:t>
            </w:r>
            <w:r>
              <w:rPr>
                <w:rFonts w:hint="default" w:ascii="Times New Roman" w:hAnsi="Times New Roman" w:cs="Times New Roman"/>
                <w:b/>
                <w:bCs/>
                <w:color w:val="auto"/>
                <w:sz w:val="24"/>
                <w:szCs w:val="28"/>
              </w:rPr>
              <w:t>基本农田分布情况</w:t>
            </w:r>
          </w:p>
          <w:p w14:paraId="27F2C4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8"/>
                <w:highlight w:val="none"/>
                <w:lang w:val="en-US" w:eastAsia="zh-CN"/>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占地</w:t>
            </w:r>
            <w:r>
              <w:rPr>
                <w:rFonts w:hint="default" w:ascii="Times New Roman" w:hAnsi="Times New Roman" w:cs="Times New Roman"/>
                <w:bCs/>
                <w:color w:val="auto"/>
                <w:sz w:val="24"/>
              </w:rPr>
              <w:t>为临时占地，</w:t>
            </w:r>
            <w:r>
              <w:rPr>
                <w:rFonts w:hint="eastAsia" w:ascii="Times New Roman" w:hAnsi="Times New Roman" w:cs="Times New Roman"/>
                <w:color w:val="auto"/>
                <w:sz w:val="24"/>
              </w:rPr>
              <w:t>项目主要占用耕地、林地、</w:t>
            </w:r>
            <w:r>
              <w:rPr>
                <w:rFonts w:hint="eastAsia" w:cs="Times New Roman"/>
                <w:color w:val="auto"/>
                <w:sz w:val="24"/>
                <w:lang w:val="en-US" w:eastAsia="zh-CN"/>
              </w:rPr>
              <w:t>坑塘</w:t>
            </w:r>
            <w:r>
              <w:rPr>
                <w:rFonts w:hint="eastAsia" w:ascii="Times New Roman" w:hAnsi="Times New Roman" w:cs="Times New Roman"/>
                <w:color w:val="auto"/>
                <w:sz w:val="24"/>
                <w:lang w:val="en-US" w:eastAsia="zh-CN"/>
              </w:rPr>
              <w:t>水面</w:t>
            </w:r>
            <w:r>
              <w:rPr>
                <w:rFonts w:hint="eastAsia" w:ascii="Times New Roman" w:hAnsi="Times New Roman" w:cs="Times New Roman"/>
                <w:color w:val="auto"/>
                <w:sz w:val="24"/>
              </w:rPr>
              <w:t>、农村宅基地</w:t>
            </w:r>
            <w:r>
              <w:rPr>
                <w:rFonts w:hint="eastAsia" w:ascii="Times New Roman" w:hAnsi="Times New Roman" w:cs="Times New Roman"/>
                <w:color w:val="auto"/>
                <w:sz w:val="24"/>
                <w:lang w:val="en-US" w:eastAsia="zh-CN"/>
              </w:rPr>
              <w:t>等</w:t>
            </w:r>
            <w:r>
              <w:rPr>
                <w:rFonts w:hint="eastAsia" w:ascii="Times New Roman" w:hAnsi="Times New Roman" w:cs="Times New Roman"/>
                <w:color w:val="auto"/>
                <w:sz w:val="24"/>
                <w:lang w:eastAsia="zh-CN"/>
              </w:rPr>
              <w:t>。</w:t>
            </w:r>
            <w:r>
              <w:rPr>
                <w:rFonts w:hint="eastAsia" w:ascii="Times New Roman" w:hAnsi="Times New Roman" w:cs="Times New Roman"/>
                <w:bCs/>
                <w:color w:val="auto"/>
                <w:sz w:val="24"/>
                <w:lang w:val="en-US" w:eastAsia="zh-CN"/>
              </w:rPr>
              <w:t>项目所在区域永久基本农田分布较密集，本项目占用的</w:t>
            </w:r>
            <w:r>
              <w:rPr>
                <w:rFonts w:hint="eastAsia" w:ascii="Times New Roman" w:hAnsi="Times New Roman" w:cs="Times New Roman"/>
                <w:color w:val="auto"/>
                <w:sz w:val="24"/>
                <w:lang w:val="en-US" w:eastAsia="zh-CN"/>
              </w:rPr>
              <w:t>耕地中含</w:t>
            </w:r>
            <w:r>
              <w:rPr>
                <w:rFonts w:hint="eastAsia" w:ascii="Times New Roman" w:hAnsi="Times New Roman" w:cs="Times New Roman"/>
                <w:bCs/>
                <w:color w:val="auto"/>
                <w:sz w:val="24"/>
                <w:lang w:val="en-US" w:eastAsia="zh-CN"/>
              </w:rPr>
              <w:t>永久基本农田</w:t>
            </w:r>
            <w:r>
              <w:rPr>
                <w:rFonts w:hint="eastAsia" w:cs="Times New Roman"/>
                <w:bCs/>
                <w:color w:val="auto"/>
                <w:sz w:val="24"/>
                <w:lang w:val="en-US" w:eastAsia="zh-CN"/>
              </w:rPr>
              <w:t>0.9557</w:t>
            </w:r>
            <w:r>
              <w:rPr>
                <w:rFonts w:hint="eastAsia" w:ascii="Times New Roman" w:hAnsi="Times New Roman" w:cs="Times New Roman"/>
                <w:color w:val="auto"/>
                <w:sz w:val="24"/>
                <w:lang w:val="en-US" w:eastAsia="zh-CN"/>
              </w:rPr>
              <w:t>hm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bCs/>
                <w:color w:val="auto"/>
                <w:sz w:val="24"/>
                <w:lang w:val="en-US" w:eastAsia="zh-CN"/>
              </w:rPr>
              <w:t>。</w:t>
            </w:r>
            <w:r>
              <w:rPr>
                <w:rFonts w:hint="default" w:ascii="Times New Roman" w:hAnsi="Times New Roman" w:cs="Times New Roman"/>
                <w:b w:val="0"/>
                <w:bCs w:val="0"/>
                <w:color w:val="auto"/>
                <w:sz w:val="24"/>
                <w:szCs w:val="28"/>
                <w:highlight w:val="none"/>
                <w:lang w:val="en-US" w:eastAsia="zh-CN"/>
              </w:rPr>
              <w:t>项目应按照《基本农田保护条例》的相关规定做好对临时占用</w:t>
            </w:r>
            <w:r>
              <w:rPr>
                <w:rFonts w:hint="eastAsia" w:ascii="Times New Roman" w:hAnsi="Times New Roman" w:cs="Times New Roman"/>
                <w:b w:val="0"/>
                <w:bCs w:val="0"/>
                <w:color w:val="auto"/>
                <w:sz w:val="24"/>
                <w:szCs w:val="28"/>
                <w:highlight w:val="none"/>
                <w:lang w:val="en-US" w:eastAsia="zh-CN"/>
              </w:rPr>
              <w:t>永久</w:t>
            </w:r>
            <w:r>
              <w:rPr>
                <w:rFonts w:hint="default" w:ascii="Times New Roman" w:hAnsi="Times New Roman" w:cs="Times New Roman"/>
                <w:b w:val="0"/>
                <w:bCs w:val="0"/>
                <w:color w:val="auto"/>
                <w:sz w:val="24"/>
                <w:szCs w:val="28"/>
                <w:highlight w:val="none"/>
                <w:lang w:val="en-US" w:eastAsia="zh-CN"/>
              </w:rPr>
              <w:t>基本农田的恢复</w:t>
            </w:r>
            <w:r>
              <w:rPr>
                <w:rFonts w:hint="eastAsia" w:ascii="Times New Roman" w:hAnsi="Times New Roman" w:cs="Times New Roman"/>
                <w:b w:val="0"/>
                <w:bCs w:val="0"/>
                <w:color w:val="auto"/>
                <w:sz w:val="24"/>
                <w:szCs w:val="28"/>
                <w:highlight w:val="none"/>
                <w:lang w:val="en-US" w:eastAsia="zh-CN"/>
              </w:rPr>
              <w:t>工作</w:t>
            </w:r>
            <w:r>
              <w:rPr>
                <w:rFonts w:hint="default" w:ascii="Times New Roman" w:hAnsi="Times New Roman" w:cs="Times New Roman"/>
                <w:b w:val="0"/>
                <w:bCs w:val="0"/>
                <w:color w:val="auto"/>
                <w:sz w:val="24"/>
                <w:szCs w:val="28"/>
                <w:highlight w:val="none"/>
                <w:lang w:val="en-US" w:eastAsia="zh-CN"/>
              </w:rPr>
              <w:t>，做好复土复耕，保证土壤质量。</w:t>
            </w:r>
          </w:p>
          <w:p w14:paraId="0756E17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val="0"/>
                <w:bCs w:val="0"/>
                <w:color w:val="auto"/>
                <w:sz w:val="24"/>
                <w:szCs w:val="28"/>
                <w:highlight w:val="none"/>
                <w:lang w:val="en-US" w:eastAsia="zh-CN"/>
              </w:rPr>
            </w:pPr>
            <w:r>
              <w:rPr>
                <w:rFonts w:hint="default" w:ascii="Times New Roman" w:hAnsi="Times New Roman" w:cs="Times New Roman"/>
                <w:b w:val="0"/>
                <w:bCs w:val="0"/>
                <w:color w:val="auto"/>
                <w:sz w:val="24"/>
                <w:szCs w:val="28"/>
                <w:highlight w:val="none"/>
                <w:lang w:val="en-US" w:eastAsia="zh-CN"/>
              </w:rPr>
              <w:drawing>
                <wp:inline distT="0" distB="0" distL="114300" distR="114300">
                  <wp:extent cx="4679315" cy="3132455"/>
                  <wp:effectExtent l="0" t="0" r="0" b="0"/>
                  <wp:docPr id="5" name="图片 5" descr="微信图片_20260723151629_1240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723151629_1240_20"/>
                          <pic:cNvPicPr>
                            <a:picLocks noChangeAspect="1"/>
                          </pic:cNvPicPr>
                        </pic:nvPicPr>
                        <pic:blipFill>
                          <a:blip r:embed="rId35"/>
                          <a:srcRect t="5514" b="3201"/>
                          <a:stretch>
                            <a:fillRect/>
                          </a:stretch>
                        </pic:blipFill>
                        <pic:spPr>
                          <a:xfrm>
                            <a:off x="0" y="0"/>
                            <a:ext cx="4679315" cy="3132455"/>
                          </a:xfrm>
                          <a:prstGeom prst="rect">
                            <a:avLst/>
                          </a:prstGeom>
                        </pic:spPr>
                      </pic:pic>
                    </a:graphicData>
                  </a:graphic>
                </wp:inline>
              </w:drawing>
            </w:r>
          </w:p>
          <w:p w14:paraId="380C27AD">
            <w:pPr>
              <w:keepNext w:val="0"/>
              <w:keepLines w:val="0"/>
              <w:numPr>
                <w:ilvl w:val="0"/>
                <w:numId w:val="14"/>
              </w:numPr>
              <w:suppressLineNumbers w:val="0"/>
              <w:spacing w:before="0" w:beforeAutospacing="0" w:after="0" w:afterAutospacing="0" w:line="240" w:lineRule="auto"/>
              <w:ind w:left="420" w:leftChars="0" w:right="0" w:hanging="42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项目区域永久基本农田分布图</w:t>
            </w:r>
          </w:p>
          <w:p w14:paraId="297A4FEE">
            <w:pPr>
              <w:keepNext/>
              <w:keepLines/>
              <w:suppressLineNumbers w:val="0"/>
              <w:spacing w:before="0" w:beforeAutospacing="0" w:after="0" w:afterAutospacing="0" w:line="360" w:lineRule="auto"/>
              <w:ind w:left="0" w:right="0" w:firstLine="198" w:firstLineChars="82"/>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二、环境保护目标</w:t>
            </w:r>
          </w:p>
          <w:p w14:paraId="2F1326C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1、大气环境</w:t>
            </w:r>
          </w:p>
          <w:p w14:paraId="2620172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eastAsia" w:ascii="Times New Roman" w:hAnsi="Times New Roman" w:cs="Times New Roman"/>
                <w:color w:val="auto"/>
                <w:kern w:val="0"/>
                <w:sz w:val="24"/>
                <w:szCs w:val="24"/>
                <w:lang w:val="en-US" w:eastAsia="zh-CN"/>
              </w:rPr>
              <w:t>本</w:t>
            </w:r>
            <w:r>
              <w:rPr>
                <w:rFonts w:hint="default" w:ascii="Times New Roman" w:hAnsi="Times New Roman" w:cs="Times New Roman"/>
                <w:color w:val="auto"/>
                <w:kern w:val="0"/>
                <w:sz w:val="24"/>
                <w:szCs w:val="24"/>
              </w:rPr>
              <w:t>项目为天然气勘探</w:t>
            </w:r>
            <w:r>
              <w:rPr>
                <w:rFonts w:hint="eastAsia" w:cs="Times New Roman"/>
                <w:color w:val="auto"/>
                <w:kern w:val="0"/>
                <w:sz w:val="24"/>
                <w:szCs w:val="24"/>
                <w:lang w:val="en-US" w:eastAsia="zh-CN"/>
              </w:rPr>
              <w:t>工程</w:t>
            </w:r>
            <w:r>
              <w:rPr>
                <w:rFonts w:hint="default" w:ascii="Times New Roman" w:hAnsi="Times New Roman" w:cs="Times New Roman"/>
                <w:color w:val="auto"/>
                <w:kern w:val="0"/>
                <w:sz w:val="24"/>
                <w:szCs w:val="24"/>
              </w:rPr>
              <w:t>，不涉及站场运营，</w:t>
            </w:r>
            <w:r>
              <w:rPr>
                <w:rFonts w:hint="eastAsia" w:ascii="Times New Roman" w:hAnsi="Times New Roman" w:eastAsia="宋体" w:cs="Times New Roman"/>
                <w:color w:val="auto"/>
                <w:sz w:val="24"/>
                <w:lang w:val="en-US" w:eastAsia="zh-CN"/>
              </w:rPr>
              <w:t>根据</w:t>
            </w:r>
            <w:r>
              <w:rPr>
                <w:rFonts w:hint="eastAsia" w:ascii="Times New Roman" w:hAnsi="Times New Roman" w:eastAsia="宋体" w:cs="Times New Roman"/>
                <w:color w:val="auto"/>
                <w:sz w:val="24"/>
              </w:rPr>
              <w:t>《环境影响评价技术导则 大气环境》（</w:t>
            </w:r>
            <w:r>
              <w:rPr>
                <w:rFonts w:hint="default" w:ascii="Times New Roman" w:hAnsi="Times New Roman" w:eastAsia="宋体" w:cs="Times New Roman"/>
                <w:color w:val="auto"/>
                <w:sz w:val="24"/>
              </w:rPr>
              <w:t>HJ</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2.2-2018</w:t>
            </w:r>
            <w:r>
              <w:rPr>
                <w:rFonts w:hint="eastAsia" w:ascii="Times New Roman" w:hAnsi="Times New Roman" w:eastAsia="宋体" w:cs="Times New Roman"/>
                <w:color w:val="auto"/>
                <w:sz w:val="24"/>
              </w:rPr>
              <w:t>）评价等级判断标准，由于本项目不涉及运营期的污染物排放，故本项目不进行大气影响评价等级判定</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无需设置大气环境影响评价范围</w:t>
            </w:r>
            <w:r>
              <w:rPr>
                <w:rFonts w:hint="eastAsia" w:ascii="Times New Roman" w:hAnsi="Times New Roman" w:eastAsia="宋体" w:cs="Times New Roman"/>
                <w:color w:val="auto"/>
                <w:sz w:val="24"/>
              </w:rPr>
              <w:t>。</w:t>
            </w:r>
          </w:p>
          <w:p w14:paraId="24F624E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本项目大气环境保护目标</w:t>
            </w:r>
            <w:r>
              <w:rPr>
                <w:rFonts w:hint="eastAsia" w:ascii="Times New Roman" w:hAnsi="Times New Roman" w:cs="Times New Roman"/>
                <w:color w:val="auto"/>
                <w:sz w:val="24"/>
                <w:lang w:val="en-US" w:eastAsia="zh-CN"/>
              </w:rPr>
              <w:t>调查参考《建设项目环境影响报告表编制技术指南（污染影响类）（试行）》中的大气环境保护目标范围，设置为</w:t>
            </w:r>
            <w:r>
              <w:rPr>
                <w:rFonts w:hint="default" w:ascii="Times New Roman" w:hAnsi="Times New Roman" w:cs="Times New Roman"/>
                <w:color w:val="auto"/>
                <w:sz w:val="24"/>
              </w:rPr>
              <w:t>井</w:t>
            </w:r>
            <w:r>
              <w:rPr>
                <w:rFonts w:hint="eastAsia" w:ascii="Times New Roman" w:hAnsi="Times New Roman" w:cs="Times New Roman"/>
                <w:color w:val="auto"/>
                <w:sz w:val="24"/>
                <w:lang w:val="en-US" w:eastAsia="zh-CN"/>
              </w:rPr>
              <w:t>场</w:t>
            </w:r>
            <w:r>
              <w:rPr>
                <w:rFonts w:hint="default" w:ascii="Times New Roman" w:hAnsi="Times New Roman" w:cs="Times New Roman"/>
                <w:color w:val="auto"/>
                <w:sz w:val="24"/>
              </w:rPr>
              <w:t>周边500m范围内分散居民点。</w:t>
            </w:r>
          </w:p>
          <w:p w14:paraId="6DD76DD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2、地表水环境</w:t>
            </w:r>
          </w:p>
          <w:p w14:paraId="10CF08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本项目废水均不直接外排，项目属于水污染影响型建设项目，根据《环境影响评价技术导则 地表水环境》（HJ 2.3-2018）评价等级判定为三级B。评价范围主要为依托污水处理设施环境可行性分析及地表水环境风险所涉及的保护目标水域。</w:t>
            </w:r>
          </w:p>
          <w:p w14:paraId="62AB94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highlight w:val="none"/>
              </w:rPr>
              <w:t>根据现场调查，距离本项目井口最近地表水体为</w:t>
            </w:r>
            <w:r>
              <w:rPr>
                <w:rFonts w:hint="eastAsia" w:cs="Times New Roman"/>
                <w:color w:val="auto"/>
                <w:sz w:val="24"/>
                <w:highlight w:val="none"/>
                <w:lang w:val="en-US" w:eastAsia="zh-CN"/>
              </w:rPr>
              <w:t>西</w:t>
            </w:r>
            <w:r>
              <w:rPr>
                <w:rFonts w:hint="eastAsia" w:ascii="Times New Roman" w:hAnsi="Times New Roman" w:cs="Times New Roman"/>
                <w:color w:val="auto"/>
                <w:sz w:val="24"/>
                <w:highlight w:val="none"/>
                <w:lang w:val="en-US" w:eastAsia="zh-CN"/>
              </w:rPr>
              <w:t>侧的</w:t>
            </w:r>
            <w:r>
              <w:rPr>
                <w:rFonts w:hint="eastAsia" w:cs="Times New Roman"/>
                <w:color w:val="auto"/>
                <w:sz w:val="24"/>
                <w:highlight w:val="none"/>
                <w:lang w:val="en-US" w:eastAsia="zh-CN"/>
              </w:rPr>
              <w:t>向阳河支流</w:t>
            </w:r>
            <w:r>
              <w:rPr>
                <w:rFonts w:hint="eastAsia" w:ascii="Times New Roman" w:hAnsi="Times New Roman" w:eastAsia="宋体" w:cs="Times New Roman"/>
                <w:color w:val="auto"/>
                <w:sz w:val="24"/>
                <w:lang w:val="en-US" w:eastAsia="zh-CN"/>
              </w:rPr>
              <w:t>，最近</w:t>
            </w:r>
            <w:r>
              <w:rPr>
                <w:rFonts w:hint="eastAsia" w:cs="Times New Roman"/>
                <w:color w:val="auto"/>
                <w:sz w:val="24"/>
                <w:lang w:val="en-US" w:eastAsia="zh-CN"/>
              </w:rPr>
              <w:t>直线</w:t>
            </w:r>
            <w:r>
              <w:rPr>
                <w:rFonts w:hint="eastAsia" w:ascii="Times New Roman" w:hAnsi="Times New Roman" w:eastAsia="宋体" w:cs="Times New Roman"/>
                <w:color w:val="auto"/>
                <w:sz w:val="24"/>
                <w:lang w:val="en-US" w:eastAsia="zh-CN"/>
              </w:rPr>
              <w:t>距离约</w:t>
            </w:r>
            <w:r>
              <w:rPr>
                <w:rFonts w:hint="eastAsia" w:cs="Times New Roman"/>
                <w:color w:val="auto"/>
                <w:sz w:val="24"/>
                <w:lang w:val="en-US" w:eastAsia="zh-CN"/>
              </w:rPr>
              <w:t>520</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rPr>
              <w:t>，</w:t>
            </w:r>
            <w:r>
              <w:rPr>
                <w:rFonts w:hint="eastAsia" w:cs="Times New Roman"/>
                <w:color w:val="auto"/>
                <w:sz w:val="24"/>
                <w:lang w:val="en-US" w:eastAsia="zh-CN"/>
              </w:rPr>
              <w:t>向阳河支流</w:t>
            </w:r>
            <w:r>
              <w:rPr>
                <w:rFonts w:hint="eastAsia" w:ascii="Times New Roman" w:hAnsi="Times New Roman" w:eastAsia="宋体" w:cs="Times New Roman"/>
                <w:color w:val="auto"/>
                <w:sz w:val="24"/>
              </w:rPr>
              <w:t>低于</w:t>
            </w:r>
            <w:r>
              <w:rPr>
                <w:rFonts w:hint="eastAsia" w:ascii="Times New Roman" w:hAnsi="Times New Roman" w:eastAsia="宋体" w:cs="Times New Roman"/>
                <w:color w:val="auto"/>
                <w:sz w:val="24"/>
                <w:lang w:val="en-US" w:eastAsia="zh-CN"/>
              </w:rPr>
              <w:t>本项目</w:t>
            </w:r>
            <w:r>
              <w:rPr>
                <w:rFonts w:hint="eastAsia" w:ascii="Times New Roman" w:hAnsi="Times New Roman" w:eastAsia="宋体" w:cs="Times New Roman"/>
                <w:color w:val="auto"/>
                <w:sz w:val="24"/>
              </w:rPr>
              <w:t>井口</w:t>
            </w:r>
            <w:r>
              <w:rPr>
                <w:rFonts w:hint="eastAsia" w:cs="Times New Roman"/>
                <w:color w:val="auto"/>
                <w:sz w:val="24"/>
                <w:lang w:val="en-US" w:eastAsia="zh-CN"/>
              </w:rPr>
              <w:t>约116</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highlight w:val="none"/>
                <w:lang w:eastAsia="zh-CN"/>
              </w:rPr>
              <w:t>，</w:t>
            </w:r>
            <w:r>
              <w:rPr>
                <w:rFonts w:hint="default" w:ascii="Times New Roman" w:hAnsi="Times New Roman" w:cs="Times New Roman"/>
                <w:bCs/>
                <w:color w:val="auto"/>
                <w:sz w:val="24"/>
                <w:highlight w:val="none"/>
              </w:rPr>
              <w:t>主要水体功能为灌溉</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行洪。</w:t>
            </w:r>
          </w:p>
          <w:p w14:paraId="3A6F6BC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3、地下水环境</w:t>
            </w:r>
          </w:p>
          <w:p w14:paraId="0E2A2F1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根据《环境影响评价技术导则 地下水环境》（HJ</w:t>
            </w:r>
            <w:r>
              <w:rPr>
                <w:rFonts w:hint="eastAsia" w:ascii="Times New Roman" w:hAnsi="Times New Roman" w:eastAsia="宋体" w:cs="Times New Roman"/>
                <w:color w:val="auto"/>
                <w:kern w:val="0"/>
                <w:sz w:val="24"/>
                <w:lang w:val="en-US" w:eastAsia="zh-CN"/>
              </w:rPr>
              <w:t xml:space="preserve"> </w:t>
            </w:r>
            <w:r>
              <w:rPr>
                <w:rFonts w:hint="default" w:ascii="Times New Roman" w:hAnsi="Times New Roman" w:eastAsia="宋体" w:cs="Times New Roman"/>
                <w:color w:val="auto"/>
                <w:kern w:val="0"/>
                <w:sz w:val="24"/>
              </w:rPr>
              <w:t>610-2016），本项目属Ⅱ类项目，地下水环境敏感程度为</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较敏感</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，项目地下水环境影响评价工作等级判定为二级</w:t>
            </w:r>
            <w:r>
              <w:rPr>
                <w:rFonts w:hint="eastAsia" w:ascii="Times New Roman" w:hAnsi="Times New Roman" w:eastAsia="宋体" w:cs="Times New Roman"/>
                <w:color w:val="auto"/>
                <w:kern w:val="0"/>
                <w:sz w:val="24"/>
                <w:lang w:eastAsia="zh-CN"/>
              </w:rPr>
              <w:t>。</w:t>
            </w:r>
          </w:p>
          <w:p w14:paraId="6E7E5D5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yellow"/>
              </w:rPr>
            </w:pPr>
            <w:r>
              <w:rPr>
                <w:rFonts w:hint="default" w:ascii="Times New Roman" w:hAnsi="Times New Roman" w:eastAsia="宋体" w:cs="Times New Roman"/>
                <w:color w:val="auto"/>
                <w:kern w:val="0"/>
                <w:sz w:val="24"/>
                <w:szCs w:val="24"/>
              </w:rPr>
              <w:t>本项目评价范围内地下水主要以大气降雨为主要补给源，总体具有就近补给、就近排泄的特点。根据现场调查、区域水文地质资料及本项目水文地质</w:t>
            </w:r>
            <w:r>
              <w:rPr>
                <w:rFonts w:hint="eastAsia" w:ascii="Times New Roman" w:hAnsi="Times New Roman" w:eastAsia="宋体" w:cs="Times New Roman"/>
                <w:color w:val="auto"/>
                <w:kern w:val="0"/>
                <w:sz w:val="24"/>
                <w:szCs w:val="24"/>
              </w:rPr>
              <w:t>勘查报告</w:t>
            </w:r>
            <w:r>
              <w:rPr>
                <w:rFonts w:hint="default" w:ascii="Times New Roman" w:hAnsi="Times New Roman" w:eastAsia="宋体" w:cs="Times New Roman"/>
                <w:color w:val="auto"/>
                <w:kern w:val="0"/>
                <w:sz w:val="24"/>
                <w:szCs w:val="24"/>
              </w:rPr>
              <w:t>，采用自定义法，以地下水补给排泄条件为基础确定本项目地下水环境影响评价调查范围：</w:t>
            </w:r>
            <w:r>
              <w:rPr>
                <w:rFonts w:hint="eastAsia" w:ascii="Times New Roman" w:hAnsi="Times New Roman" w:eastAsia="宋体" w:cs="Times New Roman"/>
                <w:color w:val="auto"/>
                <w:kern w:val="0"/>
                <w:sz w:val="24"/>
                <w:szCs w:val="24"/>
                <w:lang w:val="en-US" w:eastAsia="zh-CN"/>
              </w:rPr>
              <w:t>北侧上游根据需要以距井场北场界约500m为界，东及东北侧以局部地表分水岭为界，西侧以向阳河支流冲沟为界，南侧下游以向阳河为界（排泄边界）。</w:t>
            </w:r>
            <w:r>
              <w:rPr>
                <w:rFonts w:hint="default" w:ascii="Times New Roman" w:hAnsi="Times New Roman" w:eastAsia="宋体" w:cs="Times New Roman"/>
                <w:color w:val="auto"/>
                <w:kern w:val="0"/>
                <w:sz w:val="24"/>
                <w:szCs w:val="24"/>
              </w:rPr>
              <w:t>本项目地下水环境评价范围共计约</w:t>
            </w:r>
            <w:r>
              <w:rPr>
                <w:rFonts w:hint="eastAsia" w:ascii="Times New Roman" w:hAnsi="Times New Roman" w:eastAsia="宋体" w:cs="Times New Roman"/>
                <w:color w:val="auto"/>
                <w:kern w:val="0"/>
                <w:sz w:val="24"/>
                <w:szCs w:val="24"/>
                <w:lang w:val="en-US" w:eastAsia="zh-CN"/>
              </w:rPr>
              <w:t>2</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80</w:t>
            </w:r>
            <w:r>
              <w:rPr>
                <w:rFonts w:hint="default" w:ascii="Times New Roman" w:hAnsi="Times New Roman" w:eastAsia="宋体" w:cs="Times New Roman"/>
                <w:color w:val="auto"/>
                <w:kern w:val="0"/>
                <w:sz w:val="24"/>
                <w:szCs w:val="24"/>
              </w:rPr>
              <w:t>km</w:t>
            </w:r>
            <w:r>
              <w:rPr>
                <w:rFonts w:hint="default" w:ascii="Times New Roman" w:hAnsi="Times New Roman" w:eastAsia="宋体" w:cs="Times New Roman"/>
                <w:color w:val="auto"/>
                <w:kern w:val="0"/>
                <w:sz w:val="24"/>
                <w:szCs w:val="24"/>
                <w:vertAlign w:val="superscript"/>
              </w:rPr>
              <w:t>2</w:t>
            </w:r>
            <w:r>
              <w:rPr>
                <w:rFonts w:hint="default" w:ascii="Times New Roman" w:hAnsi="Times New Roman" w:eastAsia="宋体" w:cs="Times New Roman"/>
                <w:color w:val="auto"/>
                <w:kern w:val="0"/>
                <w:sz w:val="24"/>
                <w:szCs w:val="24"/>
              </w:rPr>
              <w:t>。</w:t>
            </w:r>
          </w:p>
          <w:p w14:paraId="08806ABF">
            <w:pPr>
              <w:keepNext/>
              <w:keepLines/>
              <w:suppressLineNumbers w:val="0"/>
              <w:spacing w:before="0" w:beforeAutospacing="0" w:after="0" w:afterAutospacing="0" w:line="360" w:lineRule="auto"/>
              <w:ind w:left="0" w:right="0" w:firstLine="480" w:firstLineChars="200"/>
              <w:outlineLvl w:val="1"/>
              <w:rPr>
                <w:rFonts w:hint="eastAsia" w:ascii="Times New Roman" w:hAnsi="Times New Roman" w:cs="Times New Roman"/>
                <w:color w:val="auto"/>
                <w:sz w:val="24"/>
                <w:szCs w:val="20"/>
              </w:rPr>
            </w:pPr>
            <w:r>
              <w:rPr>
                <w:rFonts w:hint="default" w:ascii="Times New Roman" w:hAnsi="Times New Roman" w:cs="Times New Roman"/>
                <w:color w:val="auto"/>
                <w:sz w:val="24"/>
              </w:rPr>
              <w:t>本项目地下水环境保护目标为评价范围内的分散式水井</w:t>
            </w:r>
            <w:r>
              <w:rPr>
                <w:rFonts w:hint="default" w:ascii="Times New Roman" w:hAnsi="Times New Roman" w:cs="Times New Roman"/>
                <w:color w:val="auto"/>
                <w:sz w:val="24"/>
                <w:szCs w:val="20"/>
              </w:rPr>
              <w:t>（项目</w:t>
            </w:r>
            <w:r>
              <w:rPr>
                <w:rFonts w:hint="eastAsia" w:cs="Times New Roman"/>
                <w:color w:val="auto"/>
                <w:sz w:val="24"/>
                <w:szCs w:val="20"/>
                <w:lang w:val="en-US" w:eastAsia="zh-CN"/>
              </w:rPr>
              <w:t>井口</w:t>
            </w:r>
            <w:r>
              <w:rPr>
                <w:rFonts w:hint="default" w:ascii="Times New Roman" w:hAnsi="Times New Roman" w:cs="Times New Roman"/>
                <w:color w:val="auto"/>
                <w:sz w:val="24"/>
                <w:szCs w:val="20"/>
              </w:rPr>
              <w:t>周边约</w:t>
            </w:r>
            <w:r>
              <w:rPr>
                <w:rFonts w:hint="eastAsia" w:ascii="Times New Roman" w:hAnsi="Times New Roman" w:cs="Times New Roman"/>
                <w:color w:val="auto"/>
                <w:sz w:val="24"/>
                <w:szCs w:val="20"/>
                <w:lang w:val="en-US" w:eastAsia="zh-CN"/>
              </w:rPr>
              <w:t>1</w:t>
            </w:r>
            <w:r>
              <w:rPr>
                <w:rFonts w:hint="eastAsia" w:cs="Times New Roman"/>
                <w:color w:val="auto"/>
                <w:sz w:val="24"/>
                <w:szCs w:val="20"/>
                <w:lang w:val="en-US" w:eastAsia="zh-CN"/>
              </w:rPr>
              <w:t>4</w:t>
            </w:r>
            <w:r>
              <w:rPr>
                <w:rFonts w:hint="eastAsia" w:ascii="Times New Roman" w:hAnsi="Times New Roman" w:cs="Times New Roman"/>
                <w:color w:val="auto"/>
                <w:sz w:val="24"/>
                <w:szCs w:val="20"/>
                <w:lang w:val="en-US" w:eastAsia="zh-CN"/>
              </w:rPr>
              <w:t>0</w:t>
            </w:r>
            <w:r>
              <w:rPr>
                <w:rFonts w:hint="default" w:ascii="Times New Roman" w:hAnsi="Times New Roman" w:cs="Times New Roman"/>
                <w:color w:val="auto"/>
                <w:sz w:val="24"/>
                <w:szCs w:val="20"/>
              </w:rPr>
              <w:t>m~</w:t>
            </w:r>
            <w:r>
              <w:rPr>
                <w:rFonts w:hint="eastAsia" w:cs="Times New Roman"/>
                <w:color w:val="auto"/>
                <w:sz w:val="24"/>
                <w:szCs w:val="20"/>
                <w:lang w:val="en-US" w:eastAsia="zh-CN"/>
              </w:rPr>
              <w:t>1300</w:t>
            </w:r>
            <w:r>
              <w:rPr>
                <w:rFonts w:hint="default" w:ascii="Times New Roman" w:hAnsi="Times New Roman" w:cs="Times New Roman"/>
                <w:color w:val="auto"/>
                <w:sz w:val="24"/>
                <w:szCs w:val="20"/>
              </w:rPr>
              <w:t>m范围内民井2</w:t>
            </w:r>
            <w:r>
              <w:rPr>
                <w:rFonts w:hint="eastAsia" w:cs="Times New Roman"/>
                <w:color w:val="auto"/>
                <w:sz w:val="24"/>
                <w:szCs w:val="20"/>
                <w:lang w:val="en-US" w:eastAsia="zh-CN"/>
              </w:rPr>
              <w:t>8</w:t>
            </w:r>
            <w:r>
              <w:rPr>
                <w:rFonts w:hint="default" w:ascii="Times New Roman" w:hAnsi="Times New Roman" w:cs="Times New Roman"/>
                <w:color w:val="auto"/>
                <w:sz w:val="24"/>
                <w:szCs w:val="20"/>
              </w:rPr>
              <w:t>口）及下伏</w:t>
            </w:r>
            <w:r>
              <w:rPr>
                <w:rFonts w:hint="eastAsia" w:cs="Times New Roman"/>
                <w:color w:val="auto"/>
                <w:sz w:val="24"/>
                <w:szCs w:val="20"/>
                <w:lang w:val="en-US" w:eastAsia="zh-CN"/>
              </w:rPr>
              <w:t>基岩裂隙水含水层</w:t>
            </w:r>
            <w:r>
              <w:rPr>
                <w:rFonts w:hint="eastAsia" w:ascii="Times New Roman" w:hAnsi="Times New Roman" w:cs="Times New Roman"/>
                <w:color w:val="auto"/>
                <w:sz w:val="24"/>
                <w:szCs w:val="20"/>
              </w:rPr>
              <w:t>。</w:t>
            </w:r>
          </w:p>
          <w:p w14:paraId="4DB12827">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4、声环境</w:t>
            </w:r>
          </w:p>
          <w:p w14:paraId="3BE7C8C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kern w:val="0"/>
                <w:sz w:val="24"/>
                <w:szCs w:val="24"/>
                <w:lang w:val="en-US" w:eastAsia="zh-CN"/>
              </w:rPr>
              <w:t>本</w:t>
            </w:r>
            <w:r>
              <w:rPr>
                <w:rFonts w:hint="default" w:ascii="Times New Roman" w:hAnsi="Times New Roman" w:cs="Times New Roman"/>
                <w:color w:val="auto"/>
                <w:kern w:val="0"/>
                <w:sz w:val="24"/>
                <w:szCs w:val="24"/>
              </w:rPr>
              <w:t>项目为天然气勘探</w:t>
            </w:r>
            <w:r>
              <w:rPr>
                <w:rFonts w:hint="eastAsia" w:cs="Times New Roman"/>
                <w:color w:val="auto"/>
                <w:kern w:val="0"/>
                <w:sz w:val="24"/>
                <w:szCs w:val="24"/>
                <w:lang w:val="en-US" w:eastAsia="zh-CN"/>
              </w:rPr>
              <w:t>工程</w:t>
            </w:r>
            <w:r>
              <w:rPr>
                <w:rFonts w:hint="default" w:ascii="Times New Roman" w:hAnsi="Times New Roman" w:cs="Times New Roman"/>
                <w:color w:val="auto"/>
                <w:kern w:val="0"/>
                <w:sz w:val="24"/>
                <w:szCs w:val="24"/>
              </w:rPr>
              <w:t>，不涉及站场运营，</w:t>
            </w:r>
            <w:r>
              <w:rPr>
                <w:rFonts w:hint="eastAsia" w:ascii="Times New Roman" w:hAnsi="Times New Roman" w:eastAsia="宋体" w:cs="Times New Roman"/>
                <w:color w:val="auto"/>
                <w:sz w:val="24"/>
                <w:lang w:val="en-US" w:eastAsia="zh-CN"/>
              </w:rPr>
              <w:t>根据</w:t>
            </w:r>
            <w:r>
              <w:rPr>
                <w:rFonts w:hint="eastAsia" w:ascii="Times New Roman" w:hAnsi="Times New Roman" w:eastAsia="宋体" w:cs="Times New Roman"/>
                <w:color w:val="auto"/>
                <w:sz w:val="24"/>
              </w:rPr>
              <w:t xml:space="preserve">《环境影响评价技术导则 </w:t>
            </w:r>
            <w:r>
              <w:rPr>
                <w:rFonts w:hint="eastAsia" w:ascii="Times New Roman" w:hAnsi="Times New Roman" w:eastAsia="宋体" w:cs="Times New Roman"/>
                <w:color w:val="auto"/>
                <w:sz w:val="24"/>
                <w:lang w:val="en-US" w:eastAsia="zh-CN"/>
              </w:rPr>
              <w:t>声</w:t>
            </w:r>
            <w:r>
              <w:rPr>
                <w:rFonts w:hint="eastAsia" w:ascii="Times New Roman" w:hAnsi="Times New Roman" w:eastAsia="宋体" w:cs="Times New Roman"/>
                <w:color w:val="auto"/>
                <w:sz w:val="24"/>
              </w:rPr>
              <w:t>环境》（</w:t>
            </w:r>
            <w:r>
              <w:rPr>
                <w:rFonts w:hint="default" w:ascii="Times New Roman" w:hAnsi="Times New Roman" w:eastAsia="宋体" w:cs="Times New Roman"/>
                <w:color w:val="auto"/>
                <w:sz w:val="24"/>
              </w:rPr>
              <w:t>HJ</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2.</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21</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评价范围以项目边界向外200m为评价范围，</w:t>
            </w:r>
            <w:r>
              <w:rPr>
                <w:rFonts w:hint="default" w:ascii="Times New Roman" w:hAnsi="Times New Roman" w:cs="Times New Roman"/>
                <w:color w:val="auto"/>
                <w:sz w:val="24"/>
              </w:rPr>
              <w:t>项目声环境保护目标为</w:t>
            </w:r>
            <w:r>
              <w:rPr>
                <w:rFonts w:hint="eastAsia" w:ascii="Times New Roman" w:hAnsi="Times New Roman" w:cs="Times New Roman"/>
                <w:color w:val="auto"/>
                <w:sz w:val="24"/>
                <w:lang w:val="en-US" w:eastAsia="zh-CN"/>
              </w:rPr>
              <w:t>评价范围</w:t>
            </w:r>
            <w:r>
              <w:rPr>
                <w:rFonts w:hint="default" w:ascii="Times New Roman" w:hAnsi="Times New Roman" w:cs="Times New Roman"/>
                <w:color w:val="auto"/>
                <w:sz w:val="24"/>
              </w:rPr>
              <w:t>内的居民。</w:t>
            </w:r>
          </w:p>
          <w:p w14:paraId="4BCC207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5、土壤环境</w:t>
            </w:r>
          </w:p>
          <w:p w14:paraId="3E4E913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color w:val="auto"/>
                <w:sz w:val="24"/>
              </w:rPr>
              <w:t>根据《环境影响评价技术导则 土壤环境（试行）》（HJ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964-2018）中附录A 土壤环境影响评价项目类别，本项目</w:t>
            </w:r>
            <w:r>
              <w:rPr>
                <w:rFonts w:hint="eastAsia" w:ascii="Times New Roman" w:hAnsi="Times New Roman" w:cs="Times New Roman"/>
                <w:color w:val="auto"/>
                <w:sz w:val="24"/>
                <w:lang w:eastAsia="zh-CN"/>
              </w:rPr>
              <w:t>属于</w:t>
            </w:r>
            <w:r>
              <w:rPr>
                <w:rFonts w:hint="default" w:ascii="Times New Roman" w:hAnsi="Times New Roman" w:cs="Times New Roman"/>
                <w:color w:val="auto"/>
                <w:sz w:val="24"/>
              </w:rPr>
              <w:t>“采矿业/其他”，为</w:t>
            </w:r>
            <w:r>
              <w:rPr>
                <w:rFonts w:hint="default" w:ascii="Times New Roman" w:hAnsi="Times New Roman" w:cs="Times New Roman"/>
                <w:b/>
                <w:bCs/>
                <w:color w:val="auto"/>
                <w:sz w:val="24"/>
              </w:rPr>
              <w:t>Ⅲ类项目</w:t>
            </w:r>
            <w:r>
              <w:rPr>
                <w:rFonts w:hint="default" w:ascii="Times New Roman" w:hAnsi="Times New Roman" w:cs="Times New Roman"/>
                <w:color w:val="auto"/>
                <w:sz w:val="24"/>
              </w:rPr>
              <w:t>。</w:t>
            </w:r>
            <w:r>
              <w:rPr>
                <w:rFonts w:hint="eastAsia" w:ascii="Times New Roman" w:hAnsi="Times New Roman" w:cs="Times New Roman"/>
                <w:color w:val="auto"/>
                <w:kern w:val="0"/>
                <w:sz w:val="24"/>
                <w:lang w:val="en-US" w:eastAsia="zh-CN"/>
              </w:rPr>
              <w:t>本工程占地均为临时占用，无永久占地</w:t>
            </w:r>
            <w:r>
              <w:rPr>
                <w:rFonts w:hint="eastAsia" w:ascii="Times New Roman" w:hAnsi="Times New Roman" w:cs="Times New Roman"/>
                <w:color w:val="auto"/>
                <w:sz w:val="24"/>
                <w:lang w:val="en-US" w:eastAsia="zh-CN"/>
              </w:rPr>
              <w:t>，故永久占地面积≤5hm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，占地规模为</w:t>
            </w:r>
            <w:r>
              <w:rPr>
                <w:rFonts w:hint="eastAsia" w:ascii="Times New Roman" w:hAnsi="Times New Roman" w:cs="Times New Roman"/>
                <w:b/>
                <w:bCs/>
                <w:color w:val="auto"/>
                <w:sz w:val="24"/>
                <w:lang w:val="en-US" w:eastAsia="zh-CN"/>
              </w:rPr>
              <w:t>小型</w:t>
            </w:r>
            <w:r>
              <w:rPr>
                <w:rFonts w:hint="eastAsia" w:ascii="Times New Roman" w:hAnsi="Times New Roman" w:cs="Times New Roman"/>
                <w:color w:val="auto"/>
                <w:sz w:val="24"/>
                <w:lang w:val="en-US" w:eastAsia="zh-CN"/>
              </w:rPr>
              <w:t>。</w:t>
            </w:r>
            <w:r>
              <w:rPr>
                <w:rFonts w:hint="eastAsia" w:ascii="Times New Roman" w:hAnsi="Times New Roman" w:eastAsia="宋体" w:cs="Times New Roman"/>
                <w:color w:val="auto"/>
                <w:kern w:val="0"/>
                <w:sz w:val="24"/>
                <w:lang w:val="en-US" w:eastAsia="zh-CN"/>
              </w:rPr>
              <w:t>本项目位于</w:t>
            </w:r>
            <w:r>
              <w:rPr>
                <w:rFonts w:hint="eastAsia" w:ascii="Times New Roman" w:hAnsi="Times New Roman" w:cs="Times New Roman"/>
                <w:color w:val="auto"/>
                <w:sz w:val="24"/>
              </w:rPr>
              <w:t>巴中市</w:t>
            </w:r>
            <w:r>
              <w:rPr>
                <w:rFonts w:hint="eastAsia" w:cs="Times New Roman"/>
                <w:color w:val="auto"/>
                <w:sz w:val="24"/>
                <w:lang w:eastAsia="zh-CN"/>
              </w:rPr>
              <w:t>恩阳区上八庙镇季台村6组</w:t>
            </w:r>
            <w:r>
              <w:rPr>
                <w:rFonts w:hint="eastAsia" w:ascii="Times New Roman" w:hAnsi="Times New Roman" w:eastAsia="宋体" w:cs="Times New Roman"/>
                <w:color w:val="auto"/>
                <w:kern w:val="0"/>
                <w:sz w:val="24"/>
                <w:lang w:eastAsia="zh-CN"/>
              </w:rPr>
              <w:t>，</w:t>
            </w:r>
            <w:r>
              <w:rPr>
                <w:rFonts w:hint="eastAsia" w:ascii="Times New Roman" w:hAnsi="Times New Roman" w:cs="Times New Roman"/>
                <w:color w:val="auto"/>
                <w:kern w:val="0"/>
                <w:sz w:val="24"/>
                <w:lang w:val="en-US" w:eastAsia="zh-CN"/>
              </w:rPr>
              <w:t>项目周边存在耕地、园地、饮用水水源地、居民区等，故</w:t>
            </w:r>
            <w:r>
              <w:rPr>
                <w:rFonts w:hint="eastAsia" w:ascii="Times New Roman" w:hAnsi="Times New Roman" w:cs="Times New Roman"/>
                <w:color w:val="auto"/>
                <w:kern w:val="0"/>
                <w:sz w:val="24"/>
              </w:rPr>
              <w:t>项目所在区域土壤环境敏感程度为</w:t>
            </w:r>
            <w:r>
              <w:rPr>
                <w:rFonts w:hint="eastAsia" w:ascii="Times New Roman" w:hAnsi="Times New Roman" w:cs="Times New Roman"/>
                <w:b/>
                <w:bCs/>
                <w:color w:val="auto"/>
                <w:kern w:val="0"/>
                <w:sz w:val="24"/>
              </w:rPr>
              <w:t>敏感</w:t>
            </w:r>
            <w:r>
              <w:rPr>
                <w:rFonts w:hint="eastAsia" w:ascii="Times New Roman" w:hAnsi="Times New Roman" w:cs="Times New Roman"/>
                <w:color w:val="auto"/>
                <w:kern w:val="0"/>
                <w:sz w:val="24"/>
              </w:rPr>
              <w:t>。</w:t>
            </w:r>
          </w:p>
          <w:p w14:paraId="1BE49BD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根据《环境影响评价技术导则 土壤环境（试行）》（HJ 964-2018），本项目</w:t>
            </w:r>
            <w:r>
              <w:rPr>
                <w:rFonts w:hint="eastAsia" w:ascii="Times New Roman" w:hAnsi="Times New Roman" w:cs="Times New Roman"/>
                <w:color w:val="auto"/>
                <w:kern w:val="0"/>
                <w:sz w:val="24"/>
              </w:rPr>
              <w:t>根据土壤环境影响评价项目类别、占地规模与敏感程度</w:t>
            </w:r>
            <w:r>
              <w:rPr>
                <w:rFonts w:hint="eastAsia" w:ascii="Times New Roman" w:hAnsi="Times New Roman" w:cs="Times New Roman"/>
                <w:color w:val="auto"/>
                <w:kern w:val="0"/>
                <w:sz w:val="24"/>
                <w:lang w:val="en-US" w:eastAsia="zh-CN"/>
              </w:rPr>
              <w:t>判定项目土壤</w:t>
            </w:r>
            <w:r>
              <w:rPr>
                <w:rFonts w:hint="eastAsia" w:ascii="Times New Roman" w:hAnsi="Times New Roman" w:cs="Times New Roman"/>
                <w:color w:val="auto"/>
                <w:kern w:val="0"/>
                <w:sz w:val="24"/>
              </w:rPr>
              <w:t>评价工作等级</w:t>
            </w:r>
            <w:r>
              <w:rPr>
                <w:rFonts w:hint="eastAsia" w:ascii="Times New Roman" w:hAnsi="Times New Roman" w:cs="Times New Roman"/>
                <w:color w:val="auto"/>
                <w:kern w:val="0"/>
                <w:sz w:val="24"/>
                <w:lang w:eastAsia="zh-CN"/>
              </w:rPr>
              <w:t>，</w:t>
            </w:r>
            <w:r>
              <w:rPr>
                <w:rFonts w:hint="eastAsia" w:ascii="Times New Roman" w:hAnsi="Times New Roman" w:cs="Times New Roman"/>
                <w:color w:val="auto"/>
                <w:kern w:val="0"/>
                <w:sz w:val="24"/>
                <w:lang w:val="en-US" w:eastAsia="zh-CN"/>
              </w:rPr>
              <w:t>详见下表。</w:t>
            </w:r>
          </w:p>
          <w:p w14:paraId="409D4E0E">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污染影响型评价工作等级划分表</w:t>
            </w:r>
          </w:p>
          <w:tbl>
            <w:tblPr>
              <w:tblStyle w:val="23"/>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90"/>
              <w:gridCol w:w="630"/>
              <w:gridCol w:w="630"/>
              <w:gridCol w:w="630"/>
              <w:gridCol w:w="1"/>
              <w:gridCol w:w="629"/>
              <w:gridCol w:w="630"/>
              <w:gridCol w:w="630"/>
              <w:gridCol w:w="2"/>
              <w:gridCol w:w="628"/>
              <w:gridCol w:w="630"/>
              <w:gridCol w:w="635"/>
            </w:tblGrid>
            <w:tr w14:paraId="6C86BD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tblHeader/>
                <w:jc w:val="center"/>
              </w:trPr>
              <w:tc>
                <w:tcPr>
                  <w:tcW w:w="1199" w:type="pct"/>
                  <w:vMerge w:val="restart"/>
                  <w:tcBorders>
                    <w:tl2br w:val="nil"/>
                    <w:tr2bl w:val="nil"/>
                  </w:tcBorders>
                  <w:noWrap w:val="0"/>
                  <w:vAlign w:val="center"/>
                  <mc:AlternateContent>
                    <mc:Choice Requires="wpsCustomData">
                      <wpsCustomData:diagonals>
                        <wpsCustomData:diagonal from="30000" to="14400">
                          <wpsCustomData:border w:val="single" w:color="auto" w:sz="2" w:space="0"/>
                        </wpsCustomData:diagonal>
                        <wpsCustomData:diagonal from="5000" to="30000">
                          <wpsCustomData:border w:val="single" w:color="auto" w:sz="2" w:space="0"/>
                        </wpsCustomData:diagonal>
                      </wpsCustomData:diagonals>
                    </mc:Choice>
                  </mc:AlternateContent>
                </w:tcPr>
                <w:p w14:paraId="3F2A7A3C">
                  <w:pPr>
                    <w:pStyle w:val="13"/>
                    <w:keepNext w:val="0"/>
                    <w:keepLines w:val="0"/>
                    <w:suppressLineNumbers w:val="0"/>
                    <w:snapToGrid w:val="0"/>
                    <w:spacing w:before="0" w:beforeAutospacing="0" w:after="0" w:afterAutospacing="0" w:line="240" w:lineRule="auto"/>
                    <w:ind w:left="0" w:leftChars="0" w:right="0"/>
                    <w:jc w:val="left"/>
                    <w:rPr>
                      <w:rFonts w:hint="default" w:ascii="Times New Roman" w:hAnsi="Times New Roman" w:eastAsia="宋体" w:cs="Times New Roman"/>
                      <w:b/>
                      <w:color w:val="auto"/>
                      <w:sz w:val="18"/>
                      <w:szCs w:val="18"/>
                    </w:rPr>
                  </w:pPr>
                </w:p>
                <w:p w14:paraId="2EB4F257">
                  <w:pPr>
                    <w:pStyle w:val="13"/>
                    <w:keepNext w:val="0"/>
                    <w:keepLines w:val="0"/>
                    <w:suppressLineNumbers w:val="0"/>
                    <w:snapToGrid w:val="0"/>
                    <w:spacing w:before="0" w:beforeAutospacing="0" w:after="0" w:afterAutospacing="0" w:line="240" w:lineRule="auto"/>
                    <w:ind w:left="0" w:leftChars="0" w:right="0"/>
                    <w:jc w:val="left"/>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敏感程度</w:t>
                  </w:r>
                </w:p>
                <w:p w14:paraId="1C26140A">
                  <w:pPr>
                    <w:pStyle w:val="13"/>
                    <w:keepNext w:val="0"/>
                    <w:keepLines w:val="0"/>
                    <w:suppressLineNumbers w:val="0"/>
                    <w:snapToGrid w:val="0"/>
                    <w:spacing w:before="0" w:beforeAutospacing="0" w:after="0" w:afterAutospacing="0" w:line="240" w:lineRule="auto"/>
                    <w:ind w:left="0" w:leftChars="0" w:right="0"/>
                    <w:jc w:val="left"/>
                    <mc:AlternateContent>
                      <mc:Choice Requires="wpsCustomData">
                        <wpsCustomData:diagonalParaType/>
                      </mc:Choice>
                    </mc:AlternateContent>
                    <w:rPr>
                      <w:rFonts w:hint="default" w:ascii="Times New Roman" w:hAnsi="Times New Roman" w:eastAsia="宋体" w:cs="Times New Roman"/>
                      <w:b/>
                      <w:color w:val="auto"/>
                      <w:sz w:val="18"/>
                      <w:szCs w:val="18"/>
                    </w:rPr>
                  </w:pPr>
                </w:p>
                <w:p w14:paraId="6CB1750B">
                  <w:pPr>
                    <w:pStyle w:val="13"/>
                    <w:keepNext w:val="0"/>
                    <w:keepLines w:val="0"/>
                    <w:suppressLineNumbers w:val="0"/>
                    <w:snapToGrid w:val="0"/>
                    <w:spacing w:before="0" w:beforeAutospacing="0" w:after="0" w:afterAutospacing="0" w:line="240" w:lineRule="auto"/>
                    <w:ind w:left="0" w:leftChars="0" w:right="0"/>
                    <w:jc w:val="left"/>
                    <w:rPr>
                      <w:rFonts w:hint="eastAsia" w:ascii="Times New Roman" w:hAnsi="Times New Roman" w:eastAsia="宋体" w:cs="Times New Roman"/>
                      <w:b w:val="0"/>
                      <w:bCs/>
                      <w:color w:val="auto"/>
                      <w:sz w:val="18"/>
                      <w:szCs w:val="18"/>
                      <w:lang w:val="en-US" w:eastAsia="zh-CN"/>
                    </w:rPr>
                  </w:pPr>
                </w:p>
                <w:p w14:paraId="2F575F11">
                  <w:pPr>
                    <w:pStyle w:val="13"/>
                    <w:keepNext w:val="0"/>
                    <w:keepLines w:val="0"/>
                    <w:suppressLineNumbers w:val="0"/>
                    <w:snapToGrid w:val="0"/>
                    <w:spacing w:before="0" w:beforeAutospacing="0" w:after="0" w:afterAutospacing="0" w:line="240" w:lineRule="auto"/>
                    <w:ind w:left="0" w:leftChars="0" w:right="0"/>
                    <w:jc w:val="left"/>
                    <mc:AlternateContent>
                      <mc:Choice Requires="wpsCustomData">
                        <wpsCustomData:diagonalParaType/>
                      </mc:Choice>
                    </mc:AlternateContent>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评价工作等级</w:t>
                  </w:r>
                </w:p>
                <w:p w14:paraId="5860FABF">
                  <w:pPr>
                    <w:pStyle w:val="13"/>
                    <w:keepNext w:val="0"/>
                    <w:keepLines w:val="0"/>
                    <w:suppressLineNumbers w:val="0"/>
                    <w:spacing w:before="0" w:beforeAutospacing="0" w:after="0" w:afterAutospacing="0" w:line="240" w:lineRule="auto"/>
                    <w:ind w:left="0" w:leftChars="0" w:right="0"/>
                    <w:jc w:val="right"/>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占地规模</w:t>
                  </w:r>
                </w:p>
              </w:tc>
              <w:tc>
                <w:tcPr>
                  <w:tcW w:w="1266" w:type="pct"/>
                  <w:gridSpan w:val="4"/>
                  <w:tcBorders>
                    <w:tl2br w:val="nil"/>
                    <w:tr2bl w:val="nil"/>
                  </w:tcBorders>
                  <w:noWrap w:val="0"/>
                  <w:vAlign w:val="center"/>
                </w:tcPr>
                <w:p w14:paraId="175B425F">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I类</w:t>
                  </w:r>
                </w:p>
              </w:tc>
              <w:tc>
                <w:tcPr>
                  <w:tcW w:w="1266" w:type="pct"/>
                  <w:gridSpan w:val="4"/>
                  <w:tcBorders>
                    <w:tl2br w:val="nil"/>
                    <w:tr2bl w:val="nil"/>
                  </w:tcBorders>
                  <w:noWrap w:val="0"/>
                  <w:vAlign w:val="center"/>
                </w:tcPr>
                <w:p w14:paraId="570A2497">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eastAsia="zh-CN"/>
                    </w:rPr>
                    <w:t>Ⅱ类</w:t>
                  </w:r>
                </w:p>
              </w:tc>
              <w:tc>
                <w:tcPr>
                  <w:tcW w:w="1267" w:type="pct"/>
                  <w:gridSpan w:val="3"/>
                  <w:tcBorders>
                    <w:tl2br w:val="nil"/>
                    <w:tr2bl w:val="nil"/>
                  </w:tcBorders>
                  <w:noWrap w:val="0"/>
                  <w:vAlign w:val="center"/>
                </w:tcPr>
                <w:p w14:paraId="2FC1D44D">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III类</w:t>
                  </w:r>
                </w:p>
              </w:tc>
            </w:tr>
            <w:tr w14:paraId="565DD6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3" w:hRule="atLeast"/>
                <w:tblHeader/>
                <w:jc w:val="center"/>
              </w:trPr>
              <w:tc>
                <w:tcPr>
                  <w:tcW w:w="1199" w:type="pct"/>
                  <w:vMerge w:val="continue"/>
                  <w:tcBorders>
                    <w:tl2br w:val="nil"/>
                    <w:tr2bl w:val="nil"/>
                  </w:tcBorders>
                  <w:noWrap w:val="0"/>
                  <w:vAlign w:val="center"/>
                </w:tcPr>
                <w:p w14:paraId="79853F88">
                  <w:pPr>
                    <w:pStyle w:val="13"/>
                    <w:keepNext w:val="0"/>
                    <w:keepLines w:val="0"/>
                    <w:suppressLineNumbers w:val="0"/>
                    <w:spacing w:before="0" w:beforeAutospacing="0" w:after="0" w:afterAutospacing="0" w:line="240" w:lineRule="auto"/>
                    <w:ind w:left="0" w:leftChars="0" w:right="0"/>
                    <w:jc w:val="right"/>
                    <w:rPr>
                      <w:rFonts w:hint="eastAsia" w:ascii="Times New Roman" w:hAnsi="Times New Roman" w:eastAsia="宋体" w:cs="Times New Roman"/>
                      <w:b/>
                      <w:color w:val="auto"/>
                      <w:sz w:val="18"/>
                      <w:szCs w:val="18"/>
                      <w:lang w:val="en-US" w:eastAsia="zh-CN"/>
                    </w:rPr>
                  </w:pPr>
                </w:p>
              </w:tc>
              <w:tc>
                <w:tcPr>
                  <w:tcW w:w="421" w:type="pct"/>
                  <w:tcBorders>
                    <w:tl2br w:val="nil"/>
                    <w:tr2bl w:val="nil"/>
                  </w:tcBorders>
                  <w:noWrap w:val="0"/>
                  <w:vAlign w:val="center"/>
                </w:tcPr>
                <w:p w14:paraId="6DDD6BA3">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2770EA03">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中</w:t>
                  </w:r>
                </w:p>
              </w:tc>
              <w:tc>
                <w:tcPr>
                  <w:tcW w:w="421" w:type="pct"/>
                  <w:tcBorders>
                    <w:tl2br w:val="nil"/>
                    <w:tr2bl w:val="nil"/>
                  </w:tcBorders>
                  <w:noWrap w:val="0"/>
                  <w:vAlign w:val="center"/>
                </w:tcPr>
                <w:p w14:paraId="6437DA68">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小</w:t>
                  </w:r>
                </w:p>
              </w:tc>
              <w:tc>
                <w:tcPr>
                  <w:tcW w:w="421" w:type="pct"/>
                  <w:gridSpan w:val="2"/>
                  <w:tcBorders>
                    <w:tl2br w:val="nil"/>
                    <w:tr2bl w:val="nil"/>
                  </w:tcBorders>
                  <w:noWrap w:val="0"/>
                  <w:vAlign w:val="center"/>
                </w:tcPr>
                <w:p w14:paraId="3B8CC44B">
                  <w:pPr>
                    <w:pStyle w:val="13"/>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01532943">
                  <w:pPr>
                    <w:pStyle w:val="13"/>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中</w:t>
                  </w:r>
                </w:p>
              </w:tc>
              <w:tc>
                <w:tcPr>
                  <w:tcW w:w="421" w:type="pct"/>
                  <w:tcBorders>
                    <w:tl2br w:val="nil"/>
                    <w:tr2bl w:val="nil"/>
                  </w:tcBorders>
                  <w:noWrap w:val="0"/>
                  <w:vAlign w:val="center"/>
                </w:tcPr>
                <w:p w14:paraId="28403521">
                  <w:pPr>
                    <w:pStyle w:val="13"/>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小</w:t>
                  </w:r>
                </w:p>
              </w:tc>
              <w:tc>
                <w:tcPr>
                  <w:tcW w:w="421" w:type="pct"/>
                  <w:gridSpan w:val="2"/>
                  <w:tcBorders>
                    <w:tl2br w:val="nil"/>
                    <w:tr2bl w:val="nil"/>
                  </w:tcBorders>
                  <w:noWrap w:val="0"/>
                  <w:vAlign w:val="center"/>
                </w:tcPr>
                <w:p w14:paraId="400C699F">
                  <w:pPr>
                    <w:pStyle w:val="13"/>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4345A159">
                  <w:pPr>
                    <w:pStyle w:val="13"/>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中</w:t>
                  </w:r>
                </w:p>
              </w:tc>
              <w:tc>
                <w:tcPr>
                  <w:tcW w:w="425" w:type="pct"/>
                  <w:tcBorders>
                    <w:tl2br w:val="nil"/>
                    <w:tr2bl w:val="nil"/>
                  </w:tcBorders>
                  <w:noWrap w:val="0"/>
                  <w:vAlign w:val="center"/>
                </w:tcPr>
                <w:p w14:paraId="364C1327">
                  <w:pPr>
                    <w:pStyle w:val="13"/>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小</w:t>
                  </w:r>
                </w:p>
              </w:tc>
            </w:tr>
            <w:tr w14:paraId="683707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2C377047">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val="0"/>
                      <w:bCs w:val="0"/>
                      <w:color w:val="auto"/>
                      <w:sz w:val="18"/>
                      <w:szCs w:val="18"/>
                    </w:rPr>
                    <w:t>敏感</w:t>
                  </w:r>
                </w:p>
              </w:tc>
              <w:tc>
                <w:tcPr>
                  <w:tcW w:w="421" w:type="pct"/>
                  <w:tcBorders>
                    <w:tl2br w:val="nil"/>
                    <w:tr2bl w:val="nil"/>
                  </w:tcBorders>
                  <w:noWrap w:val="0"/>
                  <w:vAlign w:val="center"/>
                </w:tcPr>
                <w:p w14:paraId="43C95931">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5F40C116">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13FB45E2">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gridSpan w:val="2"/>
                  <w:tcBorders>
                    <w:tl2br w:val="nil"/>
                    <w:tr2bl w:val="nil"/>
                  </w:tcBorders>
                  <w:noWrap w:val="0"/>
                  <w:vAlign w:val="center"/>
                </w:tcPr>
                <w:p w14:paraId="74DE7721">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5E222F24">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C06A3B5">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b w:val="0"/>
                      <w:bCs w:val="0"/>
                      <w:color w:val="auto"/>
                      <w:sz w:val="18"/>
                      <w:szCs w:val="18"/>
                      <w:lang w:val="en-US" w:eastAsia="zh-CN"/>
                    </w:rPr>
                    <w:t>二级</w:t>
                  </w:r>
                </w:p>
              </w:tc>
              <w:tc>
                <w:tcPr>
                  <w:tcW w:w="421" w:type="pct"/>
                  <w:gridSpan w:val="2"/>
                  <w:tcBorders>
                    <w:tl2br w:val="nil"/>
                    <w:tr2bl w:val="nil"/>
                  </w:tcBorders>
                  <w:noWrap w:val="0"/>
                  <w:vAlign w:val="center"/>
                </w:tcPr>
                <w:p w14:paraId="430B9AA8">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2EF9F774">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5" w:type="pct"/>
                  <w:tcBorders>
                    <w:tl2br w:val="nil"/>
                    <w:tr2bl w:val="nil"/>
                  </w:tcBorders>
                  <w:noWrap w:val="0"/>
                  <w:vAlign w:val="center"/>
                </w:tcPr>
                <w:p w14:paraId="2B479EE0">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b/>
                      <w:bCs/>
                      <w:color w:val="auto"/>
                      <w:sz w:val="18"/>
                      <w:szCs w:val="18"/>
                      <w:lang w:val="en-US" w:eastAsia="zh-CN"/>
                    </w:rPr>
                    <w:t>三级</w:t>
                  </w:r>
                </w:p>
              </w:tc>
            </w:tr>
            <w:tr w14:paraId="3D2C7E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1A372555">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较敏感</w:t>
                  </w:r>
                </w:p>
              </w:tc>
              <w:tc>
                <w:tcPr>
                  <w:tcW w:w="421" w:type="pct"/>
                  <w:tcBorders>
                    <w:tl2br w:val="nil"/>
                    <w:tr2bl w:val="nil"/>
                  </w:tcBorders>
                  <w:noWrap w:val="0"/>
                  <w:vAlign w:val="center"/>
                </w:tcPr>
                <w:p w14:paraId="5EC4A5D4">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4A4BA377">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1F482840">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gridSpan w:val="2"/>
                  <w:tcBorders>
                    <w:tl2br w:val="nil"/>
                    <w:tr2bl w:val="nil"/>
                  </w:tcBorders>
                  <w:noWrap w:val="0"/>
                  <w:vAlign w:val="center"/>
                </w:tcPr>
                <w:p w14:paraId="39736EDC">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39D63FFF">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5C07EC4">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gridSpan w:val="2"/>
                  <w:tcBorders>
                    <w:tl2br w:val="nil"/>
                    <w:tr2bl w:val="nil"/>
                  </w:tcBorders>
                  <w:noWrap w:val="0"/>
                  <w:vAlign w:val="center"/>
                </w:tcPr>
                <w:p w14:paraId="049B7F40">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0F89A1AD">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5" w:type="pct"/>
                  <w:tcBorders>
                    <w:tl2br w:val="nil"/>
                    <w:tr2bl w:val="nil"/>
                  </w:tcBorders>
                  <w:noWrap w:val="0"/>
                  <w:vAlign w:val="center"/>
                </w:tcPr>
                <w:p w14:paraId="58D541FC">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r>
            <w:tr w14:paraId="69FDA8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2C8E4B16">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val="0"/>
                      <w:bCs/>
                      <w:color w:val="auto"/>
                      <w:sz w:val="18"/>
                      <w:szCs w:val="18"/>
                    </w:rPr>
                    <w:t>不敏感</w:t>
                  </w:r>
                </w:p>
              </w:tc>
              <w:tc>
                <w:tcPr>
                  <w:tcW w:w="421" w:type="pct"/>
                  <w:tcBorders>
                    <w:tl2br w:val="nil"/>
                    <w:tr2bl w:val="nil"/>
                  </w:tcBorders>
                  <w:noWrap w:val="0"/>
                  <w:vAlign w:val="center"/>
                </w:tcPr>
                <w:p w14:paraId="2C0C3CDC">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30A5699A">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1E2AD303">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gridSpan w:val="2"/>
                  <w:tcBorders>
                    <w:tl2br w:val="nil"/>
                    <w:tr2bl w:val="nil"/>
                  </w:tcBorders>
                  <w:noWrap w:val="0"/>
                  <w:vAlign w:val="center"/>
                </w:tcPr>
                <w:p w14:paraId="24364C1D">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8B8677C">
                  <w:pPr>
                    <w:pStyle w:val="13"/>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0A1F49D9">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gridSpan w:val="2"/>
                  <w:tcBorders>
                    <w:tl2br w:val="nil"/>
                    <w:tr2bl w:val="nil"/>
                  </w:tcBorders>
                  <w:noWrap w:val="0"/>
                  <w:vAlign w:val="center"/>
                </w:tcPr>
                <w:p w14:paraId="370204F8">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1DF51BD2">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c>
                <w:tcPr>
                  <w:tcW w:w="425" w:type="pct"/>
                  <w:tcBorders>
                    <w:tl2br w:val="nil"/>
                    <w:tr2bl w:val="nil"/>
                  </w:tcBorders>
                  <w:noWrap w:val="0"/>
                  <w:vAlign w:val="center"/>
                </w:tcPr>
                <w:p w14:paraId="16F6C27C">
                  <w:pPr>
                    <w:pStyle w:val="13"/>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r>
            <w:tr w14:paraId="00AC1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00" w:type="pct"/>
                  <w:gridSpan w:val="12"/>
                  <w:tcBorders>
                    <w:tl2br w:val="nil"/>
                    <w:tr2bl w:val="nil"/>
                  </w:tcBorders>
                  <w:noWrap w:val="0"/>
                  <w:vAlign w:val="center"/>
                </w:tcPr>
                <w:p w14:paraId="2AB458AE">
                  <w:pPr>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rPr>
                    <w:t>注：“-”表示可不开展土壤环境影响评价工作。</w:t>
                  </w:r>
                </w:p>
              </w:tc>
            </w:tr>
          </w:tbl>
          <w:p w14:paraId="12D410E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综上，本项目属于</w:t>
            </w:r>
            <w:r>
              <w:rPr>
                <w:rFonts w:hint="eastAsia" w:ascii="Times New Roman" w:hAnsi="Times New Roman" w:eastAsia="宋体" w:cs="Times New Roman"/>
                <w:color w:val="auto"/>
                <w:sz w:val="24"/>
                <w:szCs w:val="32"/>
                <w:highlight w:val="none"/>
                <w:lang w:val="en-US" w:eastAsia="zh-CN"/>
              </w:rPr>
              <w:t>III</w:t>
            </w:r>
            <w:r>
              <w:rPr>
                <w:rFonts w:hint="default" w:ascii="Times New Roman" w:hAnsi="Times New Roman" w:eastAsia="宋体" w:cs="Times New Roman"/>
                <w:color w:val="auto"/>
                <w:sz w:val="24"/>
                <w:szCs w:val="32"/>
                <w:highlight w:val="none"/>
                <w:lang w:val="en-US" w:eastAsia="zh-CN"/>
              </w:rPr>
              <w:t>类项目，土壤敏感程度为敏感，占地规模为小型，根据上表，本项目土壤评价工作等级为</w:t>
            </w:r>
            <w:r>
              <w:rPr>
                <w:rFonts w:hint="eastAsia" w:ascii="Times New Roman" w:hAnsi="Times New Roman" w:eastAsia="宋体" w:cs="Times New Roman"/>
                <w:color w:val="auto"/>
                <w:sz w:val="24"/>
                <w:szCs w:val="32"/>
                <w:highlight w:val="none"/>
                <w:lang w:val="en-US" w:eastAsia="zh-CN"/>
              </w:rPr>
              <w:t>三</w:t>
            </w:r>
            <w:r>
              <w:rPr>
                <w:rFonts w:hint="default" w:ascii="Times New Roman" w:hAnsi="Times New Roman" w:eastAsia="宋体" w:cs="Times New Roman"/>
                <w:color w:val="auto"/>
                <w:sz w:val="24"/>
                <w:szCs w:val="32"/>
                <w:highlight w:val="none"/>
                <w:lang w:val="en-US" w:eastAsia="zh-CN"/>
              </w:rPr>
              <w:t>级。</w:t>
            </w:r>
            <w:r>
              <w:rPr>
                <w:rFonts w:hint="eastAsia" w:ascii="Times New Roman" w:hAnsi="Times New Roman" w:eastAsia="宋体" w:cs="Times New Roman"/>
                <w:color w:val="auto"/>
                <w:sz w:val="24"/>
                <w:szCs w:val="32"/>
                <w:highlight w:val="none"/>
                <w:lang w:val="en-US" w:eastAsia="zh-CN"/>
              </w:rPr>
              <w:t>根据《环境影响评价技术导则 土壤环境（试行）》（HJ 964-2018）表5中三级评价中现状调查范围，调查评价范围定为占地范围及占地范围外0.05km。</w:t>
            </w:r>
          </w:p>
          <w:p w14:paraId="1EC01C26">
            <w:pPr>
              <w:keepNext w:val="0"/>
              <w:keepLines w:val="0"/>
              <w:suppressLineNumbers w:val="0"/>
              <w:tabs>
                <w:tab w:val="left" w:pos="465"/>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主要保护目标为项目井场占地范围及占地范围外50m内的耕地、林地、居民区土地。</w:t>
            </w:r>
          </w:p>
          <w:p w14:paraId="3834B5D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6、生态环境</w:t>
            </w:r>
          </w:p>
          <w:p w14:paraId="1F44DE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不涉及国家公园、自然保护区、世界自然遗产、重要生境、自然公园、生态保护红线，不涉及天然林、公益林、湿地，临时占地</w:t>
            </w:r>
            <w:r>
              <w:rPr>
                <w:rFonts w:hint="eastAsia" w:cs="Times New Roman"/>
                <w:color w:val="auto"/>
                <w:sz w:val="24"/>
                <w:lang w:val="en-US" w:eastAsia="zh-CN"/>
              </w:rPr>
              <w:t>0.01678</w:t>
            </w:r>
            <w:r>
              <w:rPr>
                <w:rFonts w:hint="eastAsia" w:ascii="Times New Roman" w:hAnsi="Times New Roman" w:cs="Times New Roman"/>
                <w:color w:val="auto"/>
                <w:sz w:val="24"/>
                <w:lang w:val="en-US" w:eastAsia="zh-CN"/>
              </w:rPr>
              <w:t>km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＜20km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，根据《环境影响评价技术导则 生态影响》（HJ 19-2022）中评价等级判定，本项目为三级评价。</w:t>
            </w:r>
          </w:p>
          <w:p w14:paraId="1A8B837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rPr>
              <w:t>不涉及珍稀保护动植物和名木古树</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本项目主要生态环境保护目标为</w:t>
            </w:r>
            <w:r>
              <w:rPr>
                <w:rFonts w:hint="eastAsia" w:ascii="Times New Roman" w:hAnsi="Times New Roman" w:cs="Times New Roman"/>
                <w:color w:val="auto"/>
                <w:sz w:val="24"/>
                <w:lang w:val="en-US" w:eastAsia="zh-CN"/>
              </w:rPr>
              <w:t>井场</w:t>
            </w:r>
            <w:r>
              <w:rPr>
                <w:rFonts w:hint="default" w:ascii="Times New Roman" w:hAnsi="Times New Roman" w:cs="Times New Roman"/>
                <w:color w:val="auto"/>
                <w:sz w:val="24"/>
              </w:rPr>
              <w:t>周边500m范围内的</w:t>
            </w:r>
            <w:r>
              <w:rPr>
                <w:rFonts w:hint="eastAsia" w:ascii="Times New Roman" w:hAnsi="Times New Roman" w:cs="Times New Roman"/>
                <w:color w:val="auto"/>
                <w:sz w:val="24"/>
                <w:lang w:val="en-US" w:eastAsia="zh-CN"/>
              </w:rPr>
              <w:t>土壤和</w:t>
            </w:r>
            <w:r>
              <w:rPr>
                <w:rFonts w:hint="eastAsia" w:ascii="Times New Roman" w:hAnsi="Times New Roman" w:eastAsia="宋体" w:cs="Times New Roman"/>
                <w:color w:val="auto"/>
                <w:sz w:val="24"/>
                <w:lang w:eastAsia="zh-CN"/>
              </w:rPr>
              <w:t>植被。</w:t>
            </w:r>
            <w:r>
              <w:rPr>
                <w:rFonts w:hint="eastAsia" w:ascii="Times New Roman" w:hAnsi="Times New Roman" w:eastAsia="宋体" w:cs="Times New Roman"/>
                <w:color w:val="auto"/>
                <w:sz w:val="24"/>
                <w:lang w:val="en-US" w:eastAsia="zh-CN"/>
              </w:rPr>
              <w:t>不因本项目的实施而使区域生态环境受到较大影响、水土流失加剧，保护野生动植物生境、种群及生态系统不受破坏。</w:t>
            </w:r>
          </w:p>
          <w:p w14:paraId="465A8B92">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lang w:val="en-US" w:eastAsia="zh-CN"/>
              </w:rPr>
            </w:pPr>
            <w:r>
              <w:rPr>
                <w:rFonts w:hint="eastAsia" w:ascii="Times New Roman" w:hAnsi="Times New Roman" w:cs="Times New Roman"/>
                <w:b/>
                <w:bCs/>
                <w:color w:val="auto"/>
                <w:sz w:val="24"/>
                <w:szCs w:val="28"/>
                <w:lang w:val="en-US" w:eastAsia="zh-CN"/>
              </w:rPr>
              <w:t>7、环境风险</w:t>
            </w:r>
          </w:p>
          <w:p w14:paraId="32DD2488">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b w:val="0"/>
                <w:bCs w:val="0"/>
                <w:color w:val="auto"/>
                <w:spacing w:val="0"/>
                <w:w w:val="100"/>
                <w:position w:val="0"/>
                <w:sz w:val="24"/>
                <w:szCs w:val="24"/>
                <w:highlight w:val="none"/>
                <w:lang w:val="en-US" w:eastAsia="zh-CN"/>
              </w:rPr>
            </w:pPr>
            <w:r>
              <w:rPr>
                <w:rFonts w:hint="eastAsia" w:ascii="Times New Roman" w:hAnsi="Times New Roman" w:eastAsia="宋体" w:cs="Times New Roman"/>
                <w:color w:val="auto"/>
                <w:spacing w:val="0"/>
                <w:w w:val="100"/>
                <w:kern w:val="2"/>
                <w:position w:val="0"/>
                <w:sz w:val="24"/>
                <w:szCs w:val="24"/>
                <w:highlight w:val="none"/>
                <w:lang w:val="en-US" w:eastAsia="zh-CN" w:bidi="ar-SA"/>
              </w:rPr>
              <w:t>根据《建设项目环境风险评价技术导则》（HJ 169-2018）导则，本项目</w:t>
            </w:r>
            <w:r>
              <w:rPr>
                <w:rFonts w:hint="default" w:ascii="Times New Roman" w:hAnsi="Times New Roman" w:cs="Times New Roman"/>
                <w:b w:val="0"/>
                <w:bCs w:val="0"/>
                <w:color w:val="auto"/>
                <w:spacing w:val="0"/>
                <w:w w:val="100"/>
                <w:position w:val="0"/>
                <w:sz w:val="24"/>
                <w:szCs w:val="24"/>
                <w:highlight w:val="none"/>
              </w:rPr>
              <w:t>涉及的危险物质数量与临界量比值</w:t>
            </w:r>
            <w:r>
              <w:rPr>
                <w:rFonts w:hint="default"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en-US" w:bidi="zh-TW"/>
              </w:rPr>
              <w:t>Q&lt;</w:t>
            </w:r>
            <w:r>
              <w:rPr>
                <w:rFonts w:hint="default"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zh-CN" w:bidi="zh-TW"/>
              </w:rPr>
              <w:t>1</w:t>
            </w:r>
            <w:r>
              <w:rPr>
                <w:rFonts w:hint="eastAsia"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zh-CN" w:bidi="zh-TW"/>
              </w:rPr>
              <w:t>，</w:t>
            </w:r>
            <w:r>
              <w:rPr>
                <w:rFonts w:hint="eastAsia" w:ascii="Times New Roman" w:hAnsi="Times New Roman" w:eastAsia="宋体" w:cs="Times New Roman"/>
                <w:color w:val="auto"/>
                <w:spacing w:val="0"/>
                <w:w w:val="100"/>
                <w:kern w:val="2"/>
                <w:position w:val="0"/>
                <w:sz w:val="24"/>
                <w:szCs w:val="24"/>
                <w:highlight w:val="none"/>
                <w:lang w:val="en-US" w:eastAsia="zh-CN" w:bidi="ar-SA"/>
              </w:rPr>
              <w:t>项目</w:t>
            </w:r>
            <w:r>
              <w:rPr>
                <w:rFonts w:hint="default" w:ascii="Times New Roman" w:hAnsi="Times New Roman" w:eastAsia="宋体" w:cs="Times New Roman"/>
                <w:color w:val="auto"/>
                <w:kern w:val="0"/>
                <w:sz w:val="24"/>
                <w:szCs w:val="24"/>
                <w:highlight w:val="none"/>
              </w:rPr>
              <w:t>环境风险评价工作等级为简单</w:t>
            </w:r>
            <w:r>
              <w:rPr>
                <w:rFonts w:hint="default" w:ascii="Times New Roman" w:hAnsi="Times New Roman" w:eastAsia="宋体" w:cs="Times New Roman"/>
                <w:b w:val="0"/>
                <w:bCs w:val="0"/>
                <w:color w:val="auto"/>
                <w:spacing w:val="0"/>
                <w:w w:val="100"/>
                <w:position w:val="0"/>
                <w:sz w:val="24"/>
                <w:szCs w:val="24"/>
                <w:highlight w:val="none"/>
              </w:rPr>
              <w:t>分析</w:t>
            </w:r>
            <w:r>
              <w:rPr>
                <w:rFonts w:hint="eastAsia" w:ascii="Times New Roman" w:hAnsi="Times New Roman" w:eastAsia="宋体" w:cs="Times New Roman"/>
                <w:b w:val="0"/>
                <w:bCs w:val="0"/>
                <w:color w:val="auto"/>
                <w:spacing w:val="0"/>
                <w:w w:val="100"/>
                <w:position w:val="0"/>
                <w:sz w:val="24"/>
                <w:szCs w:val="24"/>
                <w:highlight w:val="none"/>
                <w:lang w:val="en-US" w:eastAsia="zh-CN"/>
              </w:rPr>
              <w:t>，无需确定评价范围。基于项目存在危险物质，因此参考三级评价的评价范围，大气风险评价范围为井场外</w:t>
            </w:r>
            <w:r>
              <w:rPr>
                <w:rFonts w:hint="default" w:ascii="Times New Roman" w:hAnsi="Times New Roman" w:eastAsia="宋体" w:cs="Times New Roman"/>
                <w:b w:val="0"/>
                <w:bCs w:val="0"/>
                <w:color w:val="auto"/>
                <w:spacing w:val="0"/>
                <w:w w:val="100"/>
                <w:position w:val="0"/>
                <w:sz w:val="24"/>
                <w:szCs w:val="24"/>
                <w:highlight w:val="none"/>
                <w:lang w:val="en-US" w:eastAsia="zh-CN"/>
              </w:rPr>
              <w:t>3km</w:t>
            </w:r>
            <w:r>
              <w:rPr>
                <w:rFonts w:hint="eastAsia" w:ascii="Times New Roman" w:hAnsi="Times New Roman" w:eastAsia="宋体" w:cs="Times New Roman"/>
                <w:b w:val="0"/>
                <w:bCs w:val="0"/>
                <w:color w:val="auto"/>
                <w:spacing w:val="0"/>
                <w:w w:val="100"/>
                <w:position w:val="0"/>
                <w:sz w:val="24"/>
                <w:szCs w:val="24"/>
                <w:highlight w:val="none"/>
                <w:lang w:val="en-US" w:eastAsia="zh-CN"/>
              </w:rPr>
              <w:t>范围区域。</w:t>
            </w:r>
          </w:p>
          <w:p w14:paraId="6E5366B2">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8</w:t>
            </w:r>
            <w:r>
              <w:rPr>
                <w:rFonts w:hint="default" w:ascii="Times New Roman" w:hAnsi="Times New Roman" w:cs="Times New Roman"/>
                <w:b/>
                <w:bCs/>
                <w:color w:val="auto"/>
                <w:sz w:val="24"/>
                <w:szCs w:val="28"/>
              </w:rPr>
              <w:t>、环境保护目标</w:t>
            </w:r>
          </w:p>
          <w:p w14:paraId="5511D8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评价范围内环境保护目标统计见下表。</w:t>
            </w:r>
          </w:p>
          <w:p w14:paraId="411919D8">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35D6C7E6">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E3D6DFB">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1F6C75A0">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B170256">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32B092FE">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2B051CB8">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DBDC68C">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1FE88874">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67E421A8">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7CD9A375">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EB96503">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616091F8">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3661F39">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814FD12">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6E7E19D">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A0FE708">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327A3D6A">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EF3E2C7">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16D7CD31">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12720CFF">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3DE10CD0">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79CBF66">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D81EFCF">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5741FA81">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4DDC6FC5">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003F20F0">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72DCE8C5">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6E5DA411">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3B7D941C">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4DE14106">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3AD5ACC3">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17201668">
            <w:pPr>
              <w:keepNext w:val="0"/>
              <w:keepLines w:val="0"/>
              <w:suppressLineNumbers w:val="0"/>
              <w:spacing w:before="0" w:beforeAutospacing="0" w:after="0" w:afterAutospacing="0"/>
              <w:ind w:left="0" w:right="0"/>
              <w:rPr>
                <w:rFonts w:hint="default" w:ascii="Times New Roman" w:hAnsi="Times New Roman" w:cs="Times New Roman"/>
                <w:color w:val="auto"/>
                <w:sz w:val="24"/>
              </w:rPr>
            </w:pPr>
          </w:p>
          <w:p w14:paraId="6193A889">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3D3AB1F9">
            <w:pPr>
              <w:keepNext w:val="0"/>
              <w:keepLines w:val="0"/>
              <w:suppressLineNumbers w:val="0"/>
              <w:spacing w:before="0" w:beforeAutospacing="0" w:after="0" w:afterAutospacing="0"/>
              <w:ind w:left="0" w:right="0"/>
              <w:rPr>
                <w:rFonts w:hint="default"/>
                <w:color w:val="auto"/>
              </w:rPr>
            </w:pPr>
          </w:p>
        </w:tc>
      </w:tr>
    </w:tbl>
    <w:p w14:paraId="0AFF2B08">
      <w:pPr>
        <w:spacing w:line="360" w:lineRule="auto"/>
        <w:ind w:firstLine="480" w:firstLineChars="200"/>
        <w:rPr>
          <w:rFonts w:ascii="Times New Roman" w:hAnsi="Times New Roman" w:eastAsia="宋体" w:cs="Times New Roman"/>
          <w:color w:val="auto"/>
          <w:sz w:val="24"/>
        </w:rPr>
      </w:pPr>
    </w:p>
    <w:p w14:paraId="56039406">
      <w:pPr>
        <w:pStyle w:val="19"/>
        <w:jc w:val="center"/>
        <w:outlineLvl w:val="0"/>
        <w:rPr>
          <w:rFonts w:ascii="Times New Roman" w:hAnsi="Times New Roman" w:eastAsia="黑体"/>
          <w:snapToGrid w:val="0"/>
          <w:color w:val="auto"/>
          <w:kern w:val="2"/>
          <w:sz w:val="36"/>
          <w:szCs w:val="36"/>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3"/>
        <w:tblW w:w="142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3361"/>
      </w:tblGrid>
      <w:tr w14:paraId="7109C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6" w:hRule="atLeast"/>
          <w:jc w:val="center"/>
        </w:trPr>
        <w:tc>
          <w:tcPr>
            <w:tcW w:w="889" w:type="dxa"/>
            <w:noWrap w:val="0"/>
            <w:vAlign w:val="center"/>
          </w:tcPr>
          <w:p w14:paraId="106D17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生态环境保护目标</w:t>
            </w:r>
          </w:p>
        </w:tc>
        <w:tc>
          <w:tcPr>
            <w:tcW w:w="13361" w:type="dxa"/>
            <w:noWrap w:val="0"/>
            <w:vAlign w:val="center"/>
          </w:tcPr>
          <w:p w14:paraId="64D479F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评价区主要环境保护目标表</w:t>
            </w:r>
          </w:p>
          <w:tbl>
            <w:tblPr>
              <w:tblStyle w:val="23"/>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8"/>
              <w:gridCol w:w="2051"/>
              <w:gridCol w:w="929"/>
              <w:gridCol w:w="1715"/>
              <w:gridCol w:w="2121"/>
              <w:gridCol w:w="1676"/>
              <w:gridCol w:w="1492"/>
              <w:gridCol w:w="2141"/>
            </w:tblGrid>
            <w:tr w14:paraId="7BC0A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69CED93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类别</w:t>
                  </w:r>
                </w:p>
              </w:tc>
              <w:tc>
                <w:tcPr>
                  <w:tcW w:w="779" w:type="pct"/>
                  <w:noWrap w:val="0"/>
                  <w:vAlign w:val="center"/>
                </w:tcPr>
                <w:p w14:paraId="4211254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w:t>
                  </w:r>
                </w:p>
              </w:tc>
              <w:tc>
                <w:tcPr>
                  <w:tcW w:w="352" w:type="pct"/>
                  <w:noWrap w:val="0"/>
                  <w:vAlign w:val="center"/>
                </w:tcPr>
                <w:p w14:paraId="5212258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方位</w:t>
                  </w:r>
                </w:p>
              </w:tc>
              <w:tc>
                <w:tcPr>
                  <w:tcW w:w="651" w:type="pct"/>
                  <w:noWrap w:val="0"/>
                  <w:vAlign w:val="center"/>
                </w:tcPr>
                <w:p w14:paraId="0A14EE8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距井口距离（m）</w:t>
                  </w:r>
                </w:p>
              </w:tc>
              <w:tc>
                <w:tcPr>
                  <w:tcW w:w="805" w:type="pct"/>
                  <w:noWrap w:val="0"/>
                  <w:vAlign w:val="center"/>
                </w:tcPr>
                <w:p w14:paraId="705047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距井场边界距离（m）</w:t>
                  </w:r>
                </w:p>
              </w:tc>
              <w:tc>
                <w:tcPr>
                  <w:tcW w:w="636" w:type="pct"/>
                  <w:tcBorders>
                    <w:right w:val="single" w:color="000000" w:sz="4" w:space="0"/>
                  </w:tcBorders>
                  <w:noWrap w:val="0"/>
                  <w:vAlign w:val="center"/>
                </w:tcPr>
                <w:p w14:paraId="3182242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kern w:val="2"/>
                      <w:sz w:val="21"/>
                      <w:szCs w:val="21"/>
                      <w:lang w:val="en-US" w:eastAsia="zh-CN" w:bidi="ar-SA"/>
                    </w:rPr>
                  </w:pPr>
                  <w:r>
                    <w:rPr>
                      <w:rFonts w:hint="eastAsia" w:ascii="Times New Roman" w:hAnsi="Times New Roman" w:cs="Times New Roman"/>
                      <w:b/>
                      <w:color w:val="auto"/>
                      <w:sz w:val="21"/>
                      <w:szCs w:val="21"/>
                      <w:highlight w:val="none"/>
                      <w:lang w:val="en-US" w:eastAsia="zh-CN"/>
                    </w:rPr>
                    <w:t>与井场高差（m）</w:t>
                  </w:r>
                </w:p>
              </w:tc>
              <w:tc>
                <w:tcPr>
                  <w:tcW w:w="566" w:type="pct"/>
                  <w:noWrap w:val="0"/>
                  <w:vAlign w:val="center"/>
                </w:tcPr>
                <w:p w14:paraId="7F9C9B5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lang w:val="en-US" w:eastAsia="zh-CN"/>
                    </w:rPr>
                  </w:pPr>
                  <w:r>
                    <w:rPr>
                      <w:rFonts w:hint="default" w:ascii="Times New Roman" w:hAnsi="Times New Roman" w:cs="Times New Roman"/>
                      <w:b/>
                      <w:color w:val="auto"/>
                      <w:szCs w:val="21"/>
                    </w:rPr>
                    <w:t>规模</w:t>
                  </w:r>
                </w:p>
              </w:tc>
              <w:tc>
                <w:tcPr>
                  <w:tcW w:w="813" w:type="pct"/>
                  <w:noWrap w:val="0"/>
                  <w:vAlign w:val="center"/>
                </w:tcPr>
                <w:p w14:paraId="28B8684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保护级别</w:t>
                  </w:r>
                </w:p>
              </w:tc>
            </w:tr>
            <w:tr w14:paraId="295E7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48D07DB3">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r>
                    <w:rPr>
                      <w:rFonts w:ascii="Times New Roman" w:hAnsi="Times New Roman" w:eastAsia="宋体" w:cs="Times New Roman"/>
                      <w:color w:val="auto"/>
                    </w:rPr>
                    <w:t>声环境</w:t>
                  </w:r>
                </w:p>
              </w:tc>
              <w:tc>
                <w:tcPr>
                  <w:tcW w:w="779" w:type="pct"/>
                  <w:noWrap w:val="0"/>
                  <w:vAlign w:val="center"/>
                </w:tcPr>
                <w:p w14:paraId="1E764D6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cs="Times New Roman"/>
                      <w:color w:val="auto"/>
                      <w:kern w:val="0"/>
                      <w:szCs w:val="21"/>
                      <w:lang w:val="en-US" w:eastAsia="zh-CN" w:bidi="ar"/>
                    </w:rPr>
                    <w:t>柿子院散居农户</w:t>
                  </w:r>
                </w:p>
              </w:tc>
              <w:tc>
                <w:tcPr>
                  <w:tcW w:w="352" w:type="pct"/>
                  <w:noWrap w:val="0"/>
                  <w:vAlign w:val="center"/>
                </w:tcPr>
                <w:p w14:paraId="3ABA335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ascii="Times New Roman" w:hAnsi="Times New Roman" w:cs="Times New Roman"/>
                      <w:color w:val="auto"/>
                      <w:kern w:val="0"/>
                      <w:szCs w:val="21"/>
                      <w:lang w:val="en-US" w:eastAsia="zh-CN" w:bidi="ar"/>
                    </w:rPr>
                    <w:t>东侧</w:t>
                  </w:r>
                </w:p>
              </w:tc>
              <w:tc>
                <w:tcPr>
                  <w:tcW w:w="651" w:type="pct"/>
                  <w:noWrap w:val="0"/>
                  <w:vAlign w:val="center"/>
                </w:tcPr>
                <w:p w14:paraId="67DEEF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210~320</w:t>
                  </w:r>
                </w:p>
              </w:tc>
              <w:tc>
                <w:tcPr>
                  <w:tcW w:w="805" w:type="pct"/>
                  <w:noWrap w:val="0"/>
                  <w:vAlign w:val="center"/>
                </w:tcPr>
                <w:p w14:paraId="7B4E866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eastAsia" w:ascii="Times New Roman" w:hAnsi="Times New Roman" w:cs="Times New Roman"/>
                      <w:color w:val="auto"/>
                      <w:kern w:val="0"/>
                      <w:szCs w:val="21"/>
                      <w:highlight w:val="none"/>
                      <w:lang w:val="en-US" w:eastAsia="zh-CN" w:bidi="ar"/>
                    </w:rPr>
                    <w:t>1</w:t>
                  </w:r>
                  <w:r>
                    <w:rPr>
                      <w:rFonts w:hint="eastAsia" w:cs="Times New Roman"/>
                      <w:color w:val="auto"/>
                      <w:kern w:val="0"/>
                      <w:szCs w:val="21"/>
                      <w:highlight w:val="none"/>
                      <w:lang w:val="en-US" w:eastAsia="zh-CN" w:bidi="ar"/>
                    </w:rPr>
                    <w:t>5</w:t>
                  </w:r>
                  <w:r>
                    <w:rPr>
                      <w:rFonts w:hint="eastAsia" w:ascii="Times New Roman" w:hAnsi="Times New Roman" w:cs="Times New Roman"/>
                      <w:color w:val="auto"/>
                      <w:kern w:val="0"/>
                      <w:szCs w:val="21"/>
                      <w:highlight w:val="none"/>
                      <w:lang w:val="en-US" w:eastAsia="zh-CN" w:bidi="ar"/>
                    </w:rPr>
                    <w:t>0</w:t>
                  </w:r>
                  <w:r>
                    <w:rPr>
                      <w:rFonts w:hint="eastAsia" w:ascii="Times New Roman" w:hAnsi="Times New Roman" w:cs="Times New Roman"/>
                      <w:color w:val="auto"/>
                      <w:kern w:val="0"/>
                      <w:szCs w:val="21"/>
                      <w:highlight w:val="none"/>
                      <w:lang w:bidi="ar"/>
                    </w:rPr>
                    <w:t>~</w:t>
                  </w:r>
                  <w:r>
                    <w:rPr>
                      <w:rFonts w:hint="eastAsia" w:cs="Times New Roman"/>
                      <w:color w:val="auto"/>
                      <w:kern w:val="0"/>
                      <w:szCs w:val="21"/>
                      <w:highlight w:val="none"/>
                      <w:lang w:val="en-US" w:eastAsia="zh-CN" w:bidi="ar"/>
                    </w:rPr>
                    <w:t>219</w:t>
                  </w:r>
                </w:p>
              </w:tc>
              <w:tc>
                <w:tcPr>
                  <w:tcW w:w="636" w:type="pct"/>
                  <w:tcBorders>
                    <w:right w:val="single" w:color="000000" w:sz="4" w:space="0"/>
                  </w:tcBorders>
                  <w:noWrap w:val="0"/>
                  <w:vAlign w:val="center"/>
                </w:tcPr>
                <w:p w14:paraId="76DF850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79~-67</w:t>
                  </w:r>
                </w:p>
              </w:tc>
              <w:tc>
                <w:tcPr>
                  <w:tcW w:w="566" w:type="pct"/>
                  <w:noWrap w:val="0"/>
                  <w:vAlign w:val="center"/>
                </w:tcPr>
                <w:p w14:paraId="5E483AF2">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3</w:t>
                  </w:r>
                  <w:r>
                    <w:rPr>
                      <w:rStyle w:val="80"/>
                      <w:rFonts w:hint="default"/>
                      <w:color w:val="auto"/>
                      <w:sz w:val="21"/>
                      <w:szCs w:val="21"/>
                      <w:lang w:val="en-US" w:eastAsia="zh-CN" w:bidi="ar"/>
                    </w:rPr>
                    <w:t>户</w:t>
                  </w:r>
                  <w:r>
                    <w:rPr>
                      <w:rStyle w:val="80"/>
                      <w:rFonts w:hint="eastAsia"/>
                      <w:color w:val="auto"/>
                      <w:sz w:val="21"/>
                      <w:szCs w:val="21"/>
                      <w:lang w:val="en-US" w:eastAsia="zh-CN" w:bidi="ar"/>
                    </w:rPr>
                    <w:t>/12</w:t>
                  </w:r>
                  <w:r>
                    <w:rPr>
                      <w:rStyle w:val="80"/>
                      <w:rFonts w:hint="default"/>
                      <w:color w:val="auto"/>
                      <w:sz w:val="21"/>
                      <w:szCs w:val="21"/>
                      <w:lang w:val="en-US" w:eastAsia="zh-CN" w:bidi="ar"/>
                    </w:rPr>
                    <w:t>人</w:t>
                  </w:r>
                </w:p>
              </w:tc>
              <w:tc>
                <w:tcPr>
                  <w:tcW w:w="813" w:type="pct"/>
                  <w:vMerge w:val="restart"/>
                  <w:noWrap w:val="0"/>
                  <w:vAlign w:val="center"/>
                </w:tcPr>
                <w:p w14:paraId="7967534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eastAsia="宋体" w:cs="Times New Roman"/>
                      <w:color w:val="auto"/>
                      <w:lang w:bidi="ar"/>
                    </w:rPr>
                    <w:t>《声环境质量标准》（</w:t>
                  </w:r>
                  <w:r>
                    <w:rPr>
                      <w:rFonts w:ascii="Times New Roman" w:hAnsi="Times New Roman" w:cs="Times New Roman"/>
                      <w:color w:val="auto"/>
                      <w:lang w:bidi="ar"/>
                    </w:rPr>
                    <w:t>GB</w:t>
                  </w:r>
                  <w:r>
                    <w:rPr>
                      <w:rFonts w:hint="eastAsia" w:ascii="Times New Roman" w:hAnsi="Times New Roman" w:eastAsia="宋体" w:cs="Times New Roman"/>
                      <w:color w:val="auto"/>
                      <w:lang w:val="en-US" w:eastAsia="zh-CN" w:bidi="ar"/>
                    </w:rPr>
                    <w:t xml:space="preserve"> </w:t>
                  </w:r>
                  <w:r>
                    <w:rPr>
                      <w:rFonts w:ascii="Times New Roman" w:hAnsi="Times New Roman" w:cs="Times New Roman"/>
                      <w:color w:val="auto"/>
                      <w:lang w:bidi="ar"/>
                    </w:rPr>
                    <w:t>3096-2008</w:t>
                  </w:r>
                  <w:r>
                    <w:rPr>
                      <w:rFonts w:ascii="Times New Roman" w:hAnsi="Times New Roman" w:eastAsia="宋体" w:cs="Times New Roman"/>
                      <w:color w:val="auto"/>
                      <w:lang w:bidi="ar"/>
                    </w:rPr>
                    <w:t>）</w:t>
                  </w:r>
                  <w:r>
                    <w:rPr>
                      <w:rFonts w:ascii="Times New Roman" w:hAnsi="Times New Roman" w:cs="Times New Roman"/>
                      <w:color w:val="auto"/>
                      <w:lang w:bidi="ar"/>
                    </w:rPr>
                    <w:t>2</w:t>
                  </w:r>
                  <w:r>
                    <w:rPr>
                      <w:rFonts w:ascii="Times New Roman" w:hAnsi="Times New Roman" w:eastAsia="宋体" w:cs="Times New Roman"/>
                      <w:color w:val="auto"/>
                      <w:lang w:bidi="ar"/>
                    </w:rPr>
                    <w:t>类标准要求</w:t>
                  </w:r>
                </w:p>
              </w:tc>
            </w:tr>
            <w:tr w14:paraId="609FA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8D5E1A3">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noWrap w:val="0"/>
                  <w:vAlign w:val="center"/>
                </w:tcPr>
                <w:p w14:paraId="3D47CEC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cs="Times New Roman"/>
                      <w:color w:val="auto"/>
                      <w:kern w:val="0"/>
                      <w:szCs w:val="21"/>
                      <w:lang w:val="en-US" w:eastAsia="zh-CN" w:bidi="ar"/>
                    </w:rPr>
                    <w:t>辽叶塆散居农户</w:t>
                  </w:r>
                </w:p>
              </w:tc>
              <w:tc>
                <w:tcPr>
                  <w:tcW w:w="352" w:type="pct"/>
                  <w:noWrap w:val="0"/>
                  <w:vAlign w:val="center"/>
                </w:tcPr>
                <w:p w14:paraId="01BD4EC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南侧</w:t>
                  </w:r>
                </w:p>
              </w:tc>
              <w:tc>
                <w:tcPr>
                  <w:tcW w:w="651" w:type="pct"/>
                  <w:noWrap w:val="0"/>
                  <w:vAlign w:val="center"/>
                </w:tcPr>
                <w:p w14:paraId="7119A6B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1</w:t>
                  </w:r>
                  <w:r>
                    <w:rPr>
                      <w:rFonts w:hint="eastAsia" w:ascii="Times New Roman" w:hAnsi="Times New Roman" w:cs="Times New Roman"/>
                      <w:color w:val="auto"/>
                      <w:kern w:val="0"/>
                      <w:szCs w:val="21"/>
                      <w:lang w:val="en-US" w:eastAsia="zh-CN" w:bidi="ar"/>
                    </w:rPr>
                    <w:t>0</w:t>
                  </w:r>
                  <w:r>
                    <w:rPr>
                      <w:rFonts w:hint="eastAsia" w:cs="Times New Roman"/>
                      <w:color w:val="auto"/>
                      <w:kern w:val="0"/>
                      <w:szCs w:val="21"/>
                      <w:lang w:val="en-US" w:eastAsia="zh-CN" w:bidi="ar"/>
                    </w:rPr>
                    <w:t>3</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311</w:t>
                  </w:r>
                </w:p>
              </w:tc>
              <w:tc>
                <w:tcPr>
                  <w:tcW w:w="805" w:type="pct"/>
                  <w:noWrap w:val="0"/>
                  <w:vAlign w:val="center"/>
                </w:tcPr>
                <w:p w14:paraId="5068509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10</w:t>
                  </w:r>
                  <w:r>
                    <w:rPr>
                      <w:rFonts w:hint="eastAsia" w:ascii="Times New Roman" w:hAnsi="Times New Roman" w:cs="Times New Roman"/>
                      <w:color w:val="auto"/>
                      <w:kern w:val="0"/>
                      <w:szCs w:val="21"/>
                      <w:lang w:bidi="ar"/>
                    </w:rPr>
                    <w:t>~1</w:t>
                  </w:r>
                  <w:r>
                    <w:rPr>
                      <w:rFonts w:hint="eastAsia" w:cs="Times New Roman"/>
                      <w:color w:val="auto"/>
                      <w:kern w:val="0"/>
                      <w:szCs w:val="21"/>
                      <w:lang w:val="en-US" w:eastAsia="zh-CN" w:bidi="ar"/>
                    </w:rPr>
                    <w:t>83</w:t>
                  </w:r>
                </w:p>
              </w:tc>
              <w:tc>
                <w:tcPr>
                  <w:tcW w:w="636" w:type="pct"/>
                  <w:tcBorders>
                    <w:right w:val="single" w:color="000000" w:sz="4" w:space="0"/>
                  </w:tcBorders>
                  <w:noWrap w:val="0"/>
                  <w:vAlign w:val="center"/>
                </w:tcPr>
                <w:p w14:paraId="602FA93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58</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-6</w:t>
                  </w:r>
                </w:p>
              </w:tc>
              <w:tc>
                <w:tcPr>
                  <w:tcW w:w="566" w:type="pct"/>
                  <w:noWrap w:val="0"/>
                  <w:vAlign w:val="center"/>
                </w:tcPr>
                <w:p w14:paraId="77B0FCB5">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5</w:t>
                  </w:r>
                  <w:r>
                    <w:rPr>
                      <w:rStyle w:val="80"/>
                      <w:rFonts w:hint="default"/>
                      <w:color w:val="auto"/>
                      <w:sz w:val="21"/>
                      <w:szCs w:val="21"/>
                      <w:lang w:val="en-US" w:eastAsia="zh-CN" w:bidi="ar"/>
                    </w:rPr>
                    <w:t>户</w:t>
                  </w:r>
                  <w:r>
                    <w:rPr>
                      <w:rStyle w:val="80"/>
                      <w:rFonts w:hint="eastAsia"/>
                      <w:color w:val="auto"/>
                      <w:sz w:val="21"/>
                      <w:szCs w:val="21"/>
                      <w:lang w:val="en-US" w:eastAsia="zh-CN" w:bidi="ar"/>
                    </w:rPr>
                    <w:t>/20</w:t>
                  </w:r>
                  <w:r>
                    <w:rPr>
                      <w:rStyle w:val="80"/>
                      <w:rFonts w:hint="default"/>
                      <w:color w:val="auto"/>
                      <w:sz w:val="21"/>
                      <w:szCs w:val="21"/>
                      <w:lang w:val="en-US" w:eastAsia="zh-CN" w:bidi="ar"/>
                    </w:rPr>
                    <w:t>人</w:t>
                  </w:r>
                </w:p>
              </w:tc>
              <w:tc>
                <w:tcPr>
                  <w:tcW w:w="813" w:type="pct"/>
                  <w:vMerge w:val="continue"/>
                  <w:noWrap w:val="0"/>
                  <w:vAlign w:val="center"/>
                </w:tcPr>
                <w:p w14:paraId="247A695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1EA68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86289B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noWrap w:val="0"/>
                  <w:vAlign w:val="center"/>
                </w:tcPr>
                <w:p w14:paraId="56AB315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352" w:type="pct"/>
                  <w:noWrap w:val="0"/>
                  <w:vAlign w:val="center"/>
                </w:tcPr>
                <w:p w14:paraId="0508244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西侧</w:t>
                  </w:r>
                </w:p>
              </w:tc>
              <w:tc>
                <w:tcPr>
                  <w:tcW w:w="651" w:type="pct"/>
                  <w:noWrap w:val="0"/>
                  <w:vAlign w:val="center"/>
                </w:tcPr>
                <w:p w14:paraId="058030F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val="en-US" w:eastAsia="zh-CN" w:bidi="ar"/>
                    </w:rPr>
                    <w:t>23</w:t>
                  </w:r>
                  <w:r>
                    <w:rPr>
                      <w:rFonts w:hint="eastAsia" w:cs="Times New Roman"/>
                      <w:color w:val="auto"/>
                      <w:kern w:val="0"/>
                      <w:szCs w:val="21"/>
                      <w:lang w:val="en-US" w:eastAsia="zh-CN" w:bidi="ar"/>
                    </w:rPr>
                    <w:t>3</w:t>
                  </w:r>
                  <w:r>
                    <w:rPr>
                      <w:rFonts w:hint="eastAsia" w:ascii="Times New Roman" w:hAnsi="Times New Roman" w:cs="Times New Roman"/>
                      <w:color w:val="auto"/>
                      <w:kern w:val="0"/>
                      <w:szCs w:val="21"/>
                      <w:lang w:val="en-US" w:eastAsia="zh-CN" w:bidi="ar"/>
                    </w:rPr>
                    <w:t>~</w:t>
                  </w:r>
                  <w:r>
                    <w:rPr>
                      <w:rFonts w:hint="eastAsia" w:cs="Times New Roman"/>
                      <w:color w:val="auto"/>
                      <w:kern w:val="0"/>
                      <w:szCs w:val="21"/>
                      <w:lang w:val="en-US" w:eastAsia="zh-CN" w:bidi="ar"/>
                    </w:rPr>
                    <w:t>288</w:t>
                  </w:r>
                </w:p>
              </w:tc>
              <w:tc>
                <w:tcPr>
                  <w:tcW w:w="805" w:type="pct"/>
                  <w:noWrap w:val="0"/>
                  <w:vAlign w:val="center"/>
                </w:tcPr>
                <w:p w14:paraId="64684D4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170</w:t>
                  </w:r>
                  <w:r>
                    <w:rPr>
                      <w:rFonts w:hint="eastAsia"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203</w:t>
                  </w:r>
                </w:p>
              </w:tc>
              <w:tc>
                <w:tcPr>
                  <w:tcW w:w="636" w:type="pct"/>
                  <w:tcBorders>
                    <w:right w:val="single" w:color="000000" w:sz="4" w:space="0"/>
                  </w:tcBorders>
                  <w:noWrap w:val="0"/>
                  <w:vAlign w:val="center"/>
                </w:tcPr>
                <w:p w14:paraId="42F5526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54</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42</w:t>
                  </w:r>
                </w:p>
              </w:tc>
              <w:tc>
                <w:tcPr>
                  <w:tcW w:w="566" w:type="pct"/>
                  <w:noWrap w:val="0"/>
                  <w:vAlign w:val="center"/>
                </w:tcPr>
                <w:p w14:paraId="28754E78">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4</w:t>
                  </w:r>
                  <w:r>
                    <w:rPr>
                      <w:rStyle w:val="80"/>
                      <w:rFonts w:hint="default"/>
                      <w:color w:val="auto"/>
                      <w:sz w:val="21"/>
                      <w:szCs w:val="21"/>
                      <w:lang w:val="en-US" w:eastAsia="zh-CN" w:bidi="ar"/>
                    </w:rPr>
                    <w:t>户</w:t>
                  </w:r>
                  <w:r>
                    <w:rPr>
                      <w:rStyle w:val="80"/>
                      <w:rFonts w:hint="eastAsia"/>
                      <w:color w:val="auto"/>
                      <w:sz w:val="21"/>
                      <w:szCs w:val="21"/>
                      <w:lang w:val="en-US" w:eastAsia="zh-CN" w:bidi="ar"/>
                    </w:rPr>
                    <w:t>/16</w:t>
                  </w:r>
                  <w:r>
                    <w:rPr>
                      <w:rStyle w:val="80"/>
                      <w:rFonts w:hint="default"/>
                      <w:color w:val="auto"/>
                      <w:sz w:val="21"/>
                      <w:szCs w:val="21"/>
                      <w:lang w:val="en-US" w:eastAsia="zh-CN" w:bidi="ar"/>
                    </w:rPr>
                    <w:t>人</w:t>
                  </w:r>
                </w:p>
              </w:tc>
              <w:tc>
                <w:tcPr>
                  <w:tcW w:w="813" w:type="pct"/>
                  <w:vMerge w:val="continue"/>
                  <w:noWrap w:val="0"/>
                  <w:vAlign w:val="center"/>
                </w:tcPr>
                <w:p w14:paraId="0326DF3C">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28E14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0ADE44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noWrap w:val="0"/>
                  <w:vAlign w:val="center"/>
                </w:tcPr>
                <w:p w14:paraId="5B4214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352" w:type="pct"/>
                  <w:noWrap w:val="0"/>
                  <w:vAlign w:val="center"/>
                </w:tcPr>
                <w:p w14:paraId="2E12F7D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p>
              </w:tc>
              <w:tc>
                <w:tcPr>
                  <w:tcW w:w="651" w:type="pct"/>
                  <w:noWrap w:val="0"/>
                  <w:vAlign w:val="center"/>
                </w:tcPr>
                <w:p w14:paraId="040FD95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254</w:t>
                  </w:r>
                  <w:r>
                    <w:rPr>
                      <w:rFonts w:hint="eastAsia"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2</w:t>
                  </w:r>
                  <w:r>
                    <w:rPr>
                      <w:rFonts w:hint="eastAsia" w:cs="Times New Roman"/>
                      <w:color w:val="auto"/>
                      <w:kern w:val="0"/>
                      <w:szCs w:val="21"/>
                      <w:lang w:val="en-US" w:eastAsia="zh-CN" w:bidi="ar"/>
                    </w:rPr>
                    <w:t>99</w:t>
                  </w:r>
                </w:p>
              </w:tc>
              <w:tc>
                <w:tcPr>
                  <w:tcW w:w="805" w:type="pct"/>
                  <w:noWrap w:val="0"/>
                  <w:vAlign w:val="center"/>
                </w:tcPr>
                <w:p w14:paraId="057B96C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val="en-US" w:eastAsia="zh-CN" w:bidi="ar"/>
                    </w:rPr>
                    <w:t>1</w:t>
                  </w:r>
                  <w:r>
                    <w:rPr>
                      <w:rFonts w:hint="eastAsia" w:cs="Times New Roman"/>
                      <w:color w:val="auto"/>
                      <w:kern w:val="0"/>
                      <w:szCs w:val="21"/>
                      <w:lang w:val="en-US" w:eastAsia="zh-CN" w:bidi="ar"/>
                    </w:rPr>
                    <w:t>76</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221</w:t>
                  </w:r>
                </w:p>
              </w:tc>
              <w:tc>
                <w:tcPr>
                  <w:tcW w:w="636" w:type="pct"/>
                  <w:tcBorders>
                    <w:right w:val="single" w:color="000000" w:sz="4" w:space="0"/>
                  </w:tcBorders>
                  <w:noWrap w:val="0"/>
                  <w:vAlign w:val="center"/>
                </w:tcPr>
                <w:p w14:paraId="4E0BEE9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43</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w:t>
                  </w:r>
                  <w:r>
                    <w:rPr>
                      <w:rFonts w:hint="eastAsia" w:ascii="Times New Roman" w:hAnsi="Times New Roman" w:eastAsia="宋体" w:cs="Times New Roman"/>
                      <w:i w:val="0"/>
                      <w:iCs w:val="0"/>
                      <w:color w:val="auto"/>
                      <w:kern w:val="0"/>
                      <w:sz w:val="21"/>
                      <w:szCs w:val="21"/>
                      <w:u w:val="none"/>
                      <w:lang w:val="en-US" w:eastAsia="zh-CN" w:bidi="ar"/>
                    </w:rPr>
                    <w:t>1</w:t>
                  </w:r>
                </w:p>
              </w:tc>
              <w:tc>
                <w:tcPr>
                  <w:tcW w:w="566" w:type="pct"/>
                  <w:noWrap w:val="0"/>
                  <w:vAlign w:val="center"/>
                </w:tcPr>
                <w:p w14:paraId="561867A1">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2</w:t>
                  </w:r>
                  <w:r>
                    <w:rPr>
                      <w:rStyle w:val="80"/>
                      <w:rFonts w:hint="default"/>
                      <w:color w:val="auto"/>
                      <w:sz w:val="21"/>
                      <w:szCs w:val="21"/>
                      <w:lang w:val="en-US" w:eastAsia="zh-CN" w:bidi="ar"/>
                    </w:rPr>
                    <w:t>户</w:t>
                  </w:r>
                  <w:r>
                    <w:rPr>
                      <w:rStyle w:val="80"/>
                      <w:rFonts w:hint="eastAsia"/>
                      <w:color w:val="auto"/>
                      <w:sz w:val="21"/>
                      <w:szCs w:val="21"/>
                      <w:lang w:val="en-US" w:eastAsia="zh-CN" w:bidi="ar"/>
                    </w:rPr>
                    <w:t>/8</w:t>
                  </w:r>
                  <w:r>
                    <w:rPr>
                      <w:rStyle w:val="80"/>
                      <w:rFonts w:hint="default"/>
                      <w:color w:val="auto"/>
                      <w:sz w:val="21"/>
                      <w:szCs w:val="21"/>
                      <w:lang w:val="en-US" w:eastAsia="zh-CN" w:bidi="ar"/>
                    </w:rPr>
                    <w:t>人</w:t>
                  </w:r>
                </w:p>
              </w:tc>
              <w:tc>
                <w:tcPr>
                  <w:tcW w:w="813" w:type="pct"/>
                  <w:vMerge w:val="continue"/>
                  <w:noWrap w:val="0"/>
                  <w:vAlign w:val="center"/>
                </w:tcPr>
                <w:p w14:paraId="5CA3F30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1AFB0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7D2126E">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noWrap w:val="0"/>
                  <w:vAlign w:val="center"/>
                </w:tcPr>
                <w:p w14:paraId="55E9742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Cs w:val="21"/>
                      <w:lang w:val="en-US" w:eastAsia="zh-CN" w:bidi="ar"/>
                    </w:rPr>
                    <w:t>松垭子农户聚居区</w:t>
                  </w:r>
                </w:p>
              </w:tc>
              <w:tc>
                <w:tcPr>
                  <w:tcW w:w="352" w:type="pct"/>
                  <w:noWrap w:val="0"/>
                  <w:vAlign w:val="center"/>
                </w:tcPr>
                <w:p w14:paraId="45184E8D">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北侧</w:t>
                  </w:r>
                </w:p>
              </w:tc>
              <w:tc>
                <w:tcPr>
                  <w:tcW w:w="651" w:type="pct"/>
                  <w:noWrap w:val="0"/>
                  <w:vAlign w:val="center"/>
                </w:tcPr>
                <w:p w14:paraId="3AEFA55E">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2"/>
                      <w:sz w:val="21"/>
                      <w:szCs w:val="21"/>
                      <w:lang w:val="en-US" w:eastAsia="zh-CN" w:bidi="ar-SA"/>
                    </w:rPr>
                  </w:pPr>
                  <w:r>
                    <w:rPr>
                      <w:rFonts w:hint="eastAsia" w:cs="Times New Roman"/>
                      <w:color w:val="auto"/>
                      <w:szCs w:val="21"/>
                      <w:lang w:val="en-US" w:eastAsia="zh-CN"/>
                    </w:rPr>
                    <w:t>130</w:t>
                  </w:r>
                  <w:r>
                    <w:rPr>
                      <w:rFonts w:hint="eastAsia" w:ascii="Times New Roman" w:hAnsi="Times New Roman" w:cs="Times New Roman"/>
                      <w:color w:val="auto"/>
                      <w:szCs w:val="21"/>
                    </w:rPr>
                    <w:t>~</w:t>
                  </w:r>
                  <w:r>
                    <w:rPr>
                      <w:rFonts w:hint="eastAsia" w:cs="Times New Roman"/>
                      <w:color w:val="auto"/>
                      <w:szCs w:val="21"/>
                      <w:lang w:val="en-US" w:eastAsia="zh-CN"/>
                    </w:rPr>
                    <w:t>275</w:t>
                  </w:r>
                </w:p>
              </w:tc>
              <w:tc>
                <w:tcPr>
                  <w:tcW w:w="805" w:type="pct"/>
                  <w:noWrap w:val="0"/>
                  <w:vAlign w:val="center"/>
                </w:tcPr>
                <w:p w14:paraId="5184CFC5">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2"/>
                      <w:sz w:val="21"/>
                      <w:szCs w:val="21"/>
                      <w:lang w:val="en-US" w:eastAsia="zh-CN" w:bidi="ar-SA"/>
                    </w:rPr>
                  </w:pPr>
                  <w:r>
                    <w:rPr>
                      <w:rFonts w:hint="eastAsia" w:cs="Times New Roman"/>
                      <w:color w:val="auto"/>
                      <w:szCs w:val="21"/>
                      <w:lang w:val="en-US" w:eastAsia="zh-CN"/>
                    </w:rPr>
                    <w:t>49</w:t>
                  </w:r>
                  <w:r>
                    <w:rPr>
                      <w:rFonts w:hint="eastAsia" w:ascii="Times New Roman" w:hAnsi="Times New Roman" w:cs="Times New Roman"/>
                      <w:color w:val="auto"/>
                      <w:szCs w:val="21"/>
                    </w:rPr>
                    <w:t>~</w:t>
                  </w:r>
                  <w:r>
                    <w:rPr>
                      <w:rFonts w:hint="eastAsia" w:ascii="Times New Roman" w:hAnsi="Times New Roman" w:cs="Times New Roman"/>
                      <w:color w:val="auto"/>
                      <w:szCs w:val="21"/>
                      <w:lang w:val="en-US" w:eastAsia="zh-CN"/>
                    </w:rPr>
                    <w:t>2</w:t>
                  </w:r>
                  <w:r>
                    <w:rPr>
                      <w:rFonts w:hint="eastAsia" w:cs="Times New Roman"/>
                      <w:color w:val="auto"/>
                      <w:szCs w:val="21"/>
                      <w:lang w:val="en-US" w:eastAsia="zh-CN"/>
                    </w:rPr>
                    <w:t>61</w:t>
                  </w:r>
                </w:p>
              </w:tc>
              <w:tc>
                <w:tcPr>
                  <w:tcW w:w="636" w:type="pct"/>
                  <w:tcBorders>
                    <w:right w:val="single" w:color="000000" w:sz="4" w:space="0"/>
                  </w:tcBorders>
                  <w:noWrap w:val="0"/>
                  <w:vAlign w:val="center"/>
                </w:tcPr>
                <w:p w14:paraId="4879E4D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41</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+7</w:t>
                  </w:r>
                </w:p>
              </w:tc>
              <w:tc>
                <w:tcPr>
                  <w:tcW w:w="566" w:type="pct"/>
                  <w:noWrap w:val="0"/>
                  <w:vAlign w:val="center"/>
                </w:tcPr>
                <w:p w14:paraId="108C0041">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约11户/44人</w:t>
                  </w:r>
                </w:p>
              </w:tc>
              <w:tc>
                <w:tcPr>
                  <w:tcW w:w="813" w:type="pct"/>
                  <w:vMerge w:val="continue"/>
                  <w:noWrap w:val="0"/>
                  <w:vAlign w:val="center"/>
                </w:tcPr>
                <w:p w14:paraId="796ABEB8">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70650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D2152BA">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noWrap w:val="0"/>
                  <w:vAlign w:val="center"/>
                </w:tcPr>
                <w:p w14:paraId="09AB4761">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庙垭口农户聚居区</w:t>
                  </w:r>
                </w:p>
              </w:tc>
              <w:tc>
                <w:tcPr>
                  <w:tcW w:w="352" w:type="pct"/>
                  <w:noWrap w:val="0"/>
                  <w:vAlign w:val="center"/>
                </w:tcPr>
                <w:p w14:paraId="42091D6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东北侧</w:t>
                  </w:r>
                </w:p>
              </w:tc>
              <w:tc>
                <w:tcPr>
                  <w:tcW w:w="651" w:type="pct"/>
                  <w:noWrap w:val="0"/>
                  <w:vAlign w:val="center"/>
                </w:tcPr>
                <w:p w14:paraId="099F273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lang w:val="en-US" w:eastAsia="zh-CN"/>
                    </w:rPr>
                  </w:pPr>
                  <w:r>
                    <w:rPr>
                      <w:rFonts w:hint="eastAsia" w:cs="Times New Roman"/>
                      <w:color w:val="auto"/>
                      <w:szCs w:val="21"/>
                      <w:lang w:val="en-US" w:eastAsia="zh-CN"/>
                    </w:rPr>
                    <w:t>225~321</w:t>
                  </w:r>
                </w:p>
              </w:tc>
              <w:tc>
                <w:tcPr>
                  <w:tcW w:w="805" w:type="pct"/>
                  <w:noWrap w:val="0"/>
                  <w:vAlign w:val="center"/>
                </w:tcPr>
                <w:p w14:paraId="787E31A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lang w:val="en-US" w:eastAsia="zh-CN"/>
                    </w:rPr>
                  </w:pPr>
                  <w:r>
                    <w:rPr>
                      <w:rFonts w:hint="eastAsia" w:cs="Times New Roman"/>
                      <w:color w:val="auto"/>
                      <w:szCs w:val="21"/>
                      <w:lang w:val="en-US" w:eastAsia="zh-CN"/>
                    </w:rPr>
                    <w:t>129~216</w:t>
                  </w:r>
                </w:p>
              </w:tc>
              <w:tc>
                <w:tcPr>
                  <w:tcW w:w="636" w:type="pct"/>
                  <w:tcBorders>
                    <w:right w:val="single" w:color="000000" w:sz="4" w:space="0"/>
                  </w:tcBorders>
                  <w:noWrap w:val="0"/>
                  <w:vAlign w:val="center"/>
                </w:tcPr>
                <w:p w14:paraId="704218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-67~-56</w:t>
                  </w:r>
                </w:p>
              </w:tc>
              <w:tc>
                <w:tcPr>
                  <w:tcW w:w="566" w:type="pct"/>
                  <w:noWrap w:val="0"/>
                  <w:vAlign w:val="center"/>
                </w:tcPr>
                <w:p w14:paraId="53752F71">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6户/24人</w:t>
                  </w:r>
                </w:p>
              </w:tc>
              <w:tc>
                <w:tcPr>
                  <w:tcW w:w="813" w:type="pct"/>
                  <w:vMerge w:val="continue"/>
                  <w:noWrap w:val="0"/>
                  <w:vAlign w:val="center"/>
                </w:tcPr>
                <w:p w14:paraId="6D89CD9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5E5B4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59EDAB97">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r>
                    <w:rPr>
                      <w:rFonts w:ascii="Times New Roman" w:hAnsi="Times New Roman" w:eastAsia="宋体" w:cs="Times New Roman"/>
                      <w:color w:val="auto"/>
                    </w:rPr>
                    <w:t>大气环境</w:t>
                  </w:r>
                </w:p>
              </w:tc>
              <w:tc>
                <w:tcPr>
                  <w:tcW w:w="779" w:type="pct"/>
                  <w:shd w:val="clear" w:color="auto" w:fill="auto"/>
                  <w:noWrap w:val="0"/>
                  <w:vAlign w:val="center"/>
                </w:tcPr>
                <w:p w14:paraId="2455C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柿子院农户聚居区</w:t>
                  </w:r>
                </w:p>
              </w:tc>
              <w:tc>
                <w:tcPr>
                  <w:tcW w:w="352" w:type="pct"/>
                  <w:shd w:val="clear" w:color="auto" w:fill="auto"/>
                  <w:noWrap w:val="0"/>
                  <w:vAlign w:val="center"/>
                </w:tcPr>
                <w:p w14:paraId="6B15427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0"/>
                      <w:szCs w:val="21"/>
                      <w:lang w:val="en-US" w:eastAsia="zh-CN" w:bidi="ar"/>
                    </w:rPr>
                    <w:t>东侧</w:t>
                  </w:r>
                </w:p>
              </w:tc>
              <w:tc>
                <w:tcPr>
                  <w:tcW w:w="651" w:type="pct"/>
                  <w:noWrap w:val="0"/>
                  <w:vAlign w:val="center"/>
                </w:tcPr>
                <w:p w14:paraId="0A30F089">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szCs w:val="21"/>
                      <w:highlight w:val="none"/>
                    </w:rPr>
                  </w:pPr>
                  <w:r>
                    <w:rPr>
                      <w:rFonts w:hint="eastAsia" w:cs="Times New Roman"/>
                      <w:color w:val="auto"/>
                      <w:szCs w:val="21"/>
                      <w:highlight w:val="none"/>
                      <w:lang w:val="en-US" w:eastAsia="zh-CN"/>
                    </w:rPr>
                    <w:t>210</w:t>
                  </w:r>
                  <w:r>
                    <w:rPr>
                      <w:rFonts w:hint="eastAsia" w:ascii="Times New Roman" w:hAnsi="Times New Roman" w:cs="Times New Roman"/>
                      <w:color w:val="auto"/>
                      <w:kern w:val="0"/>
                      <w:szCs w:val="21"/>
                      <w:highlight w:val="none"/>
                      <w:lang w:bidi="ar"/>
                    </w:rPr>
                    <w:t>~</w:t>
                  </w:r>
                  <w:r>
                    <w:rPr>
                      <w:rFonts w:hint="eastAsia" w:cs="Times New Roman"/>
                      <w:color w:val="auto"/>
                      <w:kern w:val="0"/>
                      <w:szCs w:val="21"/>
                      <w:highlight w:val="none"/>
                      <w:lang w:val="en-US" w:eastAsia="zh-CN" w:bidi="ar"/>
                    </w:rPr>
                    <w:t>637</w:t>
                  </w:r>
                </w:p>
              </w:tc>
              <w:tc>
                <w:tcPr>
                  <w:tcW w:w="805" w:type="pct"/>
                  <w:noWrap w:val="0"/>
                  <w:vAlign w:val="center"/>
                </w:tcPr>
                <w:p w14:paraId="4C9B868B">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szCs w:val="21"/>
                      <w:highlight w:val="none"/>
                    </w:rPr>
                  </w:pPr>
                  <w:r>
                    <w:rPr>
                      <w:rFonts w:hint="eastAsia" w:cs="Times New Roman"/>
                      <w:color w:val="auto"/>
                      <w:kern w:val="0"/>
                      <w:szCs w:val="21"/>
                      <w:highlight w:val="none"/>
                      <w:lang w:val="en-US" w:eastAsia="zh-CN" w:bidi="ar"/>
                    </w:rPr>
                    <w:t>150</w:t>
                  </w:r>
                  <w:r>
                    <w:rPr>
                      <w:rFonts w:hint="eastAsia" w:ascii="Times New Roman" w:hAnsi="Times New Roman" w:cs="Times New Roman"/>
                      <w:color w:val="auto"/>
                      <w:kern w:val="0"/>
                      <w:szCs w:val="21"/>
                      <w:highlight w:val="none"/>
                      <w:lang w:bidi="ar"/>
                    </w:rPr>
                    <w:t>~</w:t>
                  </w:r>
                  <w:r>
                    <w:rPr>
                      <w:rFonts w:hint="eastAsia" w:cs="Times New Roman"/>
                      <w:color w:val="auto"/>
                      <w:kern w:val="0"/>
                      <w:szCs w:val="21"/>
                      <w:highlight w:val="none"/>
                      <w:lang w:val="en-US" w:eastAsia="zh-CN" w:bidi="ar"/>
                    </w:rPr>
                    <w:t>549</w:t>
                  </w:r>
                </w:p>
              </w:tc>
              <w:tc>
                <w:tcPr>
                  <w:tcW w:w="636" w:type="pct"/>
                  <w:tcBorders>
                    <w:right w:val="single" w:color="000000" w:sz="4" w:space="0"/>
                  </w:tcBorders>
                  <w:noWrap w:val="0"/>
                  <w:vAlign w:val="center"/>
                </w:tcPr>
                <w:p w14:paraId="4413AB6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101</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-67</w:t>
                  </w:r>
                </w:p>
              </w:tc>
              <w:tc>
                <w:tcPr>
                  <w:tcW w:w="566" w:type="pct"/>
                  <w:noWrap w:val="0"/>
                  <w:vAlign w:val="center"/>
                </w:tcPr>
                <w:p w14:paraId="1143D5FF">
                  <w:pPr>
                    <w:keepNext w:val="0"/>
                    <w:keepLines w:val="0"/>
                    <w:widowControl/>
                    <w:suppressLineNumbers w:val="0"/>
                    <w:spacing w:before="0" w:beforeAutospacing="0" w:after="0" w:afterAutospacing="0"/>
                    <w:ind w:left="0" w:right="0"/>
                    <w:jc w:val="center"/>
                    <w:textAlignment w:val="center"/>
                    <w:rPr>
                      <w:rStyle w:val="80"/>
                      <w:rFonts w:hint="eastAsia"/>
                      <w:color w:val="auto"/>
                      <w:sz w:val="21"/>
                      <w:szCs w:val="21"/>
                      <w:lang w:val="en-US" w:eastAsia="zh-CN" w:bidi="ar"/>
                    </w:rPr>
                  </w:pPr>
                  <w:r>
                    <w:rPr>
                      <w:rStyle w:val="80"/>
                      <w:rFonts w:hint="eastAsia"/>
                      <w:color w:val="auto"/>
                      <w:sz w:val="21"/>
                      <w:szCs w:val="21"/>
                      <w:lang w:val="en-US" w:eastAsia="zh-CN" w:bidi="ar"/>
                    </w:rPr>
                    <w:t>约20</w:t>
                  </w:r>
                  <w:r>
                    <w:rPr>
                      <w:rStyle w:val="80"/>
                      <w:rFonts w:hint="default"/>
                      <w:color w:val="auto"/>
                      <w:sz w:val="21"/>
                      <w:szCs w:val="21"/>
                      <w:lang w:val="en-US" w:eastAsia="zh-CN" w:bidi="ar"/>
                    </w:rPr>
                    <w:t>户</w:t>
                  </w:r>
                  <w:r>
                    <w:rPr>
                      <w:rStyle w:val="80"/>
                      <w:rFonts w:hint="eastAsia"/>
                      <w:color w:val="auto"/>
                      <w:sz w:val="21"/>
                      <w:szCs w:val="21"/>
                      <w:lang w:val="en-US" w:eastAsia="zh-CN" w:bidi="ar"/>
                    </w:rPr>
                    <w:t>/80</w:t>
                  </w:r>
                  <w:r>
                    <w:rPr>
                      <w:rStyle w:val="80"/>
                      <w:rFonts w:hint="default"/>
                      <w:color w:val="auto"/>
                      <w:sz w:val="21"/>
                      <w:szCs w:val="21"/>
                      <w:lang w:val="en-US" w:eastAsia="zh-CN" w:bidi="ar"/>
                    </w:rPr>
                    <w:t>人</w:t>
                  </w:r>
                </w:p>
              </w:tc>
              <w:tc>
                <w:tcPr>
                  <w:tcW w:w="813" w:type="pct"/>
                  <w:vMerge w:val="restart"/>
                  <w:noWrap w:val="0"/>
                  <w:vAlign w:val="center"/>
                </w:tcPr>
                <w:p w14:paraId="3030A70A">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r>
                    <w:rPr>
                      <w:rFonts w:ascii="Times New Roman" w:hAnsi="Times New Roman" w:eastAsia="宋体" w:cs="Times New Roman"/>
                      <w:color w:val="auto"/>
                      <w:lang w:bidi="ar"/>
                    </w:rPr>
                    <w:t>《环境空气质量标准》</w:t>
                  </w:r>
                  <w:r>
                    <w:rPr>
                      <w:rFonts w:hint="eastAsia" w:ascii="Times New Roman" w:hAnsi="Times New Roman" w:eastAsia="宋体" w:cs="Times New Roman"/>
                      <w:color w:val="auto"/>
                      <w:lang w:eastAsia="zh-CN" w:bidi="ar"/>
                    </w:rPr>
                    <w:t>（</w:t>
                  </w:r>
                  <w:r>
                    <w:rPr>
                      <w:rFonts w:ascii="Times New Roman" w:hAnsi="Times New Roman" w:cs="Times New Roman"/>
                      <w:color w:val="auto"/>
                      <w:lang w:bidi="ar"/>
                    </w:rPr>
                    <w:t>GB</w:t>
                  </w:r>
                  <w:r>
                    <w:rPr>
                      <w:rFonts w:hint="eastAsia" w:ascii="Times New Roman" w:hAnsi="Times New Roman" w:eastAsia="宋体" w:cs="Times New Roman"/>
                      <w:color w:val="auto"/>
                      <w:lang w:val="en-US" w:eastAsia="zh-CN" w:bidi="ar"/>
                    </w:rPr>
                    <w:t xml:space="preserve"> </w:t>
                  </w:r>
                  <w:r>
                    <w:rPr>
                      <w:rFonts w:ascii="Times New Roman" w:hAnsi="Times New Roman" w:cs="Times New Roman"/>
                      <w:color w:val="auto"/>
                      <w:lang w:bidi="ar"/>
                    </w:rPr>
                    <w:t>3095-20</w:t>
                  </w:r>
                  <w:r>
                    <w:rPr>
                      <w:rFonts w:hint="eastAsia" w:ascii="Times New Roman" w:hAnsi="Times New Roman" w:eastAsia="宋体" w:cs="Times New Roman"/>
                      <w:color w:val="auto"/>
                      <w:lang w:val="en-US" w:eastAsia="zh-CN" w:bidi="ar"/>
                    </w:rPr>
                    <w:t>26</w:t>
                  </w:r>
                  <w:r>
                    <w:rPr>
                      <w:rFonts w:hint="eastAsia" w:ascii="Times New Roman" w:hAnsi="Times New Roman" w:eastAsia="宋体" w:cs="Times New Roman"/>
                      <w:color w:val="auto"/>
                      <w:lang w:eastAsia="zh-CN" w:bidi="ar"/>
                    </w:rPr>
                    <w:t>）</w:t>
                  </w:r>
                  <w:r>
                    <w:rPr>
                      <w:rFonts w:hint="eastAsia" w:ascii="Times New Roman" w:hAnsi="Times New Roman" w:eastAsia="宋体" w:cs="Times New Roman"/>
                      <w:color w:val="auto"/>
                      <w:lang w:val="en-US" w:eastAsia="zh-CN" w:bidi="ar"/>
                    </w:rPr>
                    <w:t>过渡阶段浓度限值</w:t>
                  </w:r>
                  <w:r>
                    <w:rPr>
                      <w:rFonts w:ascii="Times New Roman" w:hAnsi="Times New Roman" w:eastAsia="宋体" w:cs="Times New Roman"/>
                      <w:color w:val="auto"/>
                      <w:lang w:bidi="ar"/>
                    </w:rPr>
                    <w:t>二级标准要求</w:t>
                  </w:r>
                </w:p>
              </w:tc>
            </w:tr>
            <w:tr w14:paraId="239F2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9417717">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37389C6D">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大田湾农户聚居区</w:t>
                  </w:r>
                </w:p>
              </w:tc>
              <w:tc>
                <w:tcPr>
                  <w:tcW w:w="352" w:type="pct"/>
                  <w:shd w:val="clear" w:color="auto" w:fill="auto"/>
                  <w:noWrap w:val="0"/>
                  <w:vAlign w:val="center"/>
                </w:tcPr>
                <w:p w14:paraId="743BBE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东南侧</w:t>
                  </w:r>
                </w:p>
              </w:tc>
              <w:tc>
                <w:tcPr>
                  <w:tcW w:w="651" w:type="pct"/>
                  <w:noWrap w:val="0"/>
                  <w:vAlign w:val="center"/>
                </w:tcPr>
                <w:p w14:paraId="647502D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lang w:val="en-US" w:eastAsia="zh-CN"/>
                    </w:rPr>
                  </w:pPr>
                  <w:r>
                    <w:rPr>
                      <w:rFonts w:hint="eastAsia" w:cs="Times New Roman"/>
                      <w:color w:val="auto"/>
                      <w:szCs w:val="21"/>
                      <w:highlight w:val="none"/>
                      <w:lang w:val="en-US" w:eastAsia="zh-CN"/>
                    </w:rPr>
                    <w:t>420~617</w:t>
                  </w:r>
                </w:p>
              </w:tc>
              <w:tc>
                <w:tcPr>
                  <w:tcW w:w="805" w:type="pct"/>
                  <w:noWrap w:val="0"/>
                  <w:vAlign w:val="center"/>
                </w:tcPr>
                <w:p w14:paraId="49A2337E">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303~497</w:t>
                  </w:r>
                </w:p>
              </w:tc>
              <w:tc>
                <w:tcPr>
                  <w:tcW w:w="636" w:type="pct"/>
                  <w:tcBorders>
                    <w:right w:val="single" w:color="000000" w:sz="4" w:space="0"/>
                  </w:tcBorders>
                  <w:noWrap w:val="0"/>
                  <w:vAlign w:val="center"/>
                </w:tcPr>
                <w:p w14:paraId="031D98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-95~-80</w:t>
                  </w:r>
                </w:p>
              </w:tc>
              <w:tc>
                <w:tcPr>
                  <w:tcW w:w="566" w:type="pct"/>
                  <w:noWrap w:val="0"/>
                  <w:vAlign w:val="center"/>
                </w:tcPr>
                <w:p w14:paraId="0E5812DE">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约13户/52人</w:t>
                  </w:r>
                </w:p>
              </w:tc>
              <w:tc>
                <w:tcPr>
                  <w:tcW w:w="813" w:type="pct"/>
                  <w:vMerge w:val="continue"/>
                  <w:noWrap w:val="0"/>
                  <w:vAlign w:val="center"/>
                </w:tcPr>
                <w:p w14:paraId="401042F7">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2C6A1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7EF07DD">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29F28F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白鹤咀农户聚居区</w:t>
                  </w:r>
                </w:p>
              </w:tc>
              <w:tc>
                <w:tcPr>
                  <w:tcW w:w="352" w:type="pct"/>
                  <w:shd w:val="clear" w:color="auto" w:fill="auto"/>
                  <w:noWrap w:val="0"/>
                  <w:vAlign w:val="center"/>
                </w:tcPr>
                <w:p w14:paraId="318FA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南侧</w:t>
                  </w:r>
                </w:p>
              </w:tc>
              <w:tc>
                <w:tcPr>
                  <w:tcW w:w="651" w:type="pct"/>
                  <w:noWrap w:val="0"/>
                  <w:vAlign w:val="center"/>
                </w:tcPr>
                <w:p w14:paraId="5B587CA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1</w:t>
                  </w:r>
                  <w:r>
                    <w:rPr>
                      <w:rFonts w:hint="eastAsia" w:ascii="Times New Roman" w:hAnsi="Times New Roman" w:cs="Times New Roman"/>
                      <w:color w:val="auto"/>
                      <w:kern w:val="0"/>
                      <w:szCs w:val="21"/>
                      <w:lang w:val="en-US" w:eastAsia="zh-CN" w:bidi="ar"/>
                    </w:rPr>
                    <w:t>0</w:t>
                  </w:r>
                  <w:r>
                    <w:rPr>
                      <w:rFonts w:hint="eastAsia" w:cs="Times New Roman"/>
                      <w:color w:val="auto"/>
                      <w:kern w:val="0"/>
                      <w:szCs w:val="21"/>
                      <w:lang w:val="en-US" w:eastAsia="zh-CN" w:bidi="ar"/>
                    </w:rPr>
                    <w:t>3</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623</w:t>
                  </w:r>
                </w:p>
              </w:tc>
              <w:tc>
                <w:tcPr>
                  <w:tcW w:w="805" w:type="pct"/>
                  <w:noWrap w:val="0"/>
                  <w:vAlign w:val="center"/>
                </w:tcPr>
                <w:p w14:paraId="2E9299D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10</w:t>
                  </w:r>
                  <w:r>
                    <w:rPr>
                      <w:rFonts w:hint="eastAsia"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50</w:t>
                  </w:r>
                  <w:r>
                    <w:rPr>
                      <w:rFonts w:hint="eastAsia" w:cs="Times New Roman"/>
                      <w:color w:val="auto"/>
                      <w:kern w:val="0"/>
                      <w:szCs w:val="21"/>
                      <w:lang w:val="en-US" w:eastAsia="zh-CN" w:bidi="ar"/>
                    </w:rPr>
                    <w:t>1</w:t>
                  </w:r>
                </w:p>
              </w:tc>
              <w:tc>
                <w:tcPr>
                  <w:tcW w:w="636" w:type="pct"/>
                  <w:tcBorders>
                    <w:right w:val="single" w:color="000000" w:sz="4" w:space="0"/>
                  </w:tcBorders>
                  <w:noWrap w:val="0"/>
                  <w:vAlign w:val="center"/>
                </w:tcPr>
                <w:p w14:paraId="3817A4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67</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-6</w:t>
                  </w:r>
                </w:p>
              </w:tc>
              <w:tc>
                <w:tcPr>
                  <w:tcW w:w="566" w:type="pct"/>
                  <w:noWrap w:val="0"/>
                  <w:vAlign w:val="center"/>
                </w:tcPr>
                <w:p w14:paraId="2EFD1868">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约35</w:t>
                  </w:r>
                  <w:r>
                    <w:rPr>
                      <w:rStyle w:val="80"/>
                      <w:rFonts w:hint="default"/>
                      <w:color w:val="auto"/>
                      <w:sz w:val="21"/>
                      <w:szCs w:val="21"/>
                      <w:lang w:val="en-US" w:eastAsia="zh-CN" w:bidi="ar"/>
                    </w:rPr>
                    <w:t>户</w:t>
                  </w:r>
                  <w:r>
                    <w:rPr>
                      <w:rStyle w:val="80"/>
                      <w:rFonts w:hint="eastAsia"/>
                      <w:color w:val="auto"/>
                      <w:sz w:val="21"/>
                      <w:szCs w:val="21"/>
                      <w:lang w:val="en-US" w:eastAsia="zh-CN" w:bidi="ar"/>
                    </w:rPr>
                    <w:t>/140</w:t>
                  </w:r>
                  <w:r>
                    <w:rPr>
                      <w:rStyle w:val="80"/>
                      <w:rFonts w:hint="default"/>
                      <w:color w:val="auto"/>
                      <w:sz w:val="21"/>
                      <w:szCs w:val="21"/>
                      <w:lang w:val="en-US" w:eastAsia="zh-CN" w:bidi="ar"/>
                    </w:rPr>
                    <w:t>人</w:t>
                  </w:r>
                </w:p>
              </w:tc>
              <w:tc>
                <w:tcPr>
                  <w:tcW w:w="813" w:type="pct"/>
                  <w:vMerge w:val="continue"/>
                  <w:noWrap w:val="0"/>
                  <w:vAlign w:val="center"/>
                </w:tcPr>
                <w:p w14:paraId="4D3319B5">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6920F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715EBE3">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782EB6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马家梁</w:t>
                  </w:r>
                  <w:r>
                    <w:rPr>
                      <w:rFonts w:hint="eastAsia" w:ascii="Times New Roman" w:hAnsi="Times New Roman" w:cs="Times New Roman"/>
                      <w:color w:val="auto"/>
                      <w:kern w:val="0"/>
                      <w:szCs w:val="21"/>
                      <w:lang w:val="en-US" w:eastAsia="zh-CN" w:bidi="ar"/>
                    </w:rPr>
                    <w:t>农户聚居区</w:t>
                  </w:r>
                </w:p>
              </w:tc>
              <w:tc>
                <w:tcPr>
                  <w:tcW w:w="352" w:type="pct"/>
                  <w:shd w:val="clear" w:color="auto" w:fill="auto"/>
                  <w:noWrap w:val="0"/>
                  <w:vAlign w:val="center"/>
                </w:tcPr>
                <w:p w14:paraId="5A190B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西侧</w:t>
                  </w:r>
                </w:p>
              </w:tc>
              <w:tc>
                <w:tcPr>
                  <w:tcW w:w="651" w:type="pct"/>
                  <w:noWrap w:val="0"/>
                  <w:vAlign w:val="center"/>
                </w:tcPr>
                <w:p w14:paraId="68A2E9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cs="Times New Roman"/>
                      <w:color w:val="auto"/>
                      <w:kern w:val="0"/>
                      <w:szCs w:val="21"/>
                      <w:lang w:val="en-US" w:eastAsia="zh-CN" w:bidi="ar"/>
                    </w:rPr>
                    <w:t>23</w:t>
                  </w:r>
                  <w:r>
                    <w:rPr>
                      <w:rFonts w:hint="eastAsia" w:cs="Times New Roman"/>
                      <w:color w:val="auto"/>
                      <w:kern w:val="0"/>
                      <w:szCs w:val="21"/>
                      <w:lang w:val="en-US" w:eastAsia="zh-CN" w:bidi="ar"/>
                    </w:rPr>
                    <w:t>3</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593</w:t>
                  </w:r>
                </w:p>
              </w:tc>
              <w:tc>
                <w:tcPr>
                  <w:tcW w:w="805" w:type="pct"/>
                  <w:noWrap w:val="0"/>
                  <w:vAlign w:val="center"/>
                </w:tcPr>
                <w:p w14:paraId="5331D32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170</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510</w:t>
                  </w:r>
                </w:p>
              </w:tc>
              <w:tc>
                <w:tcPr>
                  <w:tcW w:w="636" w:type="pct"/>
                  <w:tcBorders>
                    <w:right w:val="single" w:color="000000" w:sz="4" w:space="0"/>
                  </w:tcBorders>
                  <w:noWrap w:val="0"/>
                  <w:vAlign w:val="center"/>
                </w:tcPr>
                <w:p w14:paraId="414D58F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92</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42</w:t>
                  </w:r>
                </w:p>
              </w:tc>
              <w:tc>
                <w:tcPr>
                  <w:tcW w:w="566" w:type="pct"/>
                  <w:noWrap w:val="0"/>
                  <w:vAlign w:val="center"/>
                </w:tcPr>
                <w:p w14:paraId="02AEC0A1">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约41</w:t>
                  </w:r>
                  <w:r>
                    <w:rPr>
                      <w:rStyle w:val="80"/>
                      <w:rFonts w:hint="default"/>
                      <w:color w:val="auto"/>
                      <w:sz w:val="21"/>
                      <w:szCs w:val="21"/>
                      <w:lang w:val="en-US" w:eastAsia="zh-CN" w:bidi="ar"/>
                    </w:rPr>
                    <w:t>户</w:t>
                  </w:r>
                  <w:r>
                    <w:rPr>
                      <w:rStyle w:val="80"/>
                      <w:rFonts w:hint="eastAsia"/>
                      <w:color w:val="auto"/>
                      <w:sz w:val="21"/>
                      <w:szCs w:val="21"/>
                      <w:lang w:val="en-US" w:eastAsia="zh-CN" w:bidi="ar"/>
                    </w:rPr>
                    <w:t>/164</w:t>
                  </w:r>
                  <w:r>
                    <w:rPr>
                      <w:rStyle w:val="80"/>
                      <w:rFonts w:hint="default"/>
                      <w:color w:val="auto"/>
                      <w:sz w:val="21"/>
                      <w:szCs w:val="21"/>
                      <w:lang w:val="en-US" w:eastAsia="zh-CN" w:bidi="ar"/>
                    </w:rPr>
                    <w:t>人</w:t>
                  </w:r>
                </w:p>
              </w:tc>
              <w:tc>
                <w:tcPr>
                  <w:tcW w:w="813" w:type="pct"/>
                  <w:vMerge w:val="continue"/>
                  <w:noWrap w:val="0"/>
                  <w:vAlign w:val="center"/>
                </w:tcPr>
                <w:p w14:paraId="04E0DBD1">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58548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B1E0A50">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04918A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村子坝</w:t>
                  </w:r>
                  <w:r>
                    <w:rPr>
                      <w:rFonts w:hint="eastAsia" w:ascii="Times New Roman" w:hAnsi="Times New Roman" w:cs="Times New Roman"/>
                      <w:color w:val="auto"/>
                      <w:kern w:val="0"/>
                      <w:szCs w:val="21"/>
                      <w:lang w:val="en-US" w:eastAsia="zh-CN" w:bidi="ar"/>
                    </w:rPr>
                    <w:t>农户聚居区</w:t>
                  </w:r>
                </w:p>
              </w:tc>
              <w:tc>
                <w:tcPr>
                  <w:tcW w:w="352" w:type="pct"/>
                  <w:shd w:val="clear" w:color="auto" w:fill="auto"/>
                  <w:noWrap w:val="0"/>
                  <w:vAlign w:val="center"/>
                </w:tcPr>
                <w:p w14:paraId="6B2283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p>
              </w:tc>
              <w:tc>
                <w:tcPr>
                  <w:tcW w:w="651" w:type="pct"/>
                  <w:noWrap w:val="0"/>
                  <w:vAlign w:val="center"/>
                </w:tcPr>
                <w:p w14:paraId="04046FC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254</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606</w:t>
                  </w:r>
                </w:p>
              </w:tc>
              <w:tc>
                <w:tcPr>
                  <w:tcW w:w="805" w:type="pct"/>
                  <w:noWrap w:val="0"/>
                  <w:vAlign w:val="center"/>
                </w:tcPr>
                <w:p w14:paraId="6A286F6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176</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536</w:t>
                  </w:r>
                </w:p>
              </w:tc>
              <w:tc>
                <w:tcPr>
                  <w:tcW w:w="636" w:type="pct"/>
                  <w:tcBorders>
                    <w:right w:val="single" w:color="000000" w:sz="4" w:space="0"/>
                  </w:tcBorders>
                  <w:noWrap w:val="0"/>
                  <w:vAlign w:val="center"/>
                </w:tcPr>
                <w:p w14:paraId="353C568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7</w:t>
                  </w:r>
                  <w:r>
                    <w:rPr>
                      <w:rFonts w:hint="eastAsia" w:cs="Times New Roman"/>
                      <w:i w:val="0"/>
                      <w:iCs w:val="0"/>
                      <w:color w:val="auto"/>
                      <w:kern w:val="0"/>
                      <w:sz w:val="21"/>
                      <w:szCs w:val="21"/>
                      <w:u w:val="none"/>
                      <w:lang w:val="en-US" w:eastAsia="zh-CN" w:bidi="ar"/>
                    </w:rPr>
                    <w:t>1</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41</w:t>
                  </w:r>
                </w:p>
              </w:tc>
              <w:tc>
                <w:tcPr>
                  <w:tcW w:w="566" w:type="pct"/>
                  <w:noWrap w:val="0"/>
                  <w:vAlign w:val="center"/>
                </w:tcPr>
                <w:p w14:paraId="5952F9F1">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约22</w:t>
                  </w:r>
                  <w:r>
                    <w:rPr>
                      <w:rStyle w:val="80"/>
                      <w:rFonts w:hint="default"/>
                      <w:color w:val="auto"/>
                      <w:sz w:val="21"/>
                      <w:szCs w:val="21"/>
                      <w:lang w:val="en-US" w:eastAsia="zh-CN" w:bidi="ar"/>
                    </w:rPr>
                    <w:t>户</w:t>
                  </w:r>
                  <w:r>
                    <w:rPr>
                      <w:rStyle w:val="80"/>
                      <w:rFonts w:hint="eastAsia"/>
                      <w:color w:val="auto"/>
                      <w:sz w:val="21"/>
                      <w:szCs w:val="21"/>
                      <w:lang w:val="en-US" w:eastAsia="zh-CN" w:bidi="ar"/>
                    </w:rPr>
                    <w:t>/88</w:t>
                  </w:r>
                  <w:r>
                    <w:rPr>
                      <w:rStyle w:val="80"/>
                      <w:rFonts w:hint="default"/>
                      <w:color w:val="auto"/>
                      <w:sz w:val="21"/>
                      <w:szCs w:val="21"/>
                      <w:lang w:val="en-US" w:eastAsia="zh-CN" w:bidi="ar"/>
                    </w:rPr>
                    <w:t>人</w:t>
                  </w:r>
                </w:p>
              </w:tc>
              <w:tc>
                <w:tcPr>
                  <w:tcW w:w="813" w:type="pct"/>
                  <w:vMerge w:val="continue"/>
                  <w:noWrap w:val="0"/>
                  <w:vAlign w:val="center"/>
                </w:tcPr>
                <w:p w14:paraId="3156FFC3">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54FF2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82BD9A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00C6C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松垭子农户聚居区</w:t>
                  </w:r>
                </w:p>
              </w:tc>
              <w:tc>
                <w:tcPr>
                  <w:tcW w:w="352" w:type="pct"/>
                  <w:shd w:val="clear" w:color="auto" w:fill="auto"/>
                  <w:noWrap w:val="0"/>
                  <w:vAlign w:val="center"/>
                </w:tcPr>
                <w:p w14:paraId="4CFB7C5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北侧</w:t>
                  </w:r>
                </w:p>
              </w:tc>
              <w:tc>
                <w:tcPr>
                  <w:tcW w:w="651" w:type="pct"/>
                  <w:noWrap w:val="0"/>
                  <w:vAlign w:val="center"/>
                </w:tcPr>
                <w:p w14:paraId="092BEDB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rPr>
                  </w:pPr>
                  <w:r>
                    <w:rPr>
                      <w:rFonts w:hint="eastAsia" w:cs="Times New Roman"/>
                      <w:color w:val="auto"/>
                      <w:szCs w:val="21"/>
                      <w:lang w:val="en-US" w:eastAsia="zh-CN"/>
                    </w:rPr>
                    <w:t>130</w:t>
                  </w:r>
                  <w:r>
                    <w:rPr>
                      <w:rFonts w:hint="eastAsia" w:ascii="Times New Roman" w:hAnsi="Times New Roman" w:cs="Times New Roman"/>
                      <w:color w:val="auto"/>
                      <w:szCs w:val="21"/>
                    </w:rPr>
                    <w:t>~</w:t>
                  </w:r>
                  <w:r>
                    <w:rPr>
                      <w:rFonts w:hint="eastAsia" w:cs="Times New Roman"/>
                      <w:color w:val="auto"/>
                      <w:szCs w:val="21"/>
                      <w:lang w:val="en-US" w:eastAsia="zh-CN"/>
                    </w:rPr>
                    <w:t>545</w:t>
                  </w:r>
                </w:p>
              </w:tc>
              <w:tc>
                <w:tcPr>
                  <w:tcW w:w="805" w:type="pct"/>
                  <w:noWrap w:val="0"/>
                  <w:vAlign w:val="center"/>
                </w:tcPr>
                <w:p w14:paraId="5E4736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49</w:t>
                  </w:r>
                  <w:r>
                    <w:rPr>
                      <w:rFonts w:hint="eastAsia" w:ascii="Times New Roman" w:hAnsi="Times New Roman" w:cs="Times New Roman"/>
                      <w:color w:val="auto"/>
                      <w:szCs w:val="21"/>
                    </w:rPr>
                    <w:t>~</w:t>
                  </w:r>
                  <w:r>
                    <w:rPr>
                      <w:rFonts w:hint="eastAsia" w:cs="Times New Roman"/>
                      <w:color w:val="auto"/>
                      <w:szCs w:val="21"/>
                      <w:lang w:val="en-US" w:eastAsia="zh-CN"/>
                    </w:rPr>
                    <w:t>476</w:t>
                  </w:r>
                </w:p>
              </w:tc>
              <w:tc>
                <w:tcPr>
                  <w:tcW w:w="636" w:type="pct"/>
                  <w:tcBorders>
                    <w:right w:val="single" w:color="000000" w:sz="4" w:space="0"/>
                  </w:tcBorders>
                  <w:noWrap w:val="0"/>
                  <w:vAlign w:val="center"/>
                </w:tcPr>
                <w:p w14:paraId="1587000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41</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+21</w:t>
                  </w:r>
                </w:p>
              </w:tc>
              <w:tc>
                <w:tcPr>
                  <w:tcW w:w="566" w:type="pct"/>
                  <w:noWrap w:val="0"/>
                  <w:vAlign w:val="center"/>
                </w:tcPr>
                <w:p w14:paraId="4C6B441E">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约27户/108人</w:t>
                  </w:r>
                </w:p>
              </w:tc>
              <w:tc>
                <w:tcPr>
                  <w:tcW w:w="813" w:type="pct"/>
                  <w:vMerge w:val="continue"/>
                  <w:noWrap w:val="0"/>
                  <w:vAlign w:val="center"/>
                </w:tcPr>
                <w:p w14:paraId="3827EC1B">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55687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9B81212">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779" w:type="pct"/>
                  <w:shd w:val="clear" w:color="auto" w:fill="auto"/>
                  <w:noWrap w:val="0"/>
                  <w:vAlign w:val="center"/>
                </w:tcPr>
                <w:p w14:paraId="44116ED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352" w:type="pct"/>
                  <w:shd w:val="clear" w:color="auto" w:fill="auto"/>
                  <w:noWrap w:val="0"/>
                  <w:vAlign w:val="center"/>
                </w:tcPr>
                <w:p w14:paraId="11A5B50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东北侧</w:t>
                  </w:r>
                </w:p>
              </w:tc>
              <w:tc>
                <w:tcPr>
                  <w:tcW w:w="651" w:type="pct"/>
                  <w:shd w:val="clear" w:color="auto" w:fill="auto"/>
                  <w:noWrap w:val="0"/>
                  <w:vAlign w:val="center"/>
                </w:tcPr>
                <w:p w14:paraId="7BC6F67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225~600</w:t>
                  </w:r>
                </w:p>
              </w:tc>
              <w:tc>
                <w:tcPr>
                  <w:tcW w:w="805" w:type="pct"/>
                  <w:shd w:val="clear" w:color="auto" w:fill="auto"/>
                  <w:noWrap w:val="0"/>
                  <w:vAlign w:val="center"/>
                </w:tcPr>
                <w:p w14:paraId="064FA4B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129~557</w:t>
                  </w:r>
                </w:p>
              </w:tc>
              <w:tc>
                <w:tcPr>
                  <w:tcW w:w="636" w:type="pct"/>
                  <w:tcBorders>
                    <w:right w:val="single" w:color="000000" w:sz="4" w:space="0"/>
                  </w:tcBorders>
                  <w:shd w:val="clear" w:color="auto" w:fill="auto"/>
                  <w:noWrap w:val="0"/>
                  <w:vAlign w:val="center"/>
                </w:tcPr>
                <w:p w14:paraId="7424BD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-86~-50</w:t>
                  </w:r>
                </w:p>
              </w:tc>
              <w:tc>
                <w:tcPr>
                  <w:tcW w:w="566" w:type="pct"/>
                  <w:shd w:val="clear" w:color="auto" w:fill="auto"/>
                  <w:noWrap w:val="0"/>
                  <w:vAlign w:val="center"/>
                </w:tcPr>
                <w:p w14:paraId="60F75B3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约23户/92人</w:t>
                  </w:r>
                </w:p>
              </w:tc>
              <w:tc>
                <w:tcPr>
                  <w:tcW w:w="813" w:type="pct"/>
                  <w:vMerge w:val="continue"/>
                  <w:noWrap w:val="0"/>
                  <w:vAlign w:val="center"/>
                </w:tcPr>
                <w:p w14:paraId="529F578C">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p>
              </w:tc>
            </w:tr>
            <w:tr w14:paraId="2B8F3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686097F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w:t>
                  </w:r>
                </w:p>
              </w:tc>
              <w:tc>
                <w:tcPr>
                  <w:tcW w:w="779" w:type="pct"/>
                  <w:noWrap w:val="0"/>
                  <w:vAlign w:val="center"/>
                </w:tcPr>
                <w:p w14:paraId="76D7CCD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土壤、植被</w:t>
                  </w:r>
                </w:p>
              </w:tc>
              <w:tc>
                <w:tcPr>
                  <w:tcW w:w="3013" w:type="pct"/>
                  <w:gridSpan w:val="5"/>
                  <w:noWrap w:val="0"/>
                  <w:vAlign w:val="center"/>
                </w:tcPr>
                <w:p w14:paraId="03F35250">
                  <w:pPr>
                    <w:pStyle w:val="55"/>
                    <w:keepNext w:val="0"/>
                    <w:keepLines w:val="0"/>
                    <w:suppressLineNumbers w:val="0"/>
                    <w:spacing w:before="0" w:beforeAutospacing="0" w:after="0" w:afterAutospacing="0"/>
                    <w:ind w:left="0" w:right="0"/>
                    <w:rPr>
                      <w:rStyle w:val="80"/>
                      <w:rFonts w:eastAsia="宋体"/>
                      <w:color w:val="auto"/>
                      <w:sz w:val="21"/>
                      <w:szCs w:val="21"/>
                      <w:lang w:bidi="ar"/>
                    </w:rPr>
                  </w:pPr>
                  <w:r>
                    <w:rPr>
                      <w:rFonts w:hint="eastAsia" w:ascii="Times New Roman" w:hAnsi="Times New Roman" w:eastAsia="宋体" w:cs="Times New Roman"/>
                      <w:color w:val="auto"/>
                      <w:lang w:val="en-US" w:eastAsia="zh-CN"/>
                    </w:rPr>
                    <w:t>项目井场</w:t>
                  </w:r>
                  <w:r>
                    <w:rPr>
                      <w:rFonts w:ascii="Times New Roman" w:hAnsi="Times New Roman" w:eastAsia="宋体" w:cs="Times New Roman"/>
                      <w:color w:val="auto"/>
                    </w:rPr>
                    <w:t>及周边</w:t>
                  </w:r>
                  <w:r>
                    <w:rPr>
                      <w:rFonts w:ascii="Times New Roman" w:hAnsi="Times New Roman" w:cs="Times New Roman"/>
                      <w:color w:val="auto"/>
                    </w:rPr>
                    <w:t>500m</w:t>
                  </w:r>
                  <w:r>
                    <w:rPr>
                      <w:rFonts w:ascii="Times New Roman" w:hAnsi="Times New Roman" w:eastAsia="宋体" w:cs="Times New Roman"/>
                      <w:color w:val="auto"/>
                    </w:rPr>
                    <w:t>范围内土壤、植被</w:t>
                  </w:r>
                </w:p>
              </w:tc>
              <w:tc>
                <w:tcPr>
                  <w:tcW w:w="813" w:type="pct"/>
                  <w:noWrap w:val="0"/>
                  <w:vAlign w:val="center"/>
                </w:tcPr>
                <w:p w14:paraId="14332C23">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eastAsia="zh-CN" w:bidi="ar"/>
                    </w:rPr>
                  </w:pPr>
                  <w:r>
                    <w:rPr>
                      <w:rFonts w:ascii="Times New Roman" w:hAnsi="Times New Roman" w:eastAsia="宋体" w:cs="Times New Roman"/>
                      <w:color w:val="auto"/>
                    </w:rPr>
                    <w:t>不因本项目的实施而使区域生态环境受到较大影响</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水土流失加剧</w:t>
                  </w:r>
                  <w:r>
                    <w:rPr>
                      <w:rFonts w:hint="eastAsia" w:ascii="Times New Roman" w:hAnsi="Times New Roman" w:eastAsia="宋体" w:cs="Times New Roman"/>
                      <w:color w:val="auto"/>
                      <w:lang w:eastAsia="zh-CN"/>
                    </w:rPr>
                    <w:t>，</w:t>
                  </w:r>
                  <w:r>
                    <w:rPr>
                      <w:rFonts w:hint="eastAsia" w:eastAsia="宋体"/>
                      <w:b w:val="0"/>
                      <w:bCs/>
                      <w:color w:val="auto"/>
                      <w:highlight w:val="none"/>
                      <w:lang w:eastAsia="zh-CN"/>
                    </w:rPr>
                    <w:t>保护野生动植物生境、种群及生态系统不受破坏</w:t>
                  </w:r>
                </w:p>
              </w:tc>
            </w:tr>
            <w:tr w14:paraId="5534E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2AFAE9C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土壤环境</w:t>
                  </w:r>
                </w:p>
              </w:tc>
              <w:tc>
                <w:tcPr>
                  <w:tcW w:w="779" w:type="pct"/>
                  <w:noWrap w:val="0"/>
                  <w:vAlign w:val="center"/>
                </w:tcPr>
                <w:p w14:paraId="0A4BE6C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耕地、</w:t>
                  </w:r>
                  <w:r>
                    <w:rPr>
                      <w:rFonts w:hint="eastAsia" w:ascii="Times New Roman" w:hAnsi="Times New Roman" w:eastAsia="宋体" w:cs="Times New Roman"/>
                      <w:color w:val="auto"/>
                      <w:lang w:val="en-US" w:eastAsia="zh-CN"/>
                    </w:rPr>
                    <w:t>林地、</w:t>
                  </w:r>
                  <w:r>
                    <w:rPr>
                      <w:rFonts w:ascii="Times New Roman" w:hAnsi="Times New Roman" w:eastAsia="宋体" w:cs="Times New Roman"/>
                      <w:color w:val="auto"/>
                    </w:rPr>
                    <w:t>居民</w:t>
                  </w:r>
                  <w:r>
                    <w:rPr>
                      <w:rFonts w:hint="eastAsia" w:ascii="Times New Roman" w:hAnsi="Times New Roman" w:eastAsia="宋体" w:cs="Times New Roman"/>
                      <w:color w:val="auto"/>
                      <w:lang w:val="en-US" w:eastAsia="zh-CN"/>
                    </w:rPr>
                    <w:t>区</w:t>
                  </w:r>
                </w:p>
              </w:tc>
              <w:tc>
                <w:tcPr>
                  <w:tcW w:w="3013" w:type="pct"/>
                  <w:gridSpan w:val="5"/>
                  <w:noWrap w:val="0"/>
                  <w:vAlign w:val="center"/>
                </w:tcPr>
                <w:p w14:paraId="379ED6CE">
                  <w:pPr>
                    <w:keepNext w:val="0"/>
                    <w:keepLines w:val="0"/>
                    <w:widowControl/>
                    <w:suppressLineNumbers w:val="0"/>
                    <w:spacing w:before="0" w:beforeAutospacing="0" w:after="0" w:afterAutospacing="0"/>
                    <w:ind w:left="0" w:right="0"/>
                    <w:jc w:val="center"/>
                    <w:textAlignment w:val="center"/>
                    <w:rPr>
                      <w:rStyle w:val="80"/>
                      <w:rFonts w:hint="default"/>
                      <w:color w:val="auto"/>
                      <w:sz w:val="21"/>
                      <w:szCs w:val="21"/>
                      <w:lang w:val="en-US" w:bidi="ar"/>
                    </w:rPr>
                  </w:pPr>
                  <w:r>
                    <w:rPr>
                      <w:rFonts w:hint="eastAsia" w:ascii="Times New Roman" w:hAnsi="Times New Roman" w:cs="Times New Roman"/>
                      <w:color w:val="auto"/>
                      <w:lang w:val="en-US" w:eastAsia="zh-CN" w:bidi="ar"/>
                    </w:rPr>
                    <w:t>项目井场</w:t>
                  </w:r>
                  <w:r>
                    <w:rPr>
                      <w:rFonts w:hint="default" w:ascii="Times New Roman" w:hAnsi="Times New Roman" w:cs="Times New Roman"/>
                      <w:color w:val="auto"/>
                      <w:lang w:bidi="ar"/>
                    </w:rPr>
                    <w:t>占地范围及占地范围外</w:t>
                  </w:r>
                  <w:r>
                    <w:rPr>
                      <w:rFonts w:hint="eastAsia" w:ascii="Times New Roman" w:hAnsi="Times New Roman" w:cs="Times New Roman"/>
                      <w:color w:val="auto"/>
                      <w:lang w:val="en-US" w:eastAsia="zh-CN" w:bidi="ar"/>
                    </w:rPr>
                    <w:t>50</w:t>
                  </w:r>
                  <w:r>
                    <w:rPr>
                      <w:rFonts w:hint="default" w:ascii="Times New Roman" w:hAnsi="Times New Roman" w:cs="Times New Roman"/>
                      <w:color w:val="auto"/>
                      <w:lang w:bidi="ar"/>
                    </w:rPr>
                    <w:t>m内的耕地、</w:t>
                  </w:r>
                  <w:r>
                    <w:rPr>
                      <w:rFonts w:hint="eastAsia" w:ascii="Times New Roman" w:hAnsi="Times New Roman" w:cs="Times New Roman"/>
                      <w:color w:val="auto"/>
                      <w:lang w:val="en-US" w:eastAsia="zh-CN" w:bidi="ar"/>
                    </w:rPr>
                    <w:t>林地、</w:t>
                  </w:r>
                  <w:r>
                    <w:rPr>
                      <w:rFonts w:hint="default" w:ascii="Times New Roman" w:hAnsi="Times New Roman" w:cs="Times New Roman"/>
                      <w:color w:val="auto"/>
                      <w:lang w:bidi="ar"/>
                    </w:rPr>
                    <w:t>居民</w:t>
                  </w:r>
                  <w:r>
                    <w:rPr>
                      <w:rFonts w:hint="eastAsia" w:ascii="Times New Roman" w:hAnsi="Times New Roman" w:cs="Times New Roman"/>
                      <w:color w:val="auto"/>
                      <w:lang w:val="en-US" w:eastAsia="zh-CN" w:bidi="ar"/>
                    </w:rPr>
                    <w:t>区土地</w:t>
                  </w:r>
                </w:p>
              </w:tc>
              <w:tc>
                <w:tcPr>
                  <w:tcW w:w="813" w:type="pct"/>
                  <w:noWrap w:val="0"/>
                  <w:vAlign w:val="center"/>
                </w:tcPr>
                <w:p w14:paraId="56D65FBF">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lang w:bidi="ar"/>
                    </w:rPr>
                  </w:pPr>
                  <w:r>
                    <w:rPr>
                      <w:rFonts w:ascii="Times New Roman" w:hAnsi="Times New Roman" w:eastAsia="宋体" w:cs="Times New Roman"/>
                      <w:color w:val="auto"/>
                      <w:lang w:bidi="ar"/>
                    </w:rPr>
                    <w:t>不因本项目的实施而污染项目周边土壤环境</w:t>
                  </w:r>
                </w:p>
              </w:tc>
            </w:tr>
            <w:tr w14:paraId="333E0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1F0E6FD6">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ascii="Times New Roman" w:hAnsi="Times New Roman" w:eastAsia="宋体" w:cs="Times New Roman"/>
                      <w:b w:val="0"/>
                      <w:color w:val="auto"/>
                    </w:rPr>
                    <w:t>地下水</w:t>
                  </w:r>
                </w:p>
              </w:tc>
              <w:tc>
                <w:tcPr>
                  <w:tcW w:w="779" w:type="pct"/>
                  <w:tcBorders>
                    <w:right w:val="single" w:color="auto" w:sz="4" w:space="0"/>
                  </w:tcBorders>
                  <w:noWrap w:val="0"/>
                  <w:vAlign w:val="center"/>
                </w:tcPr>
                <w:p w14:paraId="2E826CC8">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rPr>
                    <w:t>具有供水意义的含水层</w:t>
                  </w:r>
                </w:p>
              </w:tc>
              <w:tc>
                <w:tcPr>
                  <w:tcW w:w="3013" w:type="pct"/>
                  <w:gridSpan w:val="5"/>
                  <w:tcBorders>
                    <w:left w:val="single" w:color="auto" w:sz="4" w:space="0"/>
                  </w:tcBorders>
                  <w:noWrap w:val="0"/>
                  <w:vAlign w:val="center"/>
                </w:tcPr>
                <w:p w14:paraId="33EB5A78">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eastAsia="zh-CN"/>
                    </w:rPr>
                  </w:pPr>
                  <w:r>
                    <w:rPr>
                      <w:rFonts w:hint="default" w:ascii="Times New Roman" w:hAnsi="Times New Roman" w:eastAsia="Times New Roman" w:cs="Times New Roman"/>
                      <w:color w:val="auto"/>
                    </w:rPr>
                    <w:t>评价范围内的分散式水井（项目</w:t>
                  </w:r>
                  <w:r>
                    <w:rPr>
                      <w:rFonts w:hint="eastAsia" w:ascii="Times New Roman" w:hAnsi="Times New Roman" w:eastAsia="Times New Roman" w:cs="Times New Roman"/>
                      <w:color w:val="auto"/>
                      <w:lang w:val="en-US" w:eastAsia="zh-CN"/>
                    </w:rPr>
                    <w:t>井口</w:t>
                  </w:r>
                  <w:r>
                    <w:rPr>
                      <w:rFonts w:hint="default" w:ascii="Times New Roman" w:hAnsi="Times New Roman" w:eastAsia="Times New Roman" w:cs="Times New Roman"/>
                      <w:color w:val="auto"/>
                    </w:rPr>
                    <w:t>周边约</w:t>
                  </w:r>
                  <w:r>
                    <w:rPr>
                      <w:rFonts w:hint="eastAsia" w:ascii="Times New Roman" w:hAnsi="Times New Roman" w:eastAsia="Times New Roman" w:cs="Times New Roman"/>
                      <w:color w:val="auto"/>
                      <w:lang w:val="en-US" w:eastAsia="zh-CN"/>
                    </w:rPr>
                    <w:t>140</w:t>
                  </w:r>
                  <w:r>
                    <w:rPr>
                      <w:rFonts w:hint="default" w:ascii="Times New Roman" w:hAnsi="Times New Roman" w:eastAsia="Times New Roman" w:cs="Times New Roman"/>
                      <w:color w:val="auto"/>
                    </w:rPr>
                    <w:t>m~</w:t>
                  </w:r>
                  <w:r>
                    <w:rPr>
                      <w:rFonts w:hint="eastAsia" w:ascii="Times New Roman" w:hAnsi="Times New Roman" w:eastAsia="Times New Roman" w:cs="Times New Roman"/>
                      <w:color w:val="auto"/>
                      <w:lang w:val="en-US" w:eastAsia="zh-CN"/>
                    </w:rPr>
                    <w:t>1300</w:t>
                  </w:r>
                  <w:r>
                    <w:rPr>
                      <w:rFonts w:hint="default" w:ascii="Times New Roman" w:hAnsi="Times New Roman" w:eastAsia="Times New Roman" w:cs="Times New Roman"/>
                      <w:color w:val="auto"/>
                    </w:rPr>
                    <w:t>m范围内民井2</w:t>
                  </w:r>
                  <w:r>
                    <w:rPr>
                      <w:rFonts w:hint="eastAsia" w:ascii="Times New Roman" w:hAnsi="Times New Roman" w:eastAsia="Times New Roman" w:cs="Times New Roman"/>
                      <w:color w:val="auto"/>
                      <w:lang w:val="en-US" w:eastAsia="zh-CN"/>
                    </w:rPr>
                    <w:t>8</w:t>
                  </w:r>
                  <w:r>
                    <w:rPr>
                      <w:rFonts w:hint="default" w:ascii="Times New Roman" w:hAnsi="Times New Roman" w:eastAsia="Times New Roman" w:cs="Times New Roman"/>
                      <w:color w:val="auto"/>
                    </w:rPr>
                    <w:t>口</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井深介于10~30m之间</w:t>
                  </w:r>
                  <w:r>
                    <w:rPr>
                      <w:rFonts w:hint="default" w:ascii="Times New Roman" w:hAnsi="Times New Roman" w:eastAsia="Times New Roman" w:cs="Times New Roman"/>
                      <w:color w:val="auto"/>
                    </w:rPr>
                    <w:t>）及下伏</w:t>
                  </w:r>
                  <w:r>
                    <w:rPr>
                      <w:rFonts w:hint="eastAsia" w:ascii="Times New Roman" w:hAnsi="Times New Roman" w:eastAsia="Times New Roman" w:cs="Times New Roman"/>
                      <w:color w:val="auto"/>
                      <w:lang w:val="en-US" w:eastAsia="zh-CN"/>
                    </w:rPr>
                    <w:t>基岩裂隙水含水层</w:t>
                  </w:r>
                </w:p>
              </w:tc>
              <w:tc>
                <w:tcPr>
                  <w:tcW w:w="813" w:type="pct"/>
                  <w:noWrap w:val="0"/>
                  <w:vAlign w:val="center"/>
                </w:tcPr>
                <w:p w14:paraId="36CE7071">
                  <w:pPr>
                    <w:pStyle w:val="55"/>
                    <w:keepNext w:val="0"/>
                    <w:keepLines w:val="0"/>
                    <w:suppressLineNumbers w:val="0"/>
                    <w:spacing w:before="0" w:beforeAutospacing="0" w:after="0" w:afterAutospacing="0"/>
                    <w:ind w:left="0" w:right="0"/>
                    <w:rPr>
                      <w:rFonts w:ascii="Times New Roman" w:hAnsi="Times New Roman" w:cs="Times New Roman"/>
                      <w:color w:val="auto"/>
                      <w:lang w:bidi="ar"/>
                    </w:rPr>
                  </w:pPr>
                  <w:r>
                    <w:rPr>
                      <w:rFonts w:ascii="Times New Roman" w:hAnsi="Times New Roman" w:eastAsia="宋体" w:cs="Times New Roman"/>
                      <w:color w:val="auto"/>
                      <w:lang w:bidi="ar"/>
                    </w:rPr>
                    <w:t>《地下水质量标准》（</w:t>
                  </w:r>
                  <w:r>
                    <w:rPr>
                      <w:rFonts w:ascii="Times New Roman" w:hAnsi="Times New Roman" w:cs="Times New Roman"/>
                      <w:color w:val="auto"/>
                      <w:lang w:bidi="ar"/>
                    </w:rPr>
                    <w:t>GB/T</w:t>
                  </w:r>
                  <w:r>
                    <w:rPr>
                      <w:rFonts w:hint="eastAsia" w:ascii="Times New Roman" w:hAnsi="Times New Roman" w:eastAsia="宋体" w:cs="Times New Roman"/>
                      <w:color w:val="auto"/>
                      <w:lang w:val="en-US" w:eastAsia="zh-CN" w:bidi="ar"/>
                    </w:rPr>
                    <w:t xml:space="preserve"> </w:t>
                  </w:r>
                  <w:r>
                    <w:rPr>
                      <w:rFonts w:ascii="Times New Roman" w:hAnsi="Times New Roman" w:cs="Times New Roman"/>
                      <w:color w:val="auto"/>
                      <w:lang w:bidi="ar"/>
                    </w:rPr>
                    <w:t>14848-2017</w:t>
                  </w:r>
                  <w:r>
                    <w:rPr>
                      <w:rFonts w:ascii="Times New Roman" w:hAnsi="Times New Roman" w:eastAsia="宋体" w:cs="Times New Roman"/>
                      <w:color w:val="auto"/>
                      <w:lang w:bidi="ar"/>
                    </w:rPr>
                    <w:t>）Ⅲ类标准</w:t>
                  </w:r>
                </w:p>
              </w:tc>
            </w:tr>
            <w:tr w14:paraId="7BD07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7E937451">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lang w:val="en-US" w:eastAsia="zh-CN"/>
                    </w:rPr>
                    <w:t>地表水</w:t>
                  </w:r>
                </w:p>
              </w:tc>
              <w:tc>
                <w:tcPr>
                  <w:tcW w:w="779" w:type="pct"/>
                  <w:tcBorders>
                    <w:right w:val="single" w:color="auto" w:sz="4" w:space="0"/>
                  </w:tcBorders>
                  <w:shd w:val="clear" w:color="auto" w:fill="auto"/>
                  <w:noWrap w:val="0"/>
                  <w:vAlign w:val="center"/>
                </w:tcPr>
                <w:p w14:paraId="1D89A02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lang w:val="en-US" w:eastAsia="zh-CN"/>
                    </w:rPr>
                    <w:t>三岔河</w:t>
                  </w:r>
                </w:p>
              </w:tc>
              <w:tc>
                <w:tcPr>
                  <w:tcW w:w="3013" w:type="pct"/>
                  <w:gridSpan w:val="5"/>
                  <w:tcBorders>
                    <w:left w:val="single" w:color="auto" w:sz="4" w:space="0"/>
                  </w:tcBorders>
                  <w:shd w:val="clear" w:color="auto" w:fill="auto"/>
                  <w:noWrap w:val="0"/>
                  <w:vAlign w:val="center"/>
                </w:tcPr>
                <w:p w14:paraId="41467D9D">
                  <w:pPr>
                    <w:keepNext w:val="0"/>
                    <w:keepLines w:val="0"/>
                    <w:widowControl/>
                    <w:suppressLineNumbers w:val="0"/>
                    <w:spacing w:before="0" w:beforeAutospacing="0" w:after="0" w:afterAutospacing="0"/>
                    <w:ind w:left="0" w:leftChars="0" w:right="0" w:rightChars="0"/>
                    <w:textAlignment w:val="center"/>
                    <w:rPr>
                      <w:rFonts w:hint="eastAsia" w:ascii="Times New Roman" w:hAnsi="Times New Roman" w:eastAsia="宋体" w:cs="Times New Roman"/>
                      <w:b w:val="0"/>
                      <w:color w:val="auto"/>
                      <w:kern w:val="2"/>
                      <w:sz w:val="21"/>
                      <w:szCs w:val="24"/>
                      <w:lang w:val="en-US" w:eastAsia="zh-CN" w:bidi="ar-SA"/>
                    </w:rPr>
                  </w:pPr>
                  <w:r>
                    <w:rPr>
                      <w:rFonts w:hint="default" w:ascii="Times New Roman" w:hAnsi="Times New Roman" w:eastAsia="宋体" w:cs="Times New Roman"/>
                      <w:b w:val="0"/>
                      <w:color w:val="auto"/>
                      <w:lang w:val="en-US" w:eastAsia="zh-CN"/>
                    </w:rPr>
                    <w:t>井场</w:t>
                  </w:r>
                  <w:r>
                    <w:rPr>
                      <w:rFonts w:hint="eastAsia" w:ascii="Times New Roman" w:hAnsi="Times New Roman" w:eastAsia="宋体" w:cs="Times New Roman"/>
                      <w:b w:val="0"/>
                      <w:color w:val="auto"/>
                      <w:lang w:val="en-US" w:eastAsia="zh-CN"/>
                    </w:rPr>
                    <w:t>东侧</w:t>
                  </w:r>
                  <w:r>
                    <w:rPr>
                      <w:rFonts w:hint="default" w:ascii="Times New Roman" w:hAnsi="Times New Roman" w:eastAsia="宋体" w:cs="Times New Roman"/>
                      <w:b w:val="0"/>
                      <w:color w:val="auto"/>
                      <w:lang w:val="en-US" w:eastAsia="zh-CN"/>
                    </w:rPr>
                    <w:t>，距井口最近距离</w:t>
                  </w:r>
                  <w:r>
                    <w:rPr>
                      <w:rFonts w:hint="eastAsia" w:cs="Times New Roman"/>
                      <w:b w:val="0"/>
                      <w:color w:val="auto"/>
                      <w:lang w:val="en-US" w:eastAsia="zh-CN"/>
                    </w:rPr>
                    <w:t>约1200</w:t>
                  </w:r>
                  <w:r>
                    <w:rPr>
                      <w:rFonts w:hint="default" w:ascii="Times New Roman" w:hAnsi="Times New Roman" w:eastAsia="宋体" w:cs="Times New Roman"/>
                      <w:b w:val="0"/>
                      <w:color w:val="auto"/>
                      <w:lang w:val="en-US" w:eastAsia="zh-CN"/>
                    </w:rPr>
                    <w:t>m，低于井口</w:t>
                  </w:r>
                  <w:r>
                    <w:rPr>
                      <w:rFonts w:hint="eastAsia" w:cs="Times New Roman"/>
                      <w:b w:val="0"/>
                      <w:color w:val="auto"/>
                      <w:lang w:val="en-US" w:eastAsia="zh-CN"/>
                    </w:rPr>
                    <w:t>约240</w:t>
                  </w:r>
                  <w:r>
                    <w:rPr>
                      <w:rFonts w:hint="default" w:ascii="Times New Roman" w:hAnsi="Times New Roman" w:eastAsia="宋体" w:cs="Times New Roman"/>
                      <w:b w:val="0"/>
                      <w:color w:val="auto"/>
                      <w:lang w:val="en-US" w:eastAsia="zh-CN"/>
                    </w:rPr>
                    <w:t>m</w:t>
                  </w:r>
                  <w:r>
                    <w:rPr>
                      <w:rFonts w:hint="eastAsia" w:cs="Times New Roman"/>
                      <w:b w:val="0"/>
                      <w:color w:val="auto"/>
                      <w:lang w:val="en-US" w:eastAsia="zh-CN"/>
                    </w:rPr>
                    <w:t>，</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default" w:ascii="Times New Roman" w:hAnsi="Times New Roman" w:eastAsia="宋体" w:cs="Times New Roman"/>
                      <w:b w:val="0"/>
                      <w:color w:val="auto"/>
                      <w:lang w:val="en-US" w:eastAsia="zh-CN"/>
                    </w:rPr>
                    <w:t>行洪</w:t>
                  </w:r>
                </w:p>
              </w:tc>
              <w:tc>
                <w:tcPr>
                  <w:tcW w:w="813" w:type="pct"/>
                  <w:vMerge w:val="restart"/>
                  <w:noWrap w:val="0"/>
                  <w:vAlign w:val="center"/>
                </w:tcPr>
                <w:p w14:paraId="4BABCCB7">
                  <w:pPr>
                    <w:pStyle w:val="55"/>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default" w:ascii="Times New Roman" w:hAnsi="Times New Roman" w:eastAsia="宋体" w:cs="Times New Roman"/>
                      <w:b w:val="0"/>
                      <w:color w:val="auto"/>
                    </w:rPr>
                    <w:t>《地表水环境质量标准》（GB</w:t>
                  </w:r>
                  <w:r>
                    <w:rPr>
                      <w:rFonts w:hint="eastAsia" w:ascii="Times New Roman" w:hAnsi="Times New Roman" w:eastAsia="宋体" w:cs="Times New Roman"/>
                      <w:b w:val="0"/>
                      <w:color w:val="auto"/>
                      <w:lang w:val="en-US" w:eastAsia="zh-CN"/>
                    </w:rPr>
                    <w:t xml:space="preserve"> </w:t>
                  </w:r>
                  <w:r>
                    <w:rPr>
                      <w:rFonts w:hint="eastAsia" w:ascii="Times New Roman" w:hAnsi="Times New Roman" w:eastAsia="宋体" w:cs="Times New Roman"/>
                      <w:b w:val="0"/>
                      <w:color w:val="auto"/>
                      <w:lang w:eastAsia="zh-CN"/>
                    </w:rPr>
                    <w:t>3838</w:t>
                  </w:r>
                  <w:r>
                    <w:rPr>
                      <w:rFonts w:hint="default" w:ascii="Times New Roman" w:hAnsi="Times New Roman" w:eastAsia="宋体" w:cs="Times New Roman"/>
                      <w:b w:val="0"/>
                      <w:color w:val="auto"/>
                    </w:rPr>
                    <w:t>-2002）Ⅲ类标准</w:t>
                  </w:r>
                </w:p>
              </w:tc>
            </w:tr>
            <w:tr w14:paraId="0B292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26692C9">
                  <w:pPr>
                    <w:pStyle w:val="55"/>
                    <w:keepNext w:val="0"/>
                    <w:keepLines w:val="0"/>
                    <w:suppressLineNumbers w:val="0"/>
                    <w:spacing w:before="0" w:beforeAutospacing="0" w:after="0" w:afterAutospacing="0"/>
                    <w:ind w:left="0" w:right="0"/>
                    <w:rPr>
                      <w:rFonts w:hint="eastAsia" w:ascii="Times New Roman" w:hAnsi="Times New Roman" w:eastAsia="宋体" w:cs="Times New Roman"/>
                      <w:b w:val="0"/>
                      <w:color w:val="auto"/>
                      <w:lang w:val="en-US" w:eastAsia="zh-CN"/>
                    </w:rPr>
                  </w:pPr>
                </w:p>
              </w:tc>
              <w:tc>
                <w:tcPr>
                  <w:tcW w:w="779" w:type="pct"/>
                  <w:tcBorders>
                    <w:right w:val="single" w:color="auto" w:sz="4" w:space="0"/>
                  </w:tcBorders>
                  <w:shd w:val="clear" w:color="auto" w:fill="auto"/>
                  <w:noWrap w:val="0"/>
                  <w:vAlign w:val="center"/>
                </w:tcPr>
                <w:p w14:paraId="1B54110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lang w:val="en-US" w:eastAsia="zh-CN"/>
                    </w:rPr>
                    <w:t>向阳河</w:t>
                  </w:r>
                </w:p>
              </w:tc>
              <w:tc>
                <w:tcPr>
                  <w:tcW w:w="3013" w:type="pct"/>
                  <w:gridSpan w:val="5"/>
                  <w:tcBorders>
                    <w:left w:val="single" w:color="auto" w:sz="4" w:space="0"/>
                  </w:tcBorders>
                  <w:shd w:val="clear" w:color="auto" w:fill="auto"/>
                  <w:noWrap w:val="0"/>
                  <w:vAlign w:val="center"/>
                </w:tcPr>
                <w:p w14:paraId="5F714754">
                  <w:pPr>
                    <w:keepNext w:val="0"/>
                    <w:keepLines w:val="0"/>
                    <w:widowControl/>
                    <w:suppressLineNumbers w:val="0"/>
                    <w:spacing w:before="0" w:beforeAutospacing="0" w:after="0" w:afterAutospacing="0"/>
                    <w:ind w:left="0" w:leftChars="0" w:right="0" w:rightChars="0"/>
                    <w:textAlignment w:val="center"/>
                    <w:rPr>
                      <w:rFonts w:hint="default" w:ascii="Times New Roman" w:hAnsi="Times New Roman" w:eastAsia="宋体" w:cs="Times New Roman"/>
                      <w:b w:val="0"/>
                      <w:color w:val="auto"/>
                      <w:kern w:val="2"/>
                      <w:sz w:val="21"/>
                      <w:szCs w:val="24"/>
                      <w:lang w:val="en-US" w:eastAsia="zh-CN" w:bidi="ar-SA"/>
                    </w:rPr>
                  </w:pPr>
                  <w:r>
                    <w:rPr>
                      <w:rFonts w:hint="eastAsia" w:ascii="Times New Roman" w:hAnsi="Times New Roman" w:eastAsia="宋体" w:cs="Times New Roman"/>
                      <w:b w:val="0"/>
                      <w:color w:val="auto"/>
                      <w:lang w:val="en-US" w:eastAsia="zh-CN"/>
                    </w:rPr>
                    <w:t>井场</w:t>
                  </w:r>
                  <w:r>
                    <w:rPr>
                      <w:rFonts w:hint="eastAsia" w:cs="Times New Roman"/>
                      <w:b w:val="0"/>
                      <w:color w:val="auto"/>
                      <w:lang w:val="en-US" w:eastAsia="zh-CN"/>
                    </w:rPr>
                    <w:t>南侧</w:t>
                  </w:r>
                  <w:r>
                    <w:rPr>
                      <w:rFonts w:hint="default" w:ascii="Times New Roman" w:hAnsi="Times New Roman" w:eastAsia="宋体" w:cs="Times New Roman"/>
                      <w:b w:val="0"/>
                      <w:color w:val="auto"/>
                      <w:lang w:val="en-US" w:eastAsia="zh-CN"/>
                    </w:rPr>
                    <w:t>，距井口最近距离</w:t>
                  </w:r>
                  <w:r>
                    <w:rPr>
                      <w:rFonts w:hint="eastAsia" w:cs="Times New Roman"/>
                      <w:b w:val="0"/>
                      <w:color w:val="auto"/>
                      <w:lang w:val="en-US" w:eastAsia="zh-CN"/>
                    </w:rPr>
                    <w:t>约</w:t>
                  </w:r>
                  <w:r>
                    <w:rPr>
                      <w:rFonts w:hint="eastAsia" w:ascii="Times New Roman" w:hAnsi="Times New Roman" w:eastAsia="宋体" w:cs="Times New Roman"/>
                      <w:b w:val="0"/>
                      <w:color w:val="auto"/>
                      <w:lang w:val="en-US" w:eastAsia="zh-CN"/>
                    </w:rPr>
                    <w:t>1</w:t>
                  </w:r>
                  <w:r>
                    <w:rPr>
                      <w:rFonts w:hint="eastAsia" w:cs="Times New Roman"/>
                      <w:b w:val="0"/>
                      <w:color w:val="auto"/>
                      <w:lang w:val="en-US" w:eastAsia="zh-CN"/>
                    </w:rPr>
                    <w:t>200</w:t>
                  </w:r>
                  <w:r>
                    <w:rPr>
                      <w:rFonts w:hint="default" w:ascii="Times New Roman" w:hAnsi="Times New Roman" w:eastAsia="宋体" w:cs="Times New Roman"/>
                      <w:b w:val="0"/>
                      <w:color w:val="auto"/>
                      <w:lang w:val="en-US" w:eastAsia="zh-CN"/>
                    </w:rPr>
                    <w:t>m，低于井口</w:t>
                  </w:r>
                  <w:r>
                    <w:rPr>
                      <w:rFonts w:hint="eastAsia" w:cs="Times New Roman"/>
                      <w:b w:val="0"/>
                      <w:color w:val="auto"/>
                      <w:lang w:val="en-US" w:eastAsia="zh-CN"/>
                    </w:rPr>
                    <w:t>约270</w:t>
                  </w:r>
                  <w:r>
                    <w:rPr>
                      <w:rFonts w:hint="default" w:ascii="Times New Roman" w:hAnsi="Times New Roman" w:eastAsia="宋体" w:cs="Times New Roman"/>
                      <w:b w:val="0"/>
                      <w:color w:val="auto"/>
                      <w:lang w:val="en-US" w:eastAsia="zh-CN"/>
                    </w:rPr>
                    <w:t>m</w:t>
                  </w:r>
                  <w:r>
                    <w:rPr>
                      <w:rFonts w:hint="eastAsia" w:cs="Times New Roman"/>
                      <w:b w:val="0"/>
                      <w:color w:val="auto"/>
                      <w:lang w:val="en-US" w:eastAsia="zh-CN"/>
                    </w:rPr>
                    <w:t>，</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eastAsia" w:cs="Times New Roman"/>
                      <w:b w:val="0"/>
                      <w:color w:val="auto"/>
                      <w:lang w:val="en-US" w:eastAsia="zh-CN"/>
                    </w:rPr>
                    <w:t>行</w:t>
                  </w:r>
                  <w:r>
                    <w:rPr>
                      <w:rFonts w:hint="eastAsia" w:ascii="Times New Roman" w:hAnsi="Times New Roman" w:eastAsia="宋体" w:cs="Times New Roman"/>
                      <w:b w:val="0"/>
                      <w:color w:val="auto"/>
                      <w:lang w:val="en-US" w:eastAsia="zh-CN"/>
                    </w:rPr>
                    <w:t>洪</w:t>
                  </w:r>
                </w:p>
              </w:tc>
              <w:tc>
                <w:tcPr>
                  <w:tcW w:w="813" w:type="pct"/>
                  <w:vMerge w:val="continue"/>
                  <w:noWrap w:val="0"/>
                  <w:vAlign w:val="center"/>
                </w:tcPr>
                <w:p w14:paraId="48E64A0A">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rPr>
                  </w:pPr>
                </w:p>
              </w:tc>
            </w:tr>
            <w:tr w14:paraId="2D67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A14ABDF">
                  <w:pPr>
                    <w:pStyle w:val="55"/>
                    <w:keepNext w:val="0"/>
                    <w:keepLines w:val="0"/>
                    <w:suppressLineNumbers w:val="0"/>
                    <w:spacing w:before="0" w:beforeAutospacing="0" w:after="0" w:afterAutospacing="0"/>
                    <w:ind w:left="0" w:right="0"/>
                    <w:rPr>
                      <w:rFonts w:hint="eastAsia" w:ascii="Times New Roman" w:hAnsi="Times New Roman" w:eastAsia="宋体" w:cs="Times New Roman"/>
                      <w:b w:val="0"/>
                      <w:color w:val="auto"/>
                      <w:lang w:val="en-US" w:eastAsia="zh-CN"/>
                    </w:rPr>
                  </w:pPr>
                </w:p>
              </w:tc>
              <w:tc>
                <w:tcPr>
                  <w:tcW w:w="779" w:type="pct"/>
                  <w:tcBorders>
                    <w:right w:val="single" w:color="auto" w:sz="4" w:space="0"/>
                  </w:tcBorders>
                  <w:shd w:val="clear" w:color="auto" w:fill="auto"/>
                  <w:noWrap w:val="0"/>
                  <w:vAlign w:val="center"/>
                </w:tcPr>
                <w:p w14:paraId="333C90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color w:val="auto"/>
                      <w:kern w:val="2"/>
                      <w:sz w:val="21"/>
                      <w:szCs w:val="24"/>
                      <w:lang w:val="en-US" w:eastAsia="zh-CN" w:bidi="ar-SA"/>
                    </w:rPr>
                  </w:pPr>
                  <w:r>
                    <w:rPr>
                      <w:rFonts w:hint="eastAsia" w:cs="Times New Roman"/>
                      <w:b w:val="0"/>
                      <w:color w:val="auto"/>
                      <w:kern w:val="2"/>
                      <w:sz w:val="21"/>
                      <w:szCs w:val="24"/>
                      <w:lang w:val="en-US" w:eastAsia="zh-CN" w:bidi="ar-SA"/>
                    </w:rPr>
                    <w:t>向阳河支流</w:t>
                  </w:r>
                </w:p>
              </w:tc>
              <w:tc>
                <w:tcPr>
                  <w:tcW w:w="3013" w:type="pct"/>
                  <w:gridSpan w:val="5"/>
                  <w:tcBorders>
                    <w:left w:val="single" w:color="auto" w:sz="4" w:space="0"/>
                  </w:tcBorders>
                  <w:shd w:val="clear" w:color="auto" w:fill="auto"/>
                  <w:noWrap w:val="0"/>
                  <w:vAlign w:val="center"/>
                </w:tcPr>
                <w:p w14:paraId="630332B3">
                  <w:pPr>
                    <w:keepNext w:val="0"/>
                    <w:keepLines w:val="0"/>
                    <w:widowControl/>
                    <w:suppressLineNumbers w:val="0"/>
                    <w:spacing w:before="0" w:beforeAutospacing="0" w:after="0" w:afterAutospacing="0"/>
                    <w:ind w:left="0" w:leftChars="0" w:right="0" w:rightChars="0"/>
                    <w:textAlignment w:val="center"/>
                    <w:rPr>
                      <w:rFonts w:hint="default" w:ascii="Times New Roman" w:hAnsi="Times New Roman" w:eastAsia="宋体" w:cs="Times New Roman"/>
                      <w:b w:val="0"/>
                      <w:color w:val="auto"/>
                      <w:kern w:val="2"/>
                      <w:sz w:val="21"/>
                      <w:szCs w:val="24"/>
                      <w:lang w:val="en-US" w:eastAsia="zh-CN" w:bidi="ar-SA"/>
                    </w:rPr>
                  </w:pPr>
                  <w:r>
                    <w:rPr>
                      <w:rFonts w:hint="eastAsia" w:cs="Times New Roman"/>
                      <w:b w:val="0"/>
                      <w:color w:val="auto"/>
                      <w:kern w:val="2"/>
                      <w:sz w:val="21"/>
                      <w:szCs w:val="24"/>
                      <w:lang w:val="en-US" w:eastAsia="zh-CN" w:bidi="ar-SA"/>
                    </w:rPr>
                    <w:t>井场西侧，距井口最近距离约520m，低于井口约116m，</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eastAsia" w:cs="Times New Roman"/>
                      <w:b w:val="0"/>
                      <w:color w:val="auto"/>
                      <w:lang w:val="en-US" w:eastAsia="zh-CN"/>
                    </w:rPr>
                    <w:t>行</w:t>
                  </w:r>
                  <w:r>
                    <w:rPr>
                      <w:rFonts w:hint="eastAsia" w:ascii="Times New Roman" w:hAnsi="Times New Roman" w:eastAsia="宋体" w:cs="Times New Roman"/>
                      <w:b w:val="0"/>
                      <w:color w:val="auto"/>
                      <w:lang w:val="en-US" w:eastAsia="zh-CN"/>
                    </w:rPr>
                    <w:t>洪</w:t>
                  </w:r>
                </w:p>
              </w:tc>
              <w:tc>
                <w:tcPr>
                  <w:tcW w:w="813" w:type="pct"/>
                  <w:vMerge w:val="continue"/>
                  <w:noWrap w:val="0"/>
                  <w:vAlign w:val="center"/>
                </w:tcPr>
                <w:p w14:paraId="7CAD84A3">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rPr>
                  </w:pPr>
                </w:p>
              </w:tc>
            </w:tr>
            <w:tr w14:paraId="178F4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3CB7142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bidi="ar"/>
                    </w:rPr>
                    <w:t>大气</w:t>
                  </w:r>
                  <w:r>
                    <w:rPr>
                      <w:rFonts w:ascii="Times New Roman" w:hAnsi="Times New Roman" w:eastAsia="宋体" w:cs="Times New Roman"/>
                      <w:color w:val="auto"/>
                      <w:lang w:bidi="ar"/>
                    </w:rPr>
                    <w:t>环境风险</w:t>
                  </w:r>
                  <w:r>
                    <w:rPr>
                      <w:rFonts w:hint="eastAsia" w:ascii="Times New Roman" w:hAnsi="Times New Roman" w:eastAsia="宋体" w:cs="Times New Roman"/>
                      <w:color w:val="auto"/>
                      <w:lang w:val="en-US" w:eastAsia="zh-CN" w:bidi="ar"/>
                    </w:rPr>
                    <w:t>保护目标</w:t>
                  </w:r>
                </w:p>
              </w:tc>
              <w:tc>
                <w:tcPr>
                  <w:tcW w:w="779" w:type="pct"/>
                  <w:shd w:val="clear" w:color="auto" w:fill="auto"/>
                  <w:noWrap w:val="0"/>
                  <w:vAlign w:val="center"/>
                </w:tcPr>
                <w:p w14:paraId="205DC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柿子院农户聚居区</w:t>
                  </w:r>
                </w:p>
              </w:tc>
              <w:tc>
                <w:tcPr>
                  <w:tcW w:w="1809" w:type="pct"/>
                  <w:gridSpan w:val="3"/>
                  <w:tcBorders>
                    <w:left w:val="single" w:color="auto" w:sz="4" w:space="0"/>
                  </w:tcBorders>
                  <w:shd w:val="clear" w:color="auto" w:fill="auto"/>
                  <w:noWrap w:val="0"/>
                  <w:vAlign w:val="center"/>
                </w:tcPr>
                <w:p w14:paraId="54420F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东侧</w:t>
                  </w:r>
                  <w:r>
                    <w:rPr>
                      <w:rFonts w:hint="eastAsia" w:cs="Times New Roman"/>
                      <w:color w:val="auto"/>
                      <w:kern w:val="0"/>
                      <w:szCs w:val="21"/>
                      <w:highlight w:val="none"/>
                      <w:lang w:val="en-US" w:eastAsia="zh-CN" w:bidi="ar"/>
                    </w:rPr>
                    <w:t>150</w:t>
                  </w:r>
                  <w:r>
                    <w:rPr>
                      <w:rFonts w:hint="eastAsia" w:ascii="Times New Roman" w:hAnsi="Times New Roman" w:cs="Times New Roman"/>
                      <w:color w:val="auto"/>
                      <w:kern w:val="0"/>
                      <w:szCs w:val="21"/>
                      <w:highlight w:val="none"/>
                      <w:lang w:bidi="ar"/>
                    </w:rPr>
                    <w:t>~</w:t>
                  </w:r>
                  <w:r>
                    <w:rPr>
                      <w:rFonts w:hint="eastAsia" w:cs="Times New Roman"/>
                      <w:color w:val="auto"/>
                      <w:kern w:val="0"/>
                      <w:szCs w:val="21"/>
                      <w:highlight w:val="none"/>
                      <w:lang w:val="en-US" w:eastAsia="zh-CN" w:bidi="ar"/>
                    </w:rPr>
                    <w:t>695m</w:t>
                  </w:r>
                </w:p>
              </w:tc>
              <w:tc>
                <w:tcPr>
                  <w:tcW w:w="1203" w:type="pct"/>
                  <w:gridSpan w:val="2"/>
                  <w:tcBorders>
                    <w:left w:val="single" w:color="auto" w:sz="4" w:space="0"/>
                  </w:tcBorders>
                  <w:shd w:val="clear" w:color="auto" w:fill="auto"/>
                  <w:noWrap w:val="0"/>
                  <w:vAlign w:val="center"/>
                </w:tcPr>
                <w:p w14:paraId="072C5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约32</w:t>
                  </w:r>
                  <w:r>
                    <w:rPr>
                      <w:rStyle w:val="80"/>
                      <w:rFonts w:hint="default"/>
                      <w:color w:val="auto"/>
                      <w:sz w:val="21"/>
                      <w:szCs w:val="21"/>
                      <w:lang w:val="en-US" w:eastAsia="zh-CN" w:bidi="ar"/>
                    </w:rPr>
                    <w:t>户</w:t>
                  </w:r>
                  <w:r>
                    <w:rPr>
                      <w:rStyle w:val="80"/>
                      <w:rFonts w:hint="eastAsia"/>
                      <w:color w:val="auto"/>
                      <w:sz w:val="21"/>
                      <w:szCs w:val="21"/>
                      <w:lang w:val="en-US" w:eastAsia="zh-CN" w:bidi="ar"/>
                    </w:rPr>
                    <w:t>/128</w:t>
                  </w:r>
                  <w:r>
                    <w:rPr>
                      <w:rStyle w:val="80"/>
                      <w:rFonts w:hint="default"/>
                      <w:color w:val="auto"/>
                      <w:sz w:val="21"/>
                      <w:szCs w:val="21"/>
                      <w:lang w:val="en-US" w:eastAsia="zh-CN" w:bidi="ar"/>
                    </w:rPr>
                    <w:t>人</w:t>
                  </w:r>
                </w:p>
              </w:tc>
              <w:tc>
                <w:tcPr>
                  <w:tcW w:w="813" w:type="pct"/>
                  <w:vMerge w:val="restart"/>
                  <w:noWrap w:val="0"/>
                  <w:vAlign w:val="center"/>
                </w:tcPr>
                <w:p w14:paraId="3575793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lang w:bidi="ar"/>
                    </w:rPr>
                    <w:t>《环境空气质量标准</w:t>
                  </w:r>
                  <w:r>
                    <w:rPr>
                      <w:rFonts w:hint="eastAsia" w:ascii="Times New Roman" w:hAnsi="Times New Roman" w:eastAsia="宋体" w:cs="Times New Roman"/>
                      <w:color w:val="auto"/>
                      <w:lang w:eastAsia="zh-CN" w:bidi="ar"/>
                    </w:rPr>
                    <w:t>（</w:t>
                  </w:r>
                  <w:r>
                    <w:rPr>
                      <w:rFonts w:ascii="Times New Roman" w:hAnsi="Times New Roman" w:cs="Times New Roman"/>
                      <w:color w:val="auto"/>
                      <w:lang w:bidi="ar"/>
                    </w:rPr>
                    <w:t>GB</w:t>
                  </w:r>
                  <w:r>
                    <w:rPr>
                      <w:rFonts w:hint="eastAsia" w:ascii="Times New Roman" w:hAnsi="Times New Roman" w:eastAsia="宋体" w:cs="Times New Roman"/>
                      <w:color w:val="auto"/>
                      <w:lang w:val="en-US" w:eastAsia="zh-CN" w:bidi="ar"/>
                    </w:rPr>
                    <w:t xml:space="preserve"> </w:t>
                  </w:r>
                  <w:r>
                    <w:rPr>
                      <w:rFonts w:ascii="Times New Roman" w:hAnsi="Times New Roman" w:cs="Times New Roman"/>
                      <w:color w:val="auto"/>
                      <w:lang w:bidi="ar"/>
                    </w:rPr>
                    <w:t>3095-20</w:t>
                  </w:r>
                  <w:r>
                    <w:rPr>
                      <w:rFonts w:hint="eastAsia" w:ascii="Times New Roman" w:hAnsi="Times New Roman" w:eastAsia="宋体" w:cs="Times New Roman"/>
                      <w:color w:val="auto"/>
                      <w:lang w:val="en-US" w:eastAsia="zh-CN" w:bidi="ar"/>
                    </w:rPr>
                    <w:t>26</w:t>
                  </w:r>
                  <w:r>
                    <w:rPr>
                      <w:rFonts w:hint="eastAsia" w:ascii="Times New Roman" w:hAnsi="Times New Roman" w:eastAsia="宋体" w:cs="Times New Roman"/>
                      <w:color w:val="auto"/>
                      <w:lang w:eastAsia="zh-CN" w:bidi="ar"/>
                    </w:rPr>
                    <w:t>）</w:t>
                  </w:r>
                  <w:r>
                    <w:rPr>
                      <w:rFonts w:ascii="Times New Roman" w:hAnsi="Times New Roman" w:eastAsia="宋体" w:cs="Times New Roman"/>
                      <w:color w:val="auto"/>
                      <w:lang w:bidi="ar"/>
                    </w:rPr>
                    <w:t>》</w:t>
                  </w:r>
                  <w:r>
                    <w:rPr>
                      <w:rFonts w:hint="eastAsia" w:ascii="Times New Roman" w:hAnsi="Times New Roman" w:eastAsia="宋体" w:cs="Times New Roman"/>
                      <w:color w:val="auto"/>
                      <w:lang w:val="en-US" w:eastAsia="zh-CN" w:bidi="ar"/>
                    </w:rPr>
                    <w:t>过渡阶段浓度限值</w:t>
                  </w:r>
                  <w:r>
                    <w:rPr>
                      <w:rFonts w:ascii="Times New Roman" w:hAnsi="Times New Roman" w:eastAsia="宋体" w:cs="Times New Roman"/>
                      <w:color w:val="auto"/>
                      <w:lang w:bidi="ar"/>
                    </w:rPr>
                    <w:t>二级标准要求</w:t>
                  </w:r>
                </w:p>
              </w:tc>
            </w:tr>
            <w:tr w14:paraId="36A64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08964FA">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116B444B">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学堂咀农户聚居区</w:t>
                  </w:r>
                </w:p>
              </w:tc>
              <w:tc>
                <w:tcPr>
                  <w:tcW w:w="1809" w:type="pct"/>
                  <w:gridSpan w:val="3"/>
                  <w:tcBorders>
                    <w:left w:val="single" w:color="auto" w:sz="4" w:space="0"/>
                  </w:tcBorders>
                  <w:shd w:val="clear" w:color="auto" w:fill="auto"/>
                  <w:noWrap w:val="0"/>
                  <w:vAlign w:val="center"/>
                </w:tcPr>
                <w:p w14:paraId="453159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井场东侧1529~2371m</w:t>
                  </w:r>
                </w:p>
              </w:tc>
              <w:tc>
                <w:tcPr>
                  <w:tcW w:w="1203" w:type="pct"/>
                  <w:gridSpan w:val="2"/>
                  <w:tcBorders>
                    <w:left w:val="single" w:color="auto" w:sz="4" w:space="0"/>
                  </w:tcBorders>
                  <w:shd w:val="clear" w:color="auto" w:fill="auto"/>
                  <w:noWrap w:val="0"/>
                  <w:vAlign w:val="center"/>
                </w:tcPr>
                <w:p w14:paraId="6A3F06F0">
                  <w:pPr>
                    <w:keepNext w:val="0"/>
                    <w:keepLines w:val="0"/>
                    <w:widowControl/>
                    <w:suppressLineNumbers w:val="0"/>
                    <w:spacing w:before="0" w:beforeAutospacing="0" w:after="0" w:afterAutospacing="0"/>
                    <w:ind w:left="0" w:leftChars="0" w:right="0" w:rightChars="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约23户/92</w:t>
                  </w:r>
                  <w:r>
                    <w:rPr>
                      <w:rStyle w:val="80"/>
                      <w:rFonts w:hint="default"/>
                      <w:color w:val="auto"/>
                      <w:sz w:val="21"/>
                      <w:szCs w:val="21"/>
                      <w:lang w:val="en-US" w:eastAsia="zh-CN" w:bidi="ar"/>
                    </w:rPr>
                    <w:t>人</w:t>
                  </w:r>
                </w:p>
              </w:tc>
              <w:tc>
                <w:tcPr>
                  <w:tcW w:w="813" w:type="pct"/>
                  <w:vMerge w:val="continue"/>
                  <w:noWrap w:val="0"/>
                  <w:vAlign w:val="center"/>
                </w:tcPr>
                <w:p w14:paraId="2724A1AE">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649B2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5603667">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1C9A243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大田湾农户聚居区</w:t>
                  </w:r>
                </w:p>
              </w:tc>
              <w:tc>
                <w:tcPr>
                  <w:tcW w:w="1809" w:type="pct"/>
                  <w:gridSpan w:val="3"/>
                  <w:tcBorders>
                    <w:left w:val="single" w:color="auto" w:sz="4" w:space="0"/>
                  </w:tcBorders>
                  <w:shd w:val="clear" w:color="auto" w:fill="auto"/>
                  <w:noWrap w:val="0"/>
                  <w:vAlign w:val="center"/>
                </w:tcPr>
                <w:p w14:paraId="44B8A26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w:t>
                  </w:r>
                  <w:r>
                    <w:rPr>
                      <w:rFonts w:hint="eastAsia" w:cs="Times New Roman"/>
                      <w:color w:val="auto"/>
                      <w:kern w:val="0"/>
                      <w:szCs w:val="21"/>
                      <w:highlight w:val="none"/>
                      <w:lang w:val="en-US" w:eastAsia="zh-CN" w:bidi="ar"/>
                    </w:rPr>
                    <w:t>303~1137m</w:t>
                  </w:r>
                </w:p>
              </w:tc>
              <w:tc>
                <w:tcPr>
                  <w:tcW w:w="1203" w:type="pct"/>
                  <w:gridSpan w:val="2"/>
                  <w:tcBorders>
                    <w:left w:val="single" w:color="auto" w:sz="4" w:space="0"/>
                  </w:tcBorders>
                  <w:shd w:val="clear" w:color="auto" w:fill="auto"/>
                  <w:noWrap w:val="0"/>
                  <w:vAlign w:val="center"/>
                </w:tcPr>
                <w:p w14:paraId="2F75BCD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约35户/140人</w:t>
                  </w:r>
                </w:p>
              </w:tc>
              <w:tc>
                <w:tcPr>
                  <w:tcW w:w="813" w:type="pct"/>
                  <w:vMerge w:val="continue"/>
                  <w:noWrap w:val="0"/>
                  <w:vAlign w:val="center"/>
                </w:tcPr>
                <w:p w14:paraId="53A25A98">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5710A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040AAAB4">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3DB41731">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尖包梁农户聚居区</w:t>
                  </w:r>
                </w:p>
              </w:tc>
              <w:tc>
                <w:tcPr>
                  <w:tcW w:w="1809" w:type="pct"/>
                  <w:gridSpan w:val="3"/>
                  <w:tcBorders>
                    <w:left w:val="single" w:color="auto" w:sz="4" w:space="0"/>
                  </w:tcBorders>
                  <w:shd w:val="clear" w:color="auto" w:fill="auto"/>
                  <w:noWrap w:val="0"/>
                  <w:vAlign w:val="center"/>
                </w:tcPr>
                <w:p w14:paraId="12903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井场东南侧1747~2276m</w:t>
                  </w:r>
                </w:p>
              </w:tc>
              <w:tc>
                <w:tcPr>
                  <w:tcW w:w="1203" w:type="pct"/>
                  <w:gridSpan w:val="2"/>
                  <w:tcBorders>
                    <w:left w:val="single" w:color="auto" w:sz="4" w:space="0"/>
                  </w:tcBorders>
                  <w:shd w:val="clear" w:color="auto" w:fill="auto"/>
                  <w:noWrap w:val="0"/>
                  <w:vAlign w:val="center"/>
                </w:tcPr>
                <w:p w14:paraId="67F007B7">
                  <w:pPr>
                    <w:keepNext w:val="0"/>
                    <w:keepLines w:val="0"/>
                    <w:widowControl/>
                    <w:suppressLineNumbers w:val="0"/>
                    <w:spacing w:before="0" w:beforeAutospacing="0" w:after="0" w:afterAutospacing="0"/>
                    <w:ind w:left="0" w:leftChars="0" w:right="0" w:rightChars="0"/>
                    <w:jc w:val="center"/>
                    <w:textAlignment w:val="center"/>
                    <w:rPr>
                      <w:rStyle w:val="80"/>
                      <w:rFonts w:hint="default"/>
                      <w:color w:val="auto"/>
                      <w:sz w:val="21"/>
                      <w:szCs w:val="21"/>
                      <w:lang w:val="en-US" w:eastAsia="zh-CN" w:bidi="ar"/>
                    </w:rPr>
                  </w:pPr>
                  <w:r>
                    <w:rPr>
                      <w:rStyle w:val="80"/>
                      <w:rFonts w:hint="eastAsia"/>
                      <w:color w:val="auto"/>
                      <w:sz w:val="21"/>
                      <w:szCs w:val="21"/>
                      <w:lang w:val="en-US" w:eastAsia="zh-CN" w:bidi="ar"/>
                    </w:rPr>
                    <w:t>约19户/76人</w:t>
                  </w:r>
                </w:p>
              </w:tc>
              <w:tc>
                <w:tcPr>
                  <w:tcW w:w="813" w:type="pct"/>
                  <w:vMerge w:val="continue"/>
                  <w:noWrap w:val="0"/>
                  <w:vAlign w:val="center"/>
                </w:tcPr>
                <w:p w14:paraId="3EF669DF">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2A981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9C86F6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51FE645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余家湾农户聚居区</w:t>
                  </w:r>
                </w:p>
              </w:tc>
              <w:tc>
                <w:tcPr>
                  <w:tcW w:w="1809" w:type="pct"/>
                  <w:gridSpan w:val="3"/>
                  <w:tcBorders>
                    <w:left w:val="single" w:color="auto" w:sz="4" w:space="0"/>
                  </w:tcBorders>
                  <w:shd w:val="clear" w:color="auto" w:fill="auto"/>
                  <w:noWrap w:val="0"/>
                  <w:vAlign w:val="center"/>
                </w:tcPr>
                <w:p w14:paraId="5F3066A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井场东南侧1778~2534m</w:t>
                  </w:r>
                </w:p>
              </w:tc>
              <w:tc>
                <w:tcPr>
                  <w:tcW w:w="1203" w:type="pct"/>
                  <w:gridSpan w:val="2"/>
                  <w:tcBorders>
                    <w:left w:val="single" w:color="auto" w:sz="4" w:space="0"/>
                  </w:tcBorders>
                  <w:shd w:val="clear" w:color="auto" w:fill="auto"/>
                  <w:noWrap w:val="0"/>
                  <w:vAlign w:val="center"/>
                </w:tcPr>
                <w:p w14:paraId="136ABE4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约35户/140人</w:t>
                  </w:r>
                </w:p>
              </w:tc>
              <w:tc>
                <w:tcPr>
                  <w:tcW w:w="813" w:type="pct"/>
                  <w:vMerge w:val="continue"/>
                  <w:noWrap w:val="0"/>
                  <w:vAlign w:val="center"/>
                </w:tcPr>
                <w:p w14:paraId="35F096DC">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00E65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7ACD8C7">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6A713B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彭家塝农户聚居区</w:t>
                  </w:r>
                </w:p>
              </w:tc>
              <w:tc>
                <w:tcPr>
                  <w:tcW w:w="1809" w:type="pct"/>
                  <w:gridSpan w:val="3"/>
                  <w:tcBorders>
                    <w:left w:val="single" w:color="auto" w:sz="4" w:space="0"/>
                  </w:tcBorders>
                  <w:shd w:val="clear" w:color="auto" w:fill="auto"/>
                  <w:noWrap w:val="0"/>
                  <w:vAlign w:val="center"/>
                </w:tcPr>
                <w:p w14:paraId="78A17C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井场东南侧1848~1891m</w:t>
                  </w:r>
                </w:p>
              </w:tc>
              <w:tc>
                <w:tcPr>
                  <w:tcW w:w="1203" w:type="pct"/>
                  <w:gridSpan w:val="2"/>
                  <w:tcBorders>
                    <w:left w:val="single" w:color="auto" w:sz="4" w:space="0"/>
                  </w:tcBorders>
                  <w:shd w:val="clear" w:color="auto" w:fill="auto"/>
                  <w:noWrap w:val="0"/>
                  <w:vAlign w:val="center"/>
                </w:tcPr>
                <w:p w14:paraId="5D5FE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约16户/64人</w:t>
                  </w:r>
                </w:p>
              </w:tc>
              <w:tc>
                <w:tcPr>
                  <w:tcW w:w="813" w:type="pct"/>
                  <w:vMerge w:val="continue"/>
                  <w:noWrap w:val="0"/>
                  <w:vAlign w:val="center"/>
                </w:tcPr>
                <w:p w14:paraId="2F723BA3">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7807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04536979">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5B7EAA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苏家咀农户聚居区</w:t>
                  </w:r>
                </w:p>
              </w:tc>
              <w:tc>
                <w:tcPr>
                  <w:tcW w:w="1809" w:type="pct"/>
                  <w:gridSpan w:val="3"/>
                  <w:tcBorders>
                    <w:left w:val="single" w:color="auto" w:sz="4" w:space="0"/>
                  </w:tcBorders>
                  <w:shd w:val="clear" w:color="auto" w:fill="auto"/>
                  <w:noWrap w:val="0"/>
                  <w:vAlign w:val="center"/>
                </w:tcPr>
                <w:p w14:paraId="684CA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井场东南侧2289~2534m</w:t>
                  </w:r>
                </w:p>
              </w:tc>
              <w:tc>
                <w:tcPr>
                  <w:tcW w:w="1203" w:type="pct"/>
                  <w:gridSpan w:val="2"/>
                  <w:tcBorders>
                    <w:left w:val="single" w:color="auto" w:sz="4" w:space="0"/>
                  </w:tcBorders>
                  <w:shd w:val="clear" w:color="auto" w:fill="auto"/>
                  <w:noWrap w:val="0"/>
                  <w:vAlign w:val="center"/>
                </w:tcPr>
                <w:p w14:paraId="707EBA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约15户/60人</w:t>
                  </w:r>
                </w:p>
              </w:tc>
              <w:tc>
                <w:tcPr>
                  <w:tcW w:w="813" w:type="pct"/>
                  <w:vMerge w:val="continue"/>
                  <w:noWrap w:val="0"/>
                  <w:vAlign w:val="center"/>
                </w:tcPr>
                <w:p w14:paraId="54D5ECE5">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65F53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36A2BC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330FDE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花包村农户聚居区</w:t>
                  </w:r>
                </w:p>
              </w:tc>
              <w:tc>
                <w:tcPr>
                  <w:tcW w:w="1809" w:type="pct"/>
                  <w:gridSpan w:val="3"/>
                  <w:tcBorders>
                    <w:left w:val="single" w:color="auto" w:sz="4" w:space="0"/>
                  </w:tcBorders>
                  <w:shd w:val="clear" w:color="auto" w:fill="auto"/>
                  <w:noWrap w:val="0"/>
                  <w:vAlign w:val="center"/>
                </w:tcPr>
                <w:p w14:paraId="39BE71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井场东南侧2362~3093m</w:t>
                  </w:r>
                </w:p>
              </w:tc>
              <w:tc>
                <w:tcPr>
                  <w:tcW w:w="1203" w:type="pct"/>
                  <w:gridSpan w:val="2"/>
                  <w:tcBorders>
                    <w:left w:val="single" w:color="auto" w:sz="4" w:space="0"/>
                  </w:tcBorders>
                  <w:shd w:val="clear" w:color="auto" w:fill="auto"/>
                  <w:noWrap w:val="0"/>
                  <w:vAlign w:val="center"/>
                </w:tcPr>
                <w:p w14:paraId="051F76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约51户/204人</w:t>
                  </w:r>
                </w:p>
              </w:tc>
              <w:tc>
                <w:tcPr>
                  <w:tcW w:w="813" w:type="pct"/>
                  <w:vMerge w:val="continue"/>
                  <w:noWrap w:val="0"/>
                  <w:vAlign w:val="center"/>
                </w:tcPr>
                <w:p w14:paraId="24D7E85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2BBC2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394" w:type="pct"/>
                  <w:vMerge w:val="continue"/>
                  <w:noWrap w:val="0"/>
                  <w:vAlign w:val="center"/>
                </w:tcPr>
                <w:p w14:paraId="780799EC">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00908F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堰塘湾农户聚居区</w:t>
                  </w:r>
                </w:p>
              </w:tc>
              <w:tc>
                <w:tcPr>
                  <w:tcW w:w="1809" w:type="pct"/>
                  <w:gridSpan w:val="3"/>
                  <w:tcBorders>
                    <w:left w:val="single" w:color="auto" w:sz="4" w:space="0"/>
                  </w:tcBorders>
                  <w:shd w:val="clear" w:color="auto" w:fill="auto"/>
                  <w:noWrap w:val="0"/>
                  <w:vAlign w:val="center"/>
                </w:tcPr>
                <w:p w14:paraId="7F35FF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井场东南侧2575~2990m</w:t>
                  </w:r>
                </w:p>
              </w:tc>
              <w:tc>
                <w:tcPr>
                  <w:tcW w:w="1203" w:type="pct"/>
                  <w:gridSpan w:val="2"/>
                  <w:tcBorders>
                    <w:left w:val="single" w:color="auto" w:sz="4" w:space="0"/>
                  </w:tcBorders>
                  <w:shd w:val="clear" w:color="auto" w:fill="auto"/>
                  <w:noWrap w:val="0"/>
                  <w:vAlign w:val="center"/>
                </w:tcPr>
                <w:p w14:paraId="208C9B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约20户/80人</w:t>
                  </w:r>
                </w:p>
              </w:tc>
              <w:tc>
                <w:tcPr>
                  <w:tcW w:w="813" w:type="pct"/>
                  <w:vMerge w:val="continue"/>
                  <w:noWrap w:val="0"/>
                  <w:vAlign w:val="center"/>
                </w:tcPr>
                <w:p w14:paraId="279FC8BB">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106BE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682DBDD">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45ECCB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辽叶塆农户聚居区</w:t>
                  </w:r>
                </w:p>
              </w:tc>
              <w:tc>
                <w:tcPr>
                  <w:tcW w:w="1809" w:type="pct"/>
                  <w:gridSpan w:val="3"/>
                  <w:tcBorders>
                    <w:left w:val="single" w:color="auto" w:sz="4" w:space="0"/>
                  </w:tcBorders>
                  <w:shd w:val="clear" w:color="auto" w:fill="auto"/>
                  <w:noWrap w:val="0"/>
                  <w:vAlign w:val="center"/>
                </w:tcPr>
                <w:p w14:paraId="4E4B3F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井场南侧10</w:t>
                  </w:r>
                  <w:r>
                    <w:rPr>
                      <w:rFonts w:hint="eastAsia" w:ascii="Times New Roman" w:hAnsi="Times New Roman" w:cs="Times New Roman"/>
                      <w:color w:val="auto"/>
                      <w:kern w:val="0"/>
                      <w:szCs w:val="21"/>
                      <w:lang w:bidi="ar"/>
                    </w:rPr>
                    <w:t>~</w:t>
                  </w:r>
                  <w:r>
                    <w:rPr>
                      <w:rFonts w:hint="eastAsia" w:ascii="Times New Roman" w:hAnsi="Times New Roman" w:cs="Times New Roman"/>
                      <w:color w:val="auto"/>
                      <w:kern w:val="0"/>
                      <w:szCs w:val="21"/>
                      <w:lang w:val="en-US" w:eastAsia="zh-CN" w:bidi="ar"/>
                    </w:rPr>
                    <w:t>50</w:t>
                  </w:r>
                  <w:r>
                    <w:rPr>
                      <w:rFonts w:hint="eastAsia" w:cs="Times New Roman"/>
                      <w:color w:val="auto"/>
                      <w:kern w:val="0"/>
                      <w:szCs w:val="21"/>
                      <w:lang w:val="en-US" w:eastAsia="zh-CN" w:bidi="ar"/>
                    </w:rPr>
                    <w:t>1m</w:t>
                  </w:r>
                </w:p>
              </w:tc>
              <w:tc>
                <w:tcPr>
                  <w:tcW w:w="1203" w:type="pct"/>
                  <w:gridSpan w:val="2"/>
                  <w:tcBorders>
                    <w:left w:val="single" w:color="auto" w:sz="4" w:space="0"/>
                  </w:tcBorders>
                  <w:shd w:val="clear" w:color="auto" w:fill="auto"/>
                  <w:noWrap w:val="0"/>
                  <w:vAlign w:val="center"/>
                </w:tcPr>
                <w:p w14:paraId="787676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约35</w:t>
                  </w:r>
                  <w:r>
                    <w:rPr>
                      <w:rStyle w:val="80"/>
                      <w:rFonts w:hint="default"/>
                      <w:color w:val="auto"/>
                      <w:sz w:val="21"/>
                      <w:szCs w:val="21"/>
                      <w:lang w:val="en-US" w:eastAsia="zh-CN" w:bidi="ar"/>
                    </w:rPr>
                    <w:t>户</w:t>
                  </w:r>
                  <w:r>
                    <w:rPr>
                      <w:rStyle w:val="80"/>
                      <w:rFonts w:hint="eastAsia"/>
                      <w:color w:val="auto"/>
                      <w:sz w:val="21"/>
                      <w:szCs w:val="21"/>
                      <w:lang w:val="en-US" w:eastAsia="zh-CN" w:bidi="ar"/>
                    </w:rPr>
                    <w:t>/140</w:t>
                  </w:r>
                  <w:r>
                    <w:rPr>
                      <w:rStyle w:val="80"/>
                      <w:rFonts w:hint="default"/>
                      <w:color w:val="auto"/>
                      <w:sz w:val="21"/>
                      <w:szCs w:val="21"/>
                      <w:lang w:val="en-US" w:eastAsia="zh-CN" w:bidi="ar"/>
                    </w:rPr>
                    <w:t>人</w:t>
                  </w:r>
                </w:p>
              </w:tc>
              <w:tc>
                <w:tcPr>
                  <w:tcW w:w="813" w:type="pct"/>
                  <w:vMerge w:val="continue"/>
                  <w:noWrap w:val="0"/>
                  <w:vAlign w:val="center"/>
                </w:tcPr>
                <w:p w14:paraId="084E2909">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r>
            <w:tr w14:paraId="6DC78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96C60E5">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221AE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钟家塝农户聚居区</w:t>
                  </w:r>
                </w:p>
              </w:tc>
              <w:tc>
                <w:tcPr>
                  <w:tcW w:w="1809" w:type="pct"/>
                  <w:gridSpan w:val="3"/>
                  <w:tcBorders>
                    <w:left w:val="single" w:color="auto" w:sz="4" w:space="0"/>
                  </w:tcBorders>
                  <w:shd w:val="clear" w:color="auto" w:fill="auto"/>
                  <w:noWrap w:val="0"/>
                  <w:vAlign w:val="center"/>
                </w:tcPr>
                <w:p w14:paraId="0374FE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井场南侧</w:t>
                  </w:r>
                  <w:r>
                    <w:rPr>
                      <w:rFonts w:hint="eastAsia" w:cs="Times New Roman"/>
                      <w:color w:val="auto"/>
                      <w:kern w:val="0"/>
                      <w:sz w:val="21"/>
                      <w:szCs w:val="21"/>
                      <w:lang w:val="en-US" w:eastAsia="zh-CN" w:bidi="ar"/>
                    </w:rPr>
                    <w:t>885~1153m</w:t>
                  </w:r>
                </w:p>
              </w:tc>
              <w:tc>
                <w:tcPr>
                  <w:tcW w:w="1203" w:type="pct"/>
                  <w:gridSpan w:val="2"/>
                  <w:tcBorders>
                    <w:left w:val="single" w:color="auto" w:sz="4" w:space="0"/>
                  </w:tcBorders>
                  <w:shd w:val="clear" w:color="auto" w:fill="auto"/>
                  <w:noWrap w:val="0"/>
                  <w:vAlign w:val="center"/>
                </w:tcPr>
                <w:p w14:paraId="0CF5D3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20</w:t>
                  </w:r>
                  <w:r>
                    <w:rPr>
                      <w:rStyle w:val="80"/>
                      <w:rFonts w:hint="eastAsia"/>
                      <w:color w:val="auto"/>
                      <w:sz w:val="21"/>
                      <w:szCs w:val="21"/>
                      <w:lang w:val="en-US" w:eastAsia="zh-CN" w:bidi="ar"/>
                    </w:rPr>
                    <w:t>户/80人</w:t>
                  </w:r>
                </w:p>
              </w:tc>
              <w:tc>
                <w:tcPr>
                  <w:tcW w:w="813" w:type="pct"/>
                  <w:vMerge w:val="continue"/>
                  <w:noWrap w:val="0"/>
                  <w:vAlign w:val="center"/>
                </w:tcPr>
                <w:p w14:paraId="3BB3E8F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0268C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C55A17D">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C3D9E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高洞子农户聚居区</w:t>
                  </w:r>
                </w:p>
              </w:tc>
              <w:tc>
                <w:tcPr>
                  <w:tcW w:w="1809" w:type="pct"/>
                  <w:gridSpan w:val="3"/>
                  <w:tcBorders>
                    <w:left w:val="single" w:color="auto" w:sz="4" w:space="0"/>
                  </w:tcBorders>
                  <w:shd w:val="clear" w:color="auto" w:fill="auto"/>
                  <w:noWrap w:val="0"/>
                  <w:vAlign w:val="center"/>
                </w:tcPr>
                <w:p w14:paraId="78B37A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井场南侧</w:t>
                  </w:r>
                  <w:r>
                    <w:rPr>
                      <w:rFonts w:hint="eastAsia" w:cs="Times New Roman"/>
                      <w:color w:val="auto"/>
                      <w:kern w:val="0"/>
                      <w:sz w:val="21"/>
                      <w:szCs w:val="21"/>
                      <w:lang w:val="en-US" w:eastAsia="zh-CN" w:bidi="ar"/>
                    </w:rPr>
                    <w:t>1322~1776m</w:t>
                  </w:r>
                </w:p>
              </w:tc>
              <w:tc>
                <w:tcPr>
                  <w:tcW w:w="1203" w:type="pct"/>
                  <w:gridSpan w:val="2"/>
                  <w:tcBorders>
                    <w:left w:val="single" w:color="auto" w:sz="4" w:space="0"/>
                  </w:tcBorders>
                  <w:shd w:val="clear" w:color="auto" w:fill="auto"/>
                  <w:noWrap w:val="0"/>
                  <w:vAlign w:val="center"/>
                </w:tcPr>
                <w:p w14:paraId="54546F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32</w:t>
                  </w:r>
                  <w:r>
                    <w:rPr>
                      <w:rStyle w:val="80"/>
                      <w:rFonts w:hint="eastAsia"/>
                      <w:color w:val="auto"/>
                      <w:sz w:val="21"/>
                      <w:szCs w:val="21"/>
                      <w:lang w:val="en-US" w:eastAsia="zh-CN" w:bidi="ar"/>
                    </w:rPr>
                    <w:t>户/128人</w:t>
                  </w:r>
                </w:p>
              </w:tc>
              <w:tc>
                <w:tcPr>
                  <w:tcW w:w="813" w:type="pct"/>
                  <w:vMerge w:val="continue"/>
                  <w:noWrap w:val="0"/>
                  <w:vAlign w:val="center"/>
                </w:tcPr>
                <w:p w14:paraId="288B31E7">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339C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4C2EA2A">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377E7A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黄角村农户聚居区</w:t>
                  </w:r>
                </w:p>
              </w:tc>
              <w:tc>
                <w:tcPr>
                  <w:tcW w:w="1809" w:type="pct"/>
                  <w:gridSpan w:val="3"/>
                  <w:tcBorders>
                    <w:left w:val="single" w:color="auto" w:sz="4" w:space="0"/>
                  </w:tcBorders>
                  <w:shd w:val="clear" w:color="auto" w:fill="auto"/>
                  <w:noWrap w:val="0"/>
                  <w:vAlign w:val="center"/>
                </w:tcPr>
                <w:p w14:paraId="2887E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井场南侧</w:t>
                  </w:r>
                  <w:r>
                    <w:rPr>
                      <w:rFonts w:hint="eastAsia" w:cs="Times New Roman"/>
                      <w:color w:val="auto"/>
                      <w:kern w:val="0"/>
                      <w:sz w:val="21"/>
                      <w:szCs w:val="21"/>
                      <w:lang w:val="en-US" w:eastAsia="zh-CN" w:bidi="ar"/>
                    </w:rPr>
                    <w:t>2150~2811m</w:t>
                  </w:r>
                </w:p>
              </w:tc>
              <w:tc>
                <w:tcPr>
                  <w:tcW w:w="1203" w:type="pct"/>
                  <w:gridSpan w:val="2"/>
                  <w:tcBorders>
                    <w:left w:val="single" w:color="auto" w:sz="4" w:space="0"/>
                  </w:tcBorders>
                  <w:shd w:val="clear" w:color="auto" w:fill="auto"/>
                  <w:noWrap w:val="0"/>
                  <w:vAlign w:val="center"/>
                </w:tcPr>
                <w:p w14:paraId="533F5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43</w:t>
                  </w:r>
                  <w:r>
                    <w:rPr>
                      <w:rStyle w:val="80"/>
                      <w:rFonts w:hint="eastAsia"/>
                      <w:color w:val="auto"/>
                      <w:sz w:val="21"/>
                      <w:szCs w:val="21"/>
                      <w:lang w:val="en-US" w:eastAsia="zh-CN" w:bidi="ar"/>
                    </w:rPr>
                    <w:t>户/172人</w:t>
                  </w:r>
                </w:p>
              </w:tc>
              <w:tc>
                <w:tcPr>
                  <w:tcW w:w="813" w:type="pct"/>
                  <w:vMerge w:val="continue"/>
                  <w:noWrap w:val="0"/>
                  <w:vAlign w:val="center"/>
                </w:tcPr>
                <w:p w14:paraId="422CD18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637F8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D35F23D">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85B98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谢家塝农户聚居区</w:t>
                  </w:r>
                </w:p>
              </w:tc>
              <w:tc>
                <w:tcPr>
                  <w:tcW w:w="1809" w:type="pct"/>
                  <w:gridSpan w:val="3"/>
                  <w:tcBorders>
                    <w:left w:val="single" w:color="auto" w:sz="4" w:space="0"/>
                  </w:tcBorders>
                  <w:shd w:val="clear" w:color="auto" w:fill="auto"/>
                  <w:noWrap w:val="0"/>
                  <w:vAlign w:val="center"/>
                </w:tcPr>
                <w:p w14:paraId="052530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西南侧1028~1363</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6599BB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26</w:t>
                  </w:r>
                  <w:r>
                    <w:rPr>
                      <w:rStyle w:val="80"/>
                      <w:rFonts w:hint="eastAsia"/>
                      <w:color w:val="auto"/>
                      <w:sz w:val="21"/>
                      <w:szCs w:val="21"/>
                      <w:lang w:val="en-US" w:eastAsia="zh-CN" w:bidi="ar"/>
                    </w:rPr>
                    <w:t>户/104人</w:t>
                  </w:r>
                </w:p>
              </w:tc>
              <w:tc>
                <w:tcPr>
                  <w:tcW w:w="813" w:type="pct"/>
                  <w:vMerge w:val="continue"/>
                  <w:noWrap w:val="0"/>
                  <w:vAlign w:val="center"/>
                </w:tcPr>
                <w:p w14:paraId="67A91EB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39FD0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99F04E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BC41B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四合院农户聚居区</w:t>
                  </w:r>
                </w:p>
              </w:tc>
              <w:tc>
                <w:tcPr>
                  <w:tcW w:w="1809" w:type="pct"/>
                  <w:gridSpan w:val="3"/>
                  <w:tcBorders>
                    <w:left w:val="single" w:color="auto" w:sz="4" w:space="0"/>
                  </w:tcBorders>
                  <w:shd w:val="clear" w:color="auto" w:fill="auto"/>
                  <w:noWrap w:val="0"/>
                  <w:vAlign w:val="center"/>
                </w:tcPr>
                <w:p w14:paraId="003ADA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西南侧1508~1621</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6571F4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13</w:t>
                  </w:r>
                  <w:r>
                    <w:rPr>
                      <w:rStyle w:val="80"/>
                      <w:rFonts w:hint="eastAsia"/>
                      <w:color w:val="auto"/>
                      <w:sz w:val="21"/>
                      <w:szCs w:val="21"/>
                      <w:lang w:val="en-US" w:eastAsia="zh-CN" w:bidi="ar"/>
                    </w:rPr>
                    <w:t>户/52人</w:t>
                  </w:r>
                </w:p>
              </w:tc>
              <w:tc>
                <w:tcPr>
                  <w:tcW w:w="813" w:type="pct"/>
                  <w:vMerge w:val="continue"/>
                  <w:noWrap w:val="0"/>
                  <w:vAlign w:val="center"/>
                </w:tcPr>
                <w:p w14:paraId="0C011DD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FFB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84CB1B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1656B7A1">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李家祠堂农户聚居区</w:t>
                  </w:r>
                </w:p>
              </w:tc>
              <w:tc>
                <w:tcPr>
                  <w:tcW w:w="1809" w:type="pct"/>
                  <w:gridSpan w:val="3"/>
                  <w:tcBorders>
                    <w:left w:val="single" w:color="auto" w:sz="4" w:space="0"/>
                  </w:tcBorders>
                  <w:shd w:val="clear" w:color="auto" w:fill="auto"/>
                  <w:noWrap w:val="0"/>
                  <w:vAlign w:val="center"/>
                </w:tcPr>
                <w:p w14:paraId="169B59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西南侧1755~2050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327E43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13</w:t>
                  </w:r>
                  <w:r>
                    <w:rPr>
                      <w:rStyle w:val="80"/>
                      <w:rFonts w:hint="eastAsia"/>
                      <w:color w:val="auto"/>
                      <w:sz w:val="21"/>
                      <w:szCs w:val="21"/>
                      <w:lang w:val="en-US" w:eastAsia="zh-CN" w:bidi="ar"/>
                    </w:rPr>
                    <w:t>户/52人</w:t>
                  </w:r>
                </w:p>
              </w:tc>
              <w:tc>
                <w:tcPr>
                  <w:tcW w:w="813" w:type="pct"/>
                  <w:vMerge w:val="continue"/>
                  <w:noWrap w:val="0"/>
                  <w:vAlign w:val="center"/>
                </w:tcPr>
                <w:p w14:paraId="217D7CE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000BB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3274DBA">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771F97C">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铜钱包农户聚居区</w:t>
                  </w:r>
                </w:p>
              </w:tc>
              <w:tc>
                <w:tcPr>
                  <w:tcW w:w="1809" w:type="pct"/>
                  <w:gridSpan w:val="3"/>
                  <w:tcBorders>
                    <w:left w:val="single" w:color="auto" w:sz="4" w:space="0"/>
                  </w:tcBorders>
                  <w:shd w:val="clear" w:color="auto" w:fill="auto"/>
                  <w:noWrap w:val="0"/>
                  <w:vAlign w:val="center"/>
                </w:tcPr>
                <w:p w14:paraId="3C4EDB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西南侧1949~3064</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0A478E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53</w:t>
                  </w:r>
                  <w:r>
                    <w:rPr>
                      <w:rStyle w:val="80"/>
                      <w:rFonts w:hint="eastAsia"/>
                      <w:color w:val="auto"/>
                      <w:sz w:val="21"/>
                      <w:szCs w:val="21"/>
                      <w:lang w:val="en-US" w:eastAsia="zh-CN" w:bidi="ar"/>
                    </w:rPr>
                    <w:t>户/212人</w:t>
                  </w:r>
                </w:p>
              </w:tc>
              <w:tc>
                <w:tcPr>
                  <w:tcW w:w="813" w:type="pct"/>
                  <w:vMerge w:val="continue"/>
                  <w:noWrap w:val="0"/>
                  <w:vAlign w:val="center"/>
                </w:tcPr>
                <w:p w14:paraId="4DA7B21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7E20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BB9152B">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081007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文庙包农户聚居区</w:t>
                  </w:r>
                </w:p>
              </w:tc>
              <w:tc>
                <w:tcPr>
                  <w:tcW w:w="1809" w:type="pct"/>
                  <w:gridSpan w:val="3"/>
                  <w:tcBorders>
                    <w:left w:val="single" w:color="auto" w:sz="4" w:space="0"/>
                  </w:tcBorders>
                  <w:shd w:val="clear" w:color="auto" w:fill="auto"/>
                  <w:noWrap w:val="0"/>
                  <w:vAlign w:val="center"/>
                </w:tcPr>
                <w:p w14:paraId="6AF79F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西南侧1951~2341</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4ADDC5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16</w:t>
                  </w:r>
                  <w:r>
                    <w:rPr>
                      <w:rStyle w:val="80"/>
                      <w:rFonts w:hint="eastAsia"/>
                      <w:color w:val="auto"/>
                      <w:sz w:val="21"/>
                      <w:szCs w:val="21"/>
                      <w:lang w:val="en-US" w:eastAsia="zh-CN" w:bidi="ar"/>
                    </w:rPr>
                    <w:t>户/64人</w:t>
                  </w:r>
                </w:p>
              </w:tc>
              <w:tc>
                <w:tcPr>
                  <w:tcW w:w="813" w:type="pct"/>
                  <w:vMerge w:val="continue"/>
                  <w:noWrap w:val="0"/>
                  <w:vAlign w:val="center"/>
                </w:tcPr>
                <w:p w14:paraId="5A30036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5B60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4611F0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01337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川新村农户聚居区</w:t>
                  </w:r>
                </w:p>
              </w:tc>
              <w:tc>
                <w:tcPr>
                  <w:tcW w:w="1809" w:type="pct"/>
                  <w:gridSpan w:val="3"/>
                  <w:tcBorders>
                    <w:left w:val="single" w:color="auto" w:sz="4" w:space="0"/>
                  </w:tcBorders>
                  <w:shd w:val="clear" w:color="auto" w:fill="auto"/>
                  <w:noWrap w:val="0"/>
                  <w:vAlign w:val="center"/>
                </w:tcPr>
                <w:p w14:paraId="22AEB6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西南侧2557~3018</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07A23C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19</w:t>
                  </w:r>
                  <w:r>
                    <w:rPr>
                      <w:rStyle w:val="80"/>
                      <w:rFonts w:hint="eastAsia"/>
                      <w:color w:val="auto"/>
                      <w:sz w:val="21"/>
                      <w:szCs w:val="21"/>
                      <w:lang w:val="en-US" w:eastAsia="zh-CN" w:bidi="ar"/>
                    </w:rPr>
                    <w:t>户/76人</w:t>
                  </w:r>
                </w:p>
              </w:tc>
              <w:tc>
                <w:tcPr>
                  <w:tcW w:w="813" w:type="pct"/>
                  <w:vMerge w:val="continue"/>
                  <w:noWrap w:val="0"/>
                  <w:vAlign w:val="center"/>
                </w:tcPr>
                <w:p w14:paraId="63BD785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79B10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7A8D5EE">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5E4DFE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马家梁</w:t>
                  </w:r>
                  <w:r>
                    <w:rPr>
                      <w:rFonts w:hint="eastAsia" w:ascii="Times New Roman" w:hAnsi="Times New Roman" w:cs="Times New Roman"/>
                      <w:color w:val="auto"/>
                      <w:kern w:val="0"/>
                      <w:szCs w:val="21"/>
                      <w:lang w:val="en-US" w:eastAsia="zh-CN" w:bidi="ar"/>
                    </w:rPr>
                    <w:t>农户聚居区</w:t>
                  </w:r>
                </w:p>
              </w:tc>
              <w:tc>
                <w:tcPr>
                  <w:tcW w:w="1809" w:type="pct"/>
                  <w:gridSpan w:val="3"/>
                  <w:tcBorders>
                    <w:left w:val="single" w:color="auto" w:sz="4" w:space="0"/>
                  </w:tcBorders>
                  <w:shd w:val="clear" w:color="auto" w:fill="auto"/>
                  <w:noWrap w:val="0"/>
                  <w:vAlign w:val="center"/>
                </w:tcPr>
                <w:p w14:paraId="67008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井场西侧170</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510m</w:t>
                  </w:r>
                </w:p>
              </w:tc>
              <w:tc>
                <w:tcPr>
                  <w:tcW w:w="1203" w:type="pct"/>
                  <w:gridSpan w:val="2"/>
                  <w:tcBorders>
                    <w:left w:val="single" w:color="auto" w:sz="4" w:space="0"/>
                  </w:tcBorders>
                  <w:shd w:val="clear" w:color="auto" w:fill="auto"/>
                  <w:noWrap w:val="0"/>
                  <w:vAlign w:val="center"/>
                </w:tcPr>
                <w:p w14:paraId="2A4CA7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约41</w:t>
                  </w:r>
                  <w:r>
                    <w:rPr>
                      <w:rStyle w:val="80"/>
                      <w:rFonts w:hint="default"/>
                      <w:color w:val="auto"/>
                      <w:sz w:val="21"/>
                      <w:szCs w:val="21"/>
                      <w:lang w:val="en-US" w:eastAsia="zh-CN" w:bidi="ar"/>
                    </w:rPr>
                    <w:t>户</w:t>
                  </w:r>
                  <w:r>
                    <w:rPr>
                      <w:rStyle w:val="80"/>
                      <w:rFonts w:hint="eastAsia"/>
                      <w:color w:val="auto"/>
                      <w:sz w:val="21"/>
                      <w:szCs w:val="21"/>
                      <w:lang w:val="en-US" w:eastAsia="zh-CN" w:bidi="ar"/>
                    </w:rPr>
                    <w:t>/164</w:t>
                  </w:r>
                  <w:r>
                    <w:rPr>
                      <w:rStyle w:val="80"/>
                      <w:rFonts w:hint="default"/>
                      <w:color w:val="auto"/>
                      <w:sz w:val="21"/>
                      <w:szCs w:val="21"/>
                      <w:lang w:val="en-US" w:eastAsia="zh-CN" w:bidi="ar"/>
                    </w:rPr>
                    <w:t>人</w:t>
                  </w:r>
                </w:p>
              </w:tc>
              <w:tc>
                <w:tcPr>
                  <w:tcW w:w="813" w:type="pct"/>
                  <w:vMerge w:val="continue"/>
                  <w:noWrap w:val="0"/>
                  <w:vAlign w:val="center"/>
                </w:tcPr>
                <w:p w14:paraId="7360484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7459F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AA6C577">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21ED5FD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平桥村农户聚居区</w:t>
                  </w:r>
                </w:p>
              </w:tc>
              <w:tc>
                <w:tcPr>
                  <w:tcW w:w="1809" w:type="pct"/>
                  <w:gridSpan w:val="3"/>
                  <w:tcBorders>
                    <w:left w:val="single" w:color="auto" w:sz="4" w:space="0"/>
                  </w:tcBorders>
                  <w:shd w:val="clear" w:color="auto" w:fill="auto"/>
                  <w:noWrap w:val="0"/>
                  <w:vAlign w:val="center"/>
                </w:tcPr>
                <w:p w14:paraId="295132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西侧2047~2182</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7417E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13</w:t>
                  </w:r>
                  <w:r>
                    <w:rPr>
                      <w:rStyle w:val="80"/>
                      <w:rFonts w:hint="eastAsia"/>
                      <w:color w:val="auto"/>
                      <w:sz w:val="21"/>
                      <w:szCs w:val="21"/>
                      <w:lang w:val="en-US" w:eastAsia="zh-CN" w:bidi="ar"/>
                    </w:rPr>
                    <w:t>户/52人</w:t>
                  </w:r>
                </w:p>
              </w:tc>
              <w:tc>
                <w:tcPr>
                  <w:tcW w:w="813" w:type="pct"/>
                  <w:vMerge w:val="continue"/>
                  <w:noWrap w:val="0"/>
                  <w:vAlign w:val="center"/>
                </w:tcPr>
                <w:p w14:paraId="309DC70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DA16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C0CF980">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50F093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八角村农户聚居区</w:t>
                  </w:r>
                </w:p>
              </w:tc>
              <w:tc>
                <w:tcPr>
                  <w:tcW w:w="1809" w:type="pct"/>
                  <w:gridSpan w:val="3"/>
                  <w:tcBorders>
                    <w:left w:val="single" w:color="auto" w:sz="4" w:space="0"/>
                  </w:tcBorders>
                  <w:shd w:val="clear" w:color="auto" w:fill="auto"/>
                  <w:noWrap w:val="0"/>
                  <w:vAlign w:val="center"/>
                </w:tcPr>
                <w:p w14:paraId="441D9D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cs="Times New Roman"/>
                      <w:color w:val="auto"/>
                      <w:kern w:val="0"/>
                      <w:sz w:val="21"/>
                      <w:szCs w:val="21"/>
                      <w:lang w:val="en-US" w:eastAsia="zh-CN" w:bidi="ar"/>
                    </w:rPr>
                    <w:t>西侧2725~3050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4A9D3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22</w:t>
                  </w:r>
                  <w:r>
                    <w:rPr>
                      <w:rStyle w:val="80"/>
                      <w:rFonts w:hint="eastAsia"/>
                      <w:color w:val="auto"/>
                      <w:sz w:val="21"/>
                      <w:szCs w:val="21"/>
                      <w:lang w:val="en-US" w:eastAsia="zh-CN" w:bidi="ar"/>
                    </w:rPr>
                    <w:t>户/88人</w:t>
                  </w:r>
                </w:p>
              </w:tc>
              <w:tc>
                <w:tcPr>
                  <w:tcW w:w="813" w:type="pct"/>
                  <w:vMerge w:val="continue"/>
                  <w:noWrap w:val="0"/>
                  <w:vAlign w:val="center"/>
                </w:tcPr>
                <w:p w14:paraId="549EDAA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7659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3AAD460">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D803E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Cs w:val="21"/>
                      <w:lang w:val="en-US" w:eastAsia="zh-CN" w:bidi="ar"/>
                    </w:rPr>
                    <w:t>村子坝</w:t>
                  </w:r>
                  <w:r>
                    <w:rPr>
                      <w:rFonts w:hint="eastAsia" w:ascii="Times New Roman" w:hAnsi="Times New Roman" w:cs="Times New Roman"/>
                      <w:color w:val="auto"/>
                      <w:kern w:val="0"/>
                      <w:szCs w:val="21"/>
                      <w:lang w:val="en-US" w:eastAsia="zh-CN" w:bidi="ar"/>
                    </w:rPr>
                    <w:t>农户聚居区</w:t>
                  </w:r>
                </w:p>
              </w:tc>
              <w:tc>
                <w:tcPr>
                  <w:tcW w:w="1809" w:type="pct"/>
                  <w:gridSpan w:val="3"/>
                  <w:tcBorders>
                    <w:left w:val="single" w:color="auto" w:sz="4" w:space="0"/>
                  </w:tcBorders>
                  <w:shd w:val="clear" w:color="auto" w:fill="auto"/>
                  <w:noWrap w:val="0"/>
                  <w:vAlign w:val="center"/>
                </w:tcPr>
                <w:p w14:paraId="5345BF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Cs w:val="21"/>
                      <w:lang w:val="en-US" w:eastAsia="zh-CN" w:bidi="ar"/>
                    </w:rPr>
                    <w:t>176</w:t>
                  </w:r>
                  <w:r>
                    <w:rPr>
                      <w:rFonts w:hint="eastAsia" w:ascii="Times New Roman" w:hAnsi="Times New Roman" w:cs="Times New Roman"/>
                      <w:color w:val="auto"/>
                      <w:kern w:val="0"/>
                      <w:szCs w:val="21"/>
                      <w:lang w:bidi="ar"/>
                    </w:rPr>
                    <w:t>~</w:t>
                  </w:r>
                  <w:r>
                    <w:rPr>
                      <w:rFonts w:hint="eastAsia" w:cs="Times New Roman"/>
                      <w:color w:val="auto"/>
                      <w:kern w:val="0"/>
                      <w:szCs w:val="21"/>
                      <w:lang w:val="en-US" w:eastAsia="zh-CN" w:bidi="ar"/>
                    </w:rPr>
                    <w:t>536m</w:t>
                  </w:r>
                </w:p>
              </w:tc>
              <w:tc>
                <w:tcPr>
                  <w:tcW w:w="1203" w:type="pct"/>
                  <w:gridSpan w:val="2"/>
                  <w:tcBorders>
                    <w:left w:val="single" w:color="auto" w:sz="4" w:space="0"/>
                  </w:tcBorders>
                  <w:shd w:val="clear" w:color="auto" w:fill="auto"/>
                  <w:noWrap w:val="0"/>
                  <w:vAlign w:val="center"/>
                </w:tcPr>
                <w:p w14:paraId="046F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约20</w:t>
                  </w:r>
                  <w:r>
                    <w:rPr>
                      <w:rStyle w:val="80"/>
                      <w:rFonts w:hint="default"/>
                      <w:color w:val="auto"/>
                      <w:sz w:val="21"/>
                      <w:szCs w:val="21"/>
                      <w:lang w:val="en-US" w:eastAsia="zh-CN" w:bidi="ar"/>
                    </w:rPr>
                    <w:t>户</w:t>
                  </w:r>
                  <w:r>
                    <w:rPr>
                      <w:rStyle w:val="80"/>
                      <w:rFonts w:hint="eastAsia"/>
                      <w:color w:val="auto"/>
                      <w:sz w:val="21"/>
                      <w:szCs w:val="21"/>
                      <w:lang w:val="en-US" w:eastAsia="zh-CN" w:bidi="ar"/>
                    </w:rPr>
                    <w:t>/80</w:t>
                  </w:r>
                  <w:r>
                    <w:rPr>
                      <w:rStyle w:val="80"/>
                      <w:rFonts w:hint="default"/>
                      <w:color w:val="auto"/>
                      <w:sz w:val="21"/>
                      <w:szCs w:val="21"/>
                      <w:lang w:val="en-US" w:eastAsia="zh-CN" w:bidi="ar"/>
                    </w:rPr>
                    <w:t>人</w:t>
                  </w:r>
                </w:p>
              </w:tc>
              <w:tc>
                <w:tcPr>
                  <w:tcW w:w="813" w:type="pct"/>
                  <w:vMerge w:val="continue"/>
                  <w:noWrap w:val="0"/>
                  <w:vAlign w:val="center"/>
                </w:tcPr>
                <w:p w14:paraId="70DEA62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D27E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F7B38F8">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34FF0B2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解元寺农户聚居区</w:t>
                  </w:r>
                </w:p>
              </w:tc>
              <w:tc>
                <w:tcPr>
                  <w:tcW w:w="1809" w:type="pct"/>
                  <w:gridSpan w:val="3"/>
                  <w:tcBorders>
                    <w:left w:val="single" w:color="auto" w:sz="4" w:space="0"/>
                  </w:tcBorders>
                  <w:shd w:val="clear" w:color="auto" w:fill="auto"/>
                  <w:noWrap w:val="0"/>
                  <w:vAlign w:val="center"/>
                </w:tcPr>
                <w:p w14:paraId="1B9BB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 w:val="21"/>
                      <w:szCs w:val="21"/>
                      <w:lang w:val="en-US" w:eastAsia="zh-CN" w:bidi="ar"/>
                    </w:rPr>
                    <w:t>610~1130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645D72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51</w:t>
                  </w:r>
                  <w:r>
                    <w:rPr>
                      <w:rStyle w:val="80"/>
                      <w:rFonts w:hint="eastAsia"/>
                      <w:color w:val="auto"/>
                      <w:sz w:val="21"/>
                      <w:szCs w:val="21"/>
                      <w:lang w:val="en-US" w:eastAsia="zh-CN" w:bidi="ar"/>
                    </w:rPr>
                    <w:t>户/204人</w:t>
                  </w:r>
                </w:p>
              </w:tc>
              <w:tc>
                <w:tcPr>
                  <w:tcW w:w="813" w:type="pct"/>
                  <w:vMerge w:val="continue"/>
                  <w:noWrap w:val="0"/>
                  <w:vAlign w:val="center"/>
                </w:tcPr>
                <w:p w14:paraId="72EA2AC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19AB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B253081">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2202E7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三角塘农户聚居区</w:t>
                  </w:r>
                </w:p>
              </w:tc>
              <w:tc>
                <w:tcPr>
                  <w:tcW w:w="1809" w:type="pct"/>
                  <w:gridSpan w:val="3"/>
                  <w:tcBorders>
                    <w:left w:val="single" w:color="auto" w:sz="4" w:space="0"/>
                  </w:tcBorders>
                  <w:shd w:val="clear" w:color="auto" w:fill="auto"/>
                  <w:noWrap w:val="0"/>
                  <w:vAlign w:val="center"/>
                </w:tcPr>
                <w:p w14:paraId="6407F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 w:val="21"/>
                      <w:szCs w:val="21"/>
                      <w:lang w:val="en-US" w:eastAsia="zh-CN" w:bidi="ar"/>
                    </w:rPr>
                    <w:t>1168~1732</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3EA0AB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60</w:t>
                  </w:r>
                  <w:r>
                    <w:rPr>
                      <w:rStyle w:val="80"/>
                      <w:rFonts w:hint="eastAsia"/>
                      <w:color w:val="auto"/>
                      <w:sz w:val="21"/>
                      <w:szCs w:val="21"/>
                      <w:lang w:val="en-US" w:eastAsia="zh-CN" w:bidi="ar"/>
                    </w:rPr>
                    <w:t>户/240人</w:t>
                  </w:r>
                </w:p>
              </w:tc>
              <w:tc>
                <w:tcPr>
                  <w:tcW w:w="813" w:type="pct"/>
                  <w:vMerge w:val="continue"/>
                  <w:noWrap w:val="0"/>
                  <w:vAlign w:val="center"/>
                </w:tcPr>
                <w:p w14:paraId="501B541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19F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34D83C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0A9BF8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余家坡农户聚居区</w:t>
                  </w:r>
                </w:p>
              </w:tc>
              <w:tc>
                <w:tcPr>
                  <w:tcW w:w="1809" w:type="pct"/>
                  <w:gridSpan w:val="3"/>
                  <w:tcBorders>
                    <w:left w:val="single" w:color="auto" w:sz="4" w:space="0"/>
                  </w:tcBorders>
                  <w:shd w:val="clear" w:color="auto" w:fill="auto"/>
                  <w:noWrap w:val="0"/>
                  <w:vAlign w:val="center"/>
                </w:tcPr>
                <w:p w14:paraId="2536E9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 w:val="21"/>
                      <w:szCs w:val="21"/>
                      <w:lang w:val="en-US" w:eastAsia="zh-CN" w:bidi="ar"/>
                    </w:rPr>
                    <w:t>1657~2010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2CB50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35</w:t>
                  </w:r>
                  <w:r>
                    <w:rPr>
                      <w:rStyle w:val="80"/>
                      <w:rFonts w:hint="eastAsia"/>
                      <w:color w:val="auto"/>
                      <w:sz w:val="21"/>
                      <w:szCs w:val="21"/>
                      <w:lang w:val="en-US" w:eastAsia="zh-CN" w:bidi="ar"/>
                    </w:rPr>
                    <w:t>户/140人</w:t>
                  </w:r>
                </w:p>
              </w:tc>
              <w:tc>
                <w:tcPr>
                  <w:tcW w:w="813" w:type="pct"/>
                  <w:vMerge w:val="continue"/>
                  <w:noWrap w:val="0"/>
                  <w:vAlign w:val="center"/>
                </w:tcPr>
                <w:p w14:paraId="07FBF5B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017E1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565E3BB">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29B8A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朱家祠堂农户聚居区</w:t>
                  </w:r>
                </w:p>
              </w:tc>
              <w:tc>
                <w:tcPr>
                  <w:tcW w:w="1809" w:type="pct"/>
                  <w:gridSpan w:val="3"/>
                  <w:tcBorders>
                    <w:left w:val="single" w:color="auto" w:sz="4" w:space="0"/>
                  </w:tcBorders>
                  <w:shd w:val="clear" w:color="auto" w:fill="auto"/>
                  <w:noWrap w:val="0"/>
                  <w:vAlign w:val="center"/>
                </w:tcPr>
                <w:p w14:paraId="5F3D96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 w:val="21"/>
                      <w:szCs w:val="21"/>
                      <w:lang w:val="en-US" w:eastAsia="zh-CN" w:bidi="ar"/>
                    </w:rPr>
                    <w:t>1950~2297</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5FAD19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19</w:t>
                  </w:r>
                  <w:r>
                    <w:rPr>
                      <w:rStyle w:val="80"/>
                      <w:rFonts w:hint="eastAsia"/>
                      <w:color w:val="auto"/>
                      <w:sz w:val="21"/>
                      <w:szCs w:val="21"/>
                      <w:lang w:val="en-US" w:eastAsia="zh-CN" w:bidi="ar"/>
                    </w:rPr>
                    <w:t>户/76人</w:t>
                  </w:r>
                </w:p>
              </w:tc>
              <w:tc>
                <w:tcPr>
                  <w:tcW w:w="813" w:type="pct"/>
                  <w:vMerge w:val="continue"/>
                  <w:noWrap w:val="0"/>
                  <w:vAlign w:val="center"/>
                </w:tcPr>
                <w:p w14:paraId="4B0427D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07F40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116DF77">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51C7D8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管庭坝农户聚居区</w:t>
                  </w:r>
                </w:p>
              </w:tc>
              <w:tc>
                <w:tcPr>
                  <w:tcW w:w="1809" w:type="pct"/>
                  <w:gridSpan w:val="3"/>
                  <w:tcBorders>
                    <w:left w:val="single" w:color="auto" w:sz="4" w:space="0"/>
                  </w:tcBorders>
                  <w:shd w:val="clear" w:color="auto" w:fill="auto"/>
                  <w:noWrap w:val="0"/>
                  <w:vAlign w:val="center"/>
                </w:tcPr>
                <w:p w14:paraId="604DC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井场</w:t>
                  </w:r>
                  <w:r>
                    <w:rPr>
                      <w:rFonts w:hint="eastAsia" w:ascii="Times New Roman" w:hAnsi="Times New Roman" w:cs="Times New Roman"/>
                      <w:color w:val="auto"/>
                      <w:kern w:val="0"/>
                      <w:szCs w:val="21"/>
                      <w:lang w:val="en-US" w:eastAsia="zh-CN" w:bidi="ar"/>
                    </w:rPr>
                    <w:t>西</w:t>
                  </w:r>
                  <w:r>
                    <w:rPr>
                      <w:rFonts w:hint="eastAsia" w:cs="Times New Roman"/>
                      <w:color w:val="auto"/>
                      <w:kern w:val="0"/>
                      <w:szCs w:val="21"/>
                      <w:lang w:val="en-US" w:eastAsia="zh-CN" w:bidi="ar"/>
                    </w:rPr>
                    <w:t>北</w:t>
                  </w:r>
                  <w:r>
                    <w:rPr>
                      <w:rFonts w:hint="eastAsia" w:ascii="Times New Roman" w:hAnsi="Times New Roman" w:cs="Times New Roman"/>
                      <w:color w:val="auto"/>
                      <w:kern w:val="0"/>
                      <w:szCs w:val="21"/>
                      <w:lang w:val="en-US" w:eastAsia="zh-CN" w:bidi="ar"/>
                    </w:rPr>
                    <w:t>侧</w:t>
                  </w:r>
                  <w:r>
                    <w:rPr>
                      <w:rFonts w:hint="eastAsia" w:cs="Times New Roman"/>
                      <w:color w:val="auto"/>
                      <w:kern w:val="0"/>
                      <w:sz w:val="21"/>
                      <w:szCs w:val="21"/>
                      <w:lang w:val="en-US" w:eastAsia="zh-CN" w:bidi="ar"/>
                    </w:rPr>
                    <w:t>2620~3010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1FC7D3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20</w:t>
                  </w:r>
                  <w:r>
                    <w:rPr>
                      <w:rStyle w:val="80"/>
                      <w:rFonts w:hint="eastAsia"/>
                      <w:color w:val="auto"/>
                      <w:sz w:val="21"/>
                      <w:szCs w:val="21"/>
                      <w:lang w:val="en-US" w:eastAsia="zh-CN" w:bidi="ar"/>
                    </w:rPr>
                    <w:t>户/80人</w:t>
                  </w:r>
                </w:p>
              </w:tc>
              <w:tc>
                <w:tcPr>
                  <w:tcW w:w="813" w:type="pct"/>
                  <w:vMerge w:val="continue"/>
                  <w:noWrap w:val="0"/>
                  <w:vAlign w:val="center"/>
                </w:tcPr>
                <w:p w14:paraId="74682DF7">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60B37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6576941">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65E9E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松垭子农户聚居区</w:t>
                  </w:r>
                </w:p>
              </w:tc>
              <w:tc>
                <w:tcPr>
                  <w:tcW w:w="1809" w:type="pct"/>
                  <w:gridSpan w:val="3"/>
                  <w:tcBorders>
                    <w:left w:val="single" w:color="auto" w:sz="4" w:space="0"/>
                  </w:tcBorders>
                  <w:shd w:val="clear" w:color="auto" w:fill="auto"/>
                  <w:noWrap w:val="0"/>
                  <w:vAlign w:val="center"/>
                </w:tcPr>
                <w:p w14:paraId="695B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井场</w:t>
                  </w:r>
                  <w:r>
                    <w:rPr>
                      <w:rFonts w:hint="eastAsia" w:ascii="Times New Roman" w:hAnsi="Times New Roman" w:cs="Times New Roman"/>
                      <w:color w:val="auto"/>
                      <w:szCs w:val="21"/>
                      <w:lang w:val="en-US" w:eastAsia="zh-CN"/>
                    </w:rPr>
                    <w:t>北侧</w:t>
                  </w:r>
                  <w:r>
                    <w:rPr>
                      <w:rFonts w:hint="eastAsia" w:cs="Times New Roman"/>
                      <w:color w:val="auto"/>
                      <w:szCs w:val="21"/>
                      <w:lang w:val="en-US" w:eastAsia="zh-CN"/>
                    </w:rPr>
                    <w:t>49</w:t>
                  </w:r>
                  <w:r>
                    <w:rPr>
                      <w:rFonts w:hint="eastAsia" w:ascii="Times New Roman" w:hAnsi="Times New Roman" w:cs="Times New Roman"/>
                      <w:color w:val="auto"/>
                      <w:szCs w:val="21"/>
                    </w:rPr>
                    <w:t>~</w:t>
                  </w:r>
                  <w:r>
                    <w:rPr>
                      <w:rFonts w:hint="eastAsia" w:cs="Times New Roman"/>
                      <w:color w:val="auto"/>
                      <w:szCs w:val="21"/>
                      <w:lang w:val="en-US" w:eastAsia="zh-CN"/>
                    </w:rPr>
                    <w:t>476m</w:t>
                  </w:r>
                </w:p>
              </w:tc>
              <w:tc>
                <w:tcPr>
                  <w:tcW w:w="1203" w:type="pct"/>
                  <w:gridSpan w:val="2"/>
                  <w:tcBorders>
                    <w:left w:val="single" w:color="auto" w:sz="4" w:space="0"/>
                  </w:tcBorders>
                  <w:shd w:val="clear" w:color="auto" w:fill="auto"/>
                  <w:noWrap w:val="0"/>
                  <w:vAlign w:val="center"/>
                </w:tcPr>
                <w:p w14:paraId="740E4B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约27户/108人</w:t>
                  </w:r>
                </w:p>
              </w:tc>
              <w:tc>
                <w:tcPr>
                  <w:tcW w:w="813" w:type="pct"/>
                  <w:vMerge w:val="continue"/>
                  <w:noWrap w:val="0"/>
                  <w:vAlign w:val="center"/>
                </w:tcPr>
                <w:p w14:paraId="397ED3E7">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7AA0C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51972D7">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2764BCD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红牌湾农户聚居区</w:t>
                  </w:r>
                </w:p>
              </w:tc>
              <w:tc>
                <w:tcPr>
                  <w:tcW w:w="1809" w:type="pct"/>
                  <w:gridSpan w:val="3"/>
                  <w:tcBorders>
                    <w:left w:val="single" w:color="auto" w:sz="4" w:space="0"/>
                  </w:tcBorders>
                  <w:shd w:val="clear" w:color="auto" w:fill="auto"/>
                  <w:noWrap w:val="0"/>
                  <w:vAlign w:val="center"/>
                </w:tcPr>
                <w:p w14:paraId="0E97C3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w:t>
                  </w:r>
                  <w:r>
                    <w:rPr>
                      <w:rFonts w:hint="eastAsia" w:ascii="Times New Roman" w:hAnsi="Times New Roman" w:cs="Times New Roman"/>
                      <w:color w:val="auto"/>
                      <w:szCs w:val="21"/>
                      <w:lang w:val="en-US" w:eastAsia="zh-CN"/>
                    </w:rPr>
                    <w:t>北侧</w:t>
                  </w:r>
                  <w:r>
                    <w:rPr>
                      <w:rFonts w:hint="eastAsia" w:cs="Times New Roman"/>
                      <w:color w:val="auto"/>
                      <w:kern w:val="0"/>
                      <w:sz w:val="21"/>
                      <w:szCs w:val="21"/>
                      <w:lang w:val="en-US" w:eastAsia="zh-CN" w:bidi="ar"/>
                    </w:rPr>
                    <w:t>833~1209</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507BD7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33</w:t>
                  </w:r>
                  <w:r>
                    <w:rPr>
                      <w:rStyle w:val="80"/>
                      <w:rFonts w:hint="eastAsia"/>
                      <w:color w:val="auto"/>
                      <w:sz w:val="21"/>
                      <w:szCs w:val="21"/>
                      <w:lang w:val="en-US" w:eastAsia="zh-CN" w:bidi="ar"/>
                    </w:rPr>
                    <w:t>户/132人</w:t>
                  </w:r>
                </w:p>
              </w:tc>
              <w:tc>
                <w:tcPr>
                  <w:tcW w:w="813" w:type="pct"/>
                  <w:vMerge w:val="continue"/>
                  <w:noWrap w:val="0"/>
                  <w:vAlign w:val="center"/>
                </w:tcPr>
                <w:p w14:paraId="6127B75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FAF1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BCDBFD6">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9893A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杨家湾农户聚居区</w:t>
                  </w:r>
                </w:p>
              </w:tc>
              <w:tc>
                <w:tcPr>
                  <w:tcW w:w="1809" w:type="pct"/>
                  <w:gridSpan w:val="3"/>
                  <w:tcBorders>
                    <w:left w:val="single" w:color="auto" w:sz="4" w:space="0"/>
                  </w:tcBorders>
                  <w:shd w:val="clear" w:color="auto" w:fill="auto"/>
                  <w:noWrap w:val="0"/>
                  <w:vAlign w:val="center"/>
                </w:tcPr>
                <w:p w14:paraId="044249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w:t>
                  </w:r>
                  <w:r>
                    <w:rPr>
                      <w:rFonts w:hint="eastAsia" w:ascii="Times New Roman" w:hAnsi="Times New Roman" w:cs="Times New Roman"/>
                      <w:color w:val="auto"/>
                      <w:szCs w:val="21"/>
                      <w:lang w:val="en-US" w:eastAsia="zh-CN"/>
                    </w:rPr>
                    <w:t>北侧</w:t>
                  </w:r>
                  <w:r>
                    <w:rPr>
                      <w:rFonts w:hint="eastAsia" w:cs="Times New Roman"/>
                      <w:color w:val="auto"/>
                      <w:kern w:val="0"/>
                      <w:sz w:val="21"/>
                      <w:szCs w:val="21"/>
                      <w:lang w:val="en-US" w:eastAsia="zh-CN" w:bidi="ar"/>
                    </w:rPr>
                    <w:t>1353~1811</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66922F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26</w:t>
                  </w:r>
                  <w:r>
                    <w:rPr>
                      <w:rStyle w:val="80"/>
                      <w:rFonts w:hint="eastAsia"/>
                      <w:color w:val="auto"/>
                      <w:sz w:val="21"/>
                      <w:szCs w:val="21"/>
                      <w:lang w:val="en-US" w:eastAsia="zh-CN" w:bidi="ar"/>
                    </w:rPr>
                    <w:t>户/104人</w:t>
                  </w:r>
                </w:p>
              </w:tc>
              <w:tc>
                <w:tcPr>
                  <w:tcW w:w="813" w:type="pct"/>
                  <w:vMerge w:val="continue"/>
                  <w:noWrap w:val="0"/>
                  <w:vAlign w:val="center"/>
                </w:tcPr>
                <w:p w14:paraId="4381105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73690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C0EE5D5">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F031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孙家湾农户聚居区</w:t>
                  </w:r>
                </w:p>
              </w:tc>
              <w:tc>
                <w:tcPr>
                  <w:tcW w:w="1809" w:type="pct"/>
                  <w:gridSpan w:val="3"/>
                  <w:tcBorders>
                    <w:left w:val="single" w:color="auto" w:sz="4" w:space="0"/>
                  </w:tcBorders>
                  <w:shd w:val="clear" w:color="auto" w:fill="auto"/>
                  <w:noWrap w:val="0"/>
                  <w:vAlign w:val="center"/>
                </w:tcPr>
                <w:p w14:paraId="7263EE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w:t>
                  </w:r>
                  <w:r>
                    <w:rPr>
                      <w:rFonts w:hint="eastAsia" w:ascii="Times New Roman" w:hAnsi="Times New Roman" w:cs="Times New Roman"/>
                      <w:color w:val="auto"/>
                      <w:szCs w:val="21"/>
                      <w:lang w:val="en-US" w:eastAsia="zh-CN"/>
                    </w:rPr>
                    <w:t>北侧</w:t>
                  </w:r>
                  <w:r>
                    <w:rPr>
                      <w:rFonts w:hint="eastAsia" w:cs="Times New Roman"/>
                      <w:color w:val="auto"/>
                      <w:kern w:val="0"/>
                      <w:sz w:val="21"/>
                      <w:szCs w:val="21"/>
                      <w:lang w:val="en-US" w:eastAsia="zh-CN" w:bidi="ar"/>
                    </w:rPr>
                    <w:t>1925~2256</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0A853B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32</w:t>
                  </w:r>
                  <w:r>
                    <w:rPr>
                      <w:rStyle w:val="80"/>
                      <w:rFonts w:hint="eastAsia"/>
                      <w:color w:val="auto"/>
                      <w:sz w:val="21"/>
                      <w:szCs w:val="21"/>
                      <w:lang w:val="en-US" w:eastAsia="zh-CN" w:bidi="ar"/>
                    </w:rPr>
                    <w:t>户/128人</w:t>
                  </w:r>
                </w:p>
              </w:tc>
              <w:tc>
                <w:tcPr>
                  <w:tcW w:w="813" w:type="pct"/>
                  <w:vMerge w:val="continue"/>
                  <w:noWrap w:val="0"/>
                  <w:vAlign w:val="center"/>
                </w:tcPr>
                <w:p w14:paraId="7F07EDB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737A3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41ED7D1">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5DE7A4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王家坪农户聚居区</w:t>
                  </w:r>
                </w:p>
              </w:tc>
              <w:tc>
                <w:tcPr>
                  <w:tcW w:w="1809" w:type="pct"/>
                  <w:gridSpan w:val="3"/>
                  <w:tcBorders>
                    <w:left w:val="single" w:color="auto" w:sz="4" w:space="0"/>
                  </w:tcBorders>
                  <w:shd w:val="clear" w:color="auto" w:fill="auto"/>
                  <w:noWrap w:val="0"/>
                  <w:vAlign w:val="center"/>
                </w:tcPr>
                <w:p w14:paraId="27047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w:t>
                  </w:r>
                  <w:r>
                    <w:rPr>
                      <w:rFonts w:hint="eastAsia" w:ascii="Times New Roman" w:hAnsi="Times New Roman" w:cs="Times New Roman"/>
                      <w:color w:val="auto"/>
                      <w:szCs w:val="21"/>
                      <w:lang w:val="en-US" w:eastAsia="zh-CN"/>
                    </w:rPr>
                    <w:t>北侧</w:t>
                  </w:r>
                  <w:r>
                    <w:rPr>
                      <w:rFonts w:hint="eastAsia" w:cs="Times New Roman"/>
                      <w:color w:val="auto"/>
                      <w:kern w:val="0"/>
                      <w:sz w:val="21"/>
                      <w:szCs w:val="21"/>
                      <w:lang w:val="en-US" w:eastAsia="zh-CN" w:bidi="ar"/>
                    </w:rPr>
                    <w:t>2501~3010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29C025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43</w:t>
                  </w:r>
                  <w:r>
                    <w:rPr>
                      <w:rStyle w:val="80"/>
                      <w:rFonts w:hint="eastAsia"/>
                      <w:color w:val="auto"/>
                      <w:sz w:val="21"/>
                      <w:szCs w:val="21"/>
                      <w:lang w:val="en-US" w:eastAsia="zh-CN" w:bidi="ar"/>
                    </w:rPr>
                    <w:t>户/172人</w:t>
                  </w:r>
                </w:p>
              </w:tc>
              <w:tc>
                <w:tcPr>
                  <w:tcW w:w="813" w:type="pct"/>
                  <w:vMerge w:val="continue"/>
                  <w:noWrap w:val="0"/>
                  <w:vAlign w:val="center"/>
                </w:tcPr>
                <w:p w14:paraId="614CA72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219E8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02C3DCB9">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5ADD0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1809" w:type="pct"/>
                  <w:gridSpan w:val="3"/>
                  <w:tcBorders>
                    <w:left w:val="single" w:color="auto" w:sz="4" w:space="0"/>
                  </w:tcBorders>
                  <w:shd w:val="clear" w:color="auto" w:fill="auto"/>
                  <w:noWrap w:val="0"/>
                  <w:vAlign w:val="center"/>
                </w:tcPr>
                <w:p w14:paraId="2E26C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井场东北侧129~557m</w:t>
                  </w:r>
                </w:p>
              </w:tc>
              <w:tc>
                <w:tcPr>
                  <w:tcW w:w="1203" w:type="pct"/>
                  <w:gridSpan w:val="2"/>
                  <w:tcBorders>
                    <w:left w:val="single" w:color="auto" w:sz="4" w:space="0"/>
                  </w:tcBorders>
                  <w:shd w:val="clear" w:color="auto" w:fill="auto"/>
                  <w:noWrap w:val="0"/>
                  <w:vAlign w:val="center"/>
                </w:tcPr>
                <w:p w14:paraId="40FDF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约23户/92人</w:t>
                  </w:r>
                </w:p>
              </w:tc>
              <w:tc>
                <w:tcPr>
                  <w:tcW w:w="813" w:type="pct"/>
                  <w:vMerge w:val="continue"/>
                  <w:noWrap w:val="0"/>
                  <w:vAlign w:val="center"/>
                </w:tcPr>
                <w:p w14:paraId="2EA03FCB">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BA43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407EB84">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7807ED2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岳家洞农户聚居区</w:t>
                  </w:r>
                </w:p>
              </w:tc>
              <w:tc>
                <w:tcPr>
                  <w:tcW w:w="1809" w:type="pct"/>
                  <w:gridSpan w:val="3"/>
                  <w:tcBorders>
                    <w:left w:val="single" w:color="auto" w:sz="4" w:space="0"/>
                  </w:tcBorders>
                  <w:shd w:val="clear" w:color="auto" w:fill="auto"/>
                  <w:noWrap w:val="0"/>
                  <w:vAlign w:val="center"/>
                </w:tcPr>
                <w:p w14:paraId="65238B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井场东北侧</w:t>
                  </w:r>
                  <w:r>
                    <w:rPr>
                      <w:rFonts w:hint="eastAsia" w:cs="Times New Roman"/>
                      <w:color w:val="auto"/>
                      <w:kern w:val="0"/>
                      <w:sz w:val="21"/>
                      <w:szCs w:val="21"/>
                      <w:lang w:val="en-US" w:eastAsia="zh-CN" w:bidi="ar"/>
                    </w:rPr>
                    <w:t>1205~1562</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71B635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22</w:t>
                  </w:r>
                  <w:r>
                    <w:rPr>
                      <w:rStyle w:val="80"/>
                      <w:rFonts w:hint="eastAsia"/>
                      <w:color w:val="auto"/>
                      <w:sz w:val="21"/>
                      <w:szCs w:val="21"/>
                      <w:lang w:val="en-US" w:eastAsia="zh-CN" w:bidi="ar"/>
                    </w:rPr>
                    <w:t>户/88人</w:t>
                  </w:r>
                </w:p>
              </w:tc>
              <w:tc>
                <w:tcPr>
                  <w:tcW w:w="813" w:type="pct"/>
                  <w:vMerge w:val="continue"/>
                  <w:noWrap w:val="0"/>
                  <w:vAlign w:val="center"/>
                </w:tcPr>
                <w:p w14:paraId="6F47BBF4">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64DC4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7A10F35">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3C4B50B1">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2"/>
                      <w:sz w:val="21"/>
                      <w:szCs w:val="21"/>
                      <w:lang w:val="en-US" w:eastAsia="zh-CN" w:bidi="ar-SA"/>
                    </w:rPr>
                  </w:pPr>
                  <w:r>
                    <w:rPr>
                      <w:rFonts w:hint="eastAsia" w:cs="Times New Roman"/>
                      <w:color w:val="auto"/>
                      <w:kern w:val="2"/>
                      <w:sz w:val="21"/>
                      <w:szCs w:val="21"/>
                      <w:lang w:val="en-US" w:eastAsia="zh-CN" w:bidi="ar-SA"/>
                    </w:rPr>
                    <w:t>卢家湾农户聚居区</w:t>
                  </w:r>
                </w:p>
              </w:tc>
              <w:tc>
                <w:tcPr>
                  <w:tcW w:w="1809" w:type="pct"/>
                  <w:gridSpan w:val="3"/>
                  <w:tcBorders>
                    <w:left w:val="single" w:color="auto" w:sz="4" w:space="0"/>
                  </w:tcBorders>
                  <w:shd w:val="clear" w:color="auto" w:fill="auto"/>
                  <w:noWrap w:val="0"/>
                  <w:vAlign w:val="center"/>
                </w:tcPr>
                <w:p w14:paraId="245857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井场东北侧</w:t>
                  </w:r>
                  <w:r>
                    <w:rPr>
                      <w:rFonts w:hint="eastAsia" w:cs="Times New Roman"/>
                      <w:color w:val="auto"/>
                      <w:kern w:val="0"/>
                      <w:sz w:val="21"/>
                      <w:szCs w:val="21"/>
                      <w:lang w:val="en-US" w:eastAsia="zh-CN" w:bidi="ar"/>
                    </w:rPr>
                    <w:t>1376~1838</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2AD9E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25</w:t>
                  </w:r>
                  <w:r>
                    <w:rPr>
                      <w:rStyle w:val="80"/>
                      <w:rFonts w:hint="eastAsia"/>
                      <w:color w:val="auto"/>
                      <w:sz w:val="21"/>
                      <w:szCs w:val="21"/>
                      <w:lang w:val="en-US" w:eastAsia="zh-CN" w:bidi="ar"/>
                    </w:rPr>
                    <w:t>户/100人</w:t>
                  </w:r>
                </w:p>
              </w:tc>
              <w:tc>
                <w:tcPr>
                  <w:tcW w:w="813" w:type="pct"/>
                  <w:vMerge w:val="continue"/>
                  <w:noWrap w:val="0"/>
                  <w:vAlign w:val="center"/>
                </w:tcPr>
                <w:p w14:paraId="2D85E27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1C00E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4BC3D01">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084A7F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麻柳湾农户聚居区</w:t>
                  </w:r>
                </w:p>
              </w:tc>
              <w:tc>
                <w:tcPr>
                  <w:tcW w:w="1809" w:type="pct"/>
                  <w:gridSpan w:val="3"/>
                  <w:tcBorders>
                    <w:left w:val="single" w:color="auto" w:sz="4" w:space="0"/>
                  </w:tcBorders>
                  <w:shd w:val="clear" w:color="auto" w:fill="auto"/>
                  <w:noWrap w:val="0"/>
                  <w:vAlign w:val="center"/>
                </w:tcPr>
                <w:p w14:paraId="2ECB4E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井场东北侧</w:t>
                  </w:r>
                  <w:r>
                    <w:rPr>
                      <w:rFonts w:hint="eastAsia" w:cs="Times New Roman"/>
                      <w:color w:val="auto"/>
                      <w:kern w:val="0"/>
                      <w:sz w:val="21"/>
                      <w:szCs w:val="21"/>
                      <w:lang w:val="en-US" w:eastAsia="zh-CN" w:bidi="ar"/>
                    </w:rPr>
                    <w:t>2235~2783</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33BD16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20</w:t>
                  </w:r>
                  <w:r>
                    <w:rPr>
                      <w:rStyle w:val="80"/>
                      <w:rFonts w:hint="eastAsia"/>
                      <w:color w:val="auto"/>
                      <w:sz w:val="21"/>
                      <w:szCs w:val="21"/>
                      <w:lang w:val="en-US" w:eastAsia="zh-CN" w:bidi="ar"/>
                    </w:rPr>
                    <w:t>户/80人</w:t>
                  </w:r>
                </w:p>
              </w:tc>
              <w:tc>
                <w:tcPr>
                  <w:tcW w:w="813" w:type="pct"/>
                  <w:vMerge w:val="continue"/>
                  <w:noWrap w:val="0"/>
                  <w:vAlign w:val="center"/>
                </w:tcPr>
                <w:p w14:paraId="3D350B1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4BD4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D7CFACB">
                  <w:pPr>
                    <w:pStyle w:val="55"/>
                    <w:keepNext w:val="0"/>
                    <w:keepLines w:val="0"/>
                    <w:suppressLineNumbers w:val="0"/>
                    <w:spacing w:before="0" w:beforeAutospacing="0" w:after="0" w:afterAutospacing="0"/>
                    <w:ind w:left="0" w:right="0"/>
                    <w:rPr>
                      <w:rFonts w:ascii="Times New Roman" w:hAnsi="Times New Roman" w:eastAsia="宋体" w:cs="Times New Roman"/>
                      <w:color w:val="auto"/>
                      <w:lang w:bidi="ar"/>
                    </w:rPr>
                  </w:pPr>
                </w:p>
              </w:tc>
              <w:tc>
                <w:tcPr>
                  <w:tcW w:w="779" w:type="pct"/>
                  <w:shd w:val="clear" w:color="auto" w:fill="auto"/>
                  <w:noWrap w:val="0"/>
                  <w:vAlign w:val="center"/>
                </w:tcPr>
                <w:p w14:paraId="4DEAF9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拱石坝农户聚居区</w:t>
                  </w:r>
                </w:p>
              </w:tc>
              <w:tc>
                <w:tcPr>
                  <w:tcW w:w="1809" w:type="pct"/>
                  <w:gridSpan w:val="3"/>
                  <w:tcBorders>
                    <w:left w:val="single" w:color="auto" w:sz="4" w:space="0"/>
                  </w:tcBorders>
                  <w:shd w:val="clear" w:color="auto" w:fill="auto"/>
                  <w:noWrap w:val="0"/>
                  <w:vAlign w:val="center"/>
                </w:tcPr>
                <w:p w14:paraId="55A832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Cs w:val="21"/>
                      <w:lang w:val="en-US" w:eastAsia="zh-CN"/>
                    </w:rPr>
                    <w:t>井场东北侧</w:t>
                  </w:r>
                  <w:r>
                    <w:rPr>
                      <w:rFonts w:hint="eastAsia" w:cs="Times New Roman"/>
                      <w:color w:val="auto"/>
                      <w:kern w:val="0"/>
                      <w:sz w:val="21"/>
                      <w:szCs w:val="21"/>
                      <w:lang w:val="en-US" w:eastAsia="zh-CN" w:bidi="ar"/>
                    </w:rPr>
                    <w:t>2281~2960</w:t>
                  </w:r>
                  <w:r>
                    <w:rPr>
                      <w:rFonts w:hint="eastAsia" w:cs="Times New Roman"/>
                      <w:color w:val="auto"/>
                      <w:szCs w:val="21"/>
                      <w:lang w:val="en-US" w:eastAsia="zh-CN"/>
                    </w:rPr>
                    <w:t>m</w:t>
                  </w:r>
                </w:p>
              </w:tc>
              <w:tc>
                <w:tcPr>
                  <w:tcW w:w="1203" w:type="pct"/>
                  <w:gridSpan w:val="2"/>
                  <w:tcBorders>
                    <w:left w:val="single" w:color="auto" w:sz="4" w:space="0"/>
                  </w:tcBorders>
                  <w:shd w:val="clear" w:color="auto" w:fill="auto"/>
                  <w:noWrap w:val="0"/>
                  <w:vAlign w:val="center"/>
                </w:tcPr>
                <w:p w14:paraId="614CFC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u w:val="none"/>
                      <w:lang w:val="en-US" w:eastAsia="zh-CN" w:bidi="ar"/>
                    </w:rPr>
                  </w:pPr>
                  <w:r>
                    <w:rPr>
                      <w:rStyle w:val="80"/>
                      <w:rFonts w:hint="eastAsia"/>
                      <w:color w:val="auto"/>
                      <w:sz w:val="21"/>
                      <w:szCs w:val="21"/>
                      <w:lang w:val="en-US" w:eastAsia="zh-CN" w:bidi="ar"/>
                    </w:rPr>
                    <w:t>约</w:t>
                  </w:r>
                  <w:r>
                    <w:rPr>
                      <w:rFonts w:hint="eastAsia" w:cs="Times New Roman"/>
                      <w:color w:val="auto"/>
                      <w:kern w:val="2"/>
                      <w:sz w:val="21"/>
                      <w:szCs w:val="21"/>
                      <w:u w:val="none"/>
                      <w:lang w:val="en-US" w:eastAsia="zh-CN" w:bidi="ar"/>
                    </w:rPr>
                    <w:t>30</w:t>
                  </w:r>
                  <w:r>
                    <w:rPr>
                      <w:rStyle w:val="80"/>
                      <w:rFonts w:hint="eastAsia"/>
                      <w:color w:val="auto"/>
                      <w:sz w:val="21"/>
                      <w:szCs w:val="21"/>
                      <w:lang w:val="en-US" w:eastAsia="zh-CN" w:bidi="ar"/>
                    </w:rPr>
                    <w:t>户/120人</w:t>
                  </w:r>
                </w:p>
              </w:tc>
              <w:tc>
                <w:tcPr>
                  <w:tcW w:w="813" w:type="pct"/>
                  <w:vMerge w:val="continue"/>
                  <w:noWrap w:val="0"/>
                  <w:vAlign w:val="center"/>
                </w:tcPr>
                <w:p w14:paraId="336A185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4521C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1F1FCD1D">
                  <w:pPr>
                    <w:pStyle w:val="55"/>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lang w:bidi="ar"/>
                    </w:rPr>
                  </w:pPr>
                  <w:r>
                    <w:rPr>
                      <w:rFonts w:hint="eastAsia" w:ascii="Times New Roman" w:hAnsi="Times New Roman" w:eastAsia="宋体" w:cs="Times New Roman"/>
                      <w:color w:val="auto"/>
                      <w:lang w:val="en-US" w:eastAsia="zh-CN" w:bidi="ar"/>
                    </w:rPr>
                    <w:t>地表水</w:t>
                  </w:r>
                  <w:r>
                    <w:rPr>
                      <w:rFonts w:ascii="Times New Roman" w:hAnsi="Times New Roman" w:eastAsia="宋体" w:cs="Times New Roman"/>
                      <w:color w:val="auto"/>
                      <w:lang w:bidi="ar"/>
                    </w:rPr>
                    <w:t>环境风险</w:t>
                  </w:r>
                  <w:r>
                    <w:rPr>
                      <w:rFonts w:hint="eastAsia" w:ascii="Times New Roman" w:hAnsi="Times New Roman" w:eastAsia="宋体" w:cs="Times New Roman"/>
                      <w:color w:val="auto"/>
                      <w:lang w:val="en-US" w:eastAsia="zh-CN" w:bidi="ar"/>
                    </w:rPr>
                    <w:t>保护目标</w:t>
                  </w:r>
                </w:p>
              </w:tc>
              <w:tc>
                <w:tcPr>
                  <w:tcW w:w="779" w:type="pct"/>
                  <w:shd w:val="clear" w:color="auto" w:fill="auto"/>
                  <w:noWrap w:val="0"/>
                  <w:vAlign w:val="center"/>
                </w:tcPr>
                <w:p w14:paraId="23B5AAD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lang w:val="en-US" w:eastAsia="zh-CN"/>
                    </w:rPr>
                    <w:t>三岔河</w:t>
                  </w:r>
                </w:p>
              </w:tc>
              <w:tc>
                <w:tcPr>
                  <w:tcW w:w="3013" w:type="pct"/>
                  <w:gridSpan w:val="5"/>
                  <w:tcBorders>
                    <w:left w:val="single" w:color="auto" w:sz="4" w:space="0"/>
                  </w:tcBorders>
                  <w:shd w:val="clear" w:color="auto" w:fill="auto"/>
                  <w:noWrap w:val="0"/>
                  <w:vAlign w:val="center"/>
                </w:tcPr>
                <w:p w14:paraId="2030454F">
                  <w:pPr>
                    <w:keepNext w:val="0"/>
                    <w:keepLines w:val="0"/>
                    <w:widowControl/>
                    <w:suppressLineNumbers w:val="0"/>
                    <w:spacing w:before="0" w:beforeAutospacing="0" w:after="0" w:afterAutospacing="0"/>
                    <w:ind w:left="0" w:leftChars="0" w:right="0" w:rightChars="0"/>
                    <w:textAlignment w:val="center"/>
                    <w:rPr>
                      <w:rFonts w:hint="eastAsia" w:ascii="Times New Roman" w:hAnsi="Times New Roman" w:eastAsia="宋体" w:cs="Times New Roman"/>
                      <w:b w:val="0"/>
                      <w:color w:val="auto"/>
                      <w:kern w:val="2"/>
                      <w:sz w:val="21"/>
                      <w:szCs w:val="24"/>
                      <w:lang w:val="en-US" w:eastAsia="zh-CN" w:bidi="ar-SA"/>
                    </w:rPr>
                  </w:pPr>
                  <w:r>
                    <w:rPr>
                      <w:rFonts w:hint="default" w:ascii="Times New Roman" w:hAnsi="Times New Roman" w:eastAsia="宋体" w:cs="Times New Roman"/>
                      <w:b w:val="0"/>
                      <w:color w:val="auto"/>
                      <w:lang w:val="en-US" w:eastAsia="zh-CN"/>
                    </w:rPr>
                    <w:t>井场</w:t>
                  </w:r>
                  <w:r>
                    <w:rPr>
                      <w:rFonts w:hint="eastAsia" w:ascii="Times New Roman" w:hAnsi="Times New Roman" w:eastAsia="宋体" w:cs="Times New Roman"/>
                      <w:b w:val="0"/>
                      <w:color w:val="auto"/>
                      <w:lang w:val="en-US" w:eastAsia="zh-CN"/>
                    </w:rPr>
                    <w:t>东侧</w:t>
                  </w:r>
                  <w:r>
                    <w:rPr>
                      <w:rFonts w:hint="default" w:ascii="Times New Roman" w:hAnsi="Times New Roman" w:eastAsia="宋体" w:cs="Times New Roman"/>
                      <w:b w:val="0"/>
                      <w:color w:val="auto"/>
                      <w:lang w:val="en-US" w:eastAsia="zh-CN"/>
                    </w:rPr>
                    <w:t>，距井口最近距离</w:t>
                  </w:r>
                  <w:r>
                    <w:rPr>
                      <w:rFonts w:hint="eastAsia" w:cs="Times New Roman"/>
                      <w:b w:val="0"/>
                      <w:color w:val="auto"/>
                      <w:lang w:val="en-US" w:eastAsia="zh-CN"/>
                    </w:rPr>
                    <w:t>约1200</w:t>
                  </w:r>
                  <w:r>
                    <w:rPr>
                      <w:rFonts w:hint="default" w:ascii="Times New Roman" w:hAnsi="Times New Roman" w:eastAsia="宋体" w:cs="Times New Roman"/>
                      <w:b w:val="0"/>
                      <w:color w:val="auto"/>
                      <w:lang w:val="en-US" w:eastAsia="zh-CN"/>
                    </w:rPr>
                    <w:t>m，低于井口</w:t>
                  </w:r>
                  <w:r>
                    <w:rPr>
                      <w:rFonts w:hint="eastAsia" w:cs="Times New Roman"/>
                      <w:b w:val="0"/>
                      <w:color w:val="auto"/>
                      <w:lang w:val="en-US" w:eastAsia="zh-CN"/>
                    </w:rPr>
                    <w:t>约240</w:t>
                  </w:r>
                  <w:r>
                    <w:rPr>
                      <w:rFonts w:hint="default" w:ascii="Times New Roman" w:hAnsi="Times New Roman" w:eastAsia="宋体" w:cs="Times New Roman"/>
                      <w:b w:val="0"/>
                      <w:color w:val="auto"/>
                      <w:lang w:val="en-US" w:eastAsia="zh-CN"/>
                    </w:rPr>
                    <w:t>m</w:t>
                  </w:r>
                  <w:r>
                    <w:rPr>
                      <w:rFonts w:hint="eastAsia" w:cs="Times New Roman"/>
                      <w:b w:val="0"/>
                      <w:color w:val="auto"/>
                      <w:lang w:val="en-US" w:eastAsia="zh-CN"/>
                    </w:rPr>
                    <w:t>，</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default" w:ascii="Times New Roman" w:hAnsi="Times New Roman" w:eastAsia="宋体" w:cs="Times New Roman"/>
                      <w:b w:val="0"/>
                      <w:color w:val="auto"/>
                      <w:lang w:val="en-US" w:eastAsia="zh-CN"/>
                    </w:rPr>
                    <w:t>行洪</w:t>
                  </w:r>
                </w:p>
              </w:tc>
              <w:tc>
                <w:tcPr>
                  <w:tcW w:w="813" w:type="pct"/>
                  <w:vMerge w:val="restart"/>
                  <w:shd w:val="clear" w:color="auto" w:fill="auto"/>
                  <w:noWrap w:val="0"/>
                  <w:vAlign w:val="center"/>
                </w:tcPr>
                <w:p w14:paraId="3A47D584">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《地表水环境质量标准》（GB</w:t>
                  </w:r>
                  <w:r>
                    <w:rPr>
                      <w:rFonts w:hint="eastAsia" w:ascii="Times New Roman" w:hAnsi="Times New Roman" w:eastAsia="宋体" w:cs="Times New Roman"/>
                      <w:b w:val="0"/>
                      <w:color w:val="auto"/>
                      <w:kern w:val="2"/>
                      <w:sz w:val="21"/>
                      <w:szCs w:val="21"/>
                      <w:lang w:val="en-US" w:eastAsia="zh-CN" w:bidi="ar-SA"/>
                    </w:rPr>
                    <w:t>3838</w:t>
                  </w:r>
                  <w:r>
                    <w:rPr>
                      <w:rFonts w:hint="default" w:ascii="Times New Roman" w:hAnsi="Times New Roman" w:eastAsia="宋体" w:cs="Times New Roman"/>
                      <w:b w:val="0"/>
                      <w:color w:val="auto"/>
                      <w:kern w:val="2"/>
                      <w:sz w:val="21"/>
                      <w:szCs w:val="21"/>
                      <w:lang w:val="en-US" w:eastAsia="zh-CN" w:bidi="ar-SA"/>
                    </w:rPr>
                    <w:t>-2002）Ⅲ类标准</w:t>
                  </w:r>
                </w:p>
              </w:tc>
            </w:tr>
            <w:tr w14:paraId="0BE80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53F1ED3">
                  <w:pPr>
                    <w:pStyle w:val="55"/>
                    <w:keepNext w:val="0"/>
                    <w:keepLines w:val="0"/>
                    <w:suppressLineNumbers w:val="0"/>
                    <w:spacing w:before="0" w:beforeAutospacing="0" w:after="0" w:afterAutospacing="0"/>
                    <w:ind w:left="0" w:right="0"/>
                    <w:jc w:val="center"/>
                    <w:outlineLvl w:val="9"/>
                    <w:rPr>
                      <w:rFonts w:hint="eastAsia" w:ascii="Times New Roman" w:hAnsi="Times New Roman" w:eastAsia="宋体" w:cs="Times New Roman"/>
                      <w:color w:val="auto"/>
                      <w:lang w:val="en-US" w:eastAsia="zh-CN" w:bidi="ar"/>
                    </w:rPr>
                  </w:pPr>
                </w:p>
              </w:tc>
              <w:tc>
                <w:tcPr>
                  <w:tcW w:w="779" w:type="pct"/>
                  <w:shd w:val="clear" w:color="auto" w:fill="auto"/>
                  <w:noWrap w:val="0"/>
                  <w:vAlign w:val="center"/>
                </w:tcPr>
                <w:p w14:paraId="3E23479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lang w:val="en-US" w:eastAsia="zh-CN"/>
                    </w:rPr>
                    <w:t>向阳河</w:t>
                  </w:r>
                </w:p>
              </w:tc>
              <w:tc>
                <w:tcPr>
                  <w:tcW w:w="3013" w:type="pct"/>
                  <w:gridSpan w:val="5"/>
                  <w:tcBorders>
                    <w:left w:val="single" w:color="auto" w:sz="4" w:space="0"/>
                  </w:tcBorders>
                  <w:shd w:val="clear" w:color="auto" w:fill="auto"/>
                  <w:noWrap w:val="0"/>
                  <w:vAlign w:val="center"/>
                </w:tcPr>
                <w:p w14:paraId="62DD6787">
                  <w:pPr>
                    <w:keepNext w:val="0"/>
                    <w:keepLines w:val="0"/>
                    <w:widowControl/>
                    <w:suppressLineNumbers w:val="0"/>
                    <w:spacing w:before="0" w:beforeAutospacing="0" w:after="0" w:afterAutospacing="0"/>
                    <w:ind w:left="0" w:leftChars="0" w:right="0" w:rightChars="0"/>
                    <w:textAlignment w:val="center"/>
                    <w:rPr>
                      <w:rFonts w:hint="default" w:ascii="Times New Roman" w:hAnsi="Times New Roman" w:eastAsia="宋体" w:cs="Times New Roman"/>
                      <w:b w:val="0"/>
                      <w:color w:val="auto"/>
                      <w:kern w:val="2"/>
                      <w:sz w:val="21"/>
                      <w:szCs w:val="24"/>
                      <w:lang w:val="en-US" w:eastAsia="zh-CN" w:bidi="ar-SA"/>
                    </w:rPr>
                  </w:pPr>
                  <w:r>
                    <w:rPr>
                      <w:rFonts w:hint="eastAsia" w:ascii="Times New Roman" w:hAnsi="Times New Roman" w:eastAsia="宋体" w:cs="Times New Roman"/>
                      <w:b w:val="0"/>
                      <w:color w:val="auto"/>
                      <w:lang w:val="en-US" w:eastAsia="zh-CN"/>
                    </w:rPr>
                    <w:t>井场</w:t>
                  </w:r>
                  <w:r>
                    <w:rPr>
                      <w:rFonts w:hint="eastAsia" w:cs="Times New Roman"/>
                      <w:b w:val="0"/>
                      <w:color w:val="auto"/>
                      <w:lang w:val="en-US" w:eastAsia="zh-CN"/>
                    </w:rPr>
                    <w:t>南侧</w:t>
                  </w:r>
                  <w:r>
                    <w:rPr>
                      <w:rFonts w:hint="default" w:ascii="Times New Roman" w:hAnsi="Times New Roman" w:eastAsia="宋体" w:cs="Times New Roman"/>
                      <w:b w:val="0"/>
                      <w:color w:val="auto"/>
                      <w:lang w:val="en-US" w:eastAsia="zh-CN"/>
                    </w:rPr>
                    <w:t>，距井口最近距离</w:t>
                  </w:r>
                  <w:r>
                    <w:rPr>
                      <w:rFonts w:hint="eastAsia" w:cs="Times New Roman"/>
                      <w:b w:val="0"/>
                      <w:color w:val="auto"/>
                      <w:lang w:val="en-US" w:eastAsia="zh-CN"/>
                    </w:rPr>
                    <w:t>约</w:t>
                  </w:r>
                  <w:r>
                    <w:rPr>
                      <w:rFonts w:hint="eastAsia" w:ascii="Times New Roman" w:hAnsi="Times New Roman" w:eastAsia="宋体" w:cs="Times New Roman"/>
                      <w:b w:val="0"/>
                      <w:color w:val="auto"/>
                      <w:lang w:val="en-US" w:eastAsia="zh-CN"/>
                    </w:rPr>
                    <w:t>1</w:t>
                  </w:r>
                  <w:r>
                    <w:rPr>
                      <w:rFonts w:hint="eastAsia" w:cs="Times New Roman"/>
                      <w:b w:val="0"/>
                      <w:color w:val="auto"/>
                      <w:lang w:val="en-US" w:eastAsia="zh-CN"/>
                    </w:rPr>
                    <w:t>200</w:t>
                  </w:r>
                  <w:r>
                    <w:rPr>
                      <w:rFonts w:hint="default" w:ascii="Times New Roman" w:hAnsi="Times New Roman" w:eastAsia="宋体" w:cs="Times New Roman"/>
                      <w:b w:val="0"/>
                      <w:color w:val="auto"/>
                      <w:lang w:val="en-US" w:eastAsia="zh-CN"/>
                    </w:rPr>
                    <w:t>m，低于井口</w:t>
                  </w:r>
                  <w:r>
                    <w:rPr>
                      <w:rFonts w:hint="eastAsia" w:cs="Times New Roman"/>
                      <w:b w:val="0"/>
                      <w:color w:val="auto"/>
                      <w:lang w:val="en-US" w:eastAsia="zh-CN"/>
                    </w:rPr>
                    <w:t>约270</w:t>
                  </w:r>
                  <w:r>
                    <w:rPr>
                      <w:rFonts w:hint="default" w:ascii="Times New Roman" w:hAnsi="Times New Roman" w:eastAsia="宋体" w:cs="Times New Roman"/>
                      <w:b w:val="0"/>
                      <w:color w:val="auto"/>
                      <w:lang w:val="en-US" w:eastAsia="zh-CN"/>
                    </w:rPr>
                    <w:t>m</w:t>
                  </w:r>
                  <w:r>
                    <w:rPr>
                      <w:rFonts w:hint="eastAsia" w:cs="Times New Roman"/>
                      <w:b w:val="0"/>
                      <w:color w:val="auto"/>
                      <w:lang w:val="en-US" w:eastAsia="zh-CN"/>
                    </w:rPr>
                    <w:t>，</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eastAsia" w:cs="Times New Roman"/>
                      <w:b w:val="0"/>
                      <w:color w:val="auto"/>
                      <w:lang w:val="en-US" w:eastAsia="zh-CN"/>
                    </w:rPr>
                    <w:t>行</w:t>
                  </w:r>
                  <w:r>
                    <w:rPr>
                      <w:rFonts w:hint="eastAsia" w:ascii="Times New Roman" w:hAnsi="Times New Roman" w:eastAsia="宋体" w:cs="Times New Roman"/>
                      <w:b w:val="0"/>
                      <w:color w:val="auto"/>
                      <w:lang w:val="en-US" w:eastAsia="zh-CN"/>
                    </w:rPr>
                    <w:t>洪</w:t>
                  </w:r>
                </w:p>
              </w:tc>
              <w:tc>
                <w:tcPr>
                  <w:tcW w:w="813" w:type="pct"/>
                  <w:vMerge w:val="continue"/>
                  <w:shd w:val="clear" w:color="auto" w:fill="auto"/>
                  <w:noWrap w:val="0"/>
                  <w:vAlign w:val="center"/>
                </w:tcPr>
                <w:p w14:paraId="545FFD49">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9"/>
                    <w:rPr>
                      <w:rFonts w:hint="default" w:ascii="Times New Roman" w:hAnsi="Times New Roman" w:eastAsia="宋体" w:cs="Times New Roman"/>
                      <w:b w:val="0"/>
                      <w:color w:val="auto"/>
                      <w:kern w:val="2"/>
                      <w:sz w:val="21"/>
                      <w:szCs w:val="21"/>
                      <w:lang w:val="en-US" w:eastAsia="zh-CN" w:bidi="ar-SA"/>
                    </w:rPr>
                  </w:pPr>
                </w:p>
              </w:tc>
            </w:tr>
            <w:tr w14:paraId="60087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vAlign w:val="center"/>
                </w:tcPr>
                <w:p w14:paraId="4F4D6833">
                  <w:pPr>
                    <w:pStyle w:val="55"/>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lang w:bidi="ar"/>
                    </w:rPr>
                  </w:pPr>
                </w:p>
              </w:tc>
              <w:tc>
                <w:tcPr>
                  <w:tcW w:w="2051" w:type="dxa"/>
                  <w:shd w:val="clear" w:color="auto" w:fill="auto"/>
                  <w:vAlign w:val="center"/>
                </w:tcPr>
                <w:p w14:paraId="4B516A1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kern w:val="2"/>
                      <w:sz w:val="21"/>
                      <w:szCs w:val="24"/>
                      <w:lang w:val="en-US" w:eastAsia="zh-CN" w:bidi="ar-SA"/>
                    </w:rPr>
                    <w:t>向阳河支流</w:t>
                  </w:r>
                </w:p>
              </w:tc>
              <w:tc>
                <w:tcPr>
                  <w:tcW w:w="7933" w:type="dxa"/>
                  <w:gridSpan w:val="5"/>
                  <w:shd w:val="clear" w:color="auto" w:fill="auto"/>
                  <w:vAlign w:val="center"/>
                </w:tcPr>
                <w:p w14:paraId="15C3D56A">
                  <w:pPr>
                    <w:keepNext w:val="0"/>
                    <w:keepLines w:val="0"/>
                    <w:widowControl/>
                    <w:suppressLineNumbers w:val="0"/>
                    <w:spacing w:before="0" w:beforeAutospacing="0" w:after="0" w:afterAutospacing="0"/>
                    <w:ind w:left="0" w:leftChars="0" w:right="0" w:rightChars="0"/>
                    <w:textAlignment w:val="center"/>
                    <w:rPr>
                      <w:rFonts w:hint="eastAsia" w:ascii="Times New Roman" w:hAnsi="Times New Roman" w:eastAsia="宋体" w:cs="Times New Roman"/>
                      <w:b w:val="0"/>
                      <w:color w:val="auto"/>
                      <w:kern w:val="2"/>
                      <w:sz w:val="21"/>
                      <w:szCs w:val="24"/>
                      <w:lang w:val="en-US" w:eastAsia="zh-CN" w:bidi="ar-SA"/>
                    </w:rPr>
                  </w:pPr>
                  <w:r>
                    <w:rPr>
                      <w:rFonts w:hint="eastAsia" w:cs="Times New Roman"/>
                      <w:b w:val="0"/>
                      <w:color w:val="auto"/>
                      <w:kern w:val="2"/>
                      <w:sz w:val="21"/>
                      <w:szCs w:val="24"/>
                      <w:lang w:val="en-US" w:eastAsia="zh-CN" w:bidi="ar-SA"/>
                    </w:rPr>
                    <w:t>井场西侧，距井口最近距离约520m，低于井口约116m，</w:t>
                  </w:r>
                  <w:r>
                    <w:rPr>
                      <w:rFonts w:hint="default" w:ascii="Times New Roman" w:hAnsi="Times New Roman" w:eastAsia="宋体" w:cs="Times New Roman"/>
                      <w:b w:val="0"/>
                      <w:color w:val="auto"/>
                    </w:rPr>
                    <w:t>主要功能为灌溉</w:t>
                  </w:r>
                  <w:r>
                    <w:rPr>
                      <w:rFonts w:hint="default" w:ascii="Times New Roman" w:hAnsi="Times New Roman" w:eastAsia="宋体" w:cs="Times New Roman"/>
                      <w:b w:val="0"/>
                      <w:color w:val="auto"/>
                      <w:lang w:eastAsia="zh-CN"/>
                    </w:rPr>
                    <w:t>、</w:t>
                  </w:r>
                  <w:r>
                    <w:rPr>
                      <w:rFonts w:hint="eastAsia" w:cs="Times New Roman"/>
                      <w:b w:val="0"/>
                      <w:color w:val="auto"/>
                      <w:lang w:val="en-US" w:eastAsia="zh-CN"/>
                    </w:rPr>
                    <w:t>行</w:t>
                  </w:r>
                  <w:r>
                    <w:rPr>
                      <w:rFonts w:hint="eastAsia" w:ascii="Times New Roman" w:hAnsi="Times New Roman" w:eastAsia="宋体" w:cs="Times New Roman"/>
                      <w:b w:val="0"/>
                      <w:color w:val="auto"/>
                      <w:lang w:val="en-US" w:eastAsia="zh-CN"/>
                    </w:rPr>
                    <w:t>洪</w:t>
                  </w:r>
                </w:p>
              </w:tc>
              <w:tc>
                <w:tcPr>
                  <w:tcW w:w="813" w:type="pct"/>
                  <w:vMerge w:val="continue"/>
                  <w:vAlign w:val="center"/>
                </w:tcPr>
                <w:p w14:paraId="1EFDE28E">
                  <w:pPr>
                    <w:pStyle w:val="55"/>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rPr>
                  </w:pPr>
                </w:p>
              </w:tc>
            </w:tr>
            <w:tr w14:paraId="31DAB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0" w:type="auto"/>
                  <w:vAlign w:val="center"/>
                </w:tcPr>
                <w:p w14:paraId="37EFDDF0">
                  <w:pPr>
                    <w:pStyle w:val="55"/>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lang w:bidi="ar"/>
                    </w:rPr>
                  </w:pPr>
                  <w:r>
                    <w:rPr>
                      <w:rFonts w:hint="eastAsia" w:ascii="Times New Roman" w:hAnsi="Times New Roman" w:eastAsia="宋体" w:cs="Times New Roman"/>
                      <w:color w:val="auto"/>
                      <w:lang w:val="en-US" w:eastAsia="zh-CN" w:bidi="ar"/>
                    </w:rPr>
                    <w:t>地下水</w:t>
                  </w:r>
                  <w:r>
                    <w:rPr>
                      <w:rFonts w:ascii="Times New Roman" w:hAnsi="Times New Roman" w:eastAsia="宋体" w:cs="Times New Roman"/>
                      <w:color w:val="auto"/>
                      <w:lang w:bidi="ar"/>
                    </w:rPr>
                    <w:t>环境风险</w:t>
                  </w:r>
                  <w:r>
                    <w:rPr>
                      <w:rFonts w:hint="eastAsia" w:ascii="Times New Roman" w:hAnsi="Times New Roman" w:eastAsia="宋体" w:cs="Times New Roman"/>
                      <w:color w:val="auto"/>
                      <w:lang w:val="en-US" w:eastAsia="zh-CN" w:bidi="ar"/>
                    </w:rPr>
                    <w:t>保护目标</w:t>
                  </w:r>
                </w:p>
              </w:tc>
              <w:tc>
                <w:tcPr>
                  <w:tcW w:w="779" w:type="pct"/>
                  <w:vAlign w:val="center"/>
                </w:tcPr>
                <w:p w14:paraId="5317BDF1">
                  <w:pPr>
                    <w:pStyle w:val="55"/>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具有供水意义的含水层</w:t>
                  </w:r>
                </w:p>
              </w:tc>
              <w:tc>
                <w:tcPr>
                  <w:tcW w:w="3013" w:type="pct"/>
                  <w:gridSpan w:val="5"/>
                  <w:shd w:val="clear" w:color="auto" w:fill="auto"/>
                  <w:vAlign w:val="center"/>
                </w:tcPr>
                <w:p w14:paraId="33A00F67">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left"/>
                    <w:textAlignment w:val="baseline"/>
                    <w:outlineLvl w:val="4"/>
                    <w:rPr>
                      <w:rFonts w:hint="eastAsia" w:ascii="Times New Roman" w:hAnsi="Times New Roman" w:eastAsia="宋体" w:cs="Times New Roman"/>
                      <w:b w:val="0"/>
                      <w:color w:val="auto"/>
                      <w:kern w:val="2"/>
                      <w:sz w:val="21"/>
                      <w:szCs w:val="21"/>
                      <w:lang w:val="en-US" w:eastAsia="zh-CN" w:bidi="ar-SA"/>
                    </w:rPr>
                  </w:pPr>
                  <w:r>
                    <w:rPr>
                      <w:rFonts w:hint="default" w:ascii="Times New Roman" w:hAnsi="Times New Roman" w:eastAsia="Times New Roman" w:cs="Times New Roman"/>
                      <w:color w:val="auto"/>
                    </w:rPr>
                    <w:t>评价范围内的分散式水井（项目</w:t>
                  </w:r>
                  <w:r>
                    <w:rPr>
                      <w:rFonts w:hint="eastAsia" w:ascii="Times New Roman" w:hAnsi="Times New Roman" w:eastAsia="Times New Roman" w:cs="Times New Roman"/>
                      <w:color w:val="auto"/>
                      <w:lang w:val="en-US" w:eastAsia="zh-CN"/>
                    </w:rPr>
                    <w:t>井口</w:t>
                  </w:r>
                  <w:r>
                    <w:rPr>
                      <w:rFonts w:hint="default" w:ascii="Times New Roman" w:hAnsi="Times New Roman" w:eastAsia="Times New Roman" w:cs="Times New Roman"/>
                      <w:color w:val="auto"/>
                    </w:rPr>
                    <w:t>周边约</w:t>
                  </w:r>
                  <w:r>
                    <w:rPr>
                      <w:rFonts w:hint="eastAsia" w:ascii="Times New Roman" w:hAnsi="Times New Roman" w:eastAsia="Times New Roman" w:cs="Times New Roman"/>
                      <w:color w:val="auto"/>
                      <w:lang w:val="en-US" w:eastAsia="zh-CN"/>
                    </w:rPr>
                    <w:t>140</w:t>
                  </w:r>
                  <w:r>
                    <w:rPr>
                      <w:rFonts w:hint="default" w:ascii="Times New Roman" w:hAnsi="Times New Roman" w:eastAsia="Times New Roman" w:cs="Times New Roman"/>
                      <w:color w:val="auto"/>
                    </w:rPr>
                    <w:t>m~</w:t>
                  </w:r>
                  <w:r>
                    <w:rPr>
                      <w:rFonts w:hint="eastAsia" w:ascii="Times New Roman" w:hAnsi="Times New Roman" w:eastAsia="Times New Roman" w:cs="Times New Roman"/>
                      <w:color w:val="auto"/>
                      <w:lang w:val="en-US" w:eastAsia="zh-CN"/>
                    </w:rPr>
                    <w:t>1300</w:t>
                  </w:r>
                  <w:r>
                    <w:rPr>
                      <w:rFonts w:hint="default" w:ascii="Times New Roman" w:hAnsi="Times New Roman" w:eastAsia="Times New Roman" w:cs="Times New Roman"/>
                      <w:color w:val="auto"/>
                    </w:rPr>
                    <w:t>m范围内民井2</w:t>
                  </w:r>
                  <w:r>
                    <w:rPr>
                      <w:rFonts w:hint="eastAsia" w:ascii="Times New Roman" w:hAnsi="Times New Roman" w:eastAsia="Times New Roman" w:cs="Times New Roman"/>
                      <w:color w:val="auto"/>
                      <w:lang w:val="en-US" w:eastAsia="zh-CN"/>
                    </w:rPr>
                    <w:t>8</w:t>
                  </w:r>
                  <w:r>
                    <w:rPr>
                      <w:rFonts w:hint="default" w:ascii="Times New Roman" w:hAnsi="Times New Roman" w:eastAsia="Times New Roman" w:cs="Times New Roman"/>
                      <w:color w:val="auto"/>
                    </w:rPr>
                    <w:t>口</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井深介于10~30m之间</w:t>
                  </w:r>
                  <w:r>
                    <w:rPr>
                      <w:rFonts w:hint="default" w:ascii="Times New Roman" w:hAnsi="Times New Roman" w:eastAsia="Times New Roman" w:cs="Times New Roman"/>
                      <w:color w:val="auto"/>
                    </w:rPr>
                    <w:t>）及下伏</w:t>
                  </w:r>
                  <w:r>
                    <w:rPr>
                      <w:rFonts w:hint="eastAsia" w:ascii="Times New Roman" w:hAnsi="Times New Roman" w:eastAsia="Times New Roman" w:cs="Times New Roman"/>
                      <w:color w:val="auto"/>
                      <w:lang w:val="en-US" w:eastAsia="zh-CN"/>
                    </w:rPr>
                    <w:t>基岩裂隙水含水层</w:t>
                  </w:r>
                </w:p>
              </w:tc>
              <w:tc>
                <w:tcPr>
                  <w:tcW w:w="813" w:type="pct"/>
                  <w:shd w:val="clear" w:color="auto" w:fill="auto"/>
                  <w:vAlign w:val="center"/>
                </w:tcPr>
                <w:p w14:paraId="618CB1DE">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9"/>
                    <w:rPr>
                      <w:rFonts w:hint="default" w:ascii="Times New Roman" w:hAnsi="Times New Roman" w:eastAsia="宋体" w:cs="Times New Roman"/>
                      <w:b w:val="0"/>
                      <w:color w:val="auto"/>
                      <w:kern w:val="2"/>
                      <w:sz w:val="21"/>
                      <w:szCs w:val="21"/>
                      <w:lang w:val="en-US" w:eastAsia="zh-CN" w:bidi="ar"/>
                    </w:rPr>
                  </w:pPr>
                  <w:r>
                    <w:rPr>
                      <w:rFonts w:hint="default" w:ascii="Times New Roman" w:hAnsi="Times New Roman" w:eastAsia="宋体" w:cs="Times New Roman"/>
                      <w:b w:val="0"/>
                      <w:color w:val="auto"/>
                      <w:kern w:val="2"/>
                      <w:sz w:val="21"/>
                      <w:szCs w:val="21"/>
                      <w:lang w:val="en-US" w:eastAsia="zh-CN" w:bidi="ar-SA"/>
                    </w:rPr>
                    <w:t>《地下水质量标准》（GB/T</w:t>
                  </w:r>
                  <w:r>
                    <w:rPr>
                      <w:rFonts w:hint="eastAsia" w:ascii="Times New Roman" w:hAnsi="Times New Roman" w:eastAsia="宋体" w:cs="Times New Roman"/>
                      <w:b w:val="0"/>
                      <w:color w:val="auto"/>
                      <w:kern w:val="2"/>
                      <w:sz w:val="21"/>
                      <w:szCs w:val="21"/>
                      <w:lang w:val="en-US" w:eastAsia="zh-CN" w:bidi="ar-SA"/>
                    </w:rPr>
                    <w:t xml:space="preserve"> </w:t>
                  </w:r>
                  <w:r>
                    <w:rPr>
                      <w:rFonts w:hint="default" w:ascii="Times New Roman" w:hAnsi="Times New Roman" w:eastAsia="宋体" w:cs="Times New Roman"/>
                      <w:b w:val="0"/>
                      <w:color w:val="auto"/>
                      <w:kern w:val="2"/>
                      <w:sz w:val="21"/>
                      <w:szCs w:val="21"/>
                      <w:lang w:val="en-US" w:eastAsia="zh-CN" w:bidi="ar-SA"/>
                    </w:rPr>
                    <w:t>14848-2017）Ⅲ类标准</w:t>
                  </w:r>
                </w:p>
              </w:tc>
            </w:tr>
          </w:tbl>
          <w:p w14:paraId="59E578CD">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kern w:val="0"/>
                <w:sz w:val="24"/>
              </w:rPr>
            </w:pPr>
          </w:p>
        </w:tc>
      </w:tr>
    </w:tbl>
    <w:p w14:paraId="2ABA5557">
      <w:pPr>
        <w:pStyle w:val="19"/>
        <w:jc w:val="center"/>
        <w:outlineLvl w:val="0"/>
        <w:rPr>
          <w:rFonts w:ascii="Times New Roman" w:hAnsi="Times New Roman" w:eastAsia="黑体"/>
          <w:snapToGrid w:val="0"/>
          <w:color w:val="auto"/>
          <w:kern w:val="2"/>
          <w:sz w:val="36"/>
          <w:szCs w:val="36"/>
        </w:rPr>
        <w:sectPr>
          <w:pgSz w:w="16838" w:h="11906" w:orient="landscape"/>
          <w:pgMar w:top="1800" w:right="1440" w:bottom="1800" w:left="144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3"/>
        <w:tblW w:w="88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6"/>
        <w:gridCol w:w="8049"/>
      </w:tblGrid>
      <w:tr w14:paraId="4B6F8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766" w:type="dxa"/>
            <w:noWrap w:val="0"/>
            <w:vAlign w:val="center"/>
          </w:tcPr>
          <w:p w14:paraId="7DBFD74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评价</w:t>
            </w:r>
          </w:p>
          <w:p w14:paraId="3DD32F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标准</w:t>
            </w:r>
          </w:p>
        </w:tc>
        <w:tc>
          <w:tcPr>
            <w:tcW w:w="8049" w:type="dxa"/>
            <w:noWrap w:val="0"/>
            <w:vAlign w:val="center"/>
          </w:tcPr>
          <w:p w14:paraId="76EF7FC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一、环境质量标准</w:t>
            </w:r>
          </w:p>
          <w:p w14:paraId="25A757B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1、环境空气</w:t>
            </w:r>
          </w:p>
          <w:p w14:paraId="7F90795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default" w:ascii="Times New Roman" w:hAnsi="Times New Roman" w:cs="Times New Roman"/>
                <w:color w:val="auto"/>
                <w:sz w:val="24"/>
              </w:rPr>
              <w:t>环境空气执行《环境空气质量标准》（GB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3095-20</w:t>
            </w:r>
            <w:r>
              <w:rPr>
                <w:rFonts w:hint="eastAsia" w:ascii="Times New Roman" w:hAnsi="Times New Roman" w:cs="Times New Roman"/>
                <w:color w:val="auto"/>
                <w:sz w:val="24"/>
                <w:lang w:val="en-US" w:eastAsia="zh-CN"/>
              </w:rPr>
              <w:t>26</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过渡阶段浓度限值</w:t>
            </w:r>
            <w:r>
              <w:rPr>
                <w:rFonts w:hint="default" w:ascii="Times New Roman" w:hAnsi="Times New Roman" w:cs="Times New Roman"/>
                <w:color w:val="auto"/>
                <w:sz w:val="24"/>
              </w:rPr>
              <w:t>二级标准</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非甲烷总烃参照《大气污染物综合排放标准详解》中的限值</w:t>
            </w:r>
            <w:r>
              <w:rPr>
                <w:rFonts w:hint="eastAsia" w:ascii="Times New Roman" w:hAnsi="Times New Roman" w:cs="Times New Roman"/>
                <w:color w:val="auto"/>
                <w:sz w:val="24"/>
              </w:rPr>
              <w:t>。</w:t>
            </w:r>
          </w:p>
          <w:p w14:paraId="4F5A6D80">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环境空气质量标准</w:t>
            </w:r>
          </w:p>
          <w:tbl>
            <w:tblPr>
              <w:tblStyle w:val="23"/>
              <w:tblW w:w="49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292"/>
              <w:gridCol w:w="1494"/>
              <w:gridCol w:w="1068"/>
              <w:gridCol w:w="1032"/>
              <w:gridCol w:w="2149"/>
            </w:tblGrid>
            <w:tr w14:paraId="7DC25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noWrap w:val="0"/>
                  <w:vAlign w:val="center"/>
                </w:tcPr>
                <w:p w14:paraId="2E13B8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837" w:type="pct"/>
                  <w:noWrap w:val="0"/>
                  <w:vAlign w:val="center"/>
                </w:tcPr>
                <w:p w14:paraId="675E60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污染物项目</w:t>
                  </w:r>
                </w:p>
              </w:tc>
              <w:tc>
                <w:tcPr>
                  <w:tcW w:w="968" w:type="pct"/>
                  <w:noWrap w:val="0"/>
                  <w:vAlign w:val="center"/>
                </w:tcPr>
                <w:p w14:paraId="6BBAC6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平均时间</w:t>
                  </w:r>
                </w:p>
              </w:tc>
              <w:tc>
                <w:tcPr>
                  <w:tcW w:w="692" w:type="pct"/>
                  <w:noWrap w:val="0"/>
                  <w:vAlign w:val="center"/>
                </w:tcPr>
                <w:p w14:paraId="510E32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浓度限值</w:t>
                  </w:r>
                </w:p>
              </w:tc>
              <w:tc>
                <w:tcPr>
                  <w:tcW w:w="669" w:type="pct"/>
                  <w:noWrap w:val="0"/>
                  <w:vAlign w:val="center"/>
                </w:tcPr>
                <w:p w14:paraId="5A26DE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单位</w:t>
                  </w:r>
                </w:p>
              </w:tc>
              <w:tc>
                <w:tcPr>
                  <w:tcW w:w="1393" w:type="pct"/>
                  <w:noWrap w:val="0"/>
                  <w:vAlign w:val="center"/>
                </w:tcPr>
                <w:p w14:paraId="62A19C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w:t>
                  </w:r>
                </w:p>
              </w:tc>
            </w:tr>
            <w:tr w14:paraId="27CF7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64D6DB4E">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837" w:type="pct"/>
                  <w:vMerge w:val="restart"/>
                  <w:noWrap w:val="0"/>
                  <w:vAlign w:val="center"/>
                </w:tcPr>
                <w:p w14:paraId="5D26AB3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968" w:type="pct"/>
                  <w:noWrap w:val="0"/>
                  <w:vAlign w:val="center"/>
                </w:tcPr>
                <w:p w14:paraId="60E30D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Cs w:val="21"/>
                      <w:lang w:bidi="ar"/>
                    </w:rPr>
                    <w:t>年平均</w:t>
                  </w:r>
                </w:p>
              </w:tc>
              <w:tc>
                <w:tcPr>
                  <w:tcW w:w="692" w:type="pct"/>
                  <w:noWrap w:val="0"/>
                  <w:vAlign w:val="center"/>
                </w:tcPr>
                <w:p w14:paraId="5E05E736">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669" w:type="pct"/>
                  <w:vMerge w:val="restart"/>
                  <w:noWrap w:val="0"/>
                  <w:vAlign w:val="center"/>
                </w:tcPr>
                <w:p w14:paraId="3A990F94">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restart"/>
                  <w:noWrap w:val="0"/>
                  <w:vAlign w:val="center"/>
                </w:tcPr>
                <w:p w14:paraId="24D54179">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GB</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3095-20</w:t>
                  </w:r>
                  <w:r>
                    <w:rPr>
                      <w:rFonts w:hint="eastAsia" w:ascii="Times New Roman" w:hAnsi="Times New Roman" w:eastAsia="宋体" w:cs="Times New Roman"/>
                      <w:color w:val="auto"/>
                      <w:sz w:val="21"/>
                      <w:szCs w:val="21"/>
                      <w:lang w:val="en-US" w:eastAsia="zh-CN"/>
                    </w:rPr>
                    <w:t>26</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过渡阶段浓度限值</w:t>
                  </w:r>
                  <w:r>
                    <w:rPr>
                      <w:rFonts w:hint="default" w:ascii="Times New Roman" w:hAnsi="Times New Roman" w:eastAsia="宋体" w:cs="Times New Roman"/>
                      <w:color w:val="auto"/>
                      <w:sz w:val="21"/>
                      <w:szCs w:val="21"/>
                    </w:rPr>
                    <w:t>二级标准</w:t>
                  </w:r>
                </w:p>
              </w:tc>
            </w:tr>
            <w:tr w14:paraId="2CD67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149D59E9">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658C41F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056A5ED">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6E216A5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669" w:type="pct"/>
                  <w:vMerge w:val="continue"/>
                  <w:noWrap w:val="0"/>
                  <w:vAlign w:val="center"/>
                </w:tcPr>
                <w:p w14:paraId="6268985F">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1770B86B">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4003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26F51C51">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2C933985">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0AD5B9E4">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1EB9B7B7">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669" w:type="pct"/>
                  <w:vMerge w:val="continue"/>
                  <w:noWrap w:val="0"/>
                  <w:vAlign w:val="center"/>
                </w:tcPr>
                <w:p w14:paraId="3C59ECE3">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9105E1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45959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47A151A">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837" w:type="pct"/>
                  <w:vMerge w:val="restart"/>
                  <w:noWrap w:val="0"/>
                  <w:vAlign w:val="center"/>
                </w:tcPr>
                <w:p w14:paraId="4407C5A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968" w:type="pct"/>
                  <w:noWrap w:val="0"/>
                  <w:vAlign w:val="center"/>
                </w:tcPr>
                <w:p w14:paraId="3A0A075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573AED80">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669" w:type="pct"/>
                  <w:vMerge w:val="restart"/>
                  <w:noWrap w:val="0"/>
                  <w:vAlign w:val="center"/>
                </w:tcPr>
                <w:p w14:paraId="4B3FF154">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1F0E26F3">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107EB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053454DE">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44B1B325">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5C79AF07">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7E09ABE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669" w:type="pct"/>
                  <w:vMerge w:val="continue"/>
                  <w:noWrap w:val="0"/>
                  <w:vAlign w:val="center"/>
                </w:tcPr>
                <w:p w14:paraId="35720E12">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4F5EBAD3">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BB06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13271F55">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7EB3A934">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6BD241B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45DD116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669" w:type="pct"/>
                  <w:vMerge w:val="continue"/>
                  <w:noWrap w:val="0"/>
                  <w:vAlign w:val="center"/>
                </w:tcPr>
                <w:p w14:paraId="2B2E816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5DA25601">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928F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7DDA93DD">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837" w:type="pct"/>
                  <w:vMerge w:val="restart"/>
                  <w:noWrap w:val="0"/>
                  <w:vAlign w:val="center"/>
                </w:tcPr>
                <w:p w14:paraId="07291823">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968" w:type="pct"/>
                  <w:noWrap w:val="0"/>
                  <w:vAlign w:val="center"/>
                </w:tcPr>
                <w:p w14:paraId="006902A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48F668B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w:t>
                  </w:r>
                </w:p>
              </w:tc>
              <w:tc>
                <w:tcPr>
                  <w:tcW w:w="669" w:type="pct"/>
                  <w:vMerge w:val="restart"/>
                  <w:noWrap w:val="0"/>
                  <w:vAlign w:val="center"/>
                </w:tcPr>
                <w:p w14:paraId="54358669">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6853259B">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23FFD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2659EFD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3875655D">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36DE36BF">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10C1264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0</w:t>
                  </w:r>
                </w:p>
              </w:tc>
              <w:tc>
                <w:tcPr>
                  <w:tcW w:w="669" w:type="pct"/>
                  <w:vMerge w:val="continue"/>
                  <w:noWrap w:val="0"/>
                  <w:vAlign w:val="center"/>
                </w:tcPr>
                <w:p w14:paraId="579D5D31">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CA6D89D">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AF27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CB8E111">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837" w:type="pct"/>
                  <w:vMerge w:val="restart"/>
                  <w:noWrap w:val="0"/>
                  <w:vAlign w:val="center"/>
                </w:tcPr>
                <w:p w14:paraId="305516CF">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968" w:type="pct"/>
                  <w:noWrap w:val="0"/>
                  <w:vAlign w:val="center"/>
                </w:tcPr>
                <w:p w14:paraId="05B5C11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31EE1E46">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0</w:t>
                  </w:r>
                </w:p>
              </w:tc>
              <w:tc>
                <w:tcPr>
                  <w:tcW w:w="669" w:type="pct"/>
                  <w:vMerge w:val="restart"/>
                  <w:noWrap w:val="0"/>
                  <w:vAlign w:val="center"/>
                </w:tcPr>
                <w:p w14:paraId="1AE759BC">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682E13D6">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992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690ADF85">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79ED47BD">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31D4C861">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2605775A">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w:t>
                  </w:r>
                </w:p>
              </w:tc>
              <w:tc>
                <w:tcPr>
                  <w:tcW w:w="669" w:type="pct"/>
                  <w:vMerge w:val="continue"/>
                  <w:noWrap w:val="0"/>
                  <w:vAlign w:val="center"/>
                </w:tcPr>
                <w:p w14:paraId="3C88FF84">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39693F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7104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6826EFD">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837" w:type="pct"/>
                  <w:vMerge w:val="restart"/>
                  <w:noWrap w:val="0"/>
                  <w:vAlign w:val="center"/>
                </w:tcPr>
                <w:p w14:paraId="1BF43229">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968" w:type="pct"/>
                  <w:noWrap w:val="0"/>
                  <w:vAlign w:val="center"/>
                </w:tcPr>
                <w:p w14:paraId="5A987881">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26680D76">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69" w:type="pct"/>
                  <w:vMerge w:val="restart"/>
                  <w:noWrap w:val="0"/>
                  <w:vAlign w:val="center"/>
                </w:tcPr>
                <w:p w14:paraId="61D60079">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mg/m³</w:t>
                  </w:r>
                </w:p>
              </w:tc>
              <w:tc>
                <w:tcPr>
                  <w:tcW w:w="1393" w:type="pct"/>
                  <w:vMerge w:val="continue"/>
                  <w:noWrap w:val="0"/>
                  <w:vAlign w:val="center"/>
                </w:tcPr>
                <w:p w14:paraId="4524669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2BEE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74E712F8">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1BE2A34E">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217BC4D">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0C413424">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669" w:type="pct"/>
                  <w:vMerge w:val="continue"/>
                  <w:noWrap w:val="0"/>
                  <w:vAlign w:val="center"/>
                </w:tcPr>
                <w:p w14:paraId="6FF5A27B">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3B1852A8">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6F2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58EB5EE0">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837" w:type="pct"/>
                  <w:vMerge w:val="restart"/>
                  <w:noWrap w:val="0"/>
                  <w:vAlign w:val="center"/>
                </w:tcPr>
                <w:p w14:paraId="136A88E2">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968" w:type="pct"/>
                  <w:noWrap w:val="0"/>
                  <w:vAlign w:val="center"/>
                </w:tcPr>
                <w:p w14:paraId="56DB0EA7">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3FD9DCE8">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669" w:type="pct"/>
                  <w:vMerge w:val="restart"/>
                  <w:noWrap w:val="0"/>
                  <w:vAlign w:val="center"/>
                </w:tcPr>
                <w:p w14:paraId="0AC8C05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1EFAC795">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339D4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79A4F953">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3A79E896">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EDDFD3C">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日最大8小时平均</w:t>
                  </w:r>
                </w:p>
              </w:tc>
              <w:tc>
                <w:tcPr>
                  <w:tcW w:w="692" w:type="pct"/>
                  <w:noWrap w:val="0"/>
                  <w:vAlign w:val="center"/>
                </w:tcPr>
                <w:p w14:paraId="025A58B5">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w:t>
                  </w:r>
                </w:p>
              </w:tc>
              <w:tc>
                <w:tcPr>
                  <w:tcW w:w="669" w:type="pct"/>
                  <w:vMerge w:val="continue"/>
                  <w:noWrap w:val="0"/>
                  <w:vAlign w:val="center"/>
                </w:tcPr>
                <w:p w14:paraId="2CC70A97">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3649F476">
                  <w:pPr>
                    <w:pStyle w:val="55"/>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2524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noWrap w:val="0"/>
                  <w:vAlign w:val="center"/>
                </w:tcPr>
                <w:p w14:paraId="1F63EBD0">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837" w:type="pct"/>
                  <w:noWrap w:val="0"/>
                  <w:vAlign w:val="center"/>
                </w:tcPr>
                <w:p w14:paraId="6DC56F00">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968" w:type="pct"/>
                  <w:noWrap w:val="0"/>
                  <w:vAlign w:val="center"/>
                </w:tcPr>
                <w:p w14:paraId="3BF01FCA">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3B071F4B">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669" w:type="pct"/>
                  <w:noWrap w:val="0"/>
                  <w:vAlign w:val="center"/>
                </w:tcPr>
                <w:p w14:paraId="2541F05D">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noWrap w:val="0"/>
                  <w:vAlign w:val="center"/>
                </w:tcPr>
                <w:p w14:paraId="5ECE7870">
                  <w:pPr>
                    <w:pStyle w:val="55"/>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《大气污染物综合排放标准详解》</w:t>
                  </w:r>
                </w:p>
              </w:tc>
            </w:tr>
          </w:tbl>
          <w:p w14:paraId="3275494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2、地表水</w:t>
            </w:r>
          </w:p>
          <w:p w14:paraId="20FC68F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地表水水质执行《地表水环境质量标准》（GB 3838-2002）中的Ⅲ类水域标准。</w:t>
            </w:r>
          </w:p>
          <w:p w14:paraId="3489B1C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地表水环境质量标准    单位：mg/L</w:t>
            </w:r>
          </w:p>
          <w:tbl>
            <w:tblPr>
              <w:tblStyle w:val="2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3"/>
              <w:gridCol w:w="802"/>
              <w:gridCol w:w="977"/>
              <w:gridCol w:w="977"/>
              <w:gridCol w:w="978"/>
              <w:gridCol w:w="978"/>
              <w:gridCol w:w="978"/>
              <w:gridCol w:w="978"/>
            </w:tblGrid>
            <w:tr w14:paraId="401AE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36" w:type="pct"/>
                  <w:noWrap w:val="0"/>
                  <w:vAlign w:val="center"/>
                </w:tcPr>
                <w:p w14:paraId="5645BE0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512" w:type="pct"/>
                  <w:noWrap w:val="0"/>
                  <w:vAlign w:val="center"/>
                </w:tcPr>
                <w:p w14:paraId="2819706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pH</w:t>
                  </w:r>
                </w:p>
              </w:tc>
              <w:tc>
                <w:tcPr>
                  <w:tcW w:w="624" w:type="pct"/>
                  <w:noWrap w:val="0"/>
                  <w:vAlign w:val="center"/>
                </w:tcPr>
                <w:p w14:paraId="54CA167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COD</w:t>
                  </w:r>
                  <w:r>
                    <w:rPr>
                      <w:rFonts w:hint="default" w:ascii="Times New Roman" w:hAnsi="Times New Roman" w:eastAsia="宋体" w:cs="Times New Roman"/>
                      <w:b/>
                      <w:bCs/>
                      <w:color w:val="auto"/>
                      <w:sz w:val="21"/>
                      <w:szCs w:val="21"/>
                      <w:highlight w:val="none"/>
                      <w:vertAlign w:val="subscript"/>
                      <w:lang w:val="en-US" w:eastAsia="zh-CN"/>
                    </w:rPr>
                    <w:t>Cr</w:t>
                  </w:r>
                </w:p>
              </w:tc>
              <w:tc>
                <w:tcPr>
                  <w:tcW w:w="624" w:type="pct"/>
                  <w:noWrap w:val="0"/>
                  <w:vAlign w:val="center"/>
                </w:tcPr>
                <w:p w14:paraId="74746CB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BOD</w:t>
                  </w:r>
                  <w:r>
                    <w:rPr>
                      <w:rFonts w:hint="default" w:ascii="Times New Roman" w:hAnsi="Times New Roman" w:eastAsia="宋体" w:cs="Times New Roman"/>
                      <w:b/>
                      <w:bCs/>
                      <w:color w:val="auto"/>
                      <w:sz w:val="21"/>
                      <w:szCs w:val="21"/>
                      <w:highlight w:val="none"/>
                      <w:vertAlign w:val="subscript"/>
                      <w:lang w:val="en-US" w:eastAsia="zh-CN"/>
                    </w:rPr>
                    <w:t>5</w:t>
                  </w:r>
                </w:p>
              </w:tc>
              <w:tc>
                <w:tcPr>
                  <w:tcW w:w="625" w:type="pct"/>
                  <w:noWrap w:val="0"/>
                  <w:vAlign w:val="center"/>
                </w:tcPr>
                <w:p w14:paraId="4230B0F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氨氮</w:t>
                  </w:r>
                </w:p>
              </w:tc>
              <w:tc>
                <w:tcPr>
                  <w:tcW w:w="625" w:type="pct"/>
                  <w:noWrap w:val="0"/>
                  <w:vAlign w:val="center"/>
                </w:tcPr>
                <w:p w14:paraId="0EBFD47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石油类</w:t>
                  </w:r>
                </w:p>
              </w:tc>
              <w:tc>
                <w:tcPr>
                  <w:tcW w:w="625" w:type="pct"/>
                  <w:noWrap w:val="0"/>
                  <w:vAlign w:val="center"/>
                </w:tcPr>
                <w:p w14:paraId="2463CFB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硫化物</w:t>
                  </w:r>
                </w:p>
              </w:tc>
              <w:tc>
                <w:tcPr>
                  <w:tcW w:w="625" w:type="pct"/>
                  <w:noWrap w:val="0"/>
                  <w:vAlign w:val="center"/>
                </w:tcPr>
                <w:p w14:paraId="6C7C3E8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氯化物</w:t>
                  </w:r>
                </w:p>
              </w:tc>
            </w:tr>
            <w:tr w14:paraId="1D0A2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36" w:type="pct"/>
                  <w:noWrap w:val="0"/>
                  <w:vAlign w:val="center"/>
                </w:tcPr>
                <w:p w14:paraId="24174EA4">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Ⅲ类标准</w:t>
                  </w:r>
                </w:p>
              </w:tc>
              <w:tc>
                <w:tcPr>
                  <w:tcW w:w="512" w:type="pct"/>
                  <w:noWrap w:val="0"/>
                  <w:vAlign w:val="center"/>
                </w:tcPr>
                <w:p w14:paraId="5F863D6A">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w:t>
                  </w:r>
                </w:p>
              </w:tc>
              <w:tc>
                <w:tcPr>
                  <w:tcW w:w="624" w:type="pct"/>
                  <w:noWrap w:val="0"/>
                  <w:vAlign w:val="center"/>
                </w:tcPr>
                <w:p w14:paraId="0208270A">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624" w:type="pct"/>
                  <w:noWrap w:val="0"/>
                  <w:vAlign w:val="center"/>
                </w:tcPr>
                <w:p w14:paraId="186CCA23">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625" w:type="pct"/>
                  <w:noWrap w:val="0"/>
                  <w:vAlign w:val="center"/>
                </w:tcPr>
                <w:p w14:paraId="65FEBFD2">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625" w:type="pct"/>
                  <w:noWrap w:val="0"/>
                  <w:vAlign w:val="center"/>
                </w:tcPr>
                <w:p w14:paraId="6AE49C50">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w:t>
                  </w:r>
                </w:p>
              </w:tc>
              <w:tc>
                <w:tcPr>
                  <w:tcW w:w="625" w:type="pct"/>
                  <w:noWrap w:val="0"/>
                  <w:vAlign w:val="center"/>
                </w:tcPr>
                <w:p w14:paraId="5467B7D8">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≤0.2</w:t>
                  </w:r>
                </w:p>
              </w:tc>
              <w:tc>
                <w:tcPr>
                  <w:tcW w:w="625" w:type="pct"/>
                  <w:noWrap w:val="0"/>
                  <w:vAlign w:val="center"/>
                </w:tcPr>
                <w:p w14:paraId="4501A321">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≤250</w:t>
                  </w:r>
                </w:p>
              </w:tc>
            </w:tr>
          </w:tbl>
          <w:p w14:paraId="742534A9">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3、声环境</w:t>
            </w:r>
          </w:p>
          <w:p w14:paraId="1D3FFC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声环境执行《声环境质量标准》（GB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3096-2008）中的2类标准。</w:t>
            </w:r>
          </w:p>
          <w:p w14:paraId="164F6B66">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声环境质量标准    单位：dB（A）</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8"/>
              <w:gridCol w:w="2607"/>
              <w:gridCol w:w="2608"/>
            </w:tblGrid>
            <w:tr w14:paraId="73F2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vMerge w:val="restart"/>
                  <w:tcBorders>
                    <w:top w:val="single" w:color="auto" w:sz="4" w:space="0"/>
                    <w:left w:val="single" w:color="auto" w:sz="4" w:space="0"/>
                    <w:bottom w:val="single" w:color="auto" w:sz="4" w:space="0"/>
                    <w:right w:val="single" w:color="auto" w:sz="4" w:space="0"/>
                  </w:tcBorders>
                  <w:noWrap w:val="0"/>
                  <w:vAlign w:val="center"/>
                </w:tcPr>
                <w:p w14:paraId="721139A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标准类别</w:t>
                  </w:r>
                </w:p>
              </w:tc>
              <w:tc>
                <w:tcPr>
                  <w:tcW w:w="3333" w:type="pct"/>
                  <w:gridSpan w:val="2"/>
                  <w:tcBorders>
                    <w:top w:val="single" w:color="auto" w:sz="4" w:space="0"/>
                    <w:left w:val="single" w:color="auto" w:sz="4" w:space="0"/>
                    <w:bottom w:val="single" w:color="auto" w:sz="4" w:space="0"/>
                    <w:right w:val="single" w:color="auto" w:sz="4" w:space="0"/>
                  </w:tcBorders>
                  <w:noWrap w:val="0"/>
                  <w:vAlign w:val="center"/>
                </w:tcPr>
                <w:p w14:paraId="496B9C0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等效声级LAeq</w:t>
                  </w:r>
                </w:p>
              </w:tc>
            </w:tr>
            <w:tr w14:paraId="1C01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vMerge w:val="continue"/>
                  <w:tcBorders>
                    <w:top w:val="single" w:color="auto" w:sz="4" w:space="0"/>
                    <w:left w:val="single" w:color="auto" w:sz="4" w:space="0"/>
                    <w:bottom w:val="single" w:color="auto" w:sz="4" w:space="0"/>
                    <w:right w:val="single" w:color="auto" w:sz="4" w:space="0"/>
                  </w:tcBorders>
                  <w:noWrap w:val="0"/>
                  <w:vAlign w:val="center"/>
                </w:tcPr>
                <w:p w14:paraId="6A83B72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p>
              </w:tc>
              <w:tc>
                <w:tcPr>
                  <w:tcW w:w="1666" w:type="pct"/>
                  <w:tcBorders>
                    <w:top w:val="single" w:color="auto" w:sz="4" w:space="0"/>
                    <w:left w:val="single" w:color="auto" w:sz="4" w:space="0"/>
                    <w:bottom w:val="single" w:color="auto" w:sz="4" w:space="0"/>
                    <w:right w:val="single" w:color="auto" w:sz="4" w:space="0"/>
                  </w:tcBorders>
                  <w:noWrap w:val="0"/>
                  <w:vAlign w:val="center"/>
                </w:tcPr>
                <w:p w14:paraId="059F39C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1667" w:type="pct"/>
                  <w:tcBorders>
                    <w:top w:val="single" w:color="auto" w:sz="4" w:space="0"/>
                    <w:left w:val="single" w:color="auto" w:sz="4" w:space="0"/>
                    <w:bottom w:val="single" w:color="auto" w:sz="4" w:space="0"/>
                    <w:right w:val="single" w:color="auto" w:sz="4" w:space="0"/>
                  </w:tcBorders>
                  <w:noWrap w:val="0"/>
                  <w:vAlign w:val="center"/>
                </w:tcPr>
                <w:p w14:paraId="43BBF05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r>
            <w:tr w14:paraId="2E31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tcBorders>
                    <w:top w:val="single" w:color="auto" w:sz="4" w:space="0"/>
                    <w:left w:val="single" w:color="auto" w:sz="4" w:space="0"/>
                    <w:bottom w:val="single" w:color="auto" w:sz="4" w:space="0"/>
                    <w:right w:val="single" w:color="auto" w:sz="4" w:space="0"/>
                  </w:tcBorders>
                  <w:noWrap w:val="0"/>
                  <w:vAlign w:val="center"/>
                </w:tcPr>
                <w:p w14:paraId="2E26F03F">
                  <w:pPr>
                    <w:pStyle w:val="55"/>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2</w:t>
                  </w:r>
                  <w:r>
                    <w:rPr>
                      <w:rFonts w:ascii="Times New Roman" w:hAnsi="Times New Roman" w:eastAsia="宋体" w:cs="Times New Roman"/>
                      <w:color w:val="auto"/>
                    </w:rPr>
                    <w:t>类</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098690A7">
                  <w:pPr>
                    <w:pStyle w:val="55"/>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60</w:t>
                  </w:r>
                </w:p>
              </w:tc>
              <w:tc>
                <w:tcPr>
                  <w:tcW w:w="1667" w:type="pct"/>
                  <w:tcBorders>
                    <w:top w:val="single" w:color="auto" w:sz="4" w:space="0"/>
                    <w:left w:val="single" w:color="auto" w:sz="4" w:space="0"/>
                    <w:bottom w:val="single" w:color="auto" w:sz="4" w:space="0"/>
                    <w:right w:val="single" w:color="auto" w:sz="4" w:space="0"/>
                  </w:tcBorders>
                  <w:noWrap w:val="0"/>
                  <w:vAlign w:val="center"/>
                </w:tcPr>
                <w:p w14:paraId="53747B77">
                  <w:pPr>
                    <w:pStyle w:val="55"/>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50</w:t>
                  </w:r>
                </w:p>
              </w:tc>
            </w:tr>
          </w:tbl>
          <w:p w14:paraId="68B1712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4、地下水环境</w:t>
            </w:r>
          </w:p>
          <w:p w14:paraId="1CBA37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地下水环境执行《地下水质量标准》（GB/T</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14848-2017）</w:t>
            </w: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ROMAN \* MERGEFORMAT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III</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类标准</w:t>
            </w:r>
            <w:r>
              <w:rPr>
                <w:rFonts w:hint="eastAsia" w:cs="Times New Roman"/>
                <w:color w:val="auto"/>
                <w:sz w:val="24"/>
                <w:lang w:eastAsia="zh-CN"/>
              </w:rPr>
              <w:t>，</w:t>
            </w:r>
            <w:r>
              <w:rPr>
                <w:rFonts w:hint="eastAsia" w:ascii="Times New Roman" w:hAnsi="Times New Roman" w:cs="Times New Roman"/>
                <w:color w:val="auto"/>
                <w:sz w:val="24"/>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3838-2002）中的</w:t>
            </w:r>
            <w:r>
              <w:rPr>
                <w:rFonts w:hint="default" w:ascii="Times New Roman" w:hAnsi="Times New Roman" w:eastAsia="宋体" w:cs="Times New Roman"/>
                <w:color w:val="auto"/>
                <w:kern w:val="0"/>
                <w:sz w:val="24"/>
                <w:szCs w:val="24"/>
                <w:highlight w:val="none"/>
              </w:rPr>
              <w:t>Ⅲ类标准</w:t>
            </w:r>
            <w:r>
              <w:rPr>
                <w:rFonts w:hint="default" w:ascii="Times New Roman" w:hAnsi="Times New Roman" w:cs="Times New Roman"/>
                <w:color w:val="auto"/>
                <w:sz w:val="24"/>
              </w:rPr>
              <w:t>。</w:t>
            </w:r>
          </w:p>
          <w:p w14:paraId="3FEAEFD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地下水质量标准值表    单位：mg/L</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06"/>
              <w:gridCol w:w="1906"/>
              <w:gridCol w:w="1908"/>
              <w:gridCol w:w="1904"/>
            </w:tblGrid>
            <w:tr w14:paraId="41D2B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D5078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1218" w:type="pct"/>
                  <w:noWrap w:val="0"/>
                  <w:vAlign w:val="center"/>
                </w:tcPr>
                <w:p w14:paraId="7203D1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w:t>
                  </w:r>
                </w:p>
              </w:tc>
              <w:tc>
                <w:tcPr>
                  <w:tcW w:w="1219" w:type="pct"/>
                  <w:noWrap w:val="0"/>
                  <w:vAlign w:val="center"/>
                </w:tcPr>
                <w:p w14:paraId="66C87D6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1218" w:type="pct"/>
                  <w:noWrap w:val="0"/>
                  <w:vAlign w:val="center"/>
                </w:tcPr>
                <w:p w14:paraId="100133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w:t>
                  </w:r>
                </w:p>
              </w:tc>
            </w:tr>
            <w:tr w14:paraId="2B00B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3FA0EC3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pH（无量纲）</w:t>
                  </w:r>
                </w:p>
              </w:tc>
              <w:tc>
                <w:tcPr>
                  <w:tcW w:w="1218" w:type="pct"/>
                  <w:noWrap w:val="0"/>
                  <w:vAlign w:val="center"/>
                </w:tcPr>
                <w:p w14:paraId="79EC20F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6.5~8.5</w:t>
                  </w:r>
                </w:p>
              </w:tc>
              <w:tc>
                <w:tcPr>
                  <w:tcW w:w="1219" w:type="pct"/>
                  <w:noWrap w:val="0"/>
                  <w:vAlign w:val="center"/>
                </w:tcPr>
                <w:p w14:paraId="210A3B3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挥发酚</w:t>
                  </w:r>
                </w:p>
              </w:tc>
              <w:tc>
                <w:tcPr>
                  <w:tcW w:w="1218" w:type="pct"/>
                  <w:noWrap w:val="0"/>
                  <w:vAlign w:val="center"/>
                </w:tcPr>
                <w:p w14:paraId="388CDEA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r>
            <w:tr w14:paraId="705E2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8AE95F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氨氮</w:t>
                  </w:r>
                </w:p>
              </w:tc>
              <w:tc>
                <w:tcPr>
                  <w:tcW w:w="1218" w:type="pct"/>
                  <w:noWrap w:val="0"/>
                  <w:vAlign w:val="center"/>
                </w:tcPr>
                <w:p w14:paraId="717060D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1219" w:type="pct"/>
                  <w:noWrap w:val="0"/>
                  <w:vAlign w:val="center"/>
                </w:tcPr>
                <w:p w14:paraId="0DFD50C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氰化物</w:t>
                  </w:r>
                </w:p>
              </w:tc>
              <w:tc>
                <w:tcPr>
                  <w:tcW w:w="1218" w:type="pct"/>
                  <w:noWrap w:val="0"/>
                  <w:vAlign w:val="center"/>
                </w:tcPr>
                <w:p w14:paraId="6339839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14:paraId="7D0B3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352E107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8D7223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27937DF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砷（As）</w:t>
                  </w:r>
                </w:p>
              </w:tc>
              <w:tc>
                <w:tcPr>
                  <w:tcW w:w="1218" w:type="pct"/>
                  <w:noWrap w:val="0"/>
                  <w:vAlign w:val="center"/>
                </w:tcPr>
                <w:p w14:paraId="433548E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14:paraId="3637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78897B7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Ca</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610B8EB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2DD6B68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汞（Hg）</w:t>
                  </w:r>
                </w:p>
              </w:tc>
              <w:tc>
                <w:tcPr>
                  <w:tcW w:w="1218" w:type="pct"/>
                  <w:noWrap w:val="0"/>
                  <w:vAlign w:val="center"/>
                </w:tcPr>
                <w:p w14:paraId="6C0E90B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≤0.001</w:t>
                  </w:r>
                </w:p>
              </w:tc>
            </w:tr>
            <w:tr w14:paraId="4B8EE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1A565F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Na</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50CF852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219" w:type="pct"/>
                  <w:noWrap w:val="0"/>
                  <w:vAlign w:val="center"/>
                </w:tcPr>
                <w:p w14:paraId="0EE8271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铬（六价）（Cr</w:t>
                  </w:r>
                  <w:r>
                    <w:rPr>
                      <w:rFonts w:hint="default" w:ascii="Times New Roman" w:hAnsi="Times New Roman" w:eastAsia="宋体" w:cs="Times New Roman"/>
                      <w:color w:val="auto"/>
                      <w:sz w:val="21"/>
                      <w:szCs w:val="21"/>
                      <w:vertAlign w:val="superscript"/>
                    </w:rPr>
                    <w:t>6+</w:t>
                  </w:r>
                  <w:r>
                    <w:rPr>
                      <w:rFonts w:hint="default" w:ascii="Times New Roman" w:hAnsi="Times New Roman" w:eastAsia="宋体" w:cs="Times New Roman"/>
                      <w:color w:val="auto"/>
                      <w:sz w:val="21"/>
                      <w:szCs w:val="21"/>
                    </w:rPr>
                    <w:t>）</w:t>
                  </w:r>
                </w:p>
              </w:tc>
              <w:tc>
                <w:tcPr>
                  <w:tcW w:w="1218" w:type="pct"/>
                  <w:noWrap w:val="0"/>
                  <w:vAlign w:val="center"/>
                </w:tcPr>
                <w:p w14:paraId="088E95C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14:paraId="3047A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738C18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B57D1C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1F3B6E4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总硬度</w:t>
                  </w:r>
                </w:p>
              </w:tc>
              <w:tc>
                <w:tcPr>
                  <w:tcW w:w="1218" w:type="pct"/>
                  <w:noWrap w:val="0"/>
                  <w:vAlign w:val="center"/>
                </w:tcPr>
                <w:p w14:paraId="504ACF0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w:t>
                  </w:r>
                </w:p>
              </w:tc>
            </w:tr>
            <w:tr w14:paraId="7522C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C3D67F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C92182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170F34C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铅（Pb）</w:t>
                  </w:r>
                </w:p>
              </w:tc>
              <w:tc>
                <w:tcPr>
                  <w:tcW w:w="1218" w:type="pct"/>
                  <w:noWrap w:val="0"/>
                  <w:vAlign w:val="center"/>
                </w:tcPr>
                <w:p w14:paraId="3E8388D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14:paraId="05E06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46072D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HCO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1BFBB7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6B7F2DE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氟</w:t>
                  </w:r>
                </w:p>
              </w:tc>
              <w:tc>
                <w:tcPr>
                  <w:tcW w:w="1218" w:type="pct"/>
                  <w:noWrap w:val="0"/>
                  <w:vAlign w:val="center"/>
                </w:tcPr>
                <w:p w14:paraId="26B958C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71194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6B5124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Cl</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6F2FB2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7E4B09C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镉（Cd）</w:t>
                  </w:r>
                </w:p>
              </w:tc>
              <w:tc>
                <w:tcPr>
                  <w:tcW w:w="1218" w:type="pct"/>
                  <w:noWrap w:val="0"/>
                  <w:vAlign w:val="center"/>
                </w:tcPr>
                <w:p w14:paraId="47082D7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r>
            <w:tr w14:paraId="3F659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B01ABD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4</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9B8353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0654A69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铁（Fe）</w:t>
                  </w:r>
                </w:p>
              </w:tc>
              <w:tc>
                <w:tcPr>
                  <w:tcW w:w="1218" w:type="pct"/>
                  <w:noWrap w:val="0"/>
                  <w:vAlign w:val="center"/>
                </w:tcPr>
                <w:p w14:paraId="23C8F74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r>
            <w:tr w14:paraId="544E3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0ED121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硝酸盐</w:t>
                  </w:r>
                </w:p>
              </w:tc>
              <w:tc>
                <w:tcPr>
                  <w:tcW w:w="1218" w:type="pct"/>
                  <w:noWrap w:val="0"/>
                  <w:vAlign w:val="center"/>
                </w:tcPr>
                <w:p w14:paraId="19F0E4F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219" w:type="pct"/>
                  <w:noWrap w:val="0"/>
                  <w:vAlign w:val="center"/>
                </w:tcPr>
                <w:p w14:paraId="4305747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锰（Mn）</w:t>
                  </w:r>
                </w:p>
              </w:tc>
              <w:tc>
                <w:tcPr>
                  <w:tcW w:w="1218" w:type="pct"/>
                  <w:noWrap w:val="0"/>
                  <w:vAlign w:val="center"/>
                </w:tcPr>
                <w:p w14:paraId="54681BD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r>
            <w:tr w14:paraId="15DED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DA7CB3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亚硝酸盐</w:t>
                  </w:r>
                </w:p>
              </w:tc>
              <w:tc>
                <w:tcPr>
                  <w:tcW w:w="1218" w:type="pct"/>
                  <w:noWrap w:val="0"/>
                  <w:vAlign w:val="center"/>
                </w:tcPr>
                <w:p w14:paraId="4C1E2A9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219" w:type="pct"/>
                  <w:noWrap w:val="0"/>
                  <w:vAlign w:val="center"/>
                </w:tcPr>
                <w:p w14:paraId="55D23B3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溶解性总固体</w:t>
                  </w:r>
                </w:p>
              </w:tc>
              <w:tc>
                <w:tcPr>
                  <w:tcW w:w="1218" w:type="pct"/>
                  <w:noWrap w:val="0"/>
                  <w:vAlign w:val="center"/>
                </w:tcPr>
                <w:p w14:paraId="6DCF3D8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r>
            <w:tr w14:paraId="358D9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A32BB6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耗氧量（COD</w:t>
                  </w:r>
                  <w:r>
                    <w:rPr>
                      <w:rFonts w:hint="default" w:ascii="Times New Roman" w:hAnsi="Times New Roman" w:eastAsia="宋体" w:cs="Times New Roman"/>
                      <w:color w:val="auto"/>
                      <w:sz w:val="21"/>
                      <w:szCs w:val="21"/>
                      <w:vertAlign w:val="subscript"/>
                    </w:rPr>
                    <w:t>Mn</w:t>
                  </w:r>
                  <w:r>
                    <w:rPr>
                      <w:rFonts w:hint="default" w:ascii="Times New Roman" w:hAnsi="Times New Roman" w:eastAsia="宋体" w:cs="Times New Roman"/>
                      <w:color w:val="auto"/>
                      <w:sz w:val="21"/>
                      <w:szCs w:val="21"/>
                    </w:rPr>
                    <w:t>法）</w:t>
                  </w:r>
                </w:p>
              </w:tc>
              <w:tc>
                <w:tcPr>
                  <w:tcW w:w="1218" w:type="pct"/>
                  <w:noWrap w:val="0"/>
                  <w:vAlign w:val="center"/>
                </w:tcPr>
                <w:p w14:paraId="3609F9E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1219" w:type="pct"/>
                  <w:noWrap w:val="0"/>
                  <w:vAlign w:val="center"/>
                </w:tcPr>
                <w:p w14:paraId="18732CE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氯化物</w:t>
                  </w:r>
                </w:p>
              </w:tc>
              <w:tc>
                <w:tcPr>
                  <w:tcW w:w="1218" w:type="pct"/>
                  <w:noWrap w:val="0"/>
                  <w:vAlign w:val="center"/>
                </w:tcPr>
                <w:p w14:paraId="1EE0AD1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r>
            <w:tr w14:paraId="7D515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5329F55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石油类</w:t>
                  </w:r>
                </w:p>
              </w:tc>
              <w:tc>
                <w:tcPr>
                  <w:tcW w:w="1218" w:type="pct"/>
                  <w:noWrap w:val="0"/>
                  <w:vAlign w:val="center"/>
                </w:tcPr>
                <w:p w14:paraId="750E595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0.05</w:t>
                  </w:r>
                </w:p>
              </w:tc>
              <w:tc>
                <w:tcPr>
                  <w:tcW w:w="1219" w:type="pct"/>
                  <w:noWrap w:val="0"/>
                  <w:vAlign w:val="center"/>
                </w:tcPr>
                <w:p w14:paraId="02F63CC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石油烃（C</w:t>
                  </w:r>
                  <w:r>
                    <w:rPr>
                      <w:rFonts w:hint="default" w:ascii="Times New Roman" w:hAnsi="Times New Roman" w:eastAsia="宋体" w:cs="Times New Roman"/>
                      <w:color w:val="auto"/>
                      <w:sz w:val="21"/>
                      <w:szCs w:val="21"/>
                      <w:vertAlign w:val="subscript"/>
                    </w:rPr>
                    <w:t>6</w:t>
                  </w: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9</w:t>
                  </w:r>
                  <w:r>
                    <w:rPr>
                      <w:rFonts w:hint="default" w:ascii="Times New Roman" w:hAnsi="Times New Roman" w:eastAsia="宋体" w:cs="Times New Roman"/>
                      <w:color w:val="auto"/>
                      <w:sz w:val="21"/>
                      <w:szCs w:val="21"/>
                    </w:rPr>
                    <w:t>）</w:t>
                  </w:r>
                </w:p>
              </w:tc>
              <w:tc>
                <w:tcPr>
                  <w:tcW w:w="1218" w:type="pct"/>
                  <w:noWrap w:val="0"/>
                  <w:vAlign w:val="center"/>
                </w:tcPr>
                <w:p w14:paraId="31C0B79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08038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0520352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石油烃（C</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40</w:t>
                  </w:r>
                  <w:r>
                    <w:rPr>
                      <w:rFonts w:hint="default" w:ascii="Times New Roman" w:hAnsi="Times New Roman" w:eastAsia="宋体" w:cs="Times New Roman"/>
                      <w:color w:val="auto"/>
                      <w:sz w:val="21"/>
                      <w:szCs w:val="21"/>
                    </w:rPr>
                    <w:t>）</w:t>
                  </w:r>
                </w:p>
              </w:tc>
              <w:tc>
                <w:tcPr>
                  <w:tcW w:w="1218" w:type="pct"/>
                  <w:noWrap w:val="0"/>
                  <w:vAlign w:val="center"/>
                </w:tcPr>
                <w:p w14:paraId="4518E8A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78A4C1F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硫化物</w:t>
                  </w:r>
                </w:p>
              </w:tc>
              <w:tc>
                <w:tcPr>
                  <w:tcW w:w="1218" w:type="pct"/>
                  <w:noWrap w:val="0"/>
                  <w:vAlign w:val="center"/>
                </w:tcPr>
                <w:p w14:paraId="27F190E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w:t>
                  </w:r>
                </w:p>
              </w:tc>
            </w:tr>
          </w:tbl>
          <w:p w14:paraId="234D666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5、土壤环境</w:t>
            </w:r>
          </w:p>
          <w:p w14:paraId="3C72BA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占地范围内执行《土壤环境质量 建设用地土壤</w:t>
            </w:r>
            <w:r>
              <w:rPr>
                <w:rFonts w:hint="eastAsia" w:ascii="Times New Roman" w:hAnsi="Times New Roman" w:cs="Times New Roman"/>
                <w:color w:val="auto"/>
                <w:sz w:val="24"/>
                <w:lang w:val="en-US" w:eastAsia="zh-CN"/>
              </w:rPr>
              <w:t>污染</w:t>
            </w:r>
            <w:r>
              <w:rPr>
                <w:rFonts w:hint="default" w:ascii="Times New Roman" w:hAnsi="Times New Roman" w:cs="Times New Roman"/>
                <w:color w:val="auto"/>
                <w:sz w:val="24"/>
              </w:rPr>
              <w:t>风险管控标准（试行）》（GB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36600-2018）中第二类用地筛选值</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钡</w:t>
            </w:r>
            <w:r>
              <w:rPr>
                <w:rFonts w:hint="eastAsia" w:cs="Times New Roman"/>
                <w:color w:val="auto"/>
                <w:sz w:val="24"/>
                <w:highlight w:val="none"/>
                <w:lang w:val="en-US" w:eastAsia="zh-CN"/>
              </w:rPr>
              <w:t>、铬</w:t>
            </w:r>
            <w:r>
              <w:rPr>
                <w:rFonts w:hint="eastAsia" w:ascii="Times New Roman" w:hAnsi="Times New Roman" w:eastAsia="宋体" w:cs="Times New Roman"/>
                <w:color w:val="auto"/>
                <w:sz w:val="24"/>
                <w:highlight w:val="none"/>
                <w:lang w:val="en-US" w:eastAsia="zh-CN"/>
              </w:rPr>
              <w:t>执行《四川省建设用地土壤污染风险管控标准》（DB 51/2978-2023）表1中第二类用地筛选值</w:t>
            </w:r>
            <w:r>
              <w:rPr>
                <w:rFonts w:hint="default" w:ascii="Times New Roman" w:hAnsi="Times New Roman" w:cs="Times New Roman"/>
                <w:color w:val="auto"/>
                <w:sz w:val="24"/>
              </w:rPr>
              <w:t>。占地范围外耕地执行《</w:t>
            </w:r>
            <w:r>
              <w:rPr>
                <w:rFonts w:hint="eastAsia" w:ascii="Times New Roman" w:hAnsi="Times New Roman" w:cs="Times New Roman"/>
                <w:color w:val="auto"/>
                <w:sz w:val="24"/>
                <w:lang w:eastAsia="zh-CN"/>
              </w:rPr>
              <w:t>土壤环境质量 农用地土壤污染风险管控标准（试行）</w:t>
            </w:r>
            <w:r>
              <w:rPr>
                <w:rFonts w:hint="default" w:ascii="Times New Roman" w:hAnsi="Times New Roman" w:cs="Times New Roman"/>
                <w:color w:val="auto"/>
                <w:sz w:val="24"/>
              </w:rPr>
              <w:t>》（GB15618-2018）相应的筛选值。</w:t>
            </w:r>
          </w:p>
          <w:p w14:paraId="52AC2C86">
            <w:pPr>
              <w:pStyle w:val="21"/>
              <w:keepNext w:val="0"/>
              <w:keepLines w:val="0"/>
              <w:suppressLineNumbers w:val="0"/>
              <w:spacing w:beforeAutospacing="0" w:afterAutospacing="0"/>
              <w:ind w:left="0"/>
              <w:rPr>
                <w:rFonts w:hint="default"/>
                <w:color w:val="auto"/>
              </w:rPr>
            </w:pPr>
          </w:p>
          <w:p w14:paraId="62C69CA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建设用地土壤污染风险管控标准（第二类）</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8"/>
              <w:gridCol w:w="1885"/>
              <w:gridCol w:w="2291"/>
              <w:gridCol w:w="1790"/>
            </w:tblGrid>
            <w:tr w14:paraId="6579E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E2B0DD8">
                  <w:pPr>
                    <w:pStyle w:val="5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污染物项目</w:t>
                  </w:r>
                </w:p>
              </w:tc>
              <w:tc>
                <w:tcPr>
                  <w:tcW w:w="1204" w:type="pct"/>
                  <w:noWrap/>
                  <w:vAlign w:val="center"/>
                </w:tcPr>
                <w:p w14:paraId="7F507197">
                  <w:pPr>
                    <w:pStyle w:val="5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筛选值（mg/kg）</w:t>
                  </w:r>
                </w:p>
              </w:tc>
              <w:tc>
                <w:tcPr>
                  <w:tcW w:w="1464" w:type="pct"/>
                  <w:noWrap w:val="0"/>
                  <w:vAlign w:val="center"/>
                </w:tcPr>
                <w:p w14:paraId="04610DEB">
                  <w:pPr>
                    <w:pStyle w:val="5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污染物项目</w:t>
                  </w:r>
                </w:p>
              </w:tc>
              <w:tc>
                <w:tcPr>
                  <w:tcW w:w="1143" w:type="pct"/>
                  <w:noWrap/>
                  <w:vAlign w:val="center"/>
                </w:tcPr>
                <w:p w14:paraId="44C35718">
                  <w:pPr>
                    <w:pStyle w:val="5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筛选值（mg/kg）</w:t>
                  </w:r>
                </w:p>
              </w:tc>
            </w:tr>
            <w:tr w14:paraId="14400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70918E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砷</w:t>
                  </w:r>
                </w:p>
              </w:tc>
              <w:tc>
                <w:tcPr>
                  <w:tcW w:w="1204" w:type="pct"/>
                  <w:noWrap/>
                  <w:vAlign w:val="center"/>
                </w:tcPr>
                <w:p w14:paraId="2DD4863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≤60</w:t>
                  </w:r>
                </w:p>
              </w:tc>
              <w:tc>
                <w:tcPr>
                  <w:tcW w:w="1464" w:type="pct"/>
                  <w:noWrap w:val="0"/>
                  <w:vAlign w:val="center"/>
                </w:tcPr>
                <w:p w14:paraId="7D3A12C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四氯乙烯</w:t>
                  </w:r>
                </w:p>
              </w:tc>
              <w:tc>
                <w:tcPr>
                  <w:tcW w:w="1143" w:type="pct"/>
                  <w:noWrap/>
                  <w:vAlign w:val="center"/>
                </w:tcPr>
                <w:p w14:paraId="17DCA83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≤53</w:t>
                  </w:r>
                </w:p>
              </w:tc>
            </w:tr>
            <w:tr w14:paraId="2721A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030498E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镉</w:t>
                  </w:r>
                </w:p>
              </w:tc>
              <w:tc>
                <w:tcPr>
                  <w:tcW w:w="1204" w:type="pct"/>
                  <w:noWrap/>
                  <w:vAlign w:val="center"/>
                </w:tcPr>
                <w:p w14:paraId="73C8A57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≤65</w:t>
                  </w:r>
                </w:p>
              </w:tc>
              <w:tc>
                <w:tcPr>
                  <w:tcW w:w="1464" w:type="pct"/>
                  <w:noWrap w:val="0"/>
                  <w:vAlign w:val="center"/>
                </w:tcPr>
                <w:p w14:paraId="5AAE86F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氯苯</w:t>
                  </w:r>
                </w:p>
              </w:tc>
              <w:tc>
                <w:tcPr>
                  <w:tcW w:w="1143" w:type="pct"/>
                  <w:noWrap/>
                  <w:vAlign w:val="center"/>
                </w:tcPr>
                <w:p w14:paraId="2A9EEE3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≤270</w:t>
                  </w:r>
                </w:p>
              </w:tc>
            </w:tr>
            <w:tr w14:paraId="05A73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998466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六价铬</w:t>
                  </w:r>
                </w:p>
              </w:tc>
              <w:tc>
                <w:tcPr>
                  <w:tcW w:w="1204" w:type="pct"/>
                  <w:noWrap/>
                  <w:vAlign w:val="center"/>
                </w:tcPr>
                <w:p w14:paraId="0FC12D7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≤5.7</w:t>
                  </w:r>
                </w:p>
              </w:tc>
              <w:tc>
                <w:tcPr>
                  <w:tcW w:w="1464" w:type="pct"/>
                  <w:noWrap w:val="0"/>
                  <w:vAlign w:val="center"/>
                </w:tcPr>
                <w:p w14:paraId="5DBE5DF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1，1，1，2-</w:t>
                  </w:r>
                  <w:r>
                    <w:rPr>
                      <w:rFonts w:hint="default" w:ascii="Times New Roman" w:hAnsi="Times New Roman" w:eastAsia="宋体" w:cs="Times New Roman"/>
                      <w:color w:val="auto"/>
                      <w:sz w:val="21"/>
                      <w:szCs w:val="21"/>
                      <w:lang w:bidi="ar"/>
                    </w:rPr>
                    <w:t>四氯乙烷</w:t>
                  </w:r>
                </w:p>
              </w:tc>
              <w:tc>
                <w:tcPr>
                  <w:tcW w:w="1143" w:type="pct"/>
                  <w:noWrap/>
                  <w:vAlign w:val="center"/>
                </w:tcPr>
                <w:p w14:paraId="5BF343F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≤10</w:t>
                  </w:r>
                </w:p>
              </w:tc>
            </w:tr>
            <w:tr w14:paraId="2F955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430F4F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铜</w:t>
                  </w:r>
                </w:p>
              </w:tc>
              <w:tc>
                <w:tcPr>
                  <w:tcW w:w="1204" w:type="pct"/>
                  <w:noWrap/>
                  <w:vAlign w:val="center"/>
                </w:tcPr>
                <w:p w14:paraId="76F2DCB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≤18000</w:t>
                  </w:r>
                </w:p>
              </w:tc>
              <w:tc>
                <w:tcPr>
                  <w:tcW w:w="1464" w:type="pct"/>
                  <w:noWrap w:val="0"/>
                  <w:vAlign w:val="center"/>
                </w:tcPr>
                <w:p w14:paraId="7985771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乙苯</w:t>
                  </w:r>
                </w:p>
              </w:tc>
              <w:tc>
                <w:tcPr>
                  <w:tcW w:w="1143" w:type="pct"/>
                  <w:noWrap/>
                  <w:vAlign w:val="center"/>
                </w:tcPr>
                <w:p w14:paraId="0C5B9C5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r>
            <w:tr w14:paraId="2B487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1DF365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铅</w:t>
                  </w:r>
                </w:p>
              </w:tc>
              <w:tc>
                <w:tcPr>
                  <w:tcW w:w="1204" w:type="pct"/>
                  <w:noWrap/>
                  <w:vAlign w:val="center"/>
                </w:tcPr>
                <w:p w14:paraId="5EBDA67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≤800</w:t>
                  </w:r>
                </w:p>
              </w:tc>
              <w:tc>
                <w:tcPr>
                  <w:tcW w:w="1464" w:type="pct"/>
                  <w:noWrap w:val="0"/>
                  <w:vAlign w:val="center"/>
                </w:tcPr>
                <w:p w14:paraId="5A5D495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间，对-二甲苯</w:t>
                  </w:r>
                </w:p>
              </w:tc>
              <w:tc>
                <w:tcPr>
                  <w:tcW w:w="1143" w:type="pct"/>
                  <w:noWrap/>
                  <w:vAlign w:val="center"/>
                </w:tcPr>
                <w:p w14:paraId="5D232B2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≤570</w:t>
                  </w:r>
                </w:p>
              </w:tc>
            </w:tr>
            <w:tr w14:paraId="65870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3286E4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汞</w:t>
                  </w:r>
                </w:p>
              </w:tc>
              <w:tc>
                <w:tcPr>
                  <w:tcW w:w="1204" w:type="pct"/>
                  <w:noWrap/>
                  <w:vAlign w:val="center"/>
                </w:tcPr>
                <w:p w14:paraId="527BEFC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≤38</w:t>
                  </w:r>
                </w:p>
              </w:tc>
              <w:tc>
                <w:tcPr>
                  <w:tcW w:w="1464" w:type="pct"/>
                  <w:noWrap w:val="0"/>
                  <w:vAlign w:val="center"/>
                </w:tcPr>
                <w:p w14:paraId="6E40F38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邻-二甲苯</w:t>
                  </w:r>
                </w:p>
              </w:tc>
              <w:tc>
                <w:tcPr>
                  <w:tcW w:w="1143" w:type="pct"/>
                  <w:noWrap/>
                  <w:vAlign w:val="center"/>
                </w:tcPr>
                <w:p w14:paraId="7F1B1C0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≤640</w:t>
                  </w:r>
                </w:p>
              </w:tc>
            </w:tr>
            <w:tr w14:paraId="5365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18959C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镍</w:t>
                  </w:r>
                </w:p>
              </w:tc>
              <w:tc>
                <w:tcPr>
                  <w:tcW w:w="1204" w:type="pct"/>
                  <w:noWrap/>
                  <w:vAlign w:val="center"/>
                </w:tcPr>
                <w:p w14:paraId="2520BDD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≤900</w:t>
                  </w:r>
                </w:p>
              </w:tc>
              <w:tc>
                <w:tcPr>
                  <w:tcW w:w="1464" w:type="pct"/>
                  <w:noWrap w:val="0"/>
                  <w:vAlign w:val="center"/>
                </w:tcPr>
                <w:p w14:paraId="79EEFD5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苯乙烯</w:t>
                  </w:r>
                </w:p>
              </w:tc>
              <w:tc>
                <w:tcPr>
                  <w:tcW w:w="1143" w:type="pct"/>
                  <w:noWrap/>
                  <w:vAlign w:val="center"/>
                </w:tcPr>
                <w:p w14:paraId="56A37B2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≤1290</w:t>
                  </w:r>
                </w:p>
              </w:tc>
            </w:tr>
            <w:tr w14:paraId="1CC03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1A3A23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氯甲烷</w:t>
                  </w:r>
                </w:p>
              </w:tc>
              <w:tc>
                <w:tcPr>
                  <w:tcW w:w="1204" w:type="pct"/>
                  <w:noWrap/>
                  <w:vAlign w:val="center"/>
                </w:tcPr>
                <w:p w14:paraId="04BE801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≤37</w:t>
                  </w:r>
                </w:p>
              </w:tc>
              <w:tc>
                <w:tcPr>
                  <w:tcW w:w="1464" w:type="pct"/>
                  <w:noWrap w:val="0"/>
                  <w:vAlign w:val="center"/>
                </w:tcPr>
                <w:p w14:paraId="096897E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1，1，2，2-</w:t>
                  </w:r>
                  <w:r>
                    <w:rPr>
                      <w:rFonts w:hint="default" w:ascii="Times New Roman" w:hAnsi="Times New Roman" w:eastAsia="宋体" w:cs="Times New Roman"/>
                      <w:color w:val="auto"/>
                      <w:sz w:val="21"/>
                      <w:szCs w:val="21"/>
                      <w:lang w:bidi="ar"/>
                    </w:rPr>
                    <w:t>四氯乙烷</w:t>
                  </w:r>
                </w:p>
              </w:tc>
              <w:tc>
                <w:tcPr>
                  <w:tcW w:w="1143" w:type="pct"/>
                  <w:noWrap/>
                  <w:vAlign w:val="center"/>
                </w:tcPr>
                <w:p w14:paraId="52432AC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≤6.8</w:t>
                  </w:r>
                </w:p>
              </w:tc>
            </w:tr>
            <w:tr w14:paraId="67175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E2F29A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氯乙烯</w:t>
                  </w:r>
                </w:p>
              </w:tc>
              <w:tc>
                <w:tcPr>
                  <w:tcW w:w="1204" w:type="pct"/>
                  <w:noWrap/>
                  <w:vAlign w:val="center"/>
                </w:tcPr>
                <w:p w14:paraId="50BD5EC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≤0.43</w:t>
                  </w:r>
                </w:p>
              </w:tc>
              <w:tc>
                <w:tcPr>
                  <w:tcW w:w="1464" w:type="pct"/>
                  <w:noWrap w:val="0"/>
                  <w:vAlign w:val="center"/>
                </w:tcPr>
                <w:p w14:paraId="3FCE18E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1，2，3-</w:t>
                  </w:r>
                  <w:r>
                    <w:rPr>
                      <w:rFonts w:hint="default" w:ascii="Times New Roman" w:hAnsi="Times New Roman" w:eastAsia="宋体" w:cs="Times New Roman"/>
                      <w:color w:val="auto"/>
                      <w:sz w:val="21"/>
                      <w:szCs w:val="21"/>
                      <w:lang w:bidi="ar"/>
                    </w:rPr>
                    <w:t>三氯丙烷</w:t>
                  </w:r>
                </w:p>
              </w:tc>
              <w:tc>
                <w:tcPr>
                  <w:tcW w:w="1143" w:type="pct"/>
                  <w:noWrap/>
                  <w:vAlign w:val="center"/>
                </w:tcPr>
                <w:p w14:paraId="343B55E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≤0.5</w:t>
                  </w:r>
                </w:p>
              </w:tc>
            </w:tr>
            <w:tr w14:paraId="1669D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F19E4A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w:t>
                  </w:r>
                  <w:r>
                    <w:rPr>
                      <w:rFonts w:hint="default" w:ascii="Times New Roman" w:hAnsi="Times New Roman" w:eastAsia="宋体" w:cs="Times New Roman"/>
                      <w:color w:val="auto"/>
                      <w:sz w:val="21"/>
                      <w:szCs w:val="21"/>
                      <w:lang w:bidi="ar"/>
                    </w:rPr>
                    <w:t>二氯乙烯</w:t>
                  </w:r>
                </w:p>
              </w:tc>
              <w:tc>
                <w:tcPr>
                  <w:tcW w:w="1204" w:type="pct"/>
                  <w:noWrap/>
                  <w:vAlign w:val="center"/>
                </w:tcPr>
                <w:p w14:paraId="3CFCD54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≤66</w:t>
                  </w:r>
                </w:p>
              </w:tc>
              <w:tc>
                <w:tcPr>
                  <w:tcW w:w="1464" w:type="pct"/>
                  <w:noWrap w:val="0"/>
                  <w:vAlign w:val="center"/>
                </w:tcPr>
                <w:p w14:paraId="4481E03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1，4-</w:t>
                  </w:r>
                  <w:r>
                    <w:rPr>
                      <w:rFonts w:hint="default" w:ascii="Times New Roman" w:hAnsi="Times New Roman" w:eastAsia="宋体" w:cs="Times New Roman"/>
                      <w:color w:val="auto"/>
                      <w:sz w:val="21"/>
                      <w:szCs w:val="21"/>
                      <w:lang w:bidi="ar"/>
                    </w:rPr>
                    <w:t>二氯苯</w:t>
                  </w:r>
                </w:p>
              </w:tc>
              <w:tc>
                <w:tcPr>
                  <w:tcW w:w="1143" w:type="pct"/>
                  <w:noWrap/>
                  <w:vAlign w:val="center"/>
                </w:tcPr>
                <w:p w14:paraId="0E16F2A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≤20</w:t>
                  </w:r>
                </w:p>
              </w:tc>
            </w:tr>
            <w:tr w14:paraId="1C8F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0D4DA1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二氯甲烷</w:t>
                  </w:r>
                </w:p>
              </w:tc>
              <w:tc>
                <w:tcPr>
                  <w:tcW w:w="1204" w:type="pct"/>
                  <w:noWrap/>
                  <w:vAlign w:val="center"/>
                </w:tcPr>
                <w:p w14:paraId="2A1E16E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≤615</w:t>
                  </w:r>
                </w:p>
              </w:tc>
              <w:tc>
                <w:tcPr>
                  <w:tcW w:w="1464" w:type="pct"/>
                  <w:noWrap w:val="0"/>
                  <w:vAlign w:val="center"/>
                </w:tcPr>
                <w:p w14:paraId="1305EE7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二氯苯</w:t>
                  </w:r>
                </w:p>
              </w:tc>
              <w:tc>
                <w:tcPr>
                  <w:tcW w:w="1143" w:type="pct"/>
                  <w:noWrap/>
                  <w:vAlign w:val="center"/>
                </w:tcPr>
                <w:p w14:paraId="7C5398A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≤560</w:t>
                  </w:r>
                </w:p>
              </w:tc>
            </w:tr>
            <w:tr w14:paraId="3A813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0199BE6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反-1，2-二氯乙烯</w:t>
                  </w:r>
                </w:p>
              </w:tc>
              <w:tc>
                <w:tcPr>
                  <w:tcW w:w="1204" w:type="pct"/>
                  <w:noWrap/>
                  <w:vAlign w:val="center"/>
                </w:tcPr>
                <w:p w14:paraId="0D47886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≤54</w:t>
                  </w:r>
                </w:p>
              </w:tc>
              <w:tc>
                <w:tcPr>
                  <w:tcW w:w="1464" w:type="pct"/>
                  <w:noWrap w:val="0"/>
                  <w:vAlign w:val="center"/>
                </w:tcPr>
                <w:p w14:paraId="21276C9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苯胺</w:t>
                  </w:r>
                </w:p>
              </w:tc>
              <w:tc>
                <w:tcPr>
                  <w:tcW w:w="1143" w:type="pct"/>
                  <w:noWrap/>
                  <w:vAlign w:val="center"/>
                </w:tcPr>
                <w:p w14:paraId="178D5A0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≤260</w:t>
                  </w:r>
                </w:p>
              </w:tc>
            </w:tr>
            <w:tr w14:paraId="44A2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ECCF2B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w:t>
                  </w:r>
                  <w:r>
                    <w:rPr>
                      <w:rFonts w:hint="default" w:ascii="Times New Roman" w:hAnsi="Times New Roman" w:eastAsia="宋体" w:cs="Times New Roman"/>
                      <w:color w:val="auto"/>
                      <w:sz w:val="21"/>
                      <w:szCs w:val="21"/>
                      <w:lang w:bidi="ar"/>
                    </w:rPr>
                    <w:t>二氯乙烷</w:t>
                  </w:r>
                </w:p>
              </w:tc>
              <w:tc>
                <w:tcPr>
                  <w:tcW w:w="1204" w:type="pct"/>
                  <w:noWrap/>
                  <w:vAlign w:val="center"/>
                </w:tcPr>
                <w:p w14:paraId="19E6BEA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≤9</w:t>
                  </w:r>
                </w:p>
              </w:tc>
              <w:tc>
                <w:tcPr>
                  <w:tcW w:w="1464" w:type="pct"/>
                  <w:noWrap w:val="0"/>
                  <w:vAlign w:val="center"/>
                </w:tcPr>
                <w:p w14:paraId="5D04B31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w:t>
                  </w:r>
                  <w:r>
                    <w:rPr>
                      <w:rFonts w:hint="default" w:ascii="Times New Roman" w:hAnsi="Times New Roman" w:eastAsia="宋体" w:cs="Times New Roman"/>
                      <w:color w:val="auto"/>
                      <w:sz w:val="21"/>
                      <w:szCs w:val="21"/>
                      <w:lang w:bidi="ar"/>
                    </w:rPr>
                    <w:t>氯酚</w:t>
                  </w:r>
                </w:p>
              </w:tc>
              <w:tc>
                <w:tcPr>
                  <w:tcW w:w="1143" w:type="pct"/>
                  <w:noWrap/>
                  <w:vAlign w:val="center"/>
                </w:tcPr>
                <w:p w14:paraId="0C1A7B6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≤2256</w:t>
                  </w:r>
                </w:p>
              </w:tc>
            </w:tr>
            <w:tr w14:paraId="0AE4E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43EB9B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顺-1，2-二氯乙烯</w:t>
                  </w:r>
                </w:p>
              </w:tc>
              <w:tc>
                <w:tcPr>
                  <w:tcW w:w="1204" w:type="pct"/>
                  <w:noWrap/>
                  <w:vAlign w:val="center"/>
                </w:tcPr>
                <w:p w14:paraId="56FB550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≤596</w:t>
                  </w:r>
                </w:p>
              </w:tc>
              <w:tc>
                <w:tcPr>
                  <w:tcW w:w="1464" w:type="pct"/>
                  <w:noWrap w:val="0"/>
                  <w:vAlign w:val="center"/>
                </w:tcPr>
                <w:p w14:paraId="7A278D6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硝基苯</w:t>
                  </w:r>
                </w:p>
              </w:tc>
              <w:tc>
                <w:tcPr>
                  <w:tcW w:w="1143" w:type="pct"/>
                  <w:noWrap/>
                  <w:vAlign w:val="center"/>
                </w:tcPr>
                <w:p w14:paraId="6F9C004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≤76</w:t>
                  </w:r>
                </w:p>
              </w:tc>
            </w:tr>
            <w:tr w14:paraId="050E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6BDD1A5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氯仿</w:t>
                  </w:r>
                </w:p>
              </w:tc>
              <w:tc>
                <w:tcPr>
                  <w:tcW w:w="1204" w:type="pct"/>
                  <w:noWrap/>
                  <w:vAlign w:val="center"/>
                </w:tcPr>
                <w:p w14:paraId="1F2D657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≤0.9</w:t>
                  </w:r>
                </w:p>
              </w:tc>
              <w:tc>
                <w:tcPr>
                  <w:tcW w:w="1464" w:type="pct"/>
                  <w:noWrap w:val="0"/>
                  <w:vAlign w:val="center"/>
                </w:tcPr>
                <w:p w14:paraId="6F8C495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萘</w:t>
                  </w:r>
                </w:p>
              </w:tc>
              <w:tc>
                <w:tcPr>
                  <w:tcW w:w="1143" w:type="pct"/>
                  <w:noWrap/>
                  <w:vAlign w:val="center"/>
                </w:tcPr>
                <w:p w14:paraId="73A879A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≤70</w:t>
                  </w:r>
                </w:p>
              </w:tc>
            </w:tr>
            <w:tr w14:paraId="0680E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D31D24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1，1，1-</w:t>
                  </w:r>
                  <w:r>
                    <w:rPr>
                      <w:rFonts w:hint="default" w:ascii="Times New Roman" w:hAnsi="Times New Roman" w:eastAsia="宋体" w:cs="Times New Roman"/>
                      <w:color w:val="auto"/>
                      <w:sz w:val="21"/>
                      <w:szCs w:val="21"/>
                      <w:lang w:bidi="ar"/>
                    </w:rPr>
                    <w:t>三氯乙烷</w:t>
                  </w:r>
                </w:p>
              </w:tc>
              <w:tc>
                <w:tcPr>
                  <w:tcW w:w="1204" w:type="pct"/>
                  <w:noWrap/>
                  <w:vAlign w:val="center"/>
                </w:tcPr>
                <w:p w14:paraId="5998BBE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≤840</w:t>
                  </w:r>
                </w:p>
              </w:tc>
              <w:tc>
                <w:tcPr>
                  <w:tcW w:w="1464" w:type="pct"/>
                  <w:noWrap w:val="0"/>
                  <w:vAlign w:val="center"/>
                </w:tcPr>
                <w:p w14:paraId="642F3C9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苯并〔a〕蒽</w:t>
                  </w:r>
                </w:p>
              </w:tc>
              <w:tc>
                <w:tcPr>
                  <w:tcW w:w="1143" w:type="pct"/>
                  <w:noWrap/>
                  <w:vAlign w:val="center"/>
                </w:tcPr>
                <w:p w14:paraId="26B9696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16F4B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5902EC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四氯化碳</w:t>
                  </w:r>
                </w:p>
              </w:tc>
              <w:tc>
                <w:tcPr>
                  <w:tcW w:w="1204" w:type="pct"/>
                  <w:noWrap/>
                  <w:vAlign w:val="center"/>
                </w:tcPr>
                <w:p w14:paraId="6C40F5F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0"/>
                  <w:vAlign w:val="center"/>
                </w:tcPr>
                <w:p w14:paraId="4B3DC9A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䓛</w:t>
                  </w:r>
                </w:p>
              </w:tc>
              <w:tc>
                <w:tcPr>
                  <w:tcW w:w="1143" w:type="pct"/>
                  <w:noWrap/>
                  <w:vAlign w:val="center"/>
                </w:tcPr>
                <w:p w14:paraId="2AD5384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≤1293</w:t>
                  </w:r>
                </w:p>
              </w:tc>
            </w:tr>
            <w:tr w14:paraId="53791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1590903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w:t>
                  </w:r>
                </w:p>
              </w:tc>
              <w:tc>
                <w:tcPr>
                  <w:tcW w:w="1204" w:type="pct"/>
                  <w:noWrap/>
                  <w:vAlign w:val="center"/>
                </w:tcPr>
                <w:p w14:paraId="0926D97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w:t>
                  </w:r>
                </w:p>
              </w:tc>
              <w:tc>
                <w:tcPr>
                  <w:tcW w:w="1464" w:type="pct"/>
                  <w:noWrap w:val="0"/>
                  <w:vAlign w:val="center"/>
                </w:tcPr>
                <w:p w14:paraId="3EEE052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苯并〔b〕荧蒽</w:t>
                  </w:r>
                </w:p>
              </w:tc>
              <w:tc>
                <w:tcPr>
                  <w:tcW w:w="1143" w:type="pct"/>
                  <w:noWrap/>
                  <w:vAlign w:val="center"/>
                </w:tcPr>
                <w:p w14:paraId="0FD92A6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7D9CC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362DE3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二氯乙烷</w:t>
                  </w:r>
                </w:p>
              </w:tc>
              <w:tc>
                <w:tcPr>
                  <w:tcW w:w="1204" w:type="pct"/>
                  <w:noWrap/>
                  <w:vAlign w:val="center"/>
                </w:tcPr>
                <w:p w14:paraId="29FEFF8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w:t>
                  </w:r>
                </w:p>
              </w:tc>
              <w:tc>
                <w:tcPr>
                  <w:tcW w:w="1464" w:type="pct"/>
                  <w:noWrap w:val="0"/>
                  <w:vAlign w:val="center"/>
                </w:tcPr>
                <w:p w14:paraId="7650E8A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苯并〔k〕荧蒽</w:t>
                  </w:r>
                </w:p>
              </w:tc>
              <w:tc>
                <w:tcPr>
                  <w:tcW w:w="1143" w:type="pct"/>
                  <w:noWrap/>
                  <w:vAlign w:val="center"/>
                </w:tcPr>
                <w:p w14:paraId="0CA23A0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≤151</w:t>
                  </w:r>
                </w:p>
              </w:tc>
            </w:tr>
            <w:tr w14:paraId="44622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0FC6F1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三氯乙烯</w:t>
                  </w:r>
                </w:p>
              </w:tc>
              <w:tc>
                <w:tcPr>
                  <w:tcW w:w="1204" w:type="pct"/>
                  <w:noWrap/>
                  <w:vAlign w:val="center"/>
                </w:tcPr>
                <w:p w14:paraId="18BD9D2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0"/>
                  <w:vAlign w:val="center"/>
                </w:tcPr>
                <w:p w14:paraId="17F47CE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苯并〔a〕芘</w:t>
                  </w:r>
                </w:p>
              </w:tc>
              <w:tc>
                <w:tcPr>
                  <w:tcW w:w="1143" w:type="pct"/>
                  <w:noWrap/>
                  <w:vAlign w:val="center"/>
                </w:tcPr>
                <w:p w14:paraId="0AED36D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63682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F2871D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二氯丙烷</w:t>
                  </w:r>
                </w:p>
              </w:tc>
              <w:tc>
                <w:tcPr>
                  <w:tcW w:w="1204" w:type="pct"/>
                  <w:noWrap/>
                  <w:vAlign w:val="center"/>
                </w:tcPr>
                <w:p w14:paraId="04A6562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w:t>
                  </w:r>
                </w:p>
              </w:tc>
              <w:tc>
                <w:tcPr>
                  <w:tcW w:w="1464" w:type="pct"/>
                  <w:noWrap w:val="0"/>
                  <w:vAlign w:val="center"/>
                </w:tcPr>
                <w:p w14:paraId="2C4E0E8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茚并〔1，2，3-cd〕芘</w:t>
                  </w:r>
                </w:p>
              </w:tc>
              <w:tc>
                <w:tcPr>
                  <w:tcW w:w="1143" w:type="pct"/>
                  <w:noWrap/>
                  <w:vAlign w:val="center"/>
                </w:tcPr>
                <w:p w14:paraId="4DC9B58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4529B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0F0DEE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甲苯</w:t>
                  </w:r>
                </w:p>
              </w:tc>
              <w:tc>
                <w:tcPr>
                  <w:tcW w:w="1204" w:type="pct"/>
                  <w:noWrap/>
                  <w:vAlign w:val="center"/>
                </w:tcPr>
                <w:p w14:paraId="75D9F0C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≤1200</w:t>
                  </w:r>
                </w:p>
              </w:tc>
              <w:tc>
                <w:tcPr>
                  <w:tcW w:w="1464" w:type="pct"/>
                  <w:noWrap w:val="0"/>
                  <w:vAlign w:val="center"/>
                </w:tcPr>
                <w:p w14:paraId="6345D2B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二苯并〔a，h〕蒽</w:t>
                  </w:r>
                </w:p>
              </w:tc>
              <w:tc>
                <w:tcPr>
                  <w:tcW w:w="1143" w:type="pct"/>
                  <w:noWrap/>
                  <w:vAlign w:val="center"/>
                </w:tcPr>
                <w:p w14:paraId="31FECCF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0AC91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50E4EE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1，1，2-</w:t>
                  </w:r>
                  <w:r>
                    <w:rPr>
                      <w:rFonts w:hint="default" w:ascii="Times New Roman" w:hAnsi="Times New Roman" w:eastAsia="宋体" w:cs="Times New Roman"/>
                      <w:color w:val="auto"/>
                      <w:sz w:val="21"/>
                      <w:szCs w:val="21"/>
                      <w:lang w:bidi="ar"/>
                    </w:rPr>
                    <w:t>三氯乙烷</w:t>
                  </w:r>
                </w:p>
              </w:tc>
              <w:tc>
                <w:tcPr>
                  <w:tcW w:w="1204" w:type="pct"/>
                  <w:noWrap/>
                  <w:vAlign w:val="center"/>
                </w:tcPr>
                <w:p w14:paraId="5FFD22F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ign w:val="center"/>
                </w:tcPr>
                <w:p w14:paraId="0DC6A21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石油烃（C</w:t>
                  </w:r>
                  <w:r>
                    <w:rPr>
                      <w:rFonts w:hint="default" w:ascii="Times New Roman" w:hAnsi="Times New Roman" w:eastAsia="宋体" w:cs="Times New Roman"/>
                      <w:color w:val="auto"/>
                      <w:kern w:val="0"/>
                      <w:sz w:val="21"/>
                      <w:szCs w:val="21"/>
                      <w:vertAlign w:val="subscript"/>
                      <w:lang w:bidi="ar"/>
                    </w:rPr>
                    <w:t>10-40</w:t>
                  </w:r>
                  <w:r>
                    <w:rPr>
                      <w:rFonts w:hint="default" w:ascii="Times New Roman" w:hAnsi="Times New Roman" w:eastAsia="宋体" w:cs="Times New Roman"/>
                      <w:color w:val="auto"/>
                      <w:kern w:val="0"/>
                      <w:sz w:val="21"/>
                      <w:szCs w:val="21"/>
                      <w:lang w:bidi="ar"/>
                    </w:rPr>
                    <w:t>）</w:t>
                  </w:r>
                </w:p>
              </w:tc>
              <w:tc>
                <w:tcPr>
                  <w:tcW w:w="1143" w:type="pct"/>
                  <w:noWrap/>
                  <w:vAlign w:val="center"/>
                </w:tcPr>
                <w:p w14:paraId="34BC20C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≤4500</w:t>
                  </w:r>
                </w:p>
              </w:tc>
            </w:tr>
          </w:tbl>
          <w:p w14:paraId="77580FD3">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农用地土壤环境标准限值</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7"/>
              <w:gridCol w:w="656"/>
              <w:gridCol w:w="911"/>
              <w:gridCol w:w="1346"/>
              <w:gridCol w:w="1392"/>
              <w:gridCol w:w="1429"/>
              <w:gridCol w:w="1342"/>
            </w:tblGrid>
            <w:tr w14:paraId="6EC2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2BA663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1001" w:type="pct"/>
                  <w:gridSpan w:val="2"/>
                  <w:vMerge w:val="restart"/>
                  <w:noWrap w:val="0"/>
                  <w:vAlign w:val="center"/>
                </w:tcPr>
                <w:p w14:paraId="5BE0A23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污染物项目</w:t>
                  </w:r>
                </w:p>
              </w:tc>
              <w:tc>
                <w:tcPr>
                  <w:tcW w:w="3521" w:type="pct"/>
                  <w:gridSpan w:val="4"/>
                  <w:noWrap w:val="0"/>
                  <w:vAlign w:val="center"/>
                </w:tcPr>
                <w:p w14:paraId="6C9FF0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风险筛选值（mg/kg）</w:t>
                  </w:r>
                </w:p>
              </w:tc>
            </w:tr>
            <w:tr w14:paraId="6340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3936E1E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1001" w:type="pct"/>
                  <w:gridSpan w:val="2"/>
                  <w:vMerge w:val="continue"/>
                  <w:noWrap w:val="0"/>
                  <w:vAlign w:val="center"/>
                </w:tcPr>
                <w:p w14:paraId="2C1F5A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860" w:type="pct"/>
                  <w:noWrap w:val="0"/>
                  <w:vAlign w:val="center"/>
                </w:tcPr>
                <w:p w14:paraId="39176A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pH≤5.5</w:t>
                  </w:r>
                </w:p>
              </w:tc>
              <w:tc>
                <w:tcPr>
                  <w:tcW w:w="889" w:type="pct"/>
                  <w:noWrap w:val="0"/>
                  <w:vAlign w:val="center"/>
                </w:tcPr>
                <w:p w14:paraId="6AA602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5&lt;pH≤6.5</w:t>
                  </w:r>
                </w:p>
              </w:tc>
              <w:tc>
                <w:tcPr>
                  <w:tcW w:w="913" w:type="pct"/>
                  <w:noWrap w:val="0"/>
                  <w:vAlign w:val="center"/>
                </w:tcPr>
                <w:p w14:paraId="2D33BC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6.5&lt;pH≤7.5</w:t>
                  </w:r>
                </w:p>
              </w:tc>
              <w:tc>
                <w:tcPr>
                  <w:tcW w:w="857" w:type="pct"/>
                  <w:noWrap w:val="0"/>
                  <w:vAlign w:val="center"/>
                </w:tcPr>
                <w:p w14:paraId="5528602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pH&gt;7.5</w:t>
                  </w:r>
                </w:p>
              </w:tc>
            </w:tr>
            <w:tr w14:paraId="72095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50301E4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19" w:type="pct"/>
                  <w:vMerge w:val="restart"/>
                  <w:noWrap w:val="0"/>
                  <w:vAlign w:val="center"/>
                </w:tcPr>
                <w:p w14:paraId="36C748A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镉</w:t>
                  </w:r>
                </w:p>
              </w:tc>
              <w:tc>
                <w:tcPr>
                  <w:tcW w:w="582" w:type="pct"/>
                  <w:noWrap w:val="0"/>
                  <w:vAlign w:val="center"/>
                </w:tcPr>
                <w:p w14:paraId="173357B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EDE456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89" w:type="pct"/>
                  <w:noWrap w:val="0"/>
                  <w:vAlign w:val="center"/>
                </w:tcPr>
                <w:p w14:paraId="1D9CA53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c>
                <w:tcPr>
                  <w:tcW w:w="913" w:type="pct"/>
                  <w:noWrap w:val="0"/>
                  <w:vAlign w:val="center"/>
                </w:tcPr>
                <w:p w14:paraId="0EBA0E9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c>
                <w:tcPr>
                  <w:tcW w:w="857" w:type="pct"/>
                  <w:noWrap w:val="0"/>
                  <w:vAlign w:val="center"/>
                </w:tcPr>
                <w:p w14:paraId="7CDDF0B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0.8</w:t>
                  </w:r>
                </w:p>
              </w:tc>
            </w:tr>
            <w:tr w14:paraId="74502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5E07F23D">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324B54D5">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3D50F4A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14AB3FC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89" w:type="pct"/>
                  <w:noWrap w:val="0"/>
                  <w:vAlign w:val="center"/>
                </w:tcPr>
                <w:p w14:paraId="595DEF7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913" w:type="pct"/>
                  <w:noWrap w:val="0"/>
                  <w:vAlign w:val="center"/>
                </w:tcPr>
                <w:p w14:paraId="506EF9E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57" w:type="pct"/>
                  <w:noWrap w:val="0"/>
                  <w:vAlign w:val="center"/>
                </w:tcPr>
                <w:p w14:paraId="54910F0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r>
            <w:tr w14:paraId="648E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18AC5B6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419" w:type="pct"/>
                  <w:vMerge w:val="restart"/>
                  <w:noWrap w:val="0"/>
                  <w:vAlign w:val="center"/>
                </w:tcPr>
                <w:p w14:paraId="430C580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汞</w:t>
                  </w:r>
                </w:p>
              </w:tc>
              <w:tc>
                <w:tcPr>
                  <w:tcW w:w="582" w:type="pct"/>
                  <w:noWrap w:val="0"/>
                  <w:vAlign w:val="center"/>
                </w:tcPr>
                <w:p w14:paraId="1E33ACF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203B9B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889" w:type="pct"/>
                  <w:noWrap w:val="0"/>
                  <w:vAlign w:val="center"/>
                </w:tcPr>
                <w:p w14:paraId="6DF9A81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913" w:type="pct"/>
                  <w:noWrap w:val="0"/>
                  <w:vAlign w:val="center"/>
                </w:tcPr>
                <w:p w14:paraId="1820CEC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c>
                <w:tcPr>
                  <w:tcW w:w="857" w:type="pct"/>
                  <w:noWrap w:val="0"/>
                  <w:vAlign w:val="center"/>
                </w:tcPr>
                <w:p w14:paraId="381B418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26B39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58EEA11B">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1CC2B28C">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0051BD0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15B9584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889" w:type="pct"/>
                  <w:noWrap w:val="0"/>
                  <w:vAlign w:val="center"/>
                </w:tcPr>
                <w:p w14:paraId="0348D62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913" w:type="pct"/>
                  <w:noWrap w:val="0"/>
                  <w:vAlign w:val="center"/>
                </w:tcPr>
                <w:p w14:paraId="1CF7F9F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w:t>
                  </w:r>
                </w:p>
              </w:tc>
              <w:tc>
                <w:tcPr>
                  <w:tcW w:w="857" w:type="pct"/>
                  <w:noWrap w:val="0"/>
                  <w:vAlign w:val="center"/>
                </w:tcPr>
                <w:p w14:paraId="4290A57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w:t>
                  </w:r>
                </w:p>
              </w:tc>
            </w:tr>
            <w:tr w14:paraId="288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56E62FF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19" w:type="pct"/>
                  <w:vMerge w:val="restart"/>
                  <w:noWrap w:val="0"/>
                  <w:vAlign w:val="center"/>
                </w:tcPr>
                <w:p w14:paraId="2795583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砷</w:t>
                  </w:r>
                </w:p>
              </w:tc>
              <w:tc>
                <w:tcPr>
                  <w:tcW w:w="582" w:type="pct"/>
                  <w:noWrap w:val="0"/>
                  <w:vAlign w:val="center"/>
                </w:tcPr>
                <w:p w14:paraId="3C717EE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DB8D9E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889" w:type="pct"/>
                  <w:noWrap w:val="0"/>
                  <w:vAlign w:val="center"/>
                </w:tcPr>
                <w:p w14:paraId="7EDAD74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913" w:type="pct"/>
                  <w:noWrap w:val="0"/>
                  <w:vAlign w:val="center"/>
                </w:tcPr>
                <w:p w14:paraId="067B155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857" w:type="pct"/>
                  <w:noWrap w:val="0"/>
                  <w:vAlign w:val="center"/>
                </w:tcPr>
                <w:p w14:paraId="3C474F7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r>
            <w:tr w14:paraId="5D4ED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669A9353">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59697095">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E864BB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5DCC016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889" w:type="pct"/>
                  <w:noWrap w:val="0"/>
                  <w:vAlign w:val="center"/>
                </w:tcPr>
                <w:p w14:paraId="30B52F7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913" w:type="pct"/>
                  <w:noWrap w:val="0"/>
                  <w:vAlign w:val="center"/>
                </w:tcPr>
                <w:p w14:paraId="0484BA0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857" w:type="pct"/>
                  <w:noWrap w:val="0"/>
                  <w:vAlign w:val="center"/>
                </w:tcPr>
                <w:p w14:paraId="70E1A1E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r>
            <w:tr w14:paraId="0802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4DAD923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419" w:type="pct"/>
                  <w:vMerge w:val="restart"/>
                  <w:noWrap w:val="0"/>
                  <w:vAlign w:val="center"/>
                </w:tcPr>
                <w:p w14:paraId="1695FD1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铅</w:t>
                  </w:r>
                </w:p>
              </w:tc>
              <w:tc>
                <w:tcPr>
                  <w:tcW w:w="582" w:type="pct"/>
                  <w:noWrap w:val="0"/>
                  <w:vAlign w:val="center"/>
                </w:tcPr>
                <w:p w14:paraId="0E92F43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21F1C71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889" w:type="pct"/>
                  <w:noWrap w:val="0"/>
                  <w:vAlign w:val="center"/>
                </w:tcPr>
                <w:p w14:paraId="067B3FA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913" w:type="pct"/>
                  <w:noWrap w:val="0"/>
                  <w:vAlign w:val="center"/>
                </w:tcPr>
                <w:p w14:paraId="7D43545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140</w:t>
                  </w:r>
                </w:p>
              </w:tc>
              <w:tc>
                <w:tcPr>
                  <w:tcW w:w="857" w:type="pct"/>
                  <w:noWrap w:val="0"/>
                  <w:vAlign w:val="center"/>
                </w:tcPr>
                <w:p w14:paraId="5A890F8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240</w:t>
                  </w:r>
                </w:p>
              </w:tc>
            </w:tr>
            <w:tr w14:paraId="776A5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0B5289D2">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738EACBD">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A0F19E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23D1875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889" w:type="pct"/>
                  <w:noWrap w:val="0"/>
                  <w:vAlign w:val="center"/>
                </w:tcPr>
                <w:p w14:paraId="6CE236A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w:t>
                  </w:r>
                </w:p>
              </w:tc>
              <w:tc>
                <w:tcPr>
                  <w:tcW w:w="913" w:type="pct"/>
                  <w:noWrap w:val="0"/>
                  <w:vAlign w:val="center"/>
                </w:tcPr>
                <w:p w14:paraId="5920156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w:t>
                  </w:r>
                </w:p>
              </w:tc>
              <w:tc>
                <w:tcPr>
                  <w:tcW w:w="857" w:type="pct"/>
                  <w:noWrap w:val="0"/>
                  <w:vAlign w:val="center"/>
                </w:tcPr>
                <w:p w14:paraId="06E1970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170</w:t>
                  </w:r>
                </w:p>
              </w:tc>
            </w:tr>
            <w:tr w14:paraId="5323A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05A0CC1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19" w:type="pct"/>
                  <w:vMerge w:val="restart"/>
                  <w:noWrap w:val="0"/>
                  <w:vAlign w:val="center"/>
                </w:tcPr>
                <w:p w14:paraId="7936117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铬</w:t>
                  </w:r>
                </w:p>
              </w:tc>
              <w:tc>
                <w:tcPr>
                  <w:tcW w:w="582" w:type="pct"/>
                  <w:noWrap w:val="0"/>
                  <w:vAlign w:val="center"/>
                </w:tcPr>
                <w:p w14:paraId="67038A2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5CB7693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889" w:type="pct"/>
                  <w:noWrap w:val="0"/>
                  <w:vAlign w:val="center"/>
                </w:tcPr>
                <w:p w14:paraId="655C438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913" w:type="pct"/>
                  <w:noWrap w:val="0"/>
                  <w:vAlign w:val="center"/>
                </w:tcPr>
                <w:p w14:paraId="2CFA16B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857" w:type="pct"/>
                  <w:noWrap w:val="0"/>
                  <w:vAlign w:val="center"/>
                </w:tcPr>
                <w:p w14:paraId="64015FF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r>
            <w:tr w14:paraId="209CB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3D971C1E">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78615FAC">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475C6F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37DA16C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889" w:type="pct"/>
                  <w:noWrap w:val="0"/>
                  <w:vAlign w:val="center"/>
                </w:tcPr>
                <w:p w14:paraId="6E2EBAC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913" w:type="pct"/>
                  <w:noWrap w:val="0"/>
                  <w:vAlign w:val="center"/>
                </w:tcPr>
                <w:p w14:paraId="6B16D4C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57" w:type="pct"/>
                  <w:noWrap w:val="0"/>
                  <w:vAlign w:val="center"/>
                </w:tcPr>
                <w:p w14:paraId="68981B2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r>
            <w:tr w14:paraId="010EC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1791229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419" w:type="pct"/>
                  <w:vMerge w:val="restart"/>
                  <w:noWrap w:val="0"/>
                  <w:vAlign w:val="center"/>
                </w:tcPr>
                <w:p w14:paraId="15BB357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铜</w:t>
                  </w:r>
                </w:p>
              </w:tc>
              <w:tc>
                <w:tcPr>
                  <w:tcW w:w="582" w:type="pct"/>
                  <w:noWrap w:val="0"/>
                  <w:vAlign w:val="center"/>
                </w:tcPr>
                <w:p w14:paraId="7B3D2A9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果园</w:t>
                  </w:r>
                </w:p>
              </w:tc>
              <w:tc>
                <w:tcPr>
                  <w:tcW w:w="860" w:type="pct"/>
                  <w:noWrap w:val="0"/>
                  <w:vAlign w:val="center"/>
                </w:tcPr>
                <w:p w14:paraId="0906D4A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889" w:type="pct"/>
                  <w:noWrap w:val="0"/>
                  <w:vAlign w:val="center"/>
                </w:tcPr>
                <w:p w14:paraId="65A18DB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913" w:type="pct"/>
                  <w:noWrap w:val="0"/>
                  <w:vAlign w:val="center"/>
                </w:tcPr>
                <w:p w14:paraId="6A87706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57" w:type="pct"/>
                  <w:noWrap w:val="0"/>
                  <w:vAlign w:val="center"/>
                </w:tcPr>
                <w:p w14:paraId="400CFE0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14:paraId="7FB8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680B5002">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1C61F186">
                  <w:pPr>
                    <w:pStyle w:val="55"/>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3BA7D61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459E429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889" w:type="pct"/>
                  <w:noWrap w:val="0"/>
                  <w:vAlign w:val="center"/>
                </w:tcPr>
                <w:p w14:paraId="67CFD5A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913" w:type="pct"/>
                  <w:noWrap w:val="0"/>
                  <w:vAlign w:val="center"/>
                </w:tcPr>
                <w:p w14:paraId="587317A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857" w:type="pct"/>
                  <w:noWrap w:val="0"/>
                  <w:vAlign w:val="center"/>
                </w:tcPr>
                <w:p w14:paraId="2441764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r>
            <w:tr w14:paraId="039E3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noWrap w:val="0"/>
                  <w:vAlign w:val="center"/>
                </w:tcPr>
                <w:p w14:paraId="7FC6EEC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001" w:type="pct"/>
                  <w:gridSpan w:val="2"/>
                  <w:noWrap w:val="0"/>
                  <w:vAlign w:val="center"/>
                </w:tcPr>
                <w:p w14:paraId="29AD782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镍</w:t>
                  </w:r>
                </w:p>
              </w:tc>
              <w:tc>
                <w:tcPr>
                  <w:tcW w:w="860" w:type="pct"/>
                  <w:noWrap w:val="0"/>
                  <w:vAlign w:val="center"/>
                </w:tcPr>
                <w:p w14:paraId="764EEF0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889" w:type="pct"/>
                  <w:noWrap w:val="0"/>
                  <w:vAlign w:val="center"/>
                </w:tcPr>
                <w:p w14:paraId="4B01D19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913" w:type="pct"/>
                  <w:noWrap w:val="0"/>
                  <w:vAlign w:val="center"/>
                </w:tcPr>
                <w:p w14:paraId="3AB6ADEC">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857" w:type="pct"/>
                  <w:noWrap w:val="0"/>
                  <w:vAlign w:val="center"/>
                </w:tcPr>
                <w:p w14:paraId="0F681CA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190</w:t>
                  </w:r>
                </w:p>
              </w:tc>
            </w:tr>
            <w:tr w14:paraId="54F71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noWrap w:val="0"/>
                  <w:vAlign w:val="center"/>
                </w:tcPr>
                <w:p w14:paraId="3D04237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001" w:type="pct"/>
                  <w:gridSpan w:val="2"/>
                  <w:noWrap w:val="0"/>
                  <w:vAlign w:val="center"/>
                </w:tcPr>
                <w:p w14:paraId="61115A5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锌</w:t>
                  </w:r>
                </w:p>
              </w:tc>
              <w:tc>
                <w:tcPr>
                  <w:tcW w:w="860" w:type="pct"/>
                  <w:noWrap w:val="0"/>
                  <w:vAlign w:val="center"/>
                </w:tcPr>
                <w:p w14:paraId="6995630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89" w:type="pct"/>
                  <w:noWrap w:val="0"/>
                  <w:vAlign w:val="center"/>
                </w:tcPr>
                <w:p w14:paraId="2D11DFB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913" w:type="pct"/>
                  <w:noWrap w:val="0"/>
                  <w:vAlign w:val="center"/>
                </w:tcPr>
                <w:p w14:paraId="0B1B72A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857" w:type="pct"/>
                  <w:noWrap w:val="0"/>
                  <w:vAlign w:val="center"/>
                </w:tcPr>
                <w:p w14:paraId="10D4525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r>
            <w:tr w14:paraId="7B477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00" w:type="pct"/>
                  <w:gridSpan w:val="7"/>
                  <w:noWrap w:val="0"/>
                  <w:vAlign w:val="center"/>
                </w:tcPr>
                <w:p w14:paraId="6F36549A">
                  <w:pPr>
                    <w:pStyle w:val="55"/>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石油烃采用《农用地土壤环境风险评价技术规定（试行）》中参考值500mg/kg</w:t>
                  </w:r>
                </w:p>
              </w:tc>
            </w:tr>
          </w:tbl>
          <w:p w14:paraId="039C6FE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《四川省建设用地土壤污染风险管控标准》（DB51/2978-2023）</w:t>
            </w:r>
          </w:p>
          <w:tbl>
            <w:tblPr>
              <w:tblStyle w:val="2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465"/>
              <w:gridCol w:w="1560"/>
              <w:gridCol w:w="1974"/>
              <w:gridCol w:w="2144"/>
            </w:tblGrid>
            <w:tr w14:paraId="31F2B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vMerge w:val="restart"/>
                  <w:noWrap w:val="0"/>
                  <w:vAlign w:val="center"/>
                </w:tcPr>
                <w:p w14:paraId="2C1176EC">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936" w:type="pct"/>
                  <w:vMerge w:val="restart"/>
                  <w:noWrap w:val="0"/>
                  <w:vAlign w:val="center"/>
                </w:tcPr>
                <w:p w14:paraId="7FE27924">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污染物项目</w:t>
                  </w:r>
                </w:p>
              </w:tc>
              <w:tc>
                <w:tcPr>
                  <w:tcW w:w="997" w:type="pct"/>
                  <w:vMerge w:val="restart"/>
                  <w:noWrap w:val="0"/>
                  <w:vAlign w:val="center"/>
                </w:tcPr>
                <w:p w14:paraId="3F5F5FC2">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CAS编号</w:t>
                  </w:r>
                </w:p>
              </w:tc>
              <w:tc>
                <w:tcPr>
                  <w:tcW w:w="2631" w:type="pct"/>
                  <w:gridSpan w:val="2"/>
                  <w:noWrap w:val="0"/>
                  <w:vAlign w:val="center"/>
                </w:tcPr>
                <w:p w14:paraId="30AB1D15">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筛选值（mg/kg）</w:t>
                  </w:r>
                </w:p>
              </w:tc>
            </w:tr>
            <w:tr w14:paraId="5F7C7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vMerge w:val="continue"/>
                  <w:noWrap w:val="0"/>
                  <w:vAlign w:val="center"/>
                </w:tcPr>
                <w:p w14:paraId="4700C35A">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936" w:type="pct"/>
                  <w:vMerge w:val="continue"/>
                  <w:noWrap w:val="0"/>
                  <w:vAlign w:val="center"/>
                </w:tcPr>
                <w:p w14:paraId="266BB438">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997" w:type="pct"/>
                  <w:vMerge w:val="continue"/>
                  <w:noWrap w:val="0"/>
                  <w:vAlign w:val="center"/>
                </w:tcPr>
                <w:p w14:paraId="232F3F96">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261" w:type="pct"/>
                  <w:noWrap w:val="0"/>
                  <w:vAlign w:val="center"/>
                </w:tcPr>
                <w:p w14:paraId="3D40B104">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第一类用地</w:t>
                  </w:r>
                </w:p>
              </w:tc>
              <w:tc>
                <w:tcPr>
                  <w:tcW w:w="1370" w:type="pct"/>
                  <w:noWrap w:val="0"/>
                  <w:vAlign w:val="center"/>
                </w:tcPr>
                <w:p w14:paraId="515D5D44">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第二类用地</w:t>
                  </w:r>
                </w:p>
              </w:tc>
            </w:tr>
            <w:tr w14:paraId="61BD3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noWrap w:val="0"/>
                  <w:vAlign w:val="center"/>
                </w:tcPr>
                <w:p w14:paraId="0EACA00E">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1</w:t>
                  </w:r>
                </w:p>
              </w:tc>
              <w:tc>
                <w:tcPr>
                  <w:tcW w:w="936" w:type="pct"/>
                  <w:noWrap w:val="0"/>
                  <w:vAlign w:val="center"/>
                </w:tcPr>
                <w:p w14:paraId="6C23FF9E">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钡</w:t>
                  </w:r>
                </w:p>
              </w:tc>
              <w:tc>
                <w:tcPr>
                  <w:tcW w:w="997" w:type="pct"/>
                  <w:noWrap w:val="0"/>
                  <w:vAlign w:val="center"/>
                </w:tcPr>
                <w:p w14:paraId="78592C8A">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7440-39-3</w:t>
                  </w:r>
                </w:p>
              </w:tc>
              <w:tc>
                <w:tcPr>
                  <w:tcW w:w="1261" w:type="pct"/>
                  <w:noWrap w:val="0"/>
                  <w:vAlign w:val="center"/>
                </w:tcPr>
                <w:p w14:paraId="013E56DD">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2766</w:t>
                  </w:r>
                </w:p>
              </w:tc>
              <w:tc>
                <w:tcPr>
                  <w:tcW w:w="1370" w:type="pct"/>
                  <w:noWrap w:val="0"/>
                  <w:vAlign w:val="center"/>
                </w:tcPr>
                <w:p w14:paraId="5DB52620">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8660</w:t>
                  </w:r>
                </w:p>
              </w:tc>
            </w:tr>
            <w:tr w14:paraId="0898C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noWrap w:val="0"/>
                  <w:vAlign w:val="center"/>
                </w:tcPr>
                <w:p w14:paraId="337B42EB">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eastAsia="宋体" w:cs="Times New Roman"/>
                      <w:b w:val="0"/>
                      <w:color w:val="auto"/>
                      <w:kern w:val="2"/>
                      <w:sz w:val="21"/>
                      <w:szCs w:val="21"/>
                      <w:highlight w:val="none"/>
                      <w:lang w:val="en-US" w:eastAsia="zh-CN" w:bidi="ar-SA"/>
                    </w:rPr>
                    <w:t>2</w:t>
                  </w:r>
                </w:p>
              </w:tc>
              <w:tc>
                <w:tcPr>
                  <w:tcW w:w="936" w:type="pct"/>
                  <w:noWrap w:val="0"/>
                  <w:vAlign w:val="center"/>
                </w:tcPr>
                <w:p w14:paraId="183E49BB">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eastAsia="宋体" w:cs="Times New Roman"/>
                      <w:b w:val="0"/>
                      <w:color w:val="auto"/>
                      <w:kern w:val="2"/>
                      <w:sz w:val="21"/>
                      <w:szCs w:val="21"/>
                      <w:highlight w:val="none"/>
                      <w:lang w:val="en-US" w:eastAsia="zh-CN" w:bidi="ar-SA"/>
                    </w:rPr>
                    <w:t>铬</w:t>
                  </w:r>
                </w:p>
              </w:tc>
              <w:tc>
                <w:tcPr>
                  <w:tcW w:w="997" w:type="pct"/>
                  <w:noWrap w:val="0"/>
                  <w:vAlign w:val="center"/>
                </w:tcPr>
                <w:p w14:paraId="6C9B727D">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eastAsia="宋体" w:cs="Times New Roman"/>
                      <w:b w:val="0"/>
                      <w:color w:val="auto"/>
                      <w:kern w:val="2"/>
                      <w:sz w:val="21"/>
                      <w:szCs w:val="21"/>
                      <w:highlight w:val="none"/>
                      <w:lang w:val="en-US" w:eastAsia="zh-CN" w:bidi="ar-SA"/>
                    </w:rPr>
                    <w:t>7440-47-3</w:t>
                  </w:r>
                </w:p>
              </w:tc>
              <w:tc>
                <w:tcPr>
                  <w:tcW w:w="1261" w:type="pct"/>
                  <w:noWrap w:val="0"/>
                  <w:vAlign w:val="center"/>
                </w:tcPr>
                <w:p w14:paraId="2D489362">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eastAsia="宋体" w:cs="Times New Roman"/>
                      <w:b w:val="0"/>
                      <w:color w:val="auto"/>
                      <w:kern w:val="2"/>
                      <w:sz w:val="21"/>
                      <w:szCs w:val="21"/>
                      <w:highlight w:val="none"/>
                      <w:lang w:val="en-US" w:eastAsia="zh-CN" w:bidi="ar-SA"/>
                    </w:rPr>
                    <w:t>1202</w:t>
                  </w:r>
                </w:p>
              </w:tc>
              <w:tc>
                <w:tcPr>
                  <w:tcW w:w="1370" w:type="pct"/>
                  <w:noWrap w:val="0"/>
                  <w:vAlign w:val="center"/>
                </w:tcPr>
                <w:p w14:paraId="18862944">
                  <w:pPr>
                    <w:pStyle w:val="5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eastAsia" w:ascii="Times New Roman" w:hAnsi="Times New Roman" w:eastAsia="宋体" w:cs="Times New Roman"/>
                      <w:b w:val="0"/>
                      <w:color w:val="auto"/>
                      <w:kern w:val="2"/>
                      <w:sz w:val="21"/>
                      <w:szCs w:val="21"/>
                      <w:highlight w:val="none"/>
                      <w:lang w:val="en-US" w:eastAsia="zh-CN" w:bidi="ar-SA"/>
                    </w:rPr>
                    <w:t>2882</w:t>
                  </w:r>
                </w:p>
              </w:tc>
            </w:tr>
          </w:tbl>
          <w:p w14:paraId="7553E5B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二、污染物排放标准</w:t>
            </w:r>
          </w:p>
          <w:p w14:paraId="26635B5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1、废气</w:t>
            </w:r>
          </w:p>
          <w:p w14:paraId="139378E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项目位于环境空气二类区，SO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、NO</w:t>
            </w:r>
            <w:r>
              <w:rPr>
                <w:rFonts w:hint="default" w:ascii="Times New Roman" w:hAnsi="Times New Roman" w:cs="Times New Roman"/>
                <w:color w:val="auto"/>
                <w:sz w:val="24"/>
                <w:vertAlign w:val="subscript"/>
              </w:rPr>
              <w:t>x</w:t>
            </w:r>
            <w:r>
              <w:rPr>
                <w:rFonts w:hint="default" w:ascii="Times New Roman" w:hAnsi="Times New Roman" w:cs="Times New Roman"/>
                <w:color w:val="auto"/>
                <w:sz w:val="24"/>
              </w:rPr>
              <w:t>、颗粒物</w:t>
            </w:r>
            <w:r>
              <w:rPr>
                <w:rFonts w:hint="eastAsia" w:ascii="Times New Roman" w:hAnsi="Times New Roman" w:cs="Times New Roman"/>
                <w:color w:val="auto"/>
                <w:sz w:val="24"/>
                <w:lang w:eastAsia="zh-CN"/>
              </w:rPr>
              <w:t>执行</w:t>
            </w:r>
            <w:r>
              <w:rPr>
                <w:rFonts w:hint="default" w:ascii="Times New Roman" w:hAnsi="Times New Roman" w:cs="Times New Roman"/>
                <w:color w:val="auto"/>
                <w:sz w:val="24"/>
              </w:rPr>
              <w:t>《大气污染物综合排放标准》（GB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16297-1996）中二级标准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非甲烷总烃</w:t>
            </w:r>
            <w:r>
              <w:rPr>
                <w:rFonts w:hint="eastAsia" w:ascii="Times New Roman" w:hAnsi="Times New Roman" w:cs="Times New Roman"/>
                <w:color w:val="auto"/>
                <w:sz w:val="24"/>
                <w:lang w:val="en-US" w:eastAsia="zh-CN"/>
              </w:rPr>
              <w:t>执行《陆上石油天然气开采工业大气污染物排放标准》（GB 39728-2020）</w:t>
            </w:r>
            <w:r>
              <w:rPr>
                <w:rFonts w:hint="eastAsia" w:cs="Times New Roman"/>
                <w:color w:val="auto"/>
                <w:sz w:val="24"/>
                <w:lang w:val="en-US" w:eastAsia="zh-CN"/>
              </w:rPr>
              <w:t>，锅炉烟气执</w:t>
            </w:r>
            <w:r>
              <w:rPr>
                <w:rFonts w:hint="eastAsia" w:ascii="Times New Roman" w:hAnsi="Times New Roman" w:cs="Times New Roman"/>
                <w:color w:val="auto"/>
                <w:sz w:val="24"/>
                <w:lang w:val="en-US" w:eastAsia="zh-CN"/>
              </w:rPr>
              <w:t>行《</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p>
          <w:p w14:paraId="1366C9D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大气污染物综合排放标准    单位：mg/m³</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8"/>
              <w:gridCol w:w="2608"/>
              <w:gridCol w:w="2607"/>
            </w:tblGrid>
            <w:tr w14:paraId="1FF8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vMerge w:val="restart"/>
                  <w:noWrap w:val="0"/>
                  <w:vAlign w:val="center"/>
                </w:tcPr>
                <w:p w14:paraId="3DEB5F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3333" w:type="pct"/>
                  <w:gridSpan w:val="2"/>
                  <w:noWrap w:val="0"/>
                  <w:vAlign w:val="center"/>
                </w:tcPr>
                <w:p w14:paraId="6A21A6F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无组织排放监控制度限值（影响区）</w:t>
                  </w:r>
                </w:p>
              </w:tc>
            </w:tr>
            <w:tr w14:paraId="55AF4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vMerge w:val="continue"/>
                  <w:noWrap w:val="0"/>
                  <w:vAlign w:val="center"/>
                </w:tcPr>
                <w:p w14:paraId="69A45ED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1667" w:type="pct"/>
                  <w:noWrap w:val="0"/>
                  <w:vAlign w:val="center"/>
                </w:tcPr>
                <w:p w14:paraId="72AB9C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监测点</w:t>
                  </w:r>
                </w:p>
              </w:tc>
              <w:tc>
                <w:tcPr>
                  <w:tcW w:w="1667" w:type="pct"/>
                  <w:noWrap w:val="0"/>
                  <w:vAlign w:val="center"/>
                </w:tcPr>
                <w:p w14:paraId="64D14E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浓度</w:t>
                  </w:r>
                </w:p>
              </w:tc>
            </w:tr>
            <w:tr w14:paraId="3B289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3EF2C1F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p>
              </w:tc>
              <w:tc>
                <w:tcPr>
                  <w:tcW w:w="1667" w:type="pct"/>
                  <w:noWrap w:val="0"/>
                  <w:vAlign w:val="center"/>
                </w:tcPr>
                <w:p w14:paraId="271D295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4512095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0.12</w:t>
                  </w:r>
                </w:p>
              </w:tc>
            </w:tr>
            <w:tr w14:paraId="30721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09427FD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667" w:type="pct"/>
                  <w:noWrap w:val="0"/>
                  <w:vAlign w:val="center"/>
                </w:tcPr>
                <w:p w14:paraId="052A9B9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43C65A7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r>
            <w:tr w14:paraId="35AA8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7F9FA02F">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1667" w:type="pct"/>
                  <w:noWrap w:val="0"/>
                  <w:vAlign w:val="center"/>
                </w:tcPr>
                <w:p w14:paraId="6514077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165D8EB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23AD0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49D6280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1667" w:type="pct"/>
                  <w:noWrap w:val="0"/>
                  <w:vAlign w:val="center"/>
                </w:tcPr>
                <w:p w14:paraId="2252884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69D89C0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r>
          </w:tbl>
          <w:p w14:paraId="29CCFEA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锅炉大气污染物</w:t>
            </w:r>
            <w:r>
              <w:rPr>
                <w:rFonts w:hint="eastAsia" w:ascii="Times New Roman" w:hAnsi="Times New Roman" w:eastAsia="宋体" w:cs="Times New Roman"/>
                <w:b/>
                <w:bCs/>
                <w:color w:val="auto"/>
                <w:highlight w:val="none"/>
                <w:lang w:val="en-US" w:eastAsia="zh-CN"/>
              </w:rPr>
              <w:t>排放标准    单位：mg/m³</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8"/>
              <w:gridCol w:w="2607"/>
              <w:gridCol w:w="1"/>
              <w:gridCol w:w="2607"/>
            </w:tblGrid>
            <w:tr w14:paraId="0AAB3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1A1E214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1666" w:type="pct"/>
                  <w:noWrap w:val="0"/>
                  <w:vAlign w:val="center"/>
                </w:tcPr>
                <w:p w14:paraId="68C8D23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限值（燃油锅炉）</w:t>
                  </w:r>
                </w:p>
              </w:tc>
              <w:tc>
                <w:tcPr>
                  <w:tcW w:w="1666" w:type="pct"/>
                  <w:gridSpan w:val="2"/>
                  <w:noWrap w:val="0"/>
                  <w:vAlign w:val="center"/>
                </w:tcPr>
                <w:p w14:paraId="6202DF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污染物排放监控位置</w:t>
                  </w:r>
                </w:p>
              </w:tc>
            </w:tr>
            <w:tr w14:paraId="38D56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76AE5E0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颗粒物</w:t>
                  </w:r>
                </w:p>
              </w:tc>
              <w:tc>
                <w:tcPr>
                  <w:tcW w:w="1666" w:type="pct"/>
                  <w:gridSpan w:val="2"/>
                  <w:noWrap w:val="0"/>
                  <w:vAlign w:val="center"/>
                </w:tcPr>
                <w:p w14:paraId="4305FD0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30</w:t>
                  </w:r>
                </w:p>
              </w:tc>
              <w:tc>
                <w:tcPr>
                  <w:tcW w:w="1666" w:type="pct"/>
                  <w:vMerge w:val="restart"/>
                  <w:noWrap w:val="0"/>
                  <w:vAlign w:val="center"/>
                </w:tcPr>
                <w:p w14:paraId="3D169539">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烟囱</w:t>
                  </w:r>
                </w:p>
              </w:tc>
            </w:tr>
            <w:tr w14:paraId="52EBC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2B74CD43">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二氧化硫</w:t>
                  </w:r>
                </w:p>
              </w:tc>
              <w:tc>
                <w:tcPr>
                  <w:tcW w:w="1666" w:type="pct"/>
                  <w:gridSpan w:val="2"/>
                  <w:noWrap w:val="0"/>
                  <w:vAlign w:val="center"/>
                </w:tcPr>
                <w:p w14:paraId="3D8AD601">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w:t>
                  </w:r>
                </w:p>
              </w:tc>
              <w:tc>
                <w:tcPr>
                  <w:tcW w:w="1666" w:type="pct"/>
                  <w:vMerge w:val="continue"/>
                  <w:noWrap w:val="0"/>
                  <w:vAlign w:val="center"/>
                </w:tcPr>
                <w:p w14:paraId="6885F5E6">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p>
              </w:tc>
            </w:tr>
            <w:tr w14:paraId="565AB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596D8D8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氮氧化物</w:t>
                  </w:r>
                </w:p>
              </w:tc>
              <w:tc>
                <w:tcPr>
                  <w:tcW w:w="1666" w:type="pct"/>
                  <w:gridSpan w:val="2"/>
                  <w:noWrap w:val="0"/>
                  <w:vAlign w:val="center"/>
                </w:tcPr>
                <w:p w14:paraId="5BBC4FD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w:t>
                  </w:r>
                </w:p>
              </w:tc>
              <w:tc>
                <w:tcPr>
                  <w:tcW w:w="1666" w:type="pct"/>
                  <w:vMerge w:val="continue"/>
                  <w:noWrap w:val="0"/>
                  <w:vAlign w:val="center"/>
                </w:tcPr>
                <w:p w14:paraId="216BD9CA">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p>
              </w:tc>
            </w:tr>
            <w:tr w14:paraId="0EA3A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7C20A83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烟气黑度</w:t>
                  </w:r>
                </w:p>
              </w:tc>
              <w:tc>
                <w:tcPr>
                  <w:tcW w:w="1666" w:type="pct"/>
                  <w:gridSpan w:val="2"/>
                  <w:noWrap w:val="0"/>
                  <w:vAlign w:val="center"/>
                </w:tcPr>
                <w:p w14:paraId="244A65F5">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666" w:type="pct"/>
                  <w:noWrap w:val="0"/>
                  <w:vAlign w:val="center"/>
                </w:tcPr>
                <w:p w14:paraId="523B714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烟囱排放口</w:t>
                  </w:r>
                </w:p>
              </w:tc>
            </w:tr>
          </w:tbl>
          <w:p w14:paraId="564332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施工扬尘执行《四川省施工场地扬尘排放标准》（DB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51/2682-2020），具体见下表。</w:t>
            </w:r>
          </w:p>
          <w:p w14:paraId="37C9785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扬尘排放标准值    单位：ug/m³</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1476"/>
              <w:gridCol w:w="1834"/>
              <w:gridCol w:w="1815"/>
            </w:tblGrid>
            <w:tr w14:paraId="3A165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725" w:type="pct"/>
                  <w:noWrap w:val="0"/>
                  <w:vAlign w:val="center"/>
                </w:tcPr>
                <w:p w14:paraId="7C6F37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标准</w:t>
                  </w:r>
                </w:p>
              </w:tc>
              <w:tc>
                <w:tcPr>
                  <w:tcW w:w="943" w:type="pct"/>
                  <w:noWrap w:val="0"/>
                  <w:vAlign w:val="center"/>
                </w:tcPr>
                <w:p w14:paraId="3A86FC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控制项目</w:t>
                  </w:r>
                </w:p>
              </w:tc>
              <w:tc>
                <w:tcPr>
                  <w:tcW w:w="1172" w:type="pct"/>
                  <w:noWrap w:val="0"/>
                  <w:vAlign w:val="center"/>
                </w:tcPr>
                <w:p w14:paraId="13C772E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拆除工程/土方开挖/土方回填阶段</w:t>
                  </w:r>
                </w:p>
              </w:tc>
              <w:tc>
                <w:tcPr>
                  <w:tcW w:w="1160" w:type="pct"/>
                  <w:noWrap w:val="0"/>
                  <w:vAlign w:val="center"/>
                </w:tcPr>
                <w:p w14:paraId="79DFDE1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其他工程阶段</w:t>
                  </w:r>
                </w:p>
              </w:tc>
            </w:tr>
            <w:tr w14:paraId="02A1B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725" w:type="pct"/>
                  <w:noWrap w:val="0"/>
                  <w:vAlign w:val="center"/>
                </w:tcPr>
                <w:p w14:paraId="0CFB342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《四川省施工场地扬尘排放标准》（DB</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51/2682-2020）</w:t>
                  </w:r>
                </w:p>
              </w:tc>
              <w:tc>
                <w:tcPr>
                  <w:tcW w:w="943" w:type="pct"/>
                  <w:noWrap w:val="0"/>
                  <w:vAlign w:val="center"/>
                </w:tcPr>
                <w:p w14:paraId="47F6AB4E">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扬尘（TSP）</w:t>
                  </w:r>
                </w:p>
              </w:tc>
              <w:tc>
                <w:tcPr>
                  <w:tcW w:w="1172" w:type="pct"/>
                  <w:noWrap w:val="0"/>
                  <w:vAlign w:val="center"/>
                </w:tcPr>
                <w:p w14:paraId="2A5EB4E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600</w:t>
                  </w:r>
                </w:p>
              </w:tc>
              <w:tc>
                <w:tcPr>
                  <w:tcW w:w="1160" w:type="pct"/>
                  <w:noWrap w:val="0"/>
                  <w:vAlign w:val="center"/>
                </w:tcPr>
                <w:p w14:paraId="585BE5B4">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250</w:t>
                  </w:r>
                </w:p>
              </w:tc>
            </w:tr>
          </w:tbl>
          <w:p w14:paraId="434A8CC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2、噪声</w:t>
            </w:r>
          </w:p>
          <w:p w14:paraId="4AA328B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本项目仅为勘探井的钻探施工，不涉及运营期</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建筑施工期间噪声执行</w:t>
            </w:r>
            <w:r>
              <w:rPr>
                <w:rFonts w:hint="eastAsia" w:ascii="Times New Roman" w:hAnsi="Times New Roman" w:cs="Times New Roman"/>
                <w:color w:val="auto"/>
                <w:sz w:val="24"/>
                <w:lang w:val="en-US" w:eastAsia="zh-CN"/>
              </w:rPr>
              <w:t>《建筑施工噪声排放标准》（GB 12523-2025）</w:t>
            </w:r>
            <w:r>
              <w:rPr>
                <w:rFonts w:hint="default" w:ascii="Times New Roman" w:hAnsi="Times New Roman" w:cs="Times New Roman"/>
                <w:color w:val="auto"/>
                <w:sz w:val="24"/>
              </w:rPr>
              <w:t>施工阶段标准。</w:t>
            </w:r>
          </w:p>
          <w:p w14:paraId="20CAA8F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建筑施工场界环境噪声排放标准    单位：dB（A）</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6"/>
              <w:gridCol w:w="2607"/>
              <w:gridCol w:w="2610"/>
            </w:tblGrid>
            <w:tr w14:paraId="0EA2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top w:val="single" w:color="auto" w:sz="4" w:space="0"/>
                    <w:left w:val="single" w:color="auto" w:sz="4" w:space="0"/>
                    <w:bottom w:val="single" w:color="auto" w:sz="4" w:space="0"/>
                    <w:right w:val="single" w:color="auto" w:sz="4" w:space="0"/>
                  </w:tcBorders>
                  <w:noWrap w:val="0"/>
                  <w:vAlign w:val="center"/>
                </w:tcPr>
                <w:p w14:paraId="0060349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项目</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B48FD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昼间</w:t>
                  </w:r>
                </w:p>
              </w:tc>
              <w:tc>
                <w:tcPr>
                  <w:tcW w:w="1668" w:type="pct"/>
                  <w:tcBorders>
                    <w:top w:val="single" w:color="auto" w:sz="4" w:space="0"/>
                    <w:left w:val="single" w:color="auto" w:sz="4" w:space="0"/>
                    <w:bottom w:val="single" w:color="auto" w:sz="4" w:space="0"/>
                    <w:right w:val="single" w:color="auto" w:sz="4" w:space="0"/>
                  </w:tcBorders>
                  <w:noWrap w:val="0"/>
                  <w:vAlign w:val="center"/>
                </w:tcPr>
                <w:p w14:paraId="117E290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夜间</w:t>
                  </w:r>
                </w:p>
              </w:tc>
            </w:tr>
            <w:tr w14:paraId="2B3A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top w:val="single" w:color="auto" w:sz="4" w:space="0"/>
                    <w:left w:val="single" w:color="auto" w:sz="4" w:space="0"/>
                    <w:bottom w:val="single" w:color="auto" w:sz="4" w:space="0"/>
                    <w:right w:val="single" w:color="auto" w:sz="4" w:space="0"/>
                  </w:tcBorders>
                  <w:noWrap w:val="0"/>
                  <w:vAlign w:val="center"/>
                </w:tcPr>
                <w:p w14:paraId="0E5C4A20">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施工期排放标准</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FC92D12">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0"/>
                    </w:rPr>
                  </w:pPr>
                  <w:r>
                    <w:rPr>
                      <w:rFonts w:hint="default" w:ascii="Times New Roman" w:hAnsi="Times New Roman" w:eastAsia="宋体" w:cs="Times New Roman"/>
                      <w:color w:val="auto"/>
                    </w:rPr>
                    <w:t>70</w:t>
                  </w:r>
                </w:p>
              </w:tc>
              <w:tc>
                <w:tcPr>
                  <w:tcW w:w="1668" w:type="pct"/>
                  <w:tcBorders>
                    <w:top w:val="single" w:color="auto" w:sz="4" w:space="0"/>
                    <w:left w:val="single" w:color="auto" w:sz="4" w:space="0"/>
                    <w:bottom w:val="single" w:color="auto" w:sz="4" w:space="0"/>
                    <w:right w:val="single" w:color="auto" w:sz="4" w:space="0"/>
                  </w:tcBorders>
                  <w:noWrap w:val="0"/>
                  <w:vAlign w:val="center"/>
                </w:tcPr>
                <w:p w14:paraId="474B749D">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0"/>
                    </w:rPr>
                  </w:pPr>
                  <w:r>
                    <w:rPr>
                      <w:rFonts w:hint="default" w:ascii="Times New Roman" w:hAnsi="Times New Roman" w:eastAsia="宋体" w:cs="Times New Roman"/>
                      <w:color w:val="auto"/>
                    </w:rPr>
                    <w:t>55</w:t>
                  </w:r>
                </w:p>
              </w:tc>
            </w:tr>
          </w:tbl>
          <w:p w14:paraId="39FB035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3、固体废弃物</w:t>
            </w:r>
          </w:p>
          <w:p w14:paraId="79F3FB3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cs="Times New Roman"/>
                <w:color w:val="auto"/>
                <w:kern w:val="0"/>
                <w:sz w:val="24"/>
              </w:rPr>
              <w:t>一般工业固体废物</w:t>
            </w:r>
            <w:r>
              <w:rPr>
                <w:rFonts w:hint="default" w:ascii="Times New Roman" w:hAnsi="Times New Roman" w:cs="Times New Roman"/>
                <w:color w:val="auto"/>
                <w:kern w:val="0"/>
                <w:sz w:val="24"/>
              </w:rPr>
              <w:t>满足相应防渗漏、防雨淋、防扬尘等环境保护要求；</w:t>
            </w:r>
            <w:r>
              <w:rPr>
                <w:rFonts w:hint="default" w:ascii="Times New Roman" w:hAnsi="Times New Roman" w:cs="Times New Roman"/>
                <w:bCs/>
                <w:color w:val="auto"/>
                <w:sz w:val="24"/>
              </w:rPr>
              <w:t>危险废物执行</w:t>
            </w:r>
            <w:r>
              <w:rPr>
                <w:rFonts w:hint="default" w:ascii="Times New Roman" w:hAnsi="Times New Roman" w:cs="Times New Roman"/>
                <w:color w:val="auto"/>
                <w:kern w:val="0"/>
                <w:sz w:val="24"/>
              </w:rPr>
              <w:t>《危险废物贮存污染控制标准》（GB</w:t>
            </w:r>
            <w:r>
              <w:rPr>
                <w:rFonts w:hint="eastAsia" w:ascii="Times New Roman" w:hAnsi="Times New Roman" w:cs="Times New Roman"/>
                <w:color w:val="auto"/>
                <w:kern w:val="0"/>
                <w:sz w:val="24"/>
                <w:lang w:val="en-US" w:eastAsia="zh-CN"/>
              </w:rPr>
              <w:t xml:space="preserve"> </w:t>
            </w:r>
            <w:r>
              <w:rPr>
                <w:rFonts w:hint="default" w:ascii="Times New Roman" w:hAnsi="Times New Roman" w:cs="Times New Roman"/>
                <w:color w:val="auto"/>
                <w:kern w:val="0"/>
                <w:sz w:val="24"/>
              </w:rPr>
              <w:t>18597-2023），交由危废资质单位处置。</w:t>
            </w:r>
          </w:p>
        </w:tc>
      </w:tr>
      <w:tr w14:paraId="621FB1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766" w:type="dxa"/>
            <w:noWrap w:val="0"/>
            <w:vAlign w:val="center"/>
          </w:tcPr>
          <w:p w14:paraId="724486D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8049" w:type="dxa"/>
            <w:noWrap w:val="0"/>
            <w:vAlign w:val="center"/>
          </w:tcPr>
          <w:p w14:paraId="7265AD7E">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r>
              <w:rPr>
                <w:rFonts w:hint="default" w:ascii="Times New Roman" w:hAnsi="Times New Roman" w:cs="Times New Roman"/>
                <w:bCs/>
                <w:color w:val="auto"/>
                <w:kern w:val="2"/>
                <w:sz w:val="24"/>
              </w:rPr>
              <w:t>根据实施总量控制的原则，结合本项目污染物排放的实际情况，本项目不设置总量控制指标。</w:t>
            </w:r>
          </w:p>
        </w:tc>
      </w:tr>
    </w:tbl>
    <w:p w14:paraId="6B3BBE85">
      <w:pPr>
        <w:pStyle w:val="19"/>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kern w:val="2"/>
          <w:sz w:val="36"/>
          <w:szCs w:val="36"/>
        </w:rPr>
        <w:br w:type="page"/>
      </w:r>
      <w:bookmarkStart w:id="47" w:name="_Toc32551"/>
      <w:bookmarkStart w:id="48" w:name="_Toc9281"/>
      <w:bookmarkStart w:id="49" w:name="_Toc3620"/>
      <w:bookmarkStart w:id="50" w:name="_Toc29708"/>
      <w:bookmarkStart w:id="51" w:name="_Toc26743"/>
      <w:bookmarkStart w:id="52" w:name="_Toc21688"/>
      <w:r>
        <w:rPr>
          <w:rFonts w:ascii="Times New Roman" w:hAnsi="Times New Roman" w:eastAsia="黑体"/>
          <w:snapToGrid w:val="0"/>
          <w:color w:val="auto"/>
          <w:sz w:val="30"/>
          <w:szCs w:val="30"/>
        </w:rPr>
        <w:t>四、生态环境影响分析</w:t>
      </w:r>
      <w:bookmarkEnd w:id="47"/>
      <w:bookmarkEnd w:id="48"/>
      <w:bookmarkEnd w:id="49"/>
      <w:bookmarkEnd w:id="50"/>
      <w:bookmarkEnd w:id="51"/>
      <w:bookmarkEnd w:id="52"/>
    </w:p>
    <w:tbl>
      <w:tblPr>
        <w:tblStyle w:val="23"/>
        <w:tblW w:w="940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1"/>
        <w:gridCol w:w="8705"/>
      </w:tblGrid>
      <w:tr w14:paraId="4A8A2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701" w:type="dxa"/>
            <w:noWrap w:val="0"/>
            <w:tcMar>
              <w:left w:w="28" w:type="dxa"/>
              <w:right w:w="28" w:type="dxa"/>
            </w:tcMar>
            <w:vAlign w:val="center"/>
          </w:tcPr>
          <w:p w14:paraId="172988FB">
            <w:pPr>
              <w:pStyle w:val="1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bookmarkStart w:id="53" w:name="_Hlk49796138"/>
            <w:r>
              <w:rPr>
                <w:rFonts w:hint="default" w:ascii="Times New Roman" w:hAnsi="Times New Roman" w:cs="Times New Roman"/>
                <w:bCs/>
                <w:color w:val="auto"/>
                <w:spacing w:val="10"/>
                <w:kern w:val="2"/>
              </w:rPr>
              <w:t>施工期生态环境影响分析</w:t>
            </w:r>
            <w:bookmarkEnd w:id="53"/>
          </w:p>
        </w:tc>
        <w:tc>
          <w:tcPr>
            <w:tcW w:w="8705" w:type="dxa"/>
            <w:noWrap w:val="0"/>
            <w:vAlign w:val="center"/>
          </w:tcPr>
          <w:p w14:paraId="17A63357">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eastAsia" w:ascii="Times New Roman" w:hAnsi="Times New Roman" w:cs="Times New Roman"/>
                <w:b/>
                <w:bCs/>
                <w:color w:val="auto"/>
                <w:sz w:val="24"/>
              </w:rPr>
              <w:t>一、环境影响识别</w:t>
            </w:r>
          </w:p>
          <w:p w14:paraId="0BAC7E8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本项目为生态影响型建设工程，主要就施工期对区域生态环境及</w:t>
            </w:r>
            <w:r>
              <w:rPr>
                <w:rFonts w:hint="default" w:ascii="Times New Roman" w:hAnsi="Times New Roman" w:cs="Times New Roman"/>
                <w:color w:val="auto"/>
                <w:sz w:val="24"/>
              </w:rPr>
              <w:t>其他环境要素所造成的影响进行识别。</w:t>
            </w:r>
          </w:p>
          <w:p w14:paraId="56EC06A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1、生态环境影响</w:t>
            </w:r>
          </w:p>
          <w:p w14:paraId="119F24A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本项目生态环境影响主要体现在</w:t>
            </w:r>
            <w:r>
              <w:rPr>
                <w:rFonts w:hint="eastAsia" w:ascii="Times New Roman" w:hAnsi="Times New Roman" w:cs="Times New Roman"/>
                <w:color w:val="auto"/>
                <w:sz w:val="24"/>
              </w:rPr>
              <w:t>钻前施工对生态环境的影响，</w:t>
            </w:r>
            <w:r>
              <w:rPr>
                <w:rFonts w:hint="default" w:ascii="Times New Roman" w:hAnsi="Times New Roman" w:cs="Times New Roman"/>
                <w:color w:val="auto"/>
                <w:sz w:val="24"/>
              </w:rPr>
              <w:t>主要是临时占地和土石方工程开挖引起的自然地貌的改变和地表自然及人工植被的破坏，进而引起对土地利用的改变，生物量和生产力的变化，由此引发区域生态系统稳定性下降，致使生态环境的破坏及水土流失。</w:t>
            </w:r>
          </w:p>
          <w:p w14:paraId="72736741">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2、地表水环境影响</w:t>
            </w:r>
          </w:p>
          <w:p w14:paraId="2B380A6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（1）钻井期废水对地表水的影响；</w:t>
            </w:r>
          </w:p>
          <w:p w14:paraId="1E01869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（2）施工人员产生的生活污水对地表水环境的影响</w:t>
            </w:r>
            <w:r>
              <w:rPr>
                <w:rFonts w:hint="eastAsia" w:ascii="Times New Roman" w:hAnsi="Times New Roman" w:cs="Times New Roman"/>
                <w:color w:val="auto"/>
                <w:sz w:val="24"/>
              </w:rPr>
              <w:t>。</w:t>
            </w:r>
          </w:p>
          <w:p w14:paraId="7673C8BC">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3、地下水环境影响</w:t>
            </w:r>
          </w:p>
          <w:p w14:paraId="12A269B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本项目施工期对地下水的影响是施工期</w:t>
            </w:r>
            <w:r>
              <w:rPr>
                <w:rFonts w:hint="default" w:ascii="Times New Roman" w:hAnsi="Times New Roman" w:eastAsia="宋体" w:cs="Times New Roman"/>
                <w:color w:val="auto"/>
                <w:sz w:val="24"/>
                <w:highlight w:val="none"/>
                <w:lang w:val="en-US" w:eastAsia="zh-CN"/>
              </w:rPr>
              <w:t>钻井</w:t>
            </w:r>
            <w:r>
              <w:rPr>
                <w:rFonts w:hint="eastAsia" w:ascii="Times New Roman" w:hAnsi="Times New Roman" w:eastAsia="宋体" w:cs="Times New Roman"/>
                <w:color w:val="auto"/>
                <w:sz w:val="24"/>
                <w:highlight w:val="none"/>
                <w:lang w:val="en-US" w:eastAsia="zh-CN"/>
              </w:rPr>
              <w:t>、洗井、压裂</w:t>
            </w:r>
            <w:r>
              <w:rPr>
                <w:rFonts w:hint="default" w:ascii="Times New Roman" w:hAnsi="Times New Roman" w:eastAsia="宋体" w:cs="Times New Roman"/>
                <w:color w:val="auto"/>
                <w:sz w:val="24"/>
                <w:highlight w:val="none"/>
                <w:lang w:val="en-US" w:eastAsia="zh-CN"/>
              </w:rPr>
              <w:t>过程中</w:t>
            </w:r>
            <w:r>
              <w:rPr>
                <w:rFonts w:hint="eastAsia" w:ascii="Times New Roman" w:hAnsi="Times New Roman" w:eastAsia="宋体" w:cs="Times New Roman"/>
                <w:color w:val="auto"/>
                <w:sz w:val="24"/>
                <w:highlight w:val="none"/>
                <w:lang w:val="en-US" w:eastAsia="zh-CN"/>
              </w:rPr>
              <w:t>废水泄漏</w:t>
            </w:r>
            <w:r>
              <w:rPr>
                <w:rFonts w:hint="default" w:ascii="Times New Roman" w:hAnsi="Times New Roman" w:eastAsia="宋体" w:cs="Times New Roman"/>
                <w:color w:val="auto"/>
                <w:sz w:val="24"/>
                <w:highlight w:val="none"/>
                <w:lang w:val="en-US" w:eastAsia="zh-CN"/>
              </w:rPr>
              <w:t>对地下水的影响，</w:t>
            </w:r>
            <w:r>
              <w:rPr>
                <w:rFonts w:hint="eastAsia" w:ascii="Times New Roman" w:hAnsi="Times New Roman" w:eastAsia="宋体" w:cs="Times New Roman"/>
                <w:color w:val="auto"/>
                <w:sz w:val="24"/>
                <w:highlight w:val="none"/>
                <w:lang w:val="en-US" w:eastAsia="zh-CN"/>
              </w:rPr>
              <w:t>井场污水池的渗透</w:t>
            </w:r>
            <w:r>
              <w:rPr>
                <w:rFonts w:hint="default" w:ascii="Times New Roman" w:hAnsi="Times New Roman" w:cs="Times New Roman"/>
                <w:color w:val="auto"/>
                <w:sz w:val="24"/>
                <w:highlight w:val="none"/>
              </w:rPr>
              <w:t>对地下水的影响，</w:t>
            </w:r>
            <w:r>
              <w:rPr>
                <w:rFonts w:hint="default" w:ascii="Times New Roman" w:hAnsi="Times New Roman" w:cs="Times New Roman"/>
                <w:color w:val="auto"/>
                <w:sz w:val="24"/>
              </w:rPr>
              <w:t>同时施工废水及施工生活污水若处理不当外排，废水下渗对局部区域地下水水质造成影响</w:t>
            </w:r>
            <w:r>
              <w:rPr>
                <w:rFonts w:hint="eastAsia" w:ascii="Times New Roman" w:hAnsi="Times New Roman" w:cs="Times New Roman"/>
                <w:color w:val="auto"/>
                <w:sz w:val="24"/>
              </w:rPr>
              <w:t>。</w:t>
            </w:r>
          </w:p>
          <w:p w14:paraId="2168947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4、大气环境影响</w:t>
            </w:r>
          </w:p>
          <w:p w14:paraId="0337641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cs="Times New Roman"/>
                <w:color w:val="auto"/>
                <w:sz w:val="24"/>
                <w:lang w:val="en-US" w:eastAsia="zh-CN"/>
              </w:rPr>
              <w:t>项目施工期</w:t>
            </w:r>
            <w:r>
              <w:rPr>
                <w:rFonts w:hint="default" w:ascii="Times New Roman" w:hAnsi="Times New Roman" w:cs="Times New Roman"/>
                <w:color w:val="auto"/>
                <w:sz w:val="24"/>
              </w:rPr>
              <w:t>施工机械排放的废气</w:t>
            </w:r>
            <w:r>
              <w:rPr>
                <w:rFonts w:hint="eastAsia" w:cs="Times New Roman"/>
                <w:color w:val="auto"/>
                <w:sz w:val="24"/>
                <w:lang w:eastAsia="zh-CN"/>
              </w:rPr>
              <w:t>、</w:t>
            </w:r>
            <w:r>
              <w:rPr>
                <w:rFonts w:hint="default" w:ascii="Times New Roman" w:hAnsi="Times New Roman" w:cs="Times New Roman"/>
                <w:color w:val="auto"/>
                <w:sz w:val="24"/>
              </w:rPr>
              <w:t>施工扬尘</w:t>
            </w:r>
            <w:r>
              <w:rPr>
                <w:rFonts w:hint="eastAsia" w:cs="Times New Roman"/>
                <w:color w:val="auto"/>
                <w:sz w:val="24"/>
                <w:lang w:eastAsia="zh-CN"/>
              </w:rPr>
              <w:t>、</w:t>
            </w:r>
            <w:r>
              <w:rPr>
                <w:rFonts w:hint="eastAsia" w:eastAsia="宋体" w:cs="Times New Roman"/>
                <w:color w:val="auto"/>
                <w:sz w:val="24"/>
                <w:lang w:val="en-US" w:eastAsia="zh-CN"/>
              </w:rPr>
              <w:t>气体钻粉尘、测试放喷废气、</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r>
              <w:rPr>
                <w:rFonts w:hint="eastAsia" w:cs="Times New Roman"/>
                <w:bCs/>
                <w:color w:val="auto"/>
                <w:sz w:val="24"/>
                <w:lang w:eastAsia="zh-CN"/>
              </w:rPr>
              <w:t>、</w:t>
            </w:r>
            <w:r>
              <w:rPr>
                <w:rFonts w:hint="default" w:ascii="Times New Roman" w:hAnsi="Times New Roman" w:cs="Times New Roman"/>
                <w:bCs/>
                <w:color w:val="auto"/>
                <w:kern w:val="0"/>
                <w:sz w:val="24"/>
              </w:rPr>
              <w:t>柴油发电机组燃烧废气</w:t>
            </w:r>
            <w:r>
              <w:rPr>
                <w:rFonts w:hint="eastAsia" w:cs="Times New Roman"/>
                <w:bCs/>
                <w:color w:val="auto"/>
                <w:kern w:val="0"/>
                <w:sz w:val="24"/>
                <w:lang w:val="en-US" w:eastAsia="zh-CN"/>
              </w:rPr>
              <w:t>等对区域环境空气的影响。</w:t>
            </w:r>
          </w:p>
          <w:p w14:paraId="07544C7C">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5、声环境影响</w:t>
            </w:r>
          </w:p>
          <w:p w14:paraId="10DBECD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钻前施工、钻井工程、储层改造工程</w:t>
            </w:r>
            <w:r>
              <w:rPr>
                <w:rFonts w:hint="default" w:ascii="Times New Roman" w:hAnsi="Times New Roman" w:cs="Times New Roman"/>
                <w:color w:val="auto"/>
                <w:sz w:val="24"/>
              </w:rPr>
              <w:t>施工机械产生的机械噪声</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放喷噪声</w:t>
            </w:r>
            <w:r>
              <w:rPr>
                <w:rFonts w:hint="eastAsia" w:ascii="Times New Roman" w:hAnsi="Times New Roman" w:cs="Times New Roman"/>
                <w:color w:val="auto"/>
                <w:sz w:val="24"/>
              </w:rPr>
              <w:t>。</w:t>
            </w:r>
          </w:p>
          <w:p w14:paraId="39D3EB9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6、固体废物环境影响</w:t>
            </w:r>
          </w:p>
          <w:p w14:paraId="37938D0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施工期产生的固体废物主要为生活垃圾、土石方、钻井固废等</w:t>
            </w:r>
            <w:r>
              <w:rPr>
                <w:rFonts w:hint="eastAsia" w:ascii="Times New Roman" w:hAnsi="Times New Roman" w:cs="Times New Roman"/>
                <w:color w:val="auto"/>
                <w:sz w:val="24"/>
              </w:rPr>
              <w:t>。</w:t>
            </w:r>
          </w:p>
          <w:p w14:paraId="5A01021B">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7、土壤环境影响</w:t>
            </w:r>
          </w:p>
          <w:p w14:paraId="3DB6965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（1）施工期钻前工程等造成井场土壤扰动；</w:t>
            </w:r>
          </w:p>
          <w:p w14:paraId="744CB61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（2）施工期钻井废水对土壤的影响。</w:t>
            </w:r>
          </w:p>
          <w:p w14:paraId="1608F893">
            <w:pPr>
              <w:pStyle w:val="21"/>
              <w:keepNext w:val="0"/>
              <w:keepLines w:val="0"/>
              <w:suppressLineNumbers w:val="0"/>
              <w:spacing w:beforeAutospacing="0" w:afterAutospacing="0"/>
              <w:ind w:left="0"/>
              <w:rPr>
                <w:rFonts w:hint="default" w:ascii="Times New Roman" w:hAnsi="Times New Roman" w:cs="Times New Roman"/>
                <w:color w:val="auto"/>
                <w:sz w:val="24"/>
              </w:rPr>
            </w:pPr>
          </w:p>
          <w:p w14:paraId="052DA737">
            <w:pPr>
              <w:keepNext w:val="0"/>
              <w:keepLines w:val="0"/>
              <w:suppressLineNumbers w:val="0"/>
              <w:spacing w:before="0" w:beforeAutospacing="0" w:after="0" w:afterAutospacing="0"/>
              <w:ind w:left="0" w:right="0"/>
              <w:rPr>
                <w:rFonts w:hint="default"/>
                <w:color w:val="auto"/>
              </w:rPr>
            </w:pPr>
          </w:p>
          <w:p w14:paraId="2006D23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eastAsia" w:ascii="Times New Roman" w:hAnsi="Times New Roman" w:cs="Times New Roman"/>
                <w:b/>
                <w:color w:val="auto"/>
              </w:rPr>
              <w:t>环境影响因素识别表</w:t>
            </w:r>
          </w:p>
          <w:tbl>
            <w:tblPr>
              <w:tblStyle w:val="23"/>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561"/>
              <w:gridCol w:w="552"/>
              <w:gridCol w:w="513"/>
              <w:gridCol w:w="540"/>
              <w:gridCol w:w="547"/>
              <w:gridCol w:w="609"/>
              <w:gridCol w:w="542"/>
              <w:gridCol w:w="501"/>
              <w:gridCol w:w="448"/>
              <w:gridCol w:w="469"/>
              <w:gridCol w:w="521"/>
              <w:gridCol w:w="452"/>
              <w:gridCol w:w="480"/>
            </w:tblGrid>
            <w:tr w14:paraId="1A92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09CC524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类别</w:t>
                  </w:r>
                </w:p>
              </w:tc>
              <w:tc>
                <w:tcPr>
                  <w:tcW w:w="928" w:type="pct"/>
                  <w:vMerge w:val="restart"/>
                  <w:noWrap w:val="0"/>
                  <w:vAlign w:val="center"/>
                </w:tcPr>
                <w:p w14:paraId="49DD66F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环境要素</w:t>
                  </w:r>
                </w:p>
              </w:tc>
              <w:tc>
                <w:tcPr>
                  <w:tcW w:w="1279" w:type="pct"/>
                  <w:gridSpan w:val="4"/>
                  <w:noWrap w:val="0"/>
                  <w:vAlign w:val="center"/>
                </w:tcPr>
                <w:p w14:paraId="579931F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钻前工程</w:t>
                  </w:r>
                </w:p>
              </w:tc>
              <w:tc>
                <w:tcPr>
                  <w:tcW w:w="1248" w:type="pct"/>
                  <w:gridSpan w:val="4"/>
                  <w:noWrap w:val="0"/>
                  <w:vAlign w:val="center"/>
                </w:tcPr>
                <w:p w14:paraId="6841262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钻井工程</w:t>
                  </w:r>
                </w:p>
              </w:tc>
              <w:tc>
                <w:tcPr>
                  <w:tcW w:w="1143" w:type="pct"/>
                  <w:gridSpan w:val="4"/>
                  <w:noWrap w:val="0"/>
                  <w:vAlign w:val="center"/>
                </w:tcPr>
                <w:p w14:paraId="1782AA3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储层改造工程</w:t>
                  </w:r>
                </w:p>
              </w:tc>
            </w:tr>
            <w:tr w14:paraId="2F1A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4C2FECE1">
                  <w:pPr>
                    <w:keepNext w:val="0"/>
                    <w:keepLines w:val="0"/>
                    <w:widowControl/>
                    <w:suppressLineNumbers w:val="0"/>
                    <w:snapToGrid w:val="0"/>
                    <w:spacing w:before="0" w:beforeAutospacing="0" w:after="0" w:afterAutospacing="0" w:line="240" w:lineRule="auto"/>
                    <w:ind w:left="0" w:right="0" w:firstLine="422" w:firstLineChars="200"/>
                    <w:jc w:val="center"/>
                    <w:rPr>
                      <w:rFonts w:hint="default" w:ascii="宋体" w:hAnsi="宋体" w:cs="宋体"/>
                      <w:b/>
                      <w:bCs/>
                      <w:color w:val="auto"/>
                      <w:szCs w:val="21"/>
                    </w:rPr>
                  </w:pPr>
                </w:p>
              </w:tc>
              <w:tc>
                <w:tcPr>
                  <w:tcW w:w="928" w:type="pct"/>
                  <w:vMerge w:val="continue"/>
                  <w:noWrap w:val="0"/>
                  <w:vAlign w:val="center"/>
                </w:tcPr>
                <w:p w14:paraId="00921403">
                  <w:pPr>
                    <w:keepNext w:val="0"/>
                    <w:keepLines w:val="0"/>
                    <w:widowControl/>
                    <w:suppressLineNumbers w:val="0"/>
                    <w:snapToGrid w:val="0"/>
                    <w:spacing w:before="0" w:beforeAutospacing="0" w:after="0" w:afterAutospacing="0" w:line="240" w:lineRule="auto"/>
                    <w:ind w:left="0" w:right="0" w:firstLine="422" w:firstLineChars="200"/>
                    <w:jc w:val="center"/>
                    <w:rPr>
                      <w:rFonts w:hint="default" w:ascii="宋体" w:hAnsi="宋体" w:cs="宋体"/>
                      <w:b/>
                      <w:bCs/>
                      <w:color w:val="auto"/>
                      <w:szCs w:val="21"/>
                    </w:rPr>
                  </w:pPr>
                </w:p>
              </w:tc>
              <w:tc>
                <w:tcPr>
                  <w:tcW w:w="328" w:type="pct"/>
                  <w:noWrap w:val="0"/>
                  <w:vAlign w:val="center"/>
                </w:tcPr>
                <w:p w14:paraId="1298E8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05" w:type="pct"/>
                  <w:noWrap w:val="0"/>
                  <w:vAlign w:val="center"/>
                </w:tcPr>
                <w:p w14:paraId="72D9EA7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321" w:type="pct"/>
                  <w:noWrap w:val="0"/>
                  <w:vAlign w:val="center"/>
                </w:tcPr>
                <w:p w14:paraId="05D650B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323" w:type="pct"/>
                  <w:noWrap w:val="0"/>
                  <w:vAlign w:val="center"/>
                </w:tcPr>
                <w:p w14:paraId="6AB0884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c>
                <w:tcPr>
                  <w:tcW w:w="362" w:type="pct"/>
                  <w:noWrap w:val="0"/>
                  <w:vAlign w:val="center"/>
                </w:tcPr>
                <w:p w14:paraId="4DDD577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22" w:type="pct"/>
                  <w:noWrap w:val="0"/>
                  <w:vAlign w:val="center"/>
                </w:tcPr>
                <w:p w14:paraId="6CFACFD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298" w:type="pct"/>
                  <w:noWrap w:val="0"/>
                  <w:vAlign w:val="center"/>
                </w:tcPr>
                <w:p w14:paraId="6A6C807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265" w:type="pct"/>
                  <w:noWrap w:val="0"/>
                  <w:vAlign w:val="center"/>
                </w:tcPr>
                <w:p w14:paraId="14B2AF8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c>
                <w:tcPr>
                  <w:tcW w:w="279" w:type="pct"/>
                  <w:noWrap w:val="0"/>
                  <w:vAlign w:val="center"/>
                </w:tcPr>
                <w:p w14:paraId="5C499E4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10" w:type="pct"/>
                  <w:noWrap w:val="0"/>
                  <w:vAlign w:val="center"/>
                </w:tcPr>
                <w:p w14:paraId="7E424A8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269" w:type="pct"/>
                  <w:noWrap w:val="0"/>
                  <w:vAlign w:val="center"/>
                </w:tcPr>
                <w:p w14:paraId="07D32CC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283" w:type="pct"/>
                  <w:noWrap w:val="0"/>
                  <w:vAlign w:val="center"/>
                </w:tcPr>
                <w:p w14:paraId="7C1FB73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r>
            <w:tr w14:paraId="51C1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76427AD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环境质量</w:t>
                  </w:r>
                </w:p>
              </w:tc>
              <w:tc>
                <w:tcPr>
                  <w:tcW w:w="928" w:type="pct"/>
                  <w:noWrap w:val="0"/>
                  <w:vAlign w:val="center"/>
                </w:tcPr>
                <w:p w14:paraId="7D55FA8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地表水</w:t>
                  </w:r>
                </w:p>
              </w:tc>
              <w:tc>
                <w:tcPr>
                  <w:tcW w:w="328" w:type="pct"/>
                  <w:noWrap w:val="0"/>
                  <w:vAlign w:val="center"/>
                </w:tcPr>
                <w:p w14:paraId="3E8B95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020E48C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BA9E83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599D035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66F867F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66CA73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3479E23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B0439E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6D2D6FC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4820EE0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5CC1E8D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234A1E0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3F56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3D39C8C1">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1F318F0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环境空气</w:t>
                  </w:r>
                </w:p>
              </w:tc>
              <w:tc>
                <w:tcPr>
                  <w:tcW w:w="328" w:type="pct"/>
                  <w:noWrap w:val="0"/>
                  <w:vAlign w:val="center"/>
                </w:tcPr>
                <w:p w14:paraId="6A1A5C9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447C25A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5F82BA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5F0FDFA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41DB55D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224D5BB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5CF80C6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4526CC6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4BD679D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6C3735F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07F6BA7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406C296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47E1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3A77CDA5">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2E99ABE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声环境</w:t>
                  </w:r>
                </w:p>
              </w:tc>
              <w:tc>
                <w:tcPr>
                  <w:tcW w:w="328" w:type="pct"/>
                  <w:noWrap w:val="0"/>
                  <w:vAlign w:val="center"/>
                </w:tcPr>
                <w:p w14:paraId="7CBC13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557AAB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A4AA85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4DACD54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1D5B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DE1CFE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058BDC3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B0CBE42">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735CDE7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6628ED7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309344E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6E44AE7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543D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52565CC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自然生态环境</w:t>
                  </w:r>
                </w:p>
              </w:tc>
              <w:tc>
                <w:tcPr>
                  <w:tcW w:w="928" w:type="pct"/>
                  <w:noWrap w:val="0"/>
                  <w:vAlign w:val="center"/>
                </w:tcPr>
                <w:p w14:paraId="2A592AE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地形地貌</w:t>
                  </w:r>
                </w:p>
              </w:tc>
              <w:tc>
                <w:tcPr>
                  <w:tcW w:w="328" w:type="pct"/>
                  <w:noWrap w:val="0"/>
                  <w:vAlign w:val="center"/>
                </w:tcPr>
                <w:p w14:paraId="4C76AFD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3DF4B1A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48BE917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60C80F0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653126D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445222B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4D20AC3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46BEEEB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04CE85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15C370E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6451018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12E001A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4751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40557051">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25D244D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生态环境</w:t>
                  </w:r>
                </w:p>
              </w:tc>
              <w:tc>
                <w:tcPr>
                  <w:tcW w:w="328" w:type="pct"/>
                  <w:noWrap w:val="0"/>
                  <w:vAlign w:val="center"/>
                </w:tcPr>
                <w:p w14:paraId="2227D50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5676A94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4B29625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4266DB8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8330BF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5FBD3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66FB8EA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3F1AA74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089381A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306A9A2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38D065E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0549E72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7F78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66FF8B54">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6DB8D8A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土壤</w:t>
                  </w:r>
                </w:p>
              </w:tc>
              <w:tc>
                <w:tcPr>
                  <w:tcW w:w="328" w:type="pct"/>
                  <w:noWrap w:val="0"/>
                  <w:vAlign w:val="center"/>
                </w:tcPr>
                <w:p w14:paraId="30CFA7C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0BB8E78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6688D6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1BB3FB7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37DE8CE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1BD6B75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5A57213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5FFFD1F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40C026F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405A8D2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069E88D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07704F5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57AE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6831DFEC">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04FE98C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植被</w:t>
                  </w:r>
                </w:p>
              </w:tc>
              <w:tc>
                <w:tcPr>
                  <w:tcW w:w="328" w:type="pct"/>
                  <w:noWrap w:val="0"/>
                  <w:vAlign w:val="center"/>
                </w:tcPr>
                <w:p w14:paraId="2D4D3B9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D33817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6BD4909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17C3A29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AC453B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3F416FE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0E69E65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C444D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61FC050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07AB951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3866F01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5A28155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0DE6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235D6DBB">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6A8327D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水土流失</w:t>
                  </w:r>
                </w:p>
              </w:tc>
              <w:tc>
                <w:tcPr>
                  <w:tcW w:w="328" w:type="pct"/>
                  <w:noWrap w:val="0"/>
                  <w:vAlign w:val="center"/>
                </w:tcPr>
                <w:p w14:paraId="1E38780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7DE9D0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F3E6D4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36F86FD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19054DF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DCA9D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4473FE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11A7EE3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49FEAE6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3AEDC3D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267AE16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2571863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7D6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59E246B0">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08EE43F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土地利用</w:t>
                  </w:r>
                </w:p>
              </w:tc>
              <w:tc>
                <w:tcPr>
                  <w:tcW w:w="328" w:type="pct"/>
                  <w:noWrap w:val="0"/>
                  <w:vAlign w:val="center"/>
                </w:tcPr>
                <w:p w14:paraId="6D9040A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B6E27B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365DF9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7F29DA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17D95A1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69A8CC2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0D67492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08E124E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65B6FC5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072B0ED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3EA9703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546E2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bl>
          <w:p w14:paraId="15EE855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bCs/>
                <w:color w:val="auto"/>
                <w:sz w:val="24"/>
              </w:rPr>
            </w:pPr>
            <w:r>
              <w:rPr>
                <w:rFonts w:hint="eastAsia" w:ascii="Times New Roman" w:hAnsi="Times New Roman" w:cs="Times New Roman"/>
                <w:color w:val="auto"/>
                <w:kern w:val="0"/>
                <w:sz w:val="24"/>
                <w:szCs w:val="21"/>
              </w:rPr>
              <w:t>通过环境影响识别可知，</w:t>
            </w:r>
            <w:r>
              <w:rPr>
                <w:rFonts w:hint="default" w:ascii="Times New Roman" w:hAnsi="Times New Roman" w:cs="Times New Roman"/>
                <w:color w:val="auto"/>
                <w:kern w:val="0"/>
                <w:sz w:val="24"/>
                <w:szCs w:val="21"/>
              </w:rPr>
              <w:t>就环境影响因子影响而言，</w:t>
            </w:r>
            <w:r>
              <w:rPr>
                <w:rFonts w:hint="eastAsia" w:ascii="Times New Roman" w:hAnsi="Times New Roman" w:cs="Times New Roman"/>
                <w:color w:val="auto"/>
                <w:kern w:val="0"/>
                <w:sz w:val="24"/>
                <w:szCs w:val="21"/>
              </w:rPr>
              <w:t>本</w:t>
            </w:r>
            <w:r>
              <w:rPr>
                <w:rFonts w:hint="default" w:ascii="Times New Roman" w:hAnsi="Times New Roman" w:cs="Times New Roman"/>
                <w:color w:val="auto"/>
                <w:kern w:val="0"/>
                <w:sz w:val="24"/>
                <w:szCs w:val="21"/>
              </w:rPr>
              <w:t>工程主要影响生态环境。</w:t>
            </w:r>
          </w:p>
          <w:p w14:paraId="6BBFC69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二</w:t>
            </w:r>
            <w:r>
              <w:rPr>
                <w:rFonts w:hint="default" w:ascii="Times New Roman" w:hAnsi="Times New Roman" w:cs="Times New Roman"/>
                <w:b/>
                <w:bCs/>
                <w:color w:val="auto"/>
                <w:sz w:val="24"/>
              </w:rPr>
              <w:t>、钻前工程环境影响简要分析</w:t>
            </w:r>
          </w:p>
          <w:p w14:paraId="004CBC8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钻前工程主要包括井架基础、循环罐、储备罐等设施基础施工、钻井设备的搬运及安装、井口设备准备等。</w:t>
            </w:r>
          </w:p>
          <w:p w14:paraId="001563C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大气环境</w:t>
            </w:r>
          </w:p>
          <w:p w14:paraId="3FC0A20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钻前施工对环境空气的影响主要是道路扬尘及燃油动力机械废气。扬尘主要来自施工现场运输车辆、筑路机械作业过程中扬起的灰尘。据经验数据，在风速为1.2m/s或2.4m/s下土方和灰土的装卸、运输、施工或现场施工以及石料运输时距离50~150m处下风方向粉尘浓度为11.7</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5.0mg/m³。项目所在区域的</w:t>
            </w:r>
            <w:r>
              <w:rPr>
                <w:rFonts w:hint="eastAsia" w:ascii="Times New Roman" w:hAnsi="Times New Roman" w:cs="Times New Roman"/>
                <w:color w:val="auto"/>
                <w:sz w:val="24"/>
                <w:lang w:val="en-US" w:eastAsia="zh-CN"/>
              </w:rPr>
              <w:t>多</w:t>
            </w:r>
            <w:r>
              <w:rPr>
                <w:rFonts w:hint="default" w:ascii="Times New Roman" w:hAnsi="Times New Roman" w:cs="Times New Roman"/>
                <w:color w:val="auto"/>
                <w:sz w:val="24"/>
              </w:rPr>
              <w:t>年平均风速较小</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1.1m/s</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产生的扬尘量小。施工单位应采取措施防治施工扬尘，硬化进出口并采取冲洗、洒水等措施控制扬尘。设置车辆冲洗设施对驶出工地的车辆进行冲洗。对露天堆放的河沙、石粉等易扬撒的物料予以覆盖。对开挖施工作业面（点）洒水降尘。</w:t>
            </w:r>
          </w:p>
          <w:p w14:paraId="2C0AFD7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钻前工程施工时间很短，完成后影响即可消失，无长期影响，通过采取降尘措施和环境监理，对区域环境影响小。各类燃油动力机械在现场进行场地挖填、运输、施工等作业时，排放的废气中含CO和NOx等污染物，由于施工的燃油机械为间断施工，加之污染物排放量小，对环境空气的不利影响很小，施工结束后，影响将消失。施工期废气对当地环境空气影响很小。</w:t>
            </w:r>
          </w:p>
          <w:p w14:paraId="2ADE8ED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地表水环境</w:t>
            </w:r>
          </w:p>
          <w:p w14:paraId="0977F31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①施工废水</w:t>
            </w:r>
          </w:p>
          <w:p w14:paraId="31DAA49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道路施工过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遇降雨产生的地表径流，径流雨水中夹带有悬浮物，雨水经井场道路排水沟沉砂池沉淀处理后外排，对环境影响很小。井场基础建设产生的废水主</w:t>
            </w:r>
            <w:r>
              <w:rPr>
                <w:rFonts w:hint="eastAsia" w:ascii="Times New Roman" w:hAnsi="Times New Roman" w:cs="Times New Roman"/>
                <w:color w:val="auto"/>
                <w:sz w:val="24"/>
                <w:lang w:eastAsia="zh-CN"/>
              </w:rPr>
              <w:t>要是</w:t>
            </w:r>
            <w:r>
              <w:rPr>
                <w:rFonts w:hint="default" w:ascii="Times New Roman" w:hAnsi="Times New Roman" w:cs="Times New Roman"/>
                <w:color w:val="auto"/>
                <w:sz w:val="24"/>
              </w:rPr>
              <w:t>砂石骨料加工、混凝土拌和及养护等过程。在基础机械施工过程</w:t>
            </w:r>
            <w:r>
              <w:rPr>
                <w:rFonts w:hint="eastAsia" w:ascii="Times New Roman" w:hAnsi="Times New Roman" w:cs="Times New Roman"/>
                <w:color w:val="auto"/>
                <w:sz w:val="24"/>
                <w:lang w:eastAsia="zh-CN"/>
              </w:rPr>
              <w:t>中以</w:t>
            </w:r>
            <w:r>
              <w:rPr>
                <w:rFonts w:hint="default" w:ascii="Times New Roman" w:hAnsi="Times New Roman" w:cs="Times New Roman"/>
                <w:color w:val="auto"/>
                <w:sz w:val="24"/>
              </w:rPr>
              <w:t>及机械设备的冲洗维护时将产生含油废水，施工单位定期进行检查，避免事故性油类泄漏，避免油类物质对周边土壤的影响。由于钻前施工主要为土建施工，施工期废水产生量较少，经沉淀处理后回用于场地洒水抑尘，不外排，对地表水环境影响很小。</w:t>
            </w:r>
          </w:p>
          <w:p w14:paraId="53CC102F">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②生活污水</w:t>
            </w:r>
          </w:p>
          <w:p w14:paraId="46BDE1B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钻前工程施工队伍主要为临时聘用周边居民，施工现场不设施工营地，施工人员均回家吃住，现场管理技术工人设置活动板房吃住，</w:t>
            </w:r>
            <w:r>
              <w:rPr>
                <w:rFonts w:hint="default" w:ascii="Times New Roman" w:hAnsi="Times New Roman" w:cs="Times New Roman"/>
                <w:color w:val="auto"/>
                <w:sz w:val="24"/>
              </w:rPr>
              <w:t>生活污水通过环保厕所（内置集粪桶）收集，转运至</w:t>
            </w:r>
            <w:r>
              <w:rPr>
                <w:rFonts w:hint="eastAsia" w:cs="Times New Roman"/>
                <w:color w:val="auto"/>
                <w:sz w:val="24"/>
                <w:lang w:val="en-US" w:eastAsia="zh-CN"/>
              </w:rPr>
              <w:t>上八庙</w:t>
            </w:r>
            <w:r>
              <w:rPr>
                <w:rFonts w:hint="eastAsia" w:ascii="Times New Roman" w:hAnsi="Times New Roman" w:cs="Times New Roman"/>
                <w:color w:val="auto"/>
                <w:sz w:val="24"/>
                <w:lang w:eastAsia="zh-CN"/>
              </w:rPr>
              <w:t>镇污水处理站</w:t>
            </w:r>
            <w:r>
              <w:rPr>
                <w:rFonts w:hint="default" w:ascii="Times New Roman" w:hAnsi="Times New Roman" w:cs="Times New Roman"/>
                <w:color w:val="auto"/>
                <w:sz w:val="24"/>
              </w:rPr>
              <w:t>进行处理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对地表水环境影响很小。</w:t>
            </w:r>
          </w:p>
          <w:p w14:paraId="3748396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③对周边水塘影响分析</w:t>
            </w:r>
          </w:p>
          <w:p w14:paraId="2B8223F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本项目钻前工程废水分为施工废水和生活污水，施工废水经沉淀处理后回用于场地洒水抑尘，不外排；生活污水通过环保厕所（内置集粪桶）收集，转运至</w:t>
            </w:r>
            <w:r>
              <w:rPr>
                <w:rFonts w:hint="eastAsia" w:cs="Times New Roman"/>
                <w:color w:val="auto"/>
                <w:sz w:val="24"/>
                <w:lang w:eastAsia="zh-CN"/>
              </w:rPr>
              <w:t>上八庙镇</w:t>
            </w:r>
            <w:r>
              <w:rPr>
                <w:rFonts w:hint="eastAsia" w:ascii="Times New Roman" w:hAnsi="Times New Roman" w:cs="Times New Roman"/>
                <w:color w:val="auto"/>
                <w:sz w:val="24"/>
                <w:lang w:eastAsia="zh-CN"/>
              </w:rPr>
              <w:t>污水处理站</w:t>
            </w:r>
            <w:r>
              <w:rPr>
                <w:rFonts w:hint="default" w:ascii="Times New Roman" w:hAnsi="Times New Roman" w:cs="Times New Roman"/>
                <w:color w:val="auto"/>
                <w:sz w:val="24"/>
              </w:rPr>
              <w:t>进行处理。故这两类废水均不会排放到周边水塘中，不会对周边水塘造成影响。</w:t>
            </w:r>
          </w:p>
          <w:p w14:paraId="2B75E0A6">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3</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声环境</w:t>
            </w:r>
          </w:p>
          <w:p w14:paraId="0042AE9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1）施工期噪声源</w:t>
            </w:r>
          </w:p>
          <w:p w14:paraId="398FBA5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项目施工噪声来源于基础施工、设备安装等过程，机械设备的运行、车辆运输、设备撞击敲打等。可分为机械噪声、施工作业噪声和施工车辆噪声。机械噪声主要由挖掘机、</w:t>
            </w:r>
            <w:r>
              <w:rPr>
                <w:rFonts w:hint="eastAsia" w:cs="Times New Roman"/>
                <w:bCs/>
                <w:color w:val="auto"/>
                <w:sz w:val="24"/>
                <w:lang w:val="en-US" w:eastAsia="zh-CN"/>
              </w:rPr>
              <w:t>装载机、</w:t>
            </w:r>
            <w:r>
              <w:rPr>
                <w:rFonts w:hint="default" w:ascii="Times New Roman" w:hAnsi="Times New Roman" w:cs="Times New Roman"/>
                <w:bCs/>
                <w:color w:val="auto"/>
                <w:sz w:val="24"/>
              </w:rPr>
              <w:t>压路机、运输车辆及各类</w:t>
            </w:r>
            <w:r>
              <w:rPr>
                <w:rFonts w:hint="eastAsia" w:cs="Times New Roman"/>
                <w:bCs/>
                <w:color w:val="auto"/>
                <w:sz w:val="24"/>
                <w:lang w:val="en-US" w:eastAsia="zh-CN"/>
              </w:rPr>
              <w:t>施工</w:t>
            </w:r>
            <w:r>
              <w:rPr>
                <w:rFonts w:hint="default" w:ascii="Times New Roman" w:hAnsi="Times New Roman" w:cs="Times New Roman"/>
                <w:bCs/>
                <w:color w:val="auto"/>
                <w:sz w:val="24"/>
              </w:rPr>
              <w:t>机械</w:t>
            </w:r>
            <w:r>
              <w:rPr>
                <w:rFonts w:hint="eastAsia" w:cs="Times New Roman"/>
                <w:bCs/>
                <w:color w:val="auto"/>
                <w:sz w:val="24"/>
                <w:lang w:val="en-US" w:eastAsia="zh-CN"/>
              </w:rPr>
              <w:t>等</w:t>
            </w:r>
            <w:r>
              <w:rPr>
                <w:rFonts w:hint="default" w:ascii="Times New Roman" w:hAnsi="Times New Roman" w:cs="Times New Roman"/>
                <w:bCs/>
                <w:color w:val="auto"/>
                <w:sz w:val="24"/>
              </w:rPr>
              <w:t>造成，多为点声源，单体声级一般在80dB</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A</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以上；施工作业噪声主要是零星的敲打声、机械的撞击声等，多为瞬间噪声。根据《环境噪声与振动控制工程技术导则》（HJ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2034-2013）和《噪声与振动控制手册》（马大猷）给出的各类设备噪声值，项目施工期主要设备噪声源强见下表所示。</w:t>
            </w:r>
          </w:p>
          <w:p w14:paraId="21C782B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项目施工期主要设备噪声源强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单位：dB（A）</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7"/>
              <w:gridCol w:w="2071"/>
              <w:gridCol w:w="1176"/>
              <w:gridCol w:w="2300"/>
              <w:gridCol w:w="2086"/>
            </w:tblGrid>
            <w:tr w14:paraId="5BD4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6C9A08D2">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EADEB8C">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机械类型</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142D2AC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型号</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C1426DC">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测点距机械距离/m</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63250206">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最大声压级/dB</w:t>
                  </w:r>
                </w:p>
              </w:tc>
            </w:tr>
            <w:tr w14:paraId="555F5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41DDF1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354C41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液压挖掘机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EA0F4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1.0m³</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2E9D26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5375D6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7071C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3AA65B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783EC8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潜孔钻</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7DD97F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361BE8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095DB7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0537D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3BAE1F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E4C68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413909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ZL40</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2AD7A4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7EDDC5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w:t>
                  </w:r>
                </w:p>
              </w:tc>
            </w:tr>
            <w:tr w14:paraId="09C10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1B4BFE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61062F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压路机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440597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YZ18J</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0242A6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4A616C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w:t>
                  </w:r>
                </w:p>
              </w:tc>
            </w:tr>
            <w:tr w14:paraId="2AF6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7916B1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3EBC17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自卸汽车</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355F5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BD7EE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261EA5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7D2C7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711103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7FDBEA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电焊机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AA528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1611F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346393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2D6EE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021EED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52032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随车吊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382CE3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4C0B9D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066B88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04FFE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5FEABF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44D3D1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01067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0FCED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19F63C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4C3D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06F52A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5CE81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084B65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150</w:t>
                  </w:r>
                  <w:r>
                    <w:rPr>
                      <w:rFonts w:hint="default" w:ascii="Times New Roman" w:hAnsi="Times New Roman" w:eastAsia="宋体" w:cs="Times New Roman"/>
                      <w:color w:val="auto"/>
                      <w:sz w:val="21"/>
                      <w:szCs w:val="21"/>
                      <w:lang w:val="en-US" w:eastAsia="zh-CN"/>
                    </w:rPr>
                    <w:t>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7D8DD8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751C1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w:t>
                  </w:r>
                </w:p>
              </w:tc>
            </w:tr>
            <w:tr w14:paraId="25B7D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120947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0C1BD9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混凝土搅拌机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2BCC1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JS500</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386A76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3A80EC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bl>
          <w:p w14:paraId="71AF3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工程使用的施工机械种类多，运行时间不固定，施工机械的共同特点是噪声值高，对施工现场附近区域有影响，且由于噪声源位置不固定，难以采取吸声、隔声等措施来控制其对环境的影响。</w:t>
            </w:r>
          </w:p>
          <w:p w14:paraId="6503187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2）施工期噪声预测与评价</w:t>
            </w:r>
          </w:p>
          <w:p w14:paraId="352EB8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本次评价采用《环境影响评价技术导则 声环境》（HJ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2.4-2021）中工业噪声预测计算模型，预测方法为：</w:t>
            </w:r>
          </w:p>
          <w:p w14:paraId="5E0037F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①声源描述</w:t>
            </w:r>
          </w:p>
          <w:p w14:paraId="3C959F9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声环境影响预测，一般采用声源的倍频带声功率级、A声功率级或靠近声源某一位置的倍频带声压级、A声级来预测计算距声源不同距离的声级。</w:t>
            </w:r>
          </w:p>
          <w:p w14:paraId="64398A8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②室外声源在预测点产生的声级计算</w:t>
            </w:r>
          </w:p>
          <w:p w14:paraId="489BFD0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按照无指向性点声源几何发散衰减进行计算：</w:t>
            </w:r>
          </w:p>
          <w:p w14:paraId="44F874C6">
            <w:pPr>
              <w:keepNext w:val="0"/>
              <w:keepLines w:val="0"/>
              <w:suppressLineNumbers w:val="0"/>
              <w:spacing w:before="0" w:beforeAutospacing="0" w:after="0" w:afterAutospacing="0" w:line="360" w:lineRule="auto"/>
              <w:ind w:left="0" w:right="0" w:firstLine="1260" w:firstLineChars="600"/>
              <w:jc w:val="left"/>
              <w:rPr>
                <w:rFonts w:hint="default" w:ascii="Times New Roman" w:hAnsi="Times New Roman" w:cs="Times New Roman"/>
                <w:bCs/>
                <w:color w:val="auto"/>
                <w:sz w:val="24"/>
              </w:rPr>
            </w:pPr>
            <w:r>
              <w:rPr>
                <w:rFonts w:hint="default" w:ascii="Times New Roman" w:hAnsi="Times New Roman" w:cs="Times New Roman"/>
                <w:color w:val="auto"/>
                <w:position w:val="-14"/>
                <w:szCs w:val="22"/>
              </w:rPr>
              <w:object>
                <v:shape id="_x0000_i1032" o:spt="75" type="#_x0000_t75" style="height:21.6pt;width:144pt;" o:ole="t" filled="f" o:preferrelative="t" stroked="f" coordsize="21600,21600">
                  <v:path/>
                  <v:fill on="f" focussize="0,0"/>
                  <v:stroke on="f"/>
                  <v:imagedata r:id="rId37" o:title=""/>
                  <o:lock v:ext="edit" aspectratio="t"/>
                  <w10:wrap type="none"/>
                  <w10:anchorlock/>
                </v:shape>
                <o:OLEObject Type="Embed" ProgID="Equation.DSMT4" ShapeID="_x0000_i1032" DrawAspect="Content" ObjectID="_1468075732" r:id="rId36">
                  <o:LockedField>false</o:LockedField>
                </o:OLEObject>
              </w:object>
            </w:r>
          </w:p>
          <w:p w14:paraId="1148BB3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）—预测点处声压级，dB；</w:t>
            </w:r>
          </w:p>
          <w:p w14:paraId="708A3ABF">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i/>
                <w:color w:val="auto"/>
                <w:sz w:val="24"/>
                <w:vertAlign w:val="subscript"/>
              </w:rPr>
              <w:t>0</w:t>
            </w:r>
            <w:r>
              <w:rPr>
                <w:rFonts w:hint="default" w:ascii="Times New Roman" w:hAnsi="Times New Roman" w:cs="Times New Roman"/>
                <w:bCs/>
                <w:color w:val="auto"/>
                <w:sz w:val="24"/>
              </w:rPr>
              <w:t>）—参考位置</w:t>
            </w: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处的声压级，dB；</w:t>
            </w:r>
          </w:p>
          <w:p w14:paraId="1BE15FF8">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—预测点距声源的距离，m；</w:t>
            </w:r>
          </w:p>
          <w:p w14:paraId="0224C62B">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—参考位置距声源的距离，m。</w:t>
            </w:r>
          </w:p>
          <w:p w14:paraId="1BF1A9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③施工期机具综合噪声计算</w:t>
            </w:r>
          </w:p>
          <w:p w14:paraId="010C31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设第</w:t>
            </w:r>
            <w:r>
              <w:rPr>
                <w:rFonts w:hint="default" w:ascii="Times New Roman" w:hAnsi="Times New Roman" w:cs="Times New Roman"/>
                <w:bCs/>
                <w:i/>
                <w:color w:val="auto"/>
                <w:sz w:val="24"/>
              </w:rPr>
              <w:t>i</w:t>
            </w:r>
            <w:r>
              <w:rPr>
                <w:rFonts w:hint="default" w:ascii="Times New Roman" w:hAnsi="Times New Roman" w:cs="Times New Roman"/>
                <w:bCs/>
                <w:color w:val="auto"/>
                <w:sz w:val="24"/>
              </w:rPr>
              <w:t>个室外声源在预测点产生的A声级为</w:t>
            </w:r>
            <w:r>
              <w:rPr>
                <w:rFonts w:hint="default" w:ascii="Times New Roman" w:hAnsi="Times New Roman" w:cs="Times New Roman"/>
                <w:bCs/>
                <w:i/>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，第</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个等效室外声源在预测点产生的A声级为</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j</w:t>
            </w:r>
            <w:r>
              <w:rPr>
                <w:rFonts w:hint="default" w:ascii="Times New Roman" w:hAnsi="Times New Roman" w:cs="Times New Roman"/>
                <w:bCs/>
                <w:color w:val="auto"/>
                <w:sz w:val="24"/>
              </w:rPr>
              <w:t>，则拟建工程声源对预测点产生的贡献值（</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）为：</w:t>
            </w:r>
          </w:p>
          <w:p w14:paraId="437EFDD3">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34"/>
                <w:sz w:val="24"/>
              </w:rPr>
              <w:object>
                <v:shape id="_x0000_i1033" o:spt="75" type="#_x0000_t75" style="height:43.2pt;width:208.8pt;" o:ole="t" filled="f" o:preferrelative="t" stroked="f" coordsize="21600,21600">
                  <v:path/>
                  <v:fill on="f" focussize="0,0"/>
                  <v:stroke on="f"/>
                  <v:imagedata r:id="rId39" o:title=""/>
                  <o:lock v:ext="edit" aspectratio="t"/>
                  <w10:wrap type="none"/>
                  <w10:anchorlock/>
                </v:shape>
                <o:OLEObject Type="Embed" ProgID="Equation.DSMT4" ShapeID="_x0000_i1033" DrawAspect="Content" ObjectID="_1468075733" r:id="rId38">
                  <o:LockedField>false</o:LockedField>
                </o:OLEObject>
              </w:object>
            </w:r>
          </w:p>
          <w:p w14:paraId="4A7FDC3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—建设项目声源在预测点产生的噪声贡献值，dB；</w:t>
            </w:r>
          </w:p>
          <w:p w14:paraId="782A599E">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T</w:t>
            </w:r>
            <w:r>
              <w:rPr>
                <w:rFonts w:hint="default" w:ascii="Times New Roman" w:hAnsi="Times New Roman" w:cs="Times New Roman"/>
                <w:bCs/>
                <w:color w:val="auto"/>
                <w:sz w:val="24"/>
              </w:rPr>
              <w:t>—用于计算等效声级的时间，s；</w:t>
            </w:r>
          </w:p>
          <w:p w14:paraId="788C0A81">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N</w:t>
            </w:r>
            <w:r>
              <w:rPr>
                <w:rFonts w:hint="default" w:ascii="Times New Roman" w:hAnsi="Times New Roman" w:cs="Times New Roman"/>
                <w:bCs/>
                <w:color w:val="auto"/>
                <w:sz w:val="24"/>
              </w:rPr>
              <w:t>—室外声源个数；</w:t>
            </w:r>
          </w:p>
          <w:p w14:paraId="353DE5B0">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i</w:t>
            </w:r>
            <w:r>
              <w:rPr>
                <w:rFonts w:hint="default" w:ascii="Times New Roman" w:hAnsi="Times New Roman" w:cs="Times New Roman"/>
                <w:bCs/>
                <w:color w:val="auto"/>
                <w:sz w:val="24"/>
              </w:rPr>
              <w:t>声源工作时间，s；</w:t>
            </w:r>
          </w:p>
          <w:p w14:paraId="4FC29DFC">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M</w:t>
            </w:r>
            <w:r>
              <w:rPr>
                <w:rFonts w:hint="default" w:ascii="Times New Roman" w:hAnsi="Times New Roman" w:cs="Times New Roman"/>
                <w:bCs/>
                <w:color w:val="auto"/>
                <w:sz w:val="24"/>
              </w:rPr>
              <w:t>—等效室外声源个数；</w:t>
            </w:r>
          </w:p>
          <w:p w14:paraId="0DE8155F">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声源工作时间，s。</w:t>
            </w:r>
          </w:p>
          <w:p w14:paraId="1E8C199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④预测值计算</w:t>
            </w:r>
          </w:p>
          <w:p w14:paraId="78020F15">
            <w:pPr>
              <w:keepNext w:val="0"/>
              <w:keepLines w:val="0"/>
              <w:suppressLineNumbers w:val="0"/>
              <w:spacing w:before="0" w:beforeAutospacing="0" w:after="0" w:afterAutospacing="0" w:line="360" w:lineRule="auto"/>
              <w:ind w:left="0" w:right="0" w:firstLine="1260" w:firstLineChars="600"/>
              <w:jc w:val="left"/>
              <w:rPr>
                <w:rFonts w:hint="default" w:ascii="Times New Roman" w:hAnsi="Times New Roman" w:cs="Times New Roman"/>
                <w:color w:val="auto"/>
                <w:sz w:val="24"/>
              </w:rPr>
            </w:pPr>
            <w:r>
              <w:rPr>
                <w:rFonts w:hint="default" w:ascii="Times New Roman" w:hAnsi="Times New Roman" w:cs="Times New Roman"/>
                <w:color w:val="auto"/>
                <w:position w:val="-14"/>
                <w:szCs w:val="22"/>
              </w:rPr>
              <w:object>
                <v:shape id="_x0000_i1034" o:spt="75" type="#_x0000_t75" style="height:21.6pt;width:136.8pt;" o:ole="t" filled="f" o:preferrelative="t" stroked="f" coordsize="21600,21600">
                  <v:path/>
                  <v:fill on="f" focussize="0,0"/>
                  <v:stroke on="f"/>
                  <v:imagedata r:id="rId41" o:title=""/>
                  <o:lock v:ext="edit" aspectratio="t"/>
                  <w10:wrap type="none"/>
                  <w10:anchorlock/>
                </v:shape>
                <o:OLEObject Type="Embed" ProgID="Equation.DSMT4" ShapeID="_x0000_i1034" DrawAspect="Content" ObjectID="_1468075734" r:id="rId40">
                  <o:LockedField>false</o:LockedField>
                </o:OLEObject>
              </w:object>
            </w:r>
          </w:p>
          <w:p w14:paraId="206FB3E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式中，</w:t>
            </w: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w:t>
            </w:r>
            <w:r>
              <w:rPr>
                <w:rFonts w:hint="default" w:ascii="Times New Roman" w:hAnsi="Times New Roman" w:cs="Times New Roman"/>
                <w:color w:val="auto"/>
                <w:sz w:val="24"/>
              </w:rPr>
              <w:t>—预测点的噪声预测值，dB；</w:t>
            </w:r>
          </w:p>
          <w:p w14:paraId="791EE038">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color w:val="auto"/>
                <w:sz w:val="24"/>
              </w:rPr>
            </w:pP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eqb</w:t>
            </w:r>
            <w:r>
              <w:rPr>
                <w:rFonts w:hint="default" w:ascii="Times New Roman" w:hAnsi="Times New Roman" w:cs="Times New Roman"/>
                <w:color w:val="auto"/>
                <w:sz w:val="24"/>
              </w:rPr>
              <w:t>—预测点的背景值，dB。</w:t>
            </w:r>
          </w:p>
          <w:p w14:paraId="76728A1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⑤钻前施工噪声影响范围计算</w:t>
            </w:r>
          </w:p>
          <w:p w14:paraId="19224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cs="Times New Roman"/>
                <w:bCs/>
                <w:color w:val="auto"/>
                <w:sz w:val="24"/>
              </w:rPr>
              <w:t>根据前述的预测方法和预测模式，对施工过程中各种设备噪声进行计算，得到不同距离下的噪声级，如下表所示。在不同施工阶段，从环境最不利方向考虑，即在某施工阶段所有设备在同一点位处同时施工，该情形下各施工阶段不同距离下</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仅考虑声源几何发散衰减</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的噪声级如下表所示。</w:t>
            </w:r>
          </w:p>
          <w:p w14:paraId="3D7C0CDF">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主要施工机械不同距离处的噪声级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rPr>
              <w:t>dB（A）</w:t>
            </w:r>
          </w:p>
          <w:tbl>
            <w:tblPr>
              <w:tblStyle w:val="2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7"/>
              <w:gridCol w:w="626"/>
              <w:gridCol w:w="651"/>
              <w:gridCol w:w="651"/>
              <w:gridCol w:w="651"/>
              <w:gridCol w:w="651"/>
              <w:gridCol w:w="651"/>
              <w:gridCol w:w="766"/>
              <w:gridCol w:w="766"/>
              <w:gridCol w:w="766"/>
              <w:gridCol w:w="761"/>
            </w:tblGrid>
            <w:tr w14:paraId="07A8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1D46EA80">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施工机械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6086562">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2EBBC34">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A9C112A">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F0932D3">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E87E6F5">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17A9F5D">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D9896E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43C4BFE">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E2DE65F">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18D20111">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400m</w:t>
                  </w:r>
                </w:p>
              </w:tc>
            </w:tr>
            <w:tr w14:paraId="273E6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2D7FDE3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液压挖掘机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E51DC5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1CB644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51BAFC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B9E65F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CDE90B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26682C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E0EA77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FE40D1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B9CC65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24842A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67406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05B7CCF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钻孔机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4472F8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73DC1C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99DF95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5BB1AD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365000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800EFB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A4BC14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399171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FDBDB6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1151EA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3E268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05356E0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CB3335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90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C3758A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E2D080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554F7C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05BD2F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E6726A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8B15FB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8C8D8A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79A31A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AA562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r>
            <w:tr w14:paraId="086BA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43B900A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压路机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5E467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CA7E9D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67057C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9F86EA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256963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C4005D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1DC399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635F1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C9D69E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5D7E2E8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r>
            <w:tr w14:paraId="0025F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71C91B7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自卸汽车</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66B137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EC2332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967C1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9BD04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E839D6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5A75F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639092C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34E39D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3DCB2B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176B585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4D137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6993314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电焊机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0BB26C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D3A301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B187D8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94E60C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FFA669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1EA7CA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EDEB15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D48E1F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D53113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0A41F80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2D00C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3BBA9D2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随车吊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84C88B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AD546B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AE70A5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2AB875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510FCF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371FF1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DF7CAD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027103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DA7BCA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F356D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56E4C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1614A10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7D2EB4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EBA2AA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CC8CFC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0819A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674302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E429BC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5D0432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AEEA7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CF6F8F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793E9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r>
            <w:tr w14:paraId="33298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64DCD0B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8DBDE6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BADDFA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E646DE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358120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C80BD7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676487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7EA4B4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442AA3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958516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F418B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55532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29E51F5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混凝土搅拌机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25B6AA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68568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6849CE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A12D0D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F11EC9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874383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F9BC94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91CF40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91CFF0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0CCC508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bl>
          <w:p w14:paraId="4194A1B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各施工阶段不同距离处噪声值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单位：dB（A）</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0"/>
              <w:gridCol w:w="565"/>
              <w:gridCol w:w="687"/>
              <w:gridCol w:w="687"/>
              <w:gridCol w:w="687"/>
              <w:gridCol w:w="688"/>
              <w:gridCol w:w="688"/>
              <w:gridCol w:w="811"/>
              <w:gridCol w:w="813"/>
              <w:gridCol w:w="813"/>
              <w:gridCol w:w="809"/>
            </w:tblGrid>
            <w:tr w14:paraId="0ED41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1D548C36">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施工阶段</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6D8BD8E5">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CE45D7">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583EF6">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3CC8FEF">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40m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7C2B03">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DA83A6">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80m</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3D35CF55">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100m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5B767BCA">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150m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1A3B662">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200m</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39299E07">
                  <w:pPr>
                    <w:pStyle w:val="5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400m</w:t>
                  </w:r>
                </w:p>
              </w:tc>
            </w:tr>
            <w:tr w14:paraId="7FC0E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2033DE2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基础施工</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18CA887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92</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A8BA71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86</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23C8A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A74E4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74</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993941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90065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68</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446D3A0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66</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51EAE95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63</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7866D86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60</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202181F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54</w:t>
                  </w:r>
                </w:p>
              </w:tc>
            </w:tr>
            <w:tr w14:paraId="29823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6779AEF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设备安装</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7CA9B68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89</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EA7C7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83</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CA151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77</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9B1F5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71</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196CBA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68</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512F2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65</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06EF0C8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63</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574777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9F0E51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57</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6A43182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51</w:t>
                  </w:r>
                </w:p>
              </w:tc>
            </w:tr>
          </w:tbl>
          <w:p w14:paraId="1E7AA71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cs="Times New Roman"/>
                <w:bCs/>
                <w:color w:val="auto"/>
                <w:sz w:val="24"/>
              </w:rPr>
              <w:t>按照钻前工程夜间不施工的施工计划，</w:t>
            </w:r>
            <w:r>
              <w:rPr>
                <w:rFonts w:hint="eastAsia" w:ascii="Times New Roman" w:hAnsi="Times New Roman" w:cs="Times New Roman"/>
                <w:bCs/>
                <w:color w:val="auto"/>
                <w:sz w:val="24"/>
                <w:lang w:val="en-US" w:eastAsia="zh-CN"/>
              </w:rPr>
              <w:t>项目钻前工程施工阶段</w:t>
            </w:r>
            <w:r>
              <w:rPr>
                <w:rFonts w:hint="default" w:ascii="Times New Roman" w:hAnsi="Times New Roman" w:cs="Times New Roman"/>
                <w:bCs/>
                <w:color w:val="auto"/>
                <w:sz w:val="24"/>
              </w:rPr>
              <w:t>夜间</w:t>
            </w:r>
            <w:r>
              <w:rPr>
                <w:rFonts w:hint="eastAsia" w:ascii="Times New Roman" w:hAnsi="Times New Roman" w:cs="Times New Roman"/>
                <w:bCs/>
                <w:color w:val="auto"/>
                <w:sz w:val="24"/>
                <w:lang w:val="en-US" w:eastAsia="zh-CN"/>
              </w:rPr>
              <w:t>不存在厂界</w:t>
            </w:r>
            <w:r>
              <w:rPr>
                <w:rFonts w:hint="default" w:ascii="Times New Roman" w:hAnsi="Times New Roman" w:cs="Times New Roman"/>
                <w:bCs/>
                <w:color w:val="auto"/>
                <w:sz w:val="24"/>
              </w:rPr>
              <w:t>超标</w:t>
            </w:r>
            <w:r>
              <w:rPr>
                <w:rFonts w:hint="eastAsia" w:ascii="Times New Roman" w:hAnsi="Times New Roman" w:cs="Times New Roman"/>
                <w:bCs/>
                <w:color w:val="auto"/>
                <w:sz w:val="24"/>
                <w:lang w:val="en-US" w:eastAsia="zh-CN"/>
              </w:rPr>
              <w:t>情况</w:t>
            </w:r>
            <w:r>
              <w:rPr>
                <w:rFonts w:hint="default" w:ascii="Times New Roman" w:hAnsi="Times New Roman" w:cs="Times New Roman"/>
                <w:bCs/>
                <w:color w:val="auto"/>
                <w:sz w:val="24"/>
              </w:rPr>
              <w:t>。</w:t>
            </w:r>
            <w:r>
              <w:rPr>
                <w:rFonts w:hint="default" w:ascii="Times New Roman" w:hAnsi="Times New Roman" w:eastAsia="宋体" w:cs="Times New Roman"/>
                <w:bCs/>
                <w:color w:val="auto"/>
                <w:sz w:val="24"/>
              </w:rPr>
              <w:t>根据预测结果，</w:t>
            </w:r>
            <w:r>
              <w:rPr>
                <w:rFonts w:hint="eastAsia" w:ascii="Times New Roman" w:hAnsi="Times New Roman" w:eastAsia="宋体" w:cs="Times New Roman"/>
                <w:bCs/>
                <w:color w:val="auto"/>
                <w:sz w:val="24"/>
                <w:lang w:val="en-US" w:eastAsia="zh-CN"/>
              </w:rPr>
              <w:t>在仅考虑几何发散衰减的情况下，</w:t>
            </w:r>
            <w:r>
              <w:rPr>
                <w:rFonts w:hint="default" w:ascii="Times New Roman" w:hAnsi="Times New Roman" w:eastAsia="宋体" w:cs="Times New Roman"/>
                <w:bCs/>
                <w:color w:val="auto"/>
                <w:sz w:val="24"/>
              </w:rPr>
              <w:t>施工期间场界</w:t>
            </w:r>
            <w:r>
              <w:rPr>
                <w:rFonts w:hint="eastAsia" w:ascii="Times New Roman" w:hAnsi="Times New Roman" w:eastAsia="宋体" w:cs="Times New Roman"/>
                <w:bCs/>
                <w:color w:val="auto"/>
                <w:sz w:val="24"/>
                <w:lang w:val="en-US" w:eastAsia="zh-CN"/>
              </w:rPr>
              <w:t>噪声存在不同程度的超标情况。</w:t>
            </w:r>
            <w:r>
              <w:rPr>
                <w:rFonts w:hint="default" w:ascii="Times New Roman" w:hAnsi="Times New Roman" w:eastAsia="宋体" w:cs="Times New Roman"/>
                <w:bCs/>
                <w:color w:val="auto"/>
                <w:sz w:val="24"/>
              </w:rPr>
              <w:t>施工单位应制定施工期环境管理计划，加强管理，按进度、有计划地文明施工。在钻前施工过程中尽量考虑将高噪声设备置于场内中间，通过距离衰减</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围墙隔声等措施</w:t>
            </w:r>
            <w:r>
              <w:rPr>
                <w:rFonts w:hint="default" w:ascii="Times New Roman" w:hAnsi="Times New Roman" w:eastAsia="宋体" w:cs="Times New Roman"/>
                <w:bCs/>
                <w:color w:val="auto"/>
                <w:sz w:val="24"/>
              </w:rPr>
              <w:t>降低噪声影响。</w:t>
            </w:r>
            <w:r>
              <w:rPr>
                <w:rFonts w:hint="eastAsia" w:ascii="Times New Roman" w:hAnsi="Times New Roman" w:eastAsia="宋体" w:cs="Times New Roman"/>
                <w:bCs/>
                <w:color w:val="auto"/>
                <w:sz w:val="24"/>
                <w:lang w:val="en-US" w:eastAsia="zh-CN"/>
              </w:rPr>
              <w:t>项目钻前施工工程量很小，施工时间短，且夜间不作业，</w:t>
            </w:r>
            <w:r>
              <w:rPr>
                <w:rFonts w:hint="default" w:ascii="Times New Roman" w:hAnsi="Times New Roman" w:eastAsia="宋体" w:cs="Times New Roman"/>
                <w:bCs/>
                <w:color w:val="auto"/>
                <w:sz w:val="24"/>
              </w:rPr>
              <w:t>施工噪声影响随钻前工程施工的结束而消失，不会造成长期环境影响，在当地环境可接受范围内。</w:t>
            </w:r>
          </w:p>
          <w:p w14:paraId="1682A97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4</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固体废物</w:t>
            </w:r>
          </w:p>
          <w:p w14:paraId="39F70F7D">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lang w:val="en-US" w:eastAsia="zh-CN"/>
              </w:rPr>
            </w:pPr>
            <w:r>
              <w:rPr>
                <w:rFonts w:hint="eastAsia" w:cs="Times New Roman"/>
                <w:bCs/>
                <w:color w:val="auto"/>
                <w:sz w:val="24"/>
                <w:lang w:val="en-US" w:eastAsia="zh-CN"/>
              </w:rPr>
              <w:t>钻前工程主要固废为剥离表土、土石方及生活垃圾。</w:t>
            </w:r>
          </w:p>
          <w:p w14:paraId="33AAB30F">
            <w:pPr>
              <w:keepNext w:val="0"/>
              <w:keepLines w:val="0"/>
              <w:suppressLineNumbers w:val="0"/>
              <w:spacing w:before="0" w:beforeAutospacing="0" w:after="0" w:afterAutospacing="0" w:line="360" w:lineRule="auto"/>
              <w:ind w:left="0" w:right="0" w:firstLine="480" w:firstLineChars="200"/>
              <w:jc w:val="left"/>
              <w:rPr>
                <w:rFonts w:hint="eastAsia" w:eastAsia="宋体" w:cs="Times New Roman"/>
                <w:bCs/>
                <w:color w:val="auto"/>
                <w:sz w:val="24"/>
                <w:lang w:val="en-US" w:eastAsia="zh-CN"/>
              </w:rPr>
            </w:pPr>
            <w:r>
              <w:rPr>
                <w:rFonts w:hint="default" w:eastAsia="宋体" w:cs="Times New Roman"/>
                <w:bCs/>
                <w:color w:val="auto"/>
                <w:sz w:val="24"/>
                <w:lang w:val="en-US" w:eastAsia="zh-CN"/>
              </w:rPr>
              <w:t>项目场平过程剥离的表土</w:t>
            </w:r>
            <w:r>
              <w:rPr>
                <w:rFonts w:hint="eastAsia" w:eastAsia="宋体" w:cs="Times New Roman"/>
                <w:bCs/>
                <w:color w:val="auto"/>
                <w:sz w:val="24"/>
                <w:lang w:val="en-US" w:eastAsia="zh-CN"/>
              </w:rPr>
              <w:t>暂存于表土堆场，并对堆场表层进行撒草绿化，待工程结束后对井场进行复耕复绿。土石方全部</w:t>
            </w:r>
            <w:r>
              <w:rPr>
                <w:rFonts w:hint="eastAsia" w:cs="Times New Roman"/>
                <w:bCs/>
                <w:color w:val="auto"/>
                <w:sz w:val="24"/>
                <w:lang w:val="en-US" w:eastAsia="zh-CN"/>
              </w:rPr>
              <w:t>用于项目场地平整填方消纳，无外运弃方产生</w:t>
            </w:r>
            <w:r>
              <w:rPr>
                <w:rFonts w:hint="eastAsia" w:eastAsia="宋体" w:cs="Times New Roman"/>
                <w:bCs/>
                <w:color w:val="auto"/>
                <w:sz w:val="24"/>
                <w:lang w:val="en-US" w:eastAsia="zh-CN"/>
              </w:rPr>
              <w:t>。</w:t>
            </w:r>
          </w:p>
          <w:p w14:paraId="70BB73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施工人员多为临时聘请的当地民工，租住在附近农户家中，其产生的生活垃圾利用附近农户现有的设施进行收集处置。施工场地内生活垃圾产生量少，设置垃圾箱收集，交当地环卫部门</w:t>
            </w:r>
            <w:r>
              <w:rPr>
                <w:rFonts w:hint="eastAsia" w:ascii="Times New Roman" w:hAnsi="Times New Roman" w:cs="Times New Roman"/>
                <w:bCs/>
                <w:color w:val="auto"/>
                <w:sz w:val="24"/>
              </w:rPr>
              <w:t>外运处置，</w:t>
            </w:r>
            <w:r>
              <w:rPr>
                <w:rFonts w:hint="default" w:ascii="Times New Roman" w:hAnsi="Times New Roman" w:cs="Times New Roman"/>
                <w:bCs/>
                <w:color w:val="auto"/>
                <w:sz w:val="24"/>
              </w:rPr>
              <w:t>对环境影响小。</w:t>
            </w:r>
          </w:p>
          <w:p w14:paraId="5BFB3A4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rPr>
              <w:t>土壤</w:t>
            </w:r>
            <w:r>
              <w:rPr>
                <w:rFonts w:hint="default" w:ascii="Times New Roman" w:hAnsi="Times New Roman" w:cs="Times New Roman"/>
                <w:b/>
                <w:bCs/>
                <w:color w:val="auto"/>
                <w:sz w:val="24"/>
              </w:rPr>
              <w:t>环境影响分析</w:t>
            </w:r>
          </w:p>
          <w:p w14:paraId="1C2BEC2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在施工场地内，场地平整开挖将改变土壤结构，即使回填后也将使土壤的容量、土体结构、土壤腐蚀指数等发生较大的变化。同时施工场地范围土壤会因机具车辆碾压、施工人员的</w:t>
            </w:r>
            <w:r>
              <w:rPr>
                <w:rFonts w:hint="eastAsia" w:ascii="Times New Roman" w:hAnsi="Times New Roman" w:cs="Times New Roman"/>
                <w:color w:val="auto"/>
                <w:sz w:val="24"/>
                <w:lang w:eastAsia="zh-CN"/>
              </w:rPr>
              <w:t>踩踏</w:t>
            </w:r>
            <w:r>
              <w:rPr>
                <w:rFonts w:hint="default" w:ascii="Times New Roman" w:hAnsi="Times New Roman" w:cs="Times New Roman"/>
                <w:color w:val="auto"/>
                <w:sz w:val="24"/>
              </w:rPr>
              <w:t>和材料的堆放等因素，改变土壤结构。</w:t>
            </w:r>
          </w:p>
          <w:p w14:paraId="0AEBF65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在施工过程中，将占用部分林地和少量耕地，</w:t>
            </w:r>
            <w:r>
              <w:rPr>
                <w:rFonts w:hint="eastAsia" w:ascii="Times New Roman" w:hAnsi="Times New Roman" w:cs="Times New Roman"/>
                <w:color w:val="auto"/>
                <w:sz w:val="24"/>
                <w:lang w:val="en-US" w:eastAsia="zh-CN"/>
              </w:rPr>
              <w:t>将</w:t>
            </w:r>
            <w:r>
              <w:rPr>
                <w:rFonts w:hint="default" w:ascii="Times New Roman" w:hAnsi="Times New Roman" w:cs="Times New Roman"/>
                <w:color w:val="auto"/>
                <w:sz w:val="24"/>
              </w:rPr>
              <w:t>坚持“分层开挖、分层回填”原则，尽量控制施工场地范围，取土前先剥离表土，将表土集中堆放</w:t>
            </w:r>
            <w:r>
              <w:rPr>
                <w:rFonts w:hint="eastAsia" w:ascii="Times New Roman" w:hAnsi="Times New Roman" w:cs="Times New Roman"/>
                <w:color w:val="auto"/>
                <w:sz w:val="24"/>
              </w:rPr>
              <w:t>临时堆场</w:t>
            </w:r>
            <w:r>
              <w:rPr>
                <w:rFonts w:hint="default" w:ascii="Times New Roman" w:hAnsi="Times New Roman" w:cs="Times New Roman"/>
                <w:color w:val="auto"/>
                <w:sz w:val="24"/>
              </w:rPr>
              <w:t>，</w:t>
            </w:r>
            <w:r>
              <w:rPr>
                <w:rFonts w:hint="eastAsia" w:ascii="Times New Roman" w:hAnsi="Times New Roman" w:cs="Times New Roman"/>
                <w:bCs/>
                <w:color w:val="auto"/>
                <w:sz w:val="24"/>
              </w:rPr>
              <w:t>对</w:t>
            </w:r>
            <w:r>
              <w:rPr>
                <w:rFonts w:hint="eastAsia" w:ascii="Times New Roman" w:hAnsi="Times New Roman" w:cs="Times New Roman"/>
                <w:bCs/>
                <w:color w:val="auto"/>
                <w:sz w:val="24"/>
                <w:lang w:eastAsia="zh-CN"/>
              </w:rPr>
              <w:t>表土</w:t>
            </w:r>
            <w:r>
              <w:rPr>
                <w:rFonts w:hint="eastAsia" w:ascii="Times New Roman" w:hAnsi="Times New Roman" w:cs="Times New Roman"/>
                <w:color w:val="auto"/>
                <w:sz w:val="24"/>
              </w:rPr>
              <w:t>进行</w:t>
            </w:r>
            <w:r>
              <w:rPr>
                <w:rFonts w:hint="default" w:ascii="Times New Roman" w:hAnsi="Times New Roman" w:cs="Times New Roman"/>
                <w:color w:val="auto"/>
                <w:sz w:val="24"/>
              </w:rPr>
              <w:t>剥离及防护</w:t>
            </w:r>
            <w:r>
              <w:rPr>
                <w:rFonts w:hint="eastAsia" w:ascii="Times New Roman" w:hAnsi="Times New Roman" w:cs="Times New Roman"/>
                <w:color w:val="auto"/>
                <w:sz w:val="24"/>
              </w:rPr>
              <w:t>，</w:t>
            </w:r>
            <w:r>
              <w:rPr>
                <w:rFonts w:hint="default" w:ascii="Times New Roman" w:hAnsi="Times New Roman" w:cs="Times New Roman"/>
                <w:bCs/>
                <w:color w:val="auto"/>
                <w:sz w:val="24"/>
              </w:rPr>
              <w:t>表土在钻井结束后用于场地临时占地的复垦表层用地</w:t>
            </w:r>
            <w:r>
              <w:rPr>
                <w:rFonts w:hint="eastAsia" w:ascii="Times New Roman" w:hAnsi="Times New Roman" w:cs="Times New Roman"/>
                <w:bCs/>
                <w:color w:val="auto"/>
                <w:sz w:val="24"/>
                <w:lang w:eastAsia="zh-CN"/>
              </w:rPr>
              <w:t>，</w:t>
            </w:r>
            <w:r>
              <w:rPr>
                <w:rFonts w:hint="default" w:ascii="Times New Roman" w:hAnsi="Times New Roman" w:cs="Times New Roman"/>
                <w:color w:val="auto"/>
                <w:sz w:val="24"/>
              </w:rPr>
              <w:t>减少对表土的破坏</w:t>
            </w:r>
            <w:r>
              <w:rPr>
                <w:rFonts w:hint="default" w:ascii="Times New Roman" w:hAnsi="Times New Roman" w:cs="Times New Roman"/>
                <w:bCs/>
                <w:color w:val="auto"/>
                <w:sz w:val="24"/>
              </w:rPr>
              <w:t>。</w:t>
            </w:r>
            <w:r>
              <w:rPr>
                <w:rFonts w:hint="eastAsia" w:ascii="Times New Roman" w:hAnsi="Times New Roman" w:cs="Times New Roman"/>
                <w:bCs/>
                <w:color w:val="auto"/>
                <w:sz w:val="24"/>
              </w:rPr>
              <w:t>临时堆</w:t>
            </w:r>
            <w:r>
              <w:rPr>
                <w:rFonts w:hint="default" w:ascii="Times New Roman" w:hAnsi="Times New Roman" w:cs="Times New Roman"/>
                <w:bCs/>
                <w:color w:val="auto"/>
                <w:sz w:val="24"/>
              </w:rPr>
              <w:t>场设置挡墙和排水沟，并采用密目网进行苫盖，防止产生水土流失。</w:t>
            </w:r>
            <w:r>
              <w:rPr>
                <w:rFonts w:hint="default" w:ascii="Times New Roman" w:hAnsi="Times New Roman" w:cs="Times New Roman"/>
                <w:color w:val="auto"/>
                <w:sz w:val="24"/>
              </w:rPr>
              <w:t>施工完毕后，建设单位拟通过复耕来恢复或部分恢复原貌，耕地可恢复原貌。</w:t>
            </w:r>
          </w:p>
          <w:p w14:paraId="202BF59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通过采取上述措施后，本项目施工期对土壤环境影响较小。</w:t>
            </w:r>
          </w:p>
          <w:p w14:paraId="1DFBF50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6</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生态环境影响分析</w:t>
            </w:r>
          </w:p>
          <w:p w14:paraId="200CF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1）工程占地影响因素</w:t>
            </w:r>
          </w:p>
          <w:p w14:paraId="779D463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项目占地仅为施工期临时占地，占地主要表现为破坏地表植被和土壤结构，改变地形地貌以及自然景观，使区域植被盖度稍微降低、自然景观局部改变，导致粮食减产等。本工程占地</w:t>
            </w:r>
            <w:r>
              <w:rPr>
                <w:rFonts w:hint="eastAsia" w:ascii="Times New Roman" w:hAnsi="Times New Roman" w:cs="Times New Roman"/>
                <w:color w:val="auto"/>
                <w:sz w:val="24"/>
                <w:lang w:val="en-US" w:eastAsia="zh-CN"/>
              </w:rPr>
              <w:t>面积约</w:t>
            </w:r>
            <w:r>
              <w:rPr>
                <w:rFonts w:hint="eastAsia" w:cs="Times New Roman"/>
                <w:color w:val="auto"/>
                <w:sz w:val="24"/>
                <w:lang w:val="en-US" w:eastAsia="zh-CN"/>
              </w:rPr>
              <w:t>16780</w:t>
            </w:r>
            <w:r>
              <w:rPr>
                <w:rFonts w:hint="default" w:ascii="Times New Roman" w:hAnsi="Times New Roman" w:cs="Times New Roman"/>
                <w:color w:val="auto"/>
                <w:sz w:val="24"/>
              </w:rPr>
              <w:t>m²，</w:t>
            </w:r>
            <w:r>
              <w:rPr>
                <w:rFonts w:hint="eastAsia" w:ascii="Times New Roman" w:hAnsi="Times New Roman" w:cs="Times New Roman"/>
                <w:color w:val="auto"/>
                <w:sz w:val="24"/>
              </w:rPr>
              <w:t>土地利用类型为：耕地（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永久基本农田）、林地、</w:t>
            </w:r>
            <w:r>
              <w:rPr>
                <w:rFonts w:hint="eastAsia" w:cs="Times New Roman"/>
                <w:color w:val="auto"/>
                <w:sz w:val="24"/>
                <w:lang w:val="en-US" w:eastAsia="zh-CN"/>
              </w:rPr>
              <w:t>坑塘水面</w:t>
            </w:r>
            <w:r>
              <w:rPr>
                <w:rFonts w:hint="eastAsia" w:ascii="Times New Roman" w:hAnsi="Times New Roman" w:cs="Times New Roman"/>
                <w:color w:val="auto"/>
                <w:sz w:val="24"/>
              </w:rPr>
              <w:t>、农村宅基地</w:t>
            </w:r>
            <w:r>
              <w:rPr>
                <w:rFonts w:hint="eastAsia" w:ascii="Times New Roman" w:hAnsi="Times New Roman" w:cs="Times New Roman"/>
                <w:color w:val="auto"/>
                <w:sz w:val="24"/>
                <w:lang w:val="en-US" w:eastAsia="zh-CN"/>
              </w:rPr>
              <w:t>等</w:t>
            </w:r>
            <w:r>
              <w:rPr>
                <w:rFonts w:hint="eastAsia" w:ascii="Times New Roman" w:hAnsi="Times New Roman" w:eastAsia="宋体" w:cs="Times New Roman"/>
                <w:color w:val="auto"/>
                <w:sz w:val="24"/>
              </w:rPr>
              <w:t>。</w:t>
            </w:r>
          </w:p>
          <w:p w14:paraId="2114FE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施工期临时占地对生态的影响主要有：</w:t>
            </w:r>
          </w:p>
          <w:p w14:paraId="2B4EF02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A、施工作业使占地范围内的土壤紧实度增加，对土地复耕后作物根系发育和生长不利；</w:t>
            </w:r>
          </w:p>
          <w:p w14:paraId="61988F5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B、在干燥天气下，施工扬尘，使占地周围作物叶面覆盖降尘，光合作用弱，影响作物生长。</w:t>
            </w:r>
          </w:p>
          <w:p w14:paraId="016B12B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总之，工程的建设会对当地农田拥有者造成一定的经济损失，通过采取直接给受损方一定经济补偿后，对耕地拥有者生活质量的影响较小。项目建设完毕后，在临时用地范围内进行恢复种植（通过经济补偿方式，一次性给予受损害方，由他们进行恢复种植），不会造成项目占用区域植被的减少，对生态环境影响较小。</w:t>
            </w:r>
          </w:p>
          <w:p w14:paraId="63C6C22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若完井测试结果表明气井有开采价值，则征用井场、道路等部分用地，对当地土地资源的影响较小。</w:t>
            </w:r>
          </w:p>
          <w:p w14:paraId="52BD4F0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2）水土流失影响分析</w:t>
            </w:r>
          </w:p>
          <w:p w14:paraId="55B369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一般项目建设对水土流失的影响主要表现在以下两方面：由于地表开挖破坏植被，造成地面裸露，降雨时加深土壤侵蚀和水土流失；各类临时占地破坏原有植被，使当地水土流失情况加剧。</w:t>
            </w:r>
          </w:p>
          <w:p w14:paraId="723DA8E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color w:val="auto"/>
                <w:sz w:val="24"/>
                <w:highlight w:val="none"/>
                <w:lang w:val="en-US" w:eastAsia="zh-CN"/>
              </w:rPr>
              <w:t>本项目位于巴中市</w:t>
            </w:r>
            <w:r>
              <w:rPr>
                <w:rFonts w:hint="eastAsia" w:cs="Times New Roman"/>
                <w:color w:val="auto"/>
                <w:sz w:val="24"/>
                <w:highlight w:val="none"/>
                <w:lang w:val="en-US" w:eastAsia="zh-CN"/>
              </w:rPr>
              <w:t>恩阳</w:t>
            </w:r>
            <w:r>
              <w:rPr>
                <w:rFonts w:hint="eastAsia" w:ascii="Times New Roman" w:hAnsi="Times New Roman" w:cs="Times New Roman"/>
                <w:color w:val="auto"/>
                <w:sz w:val="24"/>
                <w:highlight w:val="none"/>
                <w:lang w:val="en-US" w:eastAsia="zh-CN"/>
              </w:rPr>
              <w:t>区，</w:t>
            </w:r>
            <w:r>
              <w:rPr>
                <w:rFonts w:hint="eastAsia" w:ascii="Times New Roman" w:hAnsi="Times New Roman" w:cs="Times New Roman"/>
                <w:b w:val="0"/>
                <w:bCs w:val="0"/>
                <w:color w:val="auto"/>
                <w:sz w:val="24"/>
                <w:highlight w:val="none"/>
                <w:lang w:val="en-US" w:eastAsia="zh-CN"/>
              </w:rPr>
              <w:t>根据四川省水利厅发布的《四川省省级水土流失重点预防区和重点治理区划分成果》的通知（川水函〔2017〕482号），项目区域</w:t>
            </w:r>
            <w:r>
              <w:rPr>
                <w:rFonts w:hint="eastAsia" w:ascii="Times New Roman" w:hAnsi="Times New Roman" w:cs="Times New Roman"/>
                <w:color w:val="auto"/>
                <w:sz w:val="24"/>
                <w:highlight w:val="none"/>
                <w:lang w:val="en-US" w:eastAsia="zh-CN"/>
              </w:rPr>
              <w:t>属于嘉陵江</w:t>
            </w:r>
            <w:r>
              <w:rPr>
                <w:rFonts w:hint="eastAsia" w:cs="Times New Roman"/>
                <w:color w:val="auto"/>
                <w:sz w:val="24"/>
                <w:highlight w:val="none"/>
                <w:lang w:val="en-US" w:eastAsia="zh-CN"/>
              </w:rPr>
              <w:t>及沱江中下游国家级水土流失重点治理区</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按照《生产建设项目水土保持方案管理办法》（水利部令第53号）相关要求，建设单位应当在生产建设项目开工建设前完成水土保持方案编报并取得批准手续。</w:t>
            </w:r>
          </w:p>
          <w:p w14:paraId="771D799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一般项目建设对水土流失的影响主要表现在以下两方面：由于地表开挖破坏植被，造成地面裸露，降雨时加深土壤侵蚀和水土流失；各类临时占地破坏原有植被，使当地水土流失情况加剧。</w:t>
            </w:r>
            <w:r>
              <w:rPr>
                <w:rFonts w:hint="eastAsia" w:ascii="Times New Roman" w:hAnsi="Times New Roman" w:cs="Times New Roman"/>
                <w:color w:val="auto"/>
                <w:sz w:val="24"/>
                <w:highlight w:val="none"/>
                <w:lang w:val="en-US" w:eastAsia="zh-CN"/>
              </w:rPr>
              <w:t>本项目为点状工程，占地面积较小，钻前工程施工期较短，</w:t>
            </w:r>
            <w:r>
              <w:rPr>
                <w:rFonts w:hint="default" w:ascii="Times New Roman" w:hAnsi="Times New Roman" w:cs="Times New Roman"/>
                <w:color w:val="auto"/>
                <w:sz w:val="24"/>
                <w:highlight w:val="none"/>
              </w:rPr>
              <w:t>为有效降低施工建设活动对水土流失的影响，现提出以下水土流失防治措施。</w:t>
            </w:r>
          </w:p>
          <w:p w14:paraId="33A11D4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A、项目在修建井场、构筑物基础等施工时通过采取修建排水沟、沉沙池、护坡、设拦挡，有效控制水土流失量。施工结束后，通过对施工迹地地表植被的恢复，水土流失将得到有效控制。</w:t>
            </w:r>
          </w:p>
          <w:p w14:paraId="43FC291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B、对于工程施工所用的临时路线，尽量选择已有的便道，或者选择植被生长差的地段。对于施工机械车辆应固定其行驶路线，禁止乱压乱碾，任意破坏地表植被。</w:t>
            </w:r>
          </w:p>
          <w:p w14:paraId="5AEAE9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C、加强道路两侧树木的保护工作，公路两侧原有的树木应加以保护。</w:t>
            </w:r>
          </w:p>
          <w:p w14:paraId="2EB92E67">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D、项目施工过程中涉及挖方量大的项目应加快施工进度，缩短施工时间，对产生的挖方及时进行平整处理。此外，施工时应避免在雨天、大风等天气条件不利情况下施工，做到水土流失最小化，施工现场采用防雨布、密目网等对现挖松散堆土及开挖裸露面进行临时苫盖，保证有效控制水土流失。</w:t>
            </w:r>
          </w:p>
          <w:p w14:paraId="7CA2F8A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lang w:bidi="ar"/>
              </w:rPr>
            </w:pPr>
            <w:r>
              <w:rPr>
                <w:rFonts w:hint="eastAsia" w:ascii="Times New Roman" w:hAnsi="Times New Roman" w:cs="Times New Roman"/>
                <w:color w:val="auto"/>
                <w:sz w:val="24"/>
              </w:rPr>
              <w:t>根据</w:t>
            </w:r>
            <w:r>
              <w:rPr>
                <w:rFonts w:hint="default" w:ascii="Times New Roman" w:hAnsi="Times New Roman" w:cs="Times New Roman"/>
                <w:bCs/>
                <w:color w:val="auto"/>
                <w:sz w:val="24"/>
              </w:rPr>
              <w:t>项目施工</w:t>
            </w:r>
            <w:r>
              <w:rPr>
                <w:rFonts w:hint="eastAsia" w:ascii="Times New Roman" w:hAnsi="Times New Roman" w:cs="Times New Roman"/>
                <w:color w:val="auto"/>
                <w:sz w:val="24"/>
              </w:rPr>
              <w:t>设计资料，</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挖方总量为</w:t>
            </w:r>
            <w:r>
              <w:rPr>
                <w:rFonts w:hint="eastAsia" w:cs="Times New Roman"/>
                <w:color w:val="auto"/>
                <w:sz w:val="24"/>
                <w:lang w:val="en-US" w:eastAsia="zh-CN"/>
              </w:rPr>
              <w:t>20301</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（含剥离表土</w:t>
            </w:r>
            <w:r>
              <w:rPr>
                <w:rFonts w:hint="eastAsia" w:cs="Times New Roman"/>
                <w:color w:val="auto"/>
                <w:kern w:val="0"/>
                <w:sz w:val="24"/>
                <w:lang w:val="en-US" w:eastAsia="zh-CN" w:bidi="ar"/>
              </w:rPr>
              <w:t>5550</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土石方回填</w:t>
            </w:r>
            <w:r>
              <w:rPr>
                <w:rFonts w:hint="eastAsia" w:ascii="Times New Roman" w:hAnsi="Times New Roman" w:cs="Times New Roman"/>
                <w:color w:val="auto"/>
                <w:kern w:val="0"/>
                <w:sz w:val="24"/>
                <w:lang w:bidi="ar"/>
              </w:rPr>
              <w:t>量为</w:t>
            </w:r>
            <w:r>
              <w:rPr>
                <w:rFonts w:hint="eastAsia" w:cs="Times New Roman"/>
                <w:color w:val="auto"/>
                <w:kern w:val="0"/>
                <w:sz w:val="24"/>
                <w:lang w:val="en-US" w:eastAsia="zh-CN" w:bidi="ar"/>
              </w:rPr>
              <w:t>14751</w:t>
            </w:r>
            <w:r>
              <w:rPr>
                <w:rFonts w:hint="eastAsia" w:ascii="Times New Roman" w:hAnsi="Times New Roman" w:cs="Times New Roman"/>
                <w:color w:val="auto"/>
                <w:kern w:val="0"/>
                <w:sz w:val="24"/>
                <w:lang w:bidi="ar"/>
              </w:rPr>
              <w:t>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eastAsia="zh-CN" w:bidi="ar"/>
              </w:rPr>
              <w:t>，</w:t>
            </w:r>
            <w:r>
              <w:rPr>
                <w:rFonts w:hint="eastAsia" w:cs="Times New Roman"/>
                <w:color w:val="auto"/>
                <w:kern w:val="0"/>
                <w:sz w:val="24"/>
                <w:lang w:val="en-US" w:eastAsia="zh-CN" w:bidi="ar"/>
              </w:rPr>
              <w:t>无余</w:t>
            </w:r>
            <w:r>
              <w:rPr>
                <w:rFonts w:hint="eastAsia" w:ascii="Times New Roman" w:hAnsi="Times New Roman" w:cs="Times New Roman"/>
                <w:color w:val="auto"/>
                <w:kern w:val="0"/>
                <w:sz w:val="24"/>
                <w:lang w:bidi="ar"/>
              </w:rPr>
              <w:t>方</w:t>
            </w:r>
            <w:r>
              <w:rPr>
                <w:rFonts w:hint="eastAsia" w:cs="Times New Roman"/>
                <w:color w:val="auto"/>
                <w:kern w:val="0"/>
                <w:sz w:val="24"/>
                <w:lang w:val="en-US" w:eastAsia="zh-CN" w:bidi="ar"/>
              </w:rPr>
              <w:t>产生</w:t>
            </w:r>
            <w:r>
              <w:rPr>
                <w:rFonts w:hint="eastAsia" w:ascii="Times New Roman" w:hAnsi="Times New Roman" w:cs="Times New Roman"/>
                <w:color w:val="auto"/>
                <w:kern w:val="0"/>
                <w:sz w:val="24"/>
                <w:lang w:val="en-US" w:eastAsia="zh-CN" w:bidi="ar"/>
              </w:rPr>
              <w:t>。表土暂存于表土堆场，后期全部用于迹地恢复使用。</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ascii="Times New Roman" w:hAnsi="Times New Roman" w:cs="Times New Roman"/>
                <w:bCs/>
                <w:color w:val="auto"/>
                <w:sz w:val="24"/>
              </w:rPr>
              <w:t>和弃方分类堆放在堆场，并对堆场表层进行撒草绿化</w:t>
            </w:r>
            <w:r>
              <w:rPr>
                <w:rFonts w:hint="eastAsia" w:ascii="Times New Roman" w:hAnsi="Times New Roman" w:cs="Times New Roman"/>
                <w:color w:val="auto"/>
                <w:sz w:val="24"/>
              </w:rPr>
              <w:t>，待工程结束后对井场进行复耕复绿。</w:t>
            </w:r>
          </w:p>
          <w:p w14:paraId="421EF4A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E、项目用地结束后，对临时占地进行土地整治，按照基本农田的复垦要求对临时占用的基本农田实施土地复垦，恢复其使用功能。</w:t>
            </w:r>
          </w:p>
          <w:p w14:paraId="22F4883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3）对农业生产的影响分析</w:t>
            </w:r>
          </w:p>
          <w:p w14:paraId="0883A1A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项目施工期间，临时占地将破坏地表原有植被和农作物，其中对农作物而言将减少近两年的收成。使农民受到一定的经济损失，这部分损失应给予赔偿，赔偿的金额</w:t>
            </w:r>
            <w:r>
              <w:rPr>
                <w:rFonts w:hint="eastAsia" w:ascii="Times New Roman" w:hAnsi="Times New Roman" w:cs="Times New Roman"/>
                <w:color w:val="auto"/>
                <w:sz w:val="24"/>
                <w:lang w:eastAsia="zh-CN"/>
              </w:rPr>
              <w:t>由</w:t>
            </w:r>
            <w:r>
              <w:rPr>
                <w:rFonts w:hint="default" w:ascii="Times New Roman" w:hAnsi="Times New Roman" w:cs="Times New Roman"/>
                <w:color w:val="auto"/>
                <w:sz w:val="24"/>
              </w:rPr>
              <w:t>当地政府和农民协商解决。虽然施工临时占地引起了一定量的生物量损失，并且改变了所占土地上的生物多样性及生物种类，但这只是暂时性的，只要施工单位在施工中采取有利于土地及植被恢复的措施减少对其影响，特别是临时占用耕地的，要及时恢复其原有土地功能，并做好占地补偿工作及施工后的植被恢复措施，其环境影响是可以接受的。</w:t>
            </w:r>
          </w:p>
          <w:p w14:paraId="1BA26C2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环评要求，施工单位对临时占地除了在施工中采取措施减少基本农田破坏外，在施工结束后，除补偿因临时占地对农田产量的直接损失外，还将考虑施工结束后因土壤结构破坏、养分流失而造成的影响，对农作物产量的间接损失以及土壤恢复进行补偿，以用于耕作层土恢复。在恢复期对土壤进行熟化和培肥，切实做好耕地质量调查及监测工作，及时掌握耕地质量变化状况，直至恢复到原来的生产力水平。本项目已委托单位编制土地复垦方案，临时用地使用完成后，建设单位应按经批准的土地复垦方案及时组织复垦，确保被压占破坏土地恢复原土地使用状态。</w:t>
            </w:r>
          </w:p>
          <w:p w14:paraId="248F194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在采取积极的赔偿措施、施工管理、耕地恢复措施后，工程施工对永久基本农田的影响可接受。</w:t>
            </w:r>
          </w:p>
          <w:p w14:paraId="05F0B4A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4）对植被和植被资源的影响分析</w:t>
            </w:r>
          </w:p>
          <w:p w14:paraId="47DCED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①钻前施工作业污染物对植被的影响</w:t>
            </w:r>
          </w:p>
          <w:p w14:paraId="539361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项目施工期，临时占地内植被全部被破坏，将对当地生态环境和水土保持造成一定程度的负面影响。施工结束后，占用的耕地可覆土复垦，采取上述措施后，可有效减缓项目占地对植被产生的影响。</w:t>
            </w:r>
          </w:p>
          <w:p w14:paraId="6945C81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根据工程分析，钻前施工的主要污染来源于扬尘及施工期废弃物。虽然施工期间都有污染废水的产生，但因其量较少，作业期短，因而基本没有不良影响，因此，只从扬尘、施工废弃物对植被的影响进行分析。</w:t>
            </w:r>
          </w:p>
          <w:p w14:paraId="16AA98B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cs="Times New Roman"/>
                <w:color w:val="auto"/>
                <w:sz w:val="24"/>
                <w:lang w:val="en-US" w:eastAsia="zh-CN"/>
              </w:rPr>
              <w:t>A、</w:t>
            </w:r>
            <w:r>
              <w:rPr>
                <w:rFonts w:hint="default" w:ascii="Times New Roman" w:hAnsi="Times New Roman" w:cs="Times New Roman"/>
                <w:color w:val="auto"/>
                <w:sz w:val="24"/>
              </w:rPr>
              <w:t>扬尘对植被的影响：工程开发建设中的扬尘是对植被生长产生影响的因素之一，扬尘产生的颗粒物质在植物地上器官（叶、茎、花和果实）沉降将对植物产生直接影响。沉降物在植物表面的扬尘以干粉尘、泥膜等形式累积，植物表面上的沉降物覆盖层阻塞气孔，导致气体交换减少，叶片温度升高，光合作用下降，叶片黄化干缩，植物的干物质生产受到影响。一般情况下，大范围内很低浓度的颗粒物慢性沉降不至于对自然生态系统产生不利影响，只有当颗粒物的沉降速率很高时才会造成生态问题。但对植物的伤害程度还取决于周围的环境及地形。结合工程具体情况，在正常情况下扬尘浓度低，工期短，对植被影响不大。</w:t>
            </w:r>
          </w:p>
          <w:p w14:paraId="138C418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施工废弃物对植被的影响：施工废弃物、塑料袋、矿泉水瓶等生活垃圾的胡乱丢弃会造成白色污染而影响土壤，在大风季节塑料袋被吹挂在植物体上，这样不仅影响景观，亦影响植物的生长。但这种影响是有可能杜绝的，在施工中只要加强环保宣传和纪律管理，就会使这种影响降到</w:t>
            </w:r>
            <w:r>
              <w:rPr>
                <w:rFonts w:hint="eastAsia" w:ascii="Times New Roman" w:hAnsi="Times New Roman" w:cs="Times New Roman"/>
                <w:color w:val="auto"/>
                <w:sz w:val="24"/>
                <w:lang w:eastAsia="zh-CN"/>
              </w:rPr>
              <w:t>最低</w:t>
            </w:r>
            <w:r>
              <w:rPr>
                <w:rFonts w:hint="default" w:ascii="Times New Roman" w:hAnsi="Times New Roman" w:cs="Times New Roman"/>
                <w:color w:val="auto"/>
                <w:sz w:val="24"/>
              </w:rPr>
              <w:t>程度甚至没有。</w:t>
            </w:r>
          </w:p>
          <w:p w14:paraId="70954CF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②施工期人为活动对植被的影响</w:t>
            </w:r>
          </w:p>
          <w:p w14:paraId="556BB8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人为活动对植被的影响主要表现为施工人员和作业机械对植被的破坏，本项目临时占地面积小，占地所破坏的植被类型、群落结构较简单，物种组成较为单一、常见，工程建设对所在区域内现有植被类型组成及分布格局的影响很小，不会影响区域自然生态系统的完整性。</w:t>
            </w:r>
          </w:p>
          <w:p w14:paraId="688E771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③对农田植被的影响分析</w:t>
            </w:r>
          </w:p>
          <w:p w14:paraId="45A3E8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本工程对农业生态环境的直接影响表现为占用农田以及由此造成的农作物损失。本工程占用农田是短期行为，随着施工结束，临时占地恢复原状，农田能够继续耕作，工程带来的影响可完全消失。</w:t>
            </w:r>
          </w:p>
          <w:p w14:paraId="25830B2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农田植被的影响集中表现在地表裸露、植物量丧失。同时，施工尘土附着在作物叶片表面，影响植物光合作用，尤其是会对作物幼苗生理特性产生影响。农作物的损失是暂时性和一次性的，随着本工程结束后的复耕，农作物能够重新生长，工程带来的影响可完全消失。</w:t>
            </w:r>
          </w:p>
          <w:p w14:paraId="02B204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5）对野生动物的影响分析</w:t>
            </w:r>
          </w:p>
          <w:p w14:paraId="71501F0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①对陆生野生动物的影响</w:t>
            </w:r>
          </w:p>
          <w:p w14:paraId="1930632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经现场调查，本项目评价范围内无珍稀野生动物分布，也没有涉及野生动物的通道、栖息地等敏感点。</w:t>
            </w:r>
          </w:p>
          <w:p w14:paraId="726203D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施工人员的活动和机械噪声等将对施工区及周围一定范围内野生动物的活动和栖息产生一定影响，但因这种影响只是引起野生动物暂时的、局部的迁移，待施工结束这种影响亦结束。</w:t>
            </w:r>
          </w:p>
          <w:p w14:paraId="295C37F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施工期施工区域内自然植被的破坏，会使一些野生动物失去部分觅食地、栖息场所和活动区域，不过本项目临时占地面积较小，对野生动物的生存环境只会产生轻微的不利影响。</w:t>
            </w:r>
          </w:p>
          <w:p w14:paraId="3AAE66F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此外，施工过程中，可能出现施工人员捕捉野生动物的情况。这种影响可通过加强对施工人员的宣传教育和管理得到消除。</w:t>
            </w:r>
          </w:p>
          <w:p w14:paraId="0BF226C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项目施工结束后，施工</w:t>
            </w:r>
            <w:r>
              <w:rPr>
                <w:rFonts w:hint="eastAsia" w:ascii="Times New Roman" w:hAnsi="Times New Roman" w:cs="Times New Roman"/>
                <w:color w:val="auto"/>
                <w:sz w:val="24"/>
                <w:lang w:eastAsia="zh-CN"/>
              </w:rPr>
              <w:t>影响</w:t>
            </w:r>
            <w:r>
              <w:rPr>
                <w:rFonts w:hint="default" w:ascii="Times New Roman" w:hAnsi="Times New Roman" w:cs="Times New Roman"/>
                <w:color w:val="auto"/>
                <w:sz w:val="24"/>
              </w:rPr>
              <w:t>消失，动物的生存环境得以复原，部分暂时离开的动物将回到原来的栖息地，由项目施工造成的对动物活动的影响消失，因此，不会对野生动物的活动产生影响。</w:t>
            </w:r>
          </w:p>
          <w:p w14:paraId="3302461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②对鱼类的影响</w:t>
            </w:r>
          </w:p>
          <w:p w14:paraId="33F048A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根据现场踏勘，距离本项目井口最近地表水体为</w:t>
            </w:r>
            <w:r>
              <w:rPr>
                <w:rFonts w:hint="eastAsia" w:cs="Times New Roman"/>
                <w:color w:val="auto"/>
                <w:sz w:val="24"/>
                <w:highlight w:val="none"/>
                <w:lang w:val="en-US" w:eastAsia="zh-CN"/>
              </w:rPr>
              <w:t>西</w:t>
            </w:r>
            <w:r>
              <w:rPr>
                <w:rFonts w:hint="eastAsia" w:ascii="Times New Roman" w:hAnsi="Times New Roman" w:cs="Times New Roman"/>
                <w:color w:val="auto"/>
                <w:sz w:val="24"/>
                <w:highlight w:val="none"/>
                <w:lang w:val="en-US" w:eastAsia="zh-CN"/>
              </w:rPr>
              <w:t>侧的</w:t>
            </w:r>
            <w:r>
              <w:rPr>
                <w:rFonts w:hint="eastAsia" w:cs="Times New Roman"/>
                <w:color w:val="auto"/>
                <w:sz w:val="24"/>
                <w:highlight w:val="none"/>
                <w:lang w:val="en-US" w:eastAsia="zh-CN"/>
              </w:rPr>
              <w:t>向阳河支流</w:t>
            </w:r>
            <w:r>
              <w:rPr>
                <w:rFonts w:hint="eastAsia" w:ascii="Times New Roman" w:hAnsi="Times New Roman" w:eastAsia="宋体" w:cs="Times New Roman"/>
                <w:color w:val="auto"/>
                <w:sz w:val="24"/>
                <w:lang w:val="en-US" w:eastAsia="zh-CN"/>
              </w:rPr>
              <w:t>，最近</w:t>
            </w:r>
            <w:r>
              <w:rPr>
                <w:rFonts w:hint="eastAsia" w:cs="Times New Roman"/>
                <w:color w:val="auto"/>
                <w:sz w:val="24"/>
                <w:lang w:val="en-US" w:eastAsia="zh-CN"/>
              </w:rPr>
              <w:t>直线</w:t>
            </w:r>
            <w:r>
              <w:rPr>
                <w:rFonts w:hint="eastAsia" w:ascii="Times New Roman" w:hAnsi="Times New Roman" w:eastAsia="宋体" w:cs="Times New Roman"/>
                <w:color w:val="auto"/>
                <w:sz w:val="24"/>
                <w:lang w:val="en-US" w:eastAsia="zh-CN"/>
              </w:rPr>
              <w:t>距离约</w:t>
            </w:r>
            <w:r>
              <w:rPr>
                <w:rFonts w:hint="eastAsia" w:cs="Times New Roman"/>
                <w:color w:val="auto"/>
                <w:sz w:val="24"/>
                <w:lang w:val="en-US" w:eastAsia="zh-CN"/>
              </w:rPr>
              <w:t>520</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rPr>
              <w:t>，</w:t>
            </w:r>
            <w:r>
              <w:rPr>
                <w:rFonts w:hint="eastAsia" w:cs="Times New Roman"/>
                <w:color w:val="auto"/>
                <w:sz w:val="24"/>
                <w:lang w:val="en-US" w:eastAsia="zh-CN"/>
              </w:rPr>
              <w:t>向阳河支流</w:t>
            </w:r>
            <w:r>
              <w:rPr>
                <w:rFonts w:hint="eastAsia" w:ascii="Times New Roman" w:hAnsi="Times New Roman" w:eastAsia="宋体" w:cs="Times New Roman"/>
                <w:color w:val="auto"/>
                <w:sz w:val="24"/>
              </w:rPr>
              <w:t>低于</w:t>
            </w:r>
            <w:r>
              <w:rPr>
                <w:rFonts w:hint="eastAsia" w:ascii="Times New Roman" w:hAnsi="Times New Roman" w:eastAsia="宋体" w:cs="Times New Roman"/>
                <w:color w:val="auto"/>
                <w:sz w:val="24"/>
                <w:lang w:val="en-US" w:eastAsia="zh-CN"/>
              </w:rPr>
              <w:t>本项目</w:t>
            </w:r>
            <w:r>
              <w:rPr>
                <w:rFonts w:hint="eastAsia" w:ascii="Times New Roman" w:hAnsi="Times New Roman" w:eastAsia="宋体" w:cs="Times New Roman"/>
                <w:color w:val="auto"/>
                <w:sz w:val="24"/>
              </w:rPr>
              <w:t>井口</w:t>
            </w:r>
            <w:r>
              <w:rPr>
                <w:rFonts w:hint="eastAsia" w:cs="Times New Roman"/>
                <w:color w:val="auto"/>
                <w:sz w:val="24"/>
                <w:lang w:val="en-US" w:eastAsia="zh-CN"/>
              </w:rPr>
              <w:t>约116</w:t>
            </w:r>
            <w:r>
              <w:rPr>
                <w:rFonts w:hint="eastAsia" w:ascii="Times New Roman" w:hAnsi="Times New Roman" w:eastAsia="宋体" w:cs="Times New Roman"/>
                <w:color w:val="auto"/>
                <w:sz w:val="24"/>
              </w:rPr>
              <w:t>m</w:t>
            </w:r>
            <w:r>
              <w:rPr>
                <w:rFonts w:hint="default" w:ascii="Times New Roman" w:hAnsi="Times New Roman" w:cs="Times New Roman"/>
                <w:color w:val="auto"/>
                <w:sz w:val="24"/>
                <w:highlight w:val="none"/>
              </w:rPr>
              <w:t>。本项目不涉及</w:t>
            </w:r>
            <w:r>
              <w:rPr>
                <w:rFonts w:hint="eastAsia" w:ascii="Times New Roman" w:hAnsi="Times New Roman" w:cs="Times New Roman"/>
                <w:color w:val="auto"/>
                <w:sz w:val="24"/>
                <w:highlight w:val="none"/>
                <w:lang w:val="en-US" w:eastAsia="zh-CN"/>
              </w:rPr>
              <w:t>自然保护区、</w:t>
            </w:r>
            <w:r>
              <w:rPr>
                <w:rFonts w:hint="default" w:ascii="Times New Roman" w:hAnsi="Times New Roman" w:cs="Times New Roman"/>
                <w:color w:val="auto"/>
                <w:sz w:val="24"/>
                <w:highlight w:val="none"/>
              </w:rPr>
              <w:t>水产种质资源保护区</w:t>
            </w:r>
            <w:r>
              <w:rPr>
                <w:rFonts w:hint="eastAsia" w:ascii="Times New Roman" w:hAnsi="Times New Roman" w:cs="Times New Roman"/>
                <w:color w:val="auto"/>
                <w:sz w:val="24"/>
                <w:highlight w:val="none"/>
                <w:lang w:val="en-US" w:eastAsia="zh-CN"/>
              </w:rPr>
              <w:t>等</w:t>
            </w:r>
            <w:r>
              <w:rPr>
                <w:rFonts w:hint="default" w:ascii="Times New Roman" w:hAnsi="Times New Roman" w:cs="Times New Roman"/>
                <w:color w:val="auto"/>
                <w:sz w:val="24"/>
                <w:highlight w:val="none"/>
              </w:rPr>
              <w:t>，主要是常见的</w:t>
            </w:r>
            <w:r>
              <w:rPr>
                <w:rFonts w:hint="eastAsia" w:ascii="Times New Roman" w:hAnsi="Times New Roman" w:cs="Times New Roman"/>
                <w:color w:val="auto"/>
                <w:sz w:val="24"/>
                <w:highlight w:val="none"/>
                <w:lang w:val="en-US" w:eastAsia="zh-CN"/>
              </w:rPr>
              <w:t>鱼类</w:t>
            </w:r>
            <w:r>
              <w:rPr>
                <w:rFonts w:hint="default" w:ascii="Times New Roman" w:hAnsi="Times New Roman" w:cs="Times New Roman"/>
                <w:color w:val="auto"/>
                <w:sz w:val="24"/>
                <w:highlight w:val="none"/>
              </w:rPr>
              <w:t>。本项目不占用河道，也不向地表水体排放污染物。因此，本项目建设对鱼类无影响。</w:t>
            </w:r>
          </w:p>
          <w:p w14:paraId="249FF30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6）对生态结构完整性和功能性的影响分析</w:t>
            </w:r>
          </w:p>
          <w:p w14:paraId="173DC7C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项目所在地为农业生态环境，拟建地受人类活动影响频繁，区域生态系统多样性程度低，评价区域面积小，植被类型为农田植被。</w:t>
            </w:r>
          </w:p>
          <w:p w14:paraId="2E0873A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构成这些植被类型的种类为适应该区域的物种，具有种群数大、适应性强的特点。项目建设过程中会临时占用</w:t>
            </w:r>
            <w:r>
              <w:rPr>
                <w:rFonts w:hint="eastAsia" w:ascii="Times New Roman" w:hAnsi="Times New Roman" w:cs="Times New Roman"/>
                <w:color w:val="auto"/>
                <w:sz w:val="24"/>
              </w:rPr>
              <w:t>土地利用类型为：林地、耕地（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永久基本农田）、坑塘水面、农村宅基地</w:t>
            </w:r>
            <w:r>
              <w:rPr>
                <w:rFonts w:hint="eastAsia" w:ascii="Times New Roman" w:hAnsi="Times New Roman" w:cs="Times New Roman"/>
                <w:color w:val="auto"/>
                <w:sz w:val="24"/>
                <w:lang w:val="en-US" w:eastAsia="zh-CN"/>
              </w:rPr>
              <w:t>等</w:t>
            </w:r>
            <w:r>
              <w:rPr>
                <w:rFonts w:hint="eastAsia" w:ascii="Times New Roman" w:hAnsi="Times New Roman" w:cs="Times New Roman"/>
                <w:color w:val="auto"/>
                <w:sz w:val="24"/>
              </w:rPr>
              <w:t>，这</w:t>
            </w:r>
            <w:r>
              <w:rPr>
                <w:rFonts w:hint="default" w:ascii="Times New Roman" w:hAnsi="Times New Roman" w:cs="Times New Roman"/>
                <w:color w:val="auto"/>
                <w:sz w:val="24"/>
              </w:rPr>
              <w:t>会减少部分植被类型的分布面积，待项目结束后会拆除相应设施，开展迹地恢复和土地复垦，不会造成沿线植被类型分布状况和植物群落结构的改变。</w:t>
            </w:r>
          </w:p>
          <w:p w14:paraId="28FCBBE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对于农田生态系统而言，水稻、小麦、玉米、红薯及蔬菜等农作物均为常见的物种，因此不会改变农田生态系统的结构和功能。同时，项目不会永久占用基本农田，区域内的耕地数将保持不变，因此，农田生态系统的持续生产能力不会下降，系统的运行连续性不会破坏。</w:t>
            </w:r>
          </w:p>
          <w:p w14:paraId="276AA7F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综上所述，本区域内绝大部分的植被面积和植被类型没有发生变化，亦即对本区域生态环境起控制作用的组分未变动，生境的异质性没有发生大的改变，因此，项目建设不会改变现有生态系统的完整性和功能的连续性。</w:t>
            </w:r>
          </w:p>
          <w:p w14:paraId="5EC31F4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7）生态影响分析小结</w:t>
            </w:r>
          </w:p>
          <w:p w14:paraId="3D89CD6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本工程建设对生态环境的影响主要表现为项目占地使土地功能发生改变，将导致粮食及经济作物减产；土建工程会造成少量的水土流失。通过相应的补偿措施，工程对生态环境的影响属于可接受范围。</w:t>
            </w:r>
          </w:p>
          <w:p w14:paraId="532D497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三</w:t>
            </w:r>
            <w:r>
              <w:rPr>
                <w:rFonts w:hint="default" w:ascii="Times New Roman" w:hAnsi="Times New Roman" w:cs="Times New Roman"/>
                <w:b/>
                <w:bCs/>
                <w:color w:val="auto"/>
                <w:sz w:val="24"/>
              </w:rPr>
              <w:t>、钻井工程环境影响分析</w:t>
            </w:r>
          </w:p>
          <w:p w14:paraId="6BE31F3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1、大气环境影响分析</w:t>
            </w:r>
          </w:p>
          <w:p w14:paraId="48EB05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本项目在钻井阶段采用电网供电，停电时采用备用柴油发电机</w:t>
            </w:r>
            <w:r>
              <w:rPr>
                <w:rFonts w:hint="eastAsia" w:cs="Times New Roman"/>
                <w:bCs/>
                <w:color w:val="auto"/>
                <w:sz w:val="24"/>
                <w:lang w:val="en-US" w:eastAsia="zh-CN"/>
              </w:rPr>
              <w:t>供电</w:t>
            </w:r>
            <w:r>
              <w:rPr>
                <w:rFonts w:hint="eastAsia" w:cs="Times New Roman"/>
                <w:bCs/>
                <w:color w:val="auto"/>
                <w:sz w:val="24"/>
                <w:lang w:eastAsia="zh-CN"/>
              </w:rPr>
              <w:t>；</w:t>
            </w:r>
            <w:r>
              <w:rPr>
                <w:rFonts w:hint="eastAsia" w:ascii="Times New Roman" w:hAnsi="Times New Roman" w:cs="Times New Roman"/>
                <w:bCs/>
                <w:color w:val="auto"/>
                <w:sz w:val="24"/>
                <w:lang w:val="en-US" w:eastAsia="zh-CN"/>
              </w:rPr>
              <w:t>测试放喷阶段</w:t>
            </w:r>
            <w:r>
              <w:rPr>
                <w:rFonts w:hint="eastAsia" w:ascii="Times New Roman" w:hAnsi="Times New Roman" w:cs="Times New Roman"/>
                <w:color w:val="auto"/>
                <w:sz w:val="24"/>
                <w:lang w:val="en-US" w:eastAsia="zh-CN"/>
              </w:rPr>
              <w:t>若遇到环境低温、压差大等特殊情况时会</w:t>
            </w:r>
            <w:r>
              <w:rPr>
                <w:rFonts w:hint="eastAsia" w:ascii="Times New Roman" w:hAnsi="Times New Roman" w:cs="Times New Roman"/>
                <w:bCs/>
                <w:color w:val="auto"/>
                <w:sz w:val="24"/>
                <w:lang w:val="en-US" w:eastAsia="zh-CN"/>
              </w:rPr>
              <w:t>使用燃油蒸汽锅炉对</w:t>
            </w:r>
            <w:r>
              <w:rPr>
                <w:rFonts w:hint="eastAsia" w:ascii="Times New Roman" w:hAnsi="Times New Roman" w:cs="Times New Roman"/>
                <w:color w:val="auto"/>
                <w:sz w:val="24"/>
                <w:lang w:val="en-US" w:eastAsia="zh-CN"/>
              </w:rPr>
              <w:t>井口、管汇、放喷管线</w:t>
            </w:r>
            <w:r>
              <w:rPr>
                <w:rFonts w:hint="eastAsia" w:ascii="Times New Roman" w:hAnsi="Times New Roman" w:cs="Times New Roman"/>
                <w:bCs/>
                <w:color w:val="auto"/>
                <w:sz w:val="24"/>
                <w:lang w:val="en-US" w:eastAsia="zh-CN"/>
              </w:rPr>
              <w:t>进行保温</w:t>
            </w:r>
            <w:r>
              <w:rPr>
                <w:rFonts w:hint="default" w:ascii="Times New Roman" w:hAnsi="Times New Roman" w:cs="Times New Roman"/>
                <w:bCs/>
                <w:color w:val="auto"/>
                <w:sz w:val="24"/>
              </w:rPr>
              <w:t>。因此，钻井期间的废气主要包括测试放喷</w:t>
            </w:r>
            <w:r>
              <w:rPr>
                <w:rFonts w:hint="eastAsia" w:ascii="Times New Roman" w:hAnsi="Times New Roman" w:cs="Times New Roman"/>
                <w:bCs/>
                <w:color w:val="auto"/>
                <w:sz w:val="24"/>
                <w:lang w:val="en-US" w:eastAsia="zh-CN"/>
              </w:rPr>
              <w:t>及</w:t>
            </w:r>
            <w:r>
              <w:rPr>
                <w:rFonts w:hint="default" w:ascii="Times New Roman" w:hAnsi="Times New Roman" w:cs="Times New Roman"/>
                <w:bCs/>
                <w:color w:val="auto"/>
                <w:sz w:val="24"/>
              </w:rPr>
              <w:t>事故放喷废气</w:t>
            </w:r>
            <w:r>
              <w:rPr>
                <w:rFonts w:hint="eastAsia" w:cs="Times New Roman"/>
                <w:bCs/>
                <w:color w:val="auto"/>
                <w:sz w:val="24"/>
                <w:lang w:eastAsia="zh-CN"/>
              </w:rPr>
              <w:t>、</w:t>
            </w:r>
            <w:r>
              <w:rPr>
                <w:rFonts w:hint="default" w:ascii="Times New Roman" w:hAnsi="Times New Roman" w:cs="Times New Roman"/>
                <w:bCs/>
                <w:color w:val="auto"/>
                <w:sz w:val="24"/>
              </w:rPr>
              <w:t>柴油发电机组燃烧废气</w:t>
            </w:r>
            <w:r>
              <w:rPr>
                <w:rFonts w:hint="eastAsia" w:cs="Times New Roman"/>
                <w:bCs/>
                <w:color w:val="auto"/>
                <w:sz w:val="24"/>
                <w:lang w:eastAsia="zh-CN"/>
              </w:rPr>
              <w:t>、</w:t>
            </w:r>
            <w:r>
              <w:rPr>
                <w:rFonts w:hint="eastAsia" w:cs="Times New Roman"/>
                <w:bCs/>
                <w:color w:val="auto"/>
                <w:sz w:val="24"/>
                <w:lang w:val="en-US" w:eastAsia="zh-CN"/>
              </w:rPr>
              <w:t>锅炉烟气</w:t>
            </w:r>
            <w:r>
              <w:rPr>
                <w:rFonts w:hint="default" w:ascii="Times New Roman" w:hAnsi="Times New Roman" w:cs="Times New Roman"/>
                <w:bCs/>
                <w:color w:val="auto"/>
                <w:sz w:val="24"/>
              </w:rPr>
              <w:t>等。</w:t>
            </w:r>
          </w:p>
          <w:p w14:paraId="2EF266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1</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测试</w:t>
            </w:r>
            <w:r>
              <w:rPr>
                <w:rFonts w:hint="default" w:ascii="Times New Roman" w:hAnsi="Times New Roman" w:cs="Times New Roman"/>
                <w:bCs/>
                <w:color w:val="auto"/>
                <w:sz w:val="24"/>
              </w:rPr>
              <w:t>放喷废气</w:t>
            </w:r>
          </w:p>
          <w:p w14:paraId="75217A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测试放喷天然气经专用放喷管线引至放喷</w:t>
            </w:r>
            <w:r>
              <w:rPr>
                <w:rFonts w:hint="eastAsia" w:cs="Times New Roman"/>
                <w:bCs/>
                <w:color w:val="auto"/>
                <w:sz w:val="24"/>
                <w:lang w:val="en-US" w:eastAsia="zh-CN"/>
              </w:rPr>
              <w:t>池</w:t>
            </w:r>
            <w:r>
              <w:rPr>
                <w:rFonts w:hint="default" w:ascii="Times New Roman" w:hAnsi="Times New Roman" w:cs="Times New Roman"/>
                <w:bCs/>
                <w:color w:val="auto"/>
                <w:sz w:val="24"/>
              </w:rPr>
              <w:t>后点火燃烧，测试放喷时间一般昼间放喷，每次约3h，废气排放属短期排放。测试放喷的天然气经点火燃烧，其主要污染物为CO</w:t>
            </w:r>
            <w:r>
              <w:rPr>
                <w:rFonts w:hint="default" w:ascii="Times New Roman" w:hAnsi="Times New Roman" w:cs="Times New Roman"/>
                <w:bCs/>
                <w:color w:val="auto"/>
                <w:sz w:val="24"/>
                <w:vertAlign w:val="subscript"/>
              </w:rPr>
              <w:t>2</w:t>
            </w:r>
            <w:r>
              <w:rPr>
                <w:rFonts w:hint="default" w:ascii="Times New Roman" w:hAnsi="Times New Roman" w:cs="Times New Roman"/>
                <w:bCs/>
                <w:color w:val="auto"/>
                <w:sz w:val="24"/>
              </w:rPr>
              <w:t>、NOx和水。</w:t>
            </w:r>
          </w:p>
          <w:p w14:paraId="23C7F26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在放喷</w:t>
            </w:r>
            <w:r>
              <w:rPr>
                <w:rFonts w:hint="eastAsia" w:cs="Times New Roman"/>
                <w:bCs/>
                <w:color w:val="auto"/>
                <w:kern w:val="0"/>
                <w:sz w:val="24"/>
                <w:lang w:val="en-US" w:eastAsia="zh-CN"/>
              </w:rPr>
              <w:t>池</w:t>
            </w:r>
            <w:r>
              <w:rPr>
                <w:rFonts w:hint="default" w:ascii="Times New Roman" w:hAnsi="Times New Roman" w:cs="Times New Roman"/>
                <w:bCs/>
                <w:color w:val="auto"/>
                <w:kern w:val="0"/>
                <w:sz w:val="24"/>
              </w:rPr>
              <w:t>内，经排气筒高度为1m的对空短火焰燃烧器点火燃烧后排放。本项目</w:t>
            </w:r>
            <w:r>
              <w:rPr>
                <w:rFonts w:hint="eastAsia" w:ascii="Times New Roman" w:hAnsi="Times New Roman" w:cs="Times New Roman"/>
                <w:bCs/>
                <w:color w:val="auto"/>
                <w:kern w:val="0"/>
                <w:sz w:val="24"/>
              </w:rPr>
              <w:t>不含硫，</w:t>
            </w:r>
            <w:r>
              <w:rPr>
                <w:rFonts w:hint="default" w:ascii="Times New Roman" w:hAnsi="Times New Roman" w:cs="Times New Roman"/>
                <w:bCs/>
                <w:color w:val="auto"/>
                <w:sz w:val="24"/>
              </w:rPr>
              <w:t>在测试放喷前，通知井场周边居民，</w:t>
            </w:r>
            <w:r>
              <w:rPr>
                <w:rFonts w:hint="eastAsia" w:ascii="Times New Roman" w:hAnsi="Times New Roman" w:cs="Times New Roman"/>
                <w:bCs/>
                <w:color w:val="auto"/>
                <w:sz w:val="24"/>
                <w:lang w:val="en-US" w:eastAsia="zh-CN"/>
              </w:rPr>
              <w:t>并</w:t>
            </w:r>
            <w:r>
              <w:rPr>
                <w:rFonts w:hint="default" w:ascii="Times New Roman" w:hAnsi="Times New Roman" w:cs="Times New Roman"/>
                <w:bCs/>
                <w:color w:val="auto"/>
                <w:sz w:val="24"/>
              </w:rPr>
              <w:t>严禁居民靠近</w:t>
            </w:r>
            <w:r>
              <w:rPr>
                <w:rFonts w:hint="default" w:ascii="Times New Roman" w:hAnsi="Times New Roman" w:cs="Times New Roman"/>
                <w:bCs/>
                <w:color w:val="auto"/>
                <w:kern w:val="0"/>
                <w:sz w:val="24"/>
              </w:rPr>
              <w:t>，以减轻放喷废气对这些居民的影响。同时由于测试放喷时间一般约为3h，属短期排放，不会形成长期环境影响，短期影响也可控制在周边居民健康安全限值以下，污染物排放随测试放喷的结束而停止，不会长期存在，不会影响区域环境空气功能区划。本气井为</w:t>
            </w:r>
            <w:r>
              <w:rPr>
                <w:rFonts w:hint="eastAsia" w:ascii="Times New Roman" w:hAnsi="Times New Roman" w:cs="Times New Roman"/>
                <w:bCs/>
                <w:color w:val="auto"/>
                <w:kern w:val="0"/>
                <w:sz w:val="24"/>
              </w:rPr>
              <w:t>不含硫化氢</w:t>
            </w:r>
            <w:r>
              <w:rPr>
                <w:rFonts w:hint="default" w:ascii="Times New Roman" w:hAnsi="Times New Roman" w:cs="Times New Roman"/>
                <w:bCs/>
                <w:color w:val="auto"/>
                <w:kern w:val="0"/>
                <w:sz w:val="24"/>
              </w:rPr>
              <w:t>天然气井，燃烧后主要污染物为CO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、NOx和水，污染物产生量较小，</w:t>
            </w:r>
            <w:r>
              <w:rPr>
                <w:rFonts w:hint="eastAsia" w:cs="Times New Roman"/>
                <w:bCs/>
                <w:color w:val="auto"/>
                <w:kern w:val="0"/>
                <w:sz w:val="24"/>
                <w:lang w:val="en-US" w:eastAsia="zh-CN"/>
              </w:rPr>
              <w:t>加之项目区域地势开阔，故燃烧废气</w:t>
            </w:r>
            <w:r>
              <w:rPr>
                <w:rFonts w:hint="default" w:ascii="Times New Roman" w:hAnsi="Times New Roman" w:cs="Times New Roman"/>
                <w:bCs/>
                <w:color w:val="auto"/>
                <w:kern w:val="0"/>
                <w:sz w:val="24"/>
              </w:rPr>
              <w:t>对</w:t>
            </w:r>
            <w:r>
              <w:rPr>
                <w:rFonts w:hint="eastAsia" w:cs="Times New Roman"/>
                <w:bCs/>
                <w:color w:val="auto"/>
                <w:kern w:val="0"/>
                <w:sz w:val="24"/>
                <w:lang w:val="en-US" w:eastAsia="zh-CN"/>
              </w:rPr>
              <w:t>区域</w:t>
            </w:r>
            <w:r>
              <w:rPr>
                <w:rFonts w:hint="default" w:ascii="Times New Roman" w:hAnsi="Times New Roman" w:cs="Times New Roman"/>
                <w:bCs/>
                <w:color w:val="auto"/>
                <w:kern w:val="0"/>
                <w:sz w:val="24"/>
              </w:rPr>
              <w:t>大气环境影响较小。</w:t>
            </w:r>
          </w:p>
          <w:p w14:paraId="4B6FAD2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2</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p>
          <w:p w14:paraId="3456C96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事故放喷是由地层高压异常导致的，在石油天然气行业是低概率事件。事故放喷主产物是天然气燃烧后产生的CO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、NOx和水。事故放喷时间持续较短，且通过专用的放喷管线将天然气引至放喷</w:t>
            </w:r>
            <w:r>
              <w:rPr>
                <w:rFonts w:hint="eastAsia" w:cs="Times New Roman"/>
                <w:bCs/>
                <w:color w:val="auto"/>
                <w:kern w:val="0"/>
                <w:sz w:val="24"/>
                <w:lang w:val="en-US" w:eastAsia="zh-CN"/>
              </w:rPr>
              <w:t>池</w:t>
            </w:r>
            <w:r>
              <w:rPr>
                <w:rFonts w:hint="default" w:ascii="Times New Roman" w:hAnsi="Times New Roman" w:cs="Times New Roman"/>
                <w:bCs/>
                <w:color w:val="auto"/>
                <w:kern w:val="0"/>
                <w:sz w:val="24"/>
              </w:rPr>
              <w:t>进行点火放喷，事故放喷时间短，属临时排放，且建设单位在发生事故放喷时制定了紧急预案，对周边居民实施临时疏散，因此事故放喷对周边人群健康基本无影响，对环境影响也较小。</w:t>
            </w:r>
          </w:p>
          <w:p w14:paraId="7B0649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3</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柴油发电机组燃烧废气</w:t>
            </w:r>
          </w:p>
          <w:p w14:paraId="56FEA2E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4"/>
              </w:rPr>
            </w:pPr>
            <w:r>
              <w:rPr>
                <w:rFonts w:hint="default" w:ascii="Times New Roman" w:hAnsi="Times New Roman" w:cs="Times New Roman"/>
                <w:bCs/>
                <w:color w:val="auto"/>
                <w:kern w:val="0"/>
                <w:sz w:val="24"/>
              </w:rPr>
              <w:t>本项目采用ZJ70D钻机钻井，钻井作业时，本项目采用电网进行供电，停电时采用备用柴油发电机为钻机的各种设备如泥浆泵、天车、转盘等提供动力。根据调查，对于ZJ70D钻机，常规钻井阶段柴油消耗为4t/100m，本项目设计井深约</w:t>
            </w:r>
            <w:r>
              <w:rPr>
                <w:rFonts w:hint="eastAsia" w:cs="Times New Roman"/>
                <w:bCs/>
                <w:color w:val="auto"/>
                <w:kern w:val="0"/>
                <w:sz w:val="24"/>
                <w:lang w:val="en-US" w:eastAsia="zh-CN"/>
              </w:rPr>
              <w:t>4998m，</w:t>
            </w:r>
            <w:r>
              <w:rPr>
                <w:rFonts w:hint="eastAsia" w:ascii="Times New Roman" w:hAnsi="Times New Roman" w:cs="Times New Roman"/>
                <w:bCs/>
                <w:color w:val="auto"/>
                <w:kern w:val="0"/>
                <w:sz w:val="24"/>
                <w:szCs w:val="24"/>
                <w:lang w:val="en-US" w:eastAsia="zh-CN"/>
              </w:rPr>
              <w:t>最不利情况下</w:t>
            </w:r>
            <w:r>
              <w:rPr>
                <w:rFonts w:hint="default" w:ascii="Times New Roman" w:hAnsi="Times New Roman" w:cs="Times New Roman"/>
                <w:bCs/>
                <w:color w:val="auto"/>
                <w:kern w:val="0"/>
                <w:sz w:val="24"/>
                <w:szCs w:val="24"/>
              </w:rPr>
              <w:t>柴油</w:t>
            </w:r>
            <w:r>
              <w:rPr>
                <w:rFonts w:hint="eastAsia" w:ascii="Times New Roman" w:hAnsi="Times New Roman" w:cs="Times New Roman"/>
                <w:bCs/>
                <w:color w:val="auto"/>
                <w:kern w:val="0"/>
                <w:sz w:val="24"/>
                <w:szCs w:val="24"/>
                <w:lang w:val="en-US" w:eastAsia="zh-CN"/>
              </w:rPr>
              <w:t>最大</w:t>
            </w:r>
            <w:r>
              <w:rPr>
                <w:rFonts w:hint="default" w:ascii="Times New Roman" w:hAnsi="Times New Roman" w:cs="Times New Roman"/>
                <w:bCs/>
                <w:color w:val="auto"/>
                <w:kern w:val="0"/>
                <w:sz w:val="24"/>
                <w:szCs w:val="24"/>
              </w:rPr>
              <w:t>用量约</w:t>
            </w:r>
            <w:r>
              <w:rPr>
                <w:rFonts w:hint="eastAsia" w:cs="Times New Roman"/>
                <w:bCs/>
                <w:color w:val="auto"/>
                <w:kern w:val="0"/>
                <w:sz w:val="24"/>
                <w:szCs w:val="24"/>
                <w:lang w:val="en-US" w:eastAsia="zh-CN"/>
              </w:rPr>
              <w:t>200</w:t>
            </w:r>
            <w:r>
              <w:rPr>
                <w:rFonts w:hint="default" w:ascii="Times New Roman" w:hAnsi="Times New Roman" w:cs="Times New Roman"/>
                <w:bCs/>
                <w:color w:val="auto"/>
                <w:kern w:val="0"/>
                <w:sz w:val="24"/>
              </w:rPr>
              <w:t>t。</w:t>
            </w:r>
            <w:r>
              <w:rPr>
                <w:rFonts w:hint="default" w:ascii="Times New Roman" w:hAnsi="Times New Roman" w:cs="Times New Roman"/>
                <w:bCs/>
                <w:color w:val="auto"/>
                <w:kern w:val="0"/>
                <w:sz w:val="24"/>
                <w:szCs w:val="24"/>
              </w:rPr>
              <w:t>拟建项目使用的为合格的轻质环保型柴油成品，柴油燃烧主要污染因子为</w:t>
            </w:r>
            <w:r>
              <w:rPr>
                <w:rFonts w:hint="default" w:ascii="Times New Roman" w:hAnsi="Times New Roman" w:cs="Times New Roman"/>
                <w:bCs/>
                <w:color w:val="auto"/>
                <w:kern w:val="0"/>
                <w:sz w:val="24"/>
              </w:rPr>
              <w:t>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w:t>
            </w:r>
            <w:r>
              <w:rPr>
                <w:rFonts w:hint="default" w:ascii="Times New Roman" w:hAnsi="Times New Roman" w:cs="Times New Roman"/>
                <w:bCs/>
                <w:color w:val="auto"/>
                <w:kern w:val="0"/>
                <w:sz w:val="24"/>
                <w:szCs w:val="24"/>
              </w:rPr>
              <w:t>NOx和烟尘等。</w:t>
            </w:r>
          </w:p>
          <w:p w14:paraId="3B6D3527">
            <w:pPr>
              <w:keepNext w:val="0"/>
              <w:keepLines w:val="0"/>
              <w:suppressLineNumbers w:val="0"/>
              <w:spacing w:before="0" w:beforeAutospacing="0" w:after="0" w:afterAutospacing="0" w:line="360" w:lineRule="auto"/>
              <w:ind w:left="0" w:right="0" w:firstLine="480" w:firstLineChars="200"/>
              <w:rPr>
                <w:rFonts w:hint="eastAsia" w:cs="Times New Roman"/>
                <w:bCs/>
                <w:color w:val="auto"/>
                <w:kern w:val="0"/>
                <w:sz w:val="24"/>
                <w:lang w:eastAsia="zh-CN"/>
              </w:rPr>
            </w:pPr>
            <w:r>
              <w:rPr>
                <w:rFonts w:hint="eastAsia" w:ascii="Times New Roman" w:hAnsi="Times New Roman" w:eastAsia="宋体" w:cs="Times New Roman"/>
                <w:bCs/>
                <w:color w:val="auto"/>
                <w:kern w:val="0"/>
                <w:sz w:val="24"/>
                <w:szCs w:val="24"/>
                <w:lang w:val="en-US" w:eastAsia="zh-CN"/>
              </w:rPr>
              <w:t>项目所在地地势开阔，柴油发电机废气</w:t>
            </w:r>
            <w:r>
              <w:rPr>
                <w:rFonts w:hint="eastAsia" w:cs="Times New Roman"/>
                <w:bCs/>
                <w:color w:val="auto"/>
                <w:kern w:val="0"/>
                <w:sz w:val="24"/>
                <w:lang w:val="en-US" w:eastAsia="zh-CN"/>
              </w:rPr>
              <w:t>经自带尾气净化装置处理后排放</w:t>
            </w:r>
            <w:r>
              <w:rPr>
                <w:rFonts w:hint="eastAsia" w:ascii="Times New Roman" w:hAnsi="Times New Roman" w:eastAsia="宋体" w:cs="Times New Roman"/>
                <w:bCs/>
                <w:color w:val="auto"/>
                <w:kern w:val="0"/>
                <w:sz w:val="24"/>
                <w:szCs w:val="24"/>
                <w:lang w:val="en-US" w:eastAsia="zh-CN"/>
              </w:rPr>
              <w:t>到环境空气中后将很快被稀释，且其影响的持续时间较短，随着钻</w:t>
            </w:r>
            <w:r>
              <w:rPr>
                <w:rFonts w:hint="eastAsia" w:ascii="Times New Roman" w:hAnsi="Times New Roman" w:eastAsia="宋体" w:cs="Times New Roman"/>
                <w:bCs/>
                <w:color w:val="auto"/>
                <w:kern w:val="0"/>
                <w:sz w:val="24"/>
                <w:szCs w:val="24"/>
              </w:rPr>
              <w:t>井期的结束而消失，对环境影响较小。</w:t>
            </w:r>
          </w:p>
          <w:p w14:paraId="3D30809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lang w:val="en-US" w:eastAsia="zh-CN"/>
              </w:rPr>
            </w:pPr>
            <w:r>
              <w:rPr>
                <w:rFonts w:hint="eastAsia" w:cs="Times New Roman"/>
                <w:bCs/>
                <w:color w:val="auto"/>
                <w:kern w:val="0"/>
                <w:sz w:val="24"/>
                <w:lang w:eastAsia="zh-CN"/>
              </w:rPr>
              <w:t>（</w:t>
            </w:r>
            <w:r>
              <w:rPr>
                <w:rFonts w:hint="eastAsia" w:cs="Times New Roman"/>
                <w:bCs/>
                <w:color w:val="auto"/>
                <w:kern w:val="0"/>
                <w:sz w:val="24"/>
                <w:lang w:val="en-US" w:eastAsia="zh-CN"/>
              </w:rPr>
              <w:t>4</w:t>
            </w:r>
            <w:r>
              <w:rPr>
                <w:rFonts w:hint="eastAsia" w:cs="Times New Roman"/>
                <w:bCs/>
                <w:color w:val="auto"/>
                <w:kern w:val="0"/>
                <w:sz w:val="24"/>
                <w:lang w:eastAsia="zh-CN"/>
              </w:rPr>
              <w:t>）</w:t>
            </w:r>
            <w:r>
              <w:rPr>
                <w:rFonts w:hint="eastAsia" w:cs="Times New Roman"/>
                <w:bCs/>
                <w:color w:val="auto"/>
                <w:kern w:val="0"/>
                <w:sz w:val="24"/>
                <w:lang w:val="en-US" w:eastAsia="zh-CN"/>
              </w:rPr>
              <w:t>锅炉烟气</w:t>
            </w:r>
          </w:p>
          <w:p w14:paraId="3B1B5A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2t/h），用于该情况出现时井口、管汇、放喷管线的保温，避免管线堵塞、憋压刺漏风险。</w:t>
            </w:r>
            <w:r>
              <w:rPr>
                <w:rFonts w:hint="eastAsia" w:ascii="Times New Roman" w:hAnsi="Times New Roman" w:eastAsia="宋体" w:cs="Times New Roman"/>
                <w:color w:val="auto"/>
                <w:sz w:val="24"/>
                <w:lang w:val="en-US" w:eastAsia="zh-CN"/>
              </w:rPr>
              <w:t>根据设计资料，若遇</w:t>
            </w:r>
            <w:r>
              <w:rPr>
                <w:rFonts w:hint="eastAsia" w:ascii="Times New Roman" w:hAnsi="Times New Roman" w:cs="Times New Roman"/>
                <w:color w:val="auto"/>
                <w:sz w:val="24"/>
                <w:lang w:val="en-US" w:eastAsia="zh-CN"/>
              </w:rPr>
              <w:t>环境低温、压差大等特殊情况时，采用蒸汽锅炉进行保温，柴油最大消耗量为300kg/d，柴油</w:t>
            </w:r>
            <w:r>
              <w:rPr>
                <w:rFonts w:hint="eastAsia" w:ascii="Times New Roman" w:hAnsi="Times New Roman" w:eastAsia="宋体" w:cs="Times New Roman"/>
                <w:color w:val="auto"/>
                <w:sz w:val="24"/>
                <w:lang w:val="en-US" w:eastAsia="zh-CN"/>
              </w:rPr>
              <w:t>含硫量低于</w:t>
            </w:r>
            <w:r>
              <w:rPr>
                <w:rFonts w:hint="default" w:ascii="Times New Roman" w:hAnsi="Times New Roman" w:eastAsia="宋体" w:cs="Times New Roman"/>
                <w:color w:val="auto"/>
                <w:sz w:val="24"/>
                <w:lang w:val="en-US" w:eastAsia="zh-CN"/>
              </w:rPr>
              <w:t>0.001%</w:t>
            </w:r>
            <w:r>
              <w:rPr>
                <w:rFonts w:hint="eastAsia" w:ascii="Times New Roman" w:hAnsi="Times New Roman" w:eastAsia="宋体" w:cs="Times New Roman"/>
                <w:color w:val="auto"/>
                <w:sz w:val="24"/>
                <w:lang w:val="en-US" w:eastAsia="zh-CN"/>
              </w:rPr>
              <w:t>。</w:t>
            </w:r>
          </w:p>
          <w:p w14:paraId="0CDBE651">
            <w:pPr>
              <w:keepNext w:val="0"/>
              <w:keepLines w:val="0"/>
              <w:suppressLineNumbers w:val="0"/>
              <w:spacing w:before="0" w:beforeAutospacing="0" w:after="0" w:afterAutospacing="0" w:line="360" w:lineRule="auto"/>
              <w:ind w:left="0" w:right="0" w:firstLine="480" w:firstLineChars="200"/>
              <w:jc w:val="left"/>
              <w:rPr>
                <w:rFonts w:hint="default" w:cs="Times New Roman"/>
                <w:bCs/>
                <w:color w:val="auto"/>
                <w:kern w:val="0"/>
                <w:sz w:val="24"/>
                <w:lang w:val="en-US" w:eastAsia="zh-CN"/>
              </w:rPr>
            </w:pPr>
            <w:r>
              <w:rPr>
                <w:rFonts w:hint="eastAsia" w:ascii="Times New Roman" w:hAnsi="Times New Roman" w:eastAsia="宋体" w:cs="Times New Roman"/>
                <w:color w:val="auto"/>
                <w:sz w:val="24"/>
                <w:lang w:val="en-US" w:eastAsia="zh-CN"/>
              </w:rPr>
              <w:t>根据</w:t>
            </w:r>
            <w:r>
              <w:rPr>
                <w:rFonts w:hint="default" w:ascii="Times New Roman" w:hAnsi="Times New Roman" w:eastAsia="宋体" w:cs="Times New Roman"/>
                <w:color w:val="auto"/>
                <w:kern w:val="2"/>
                <w:sz w:val="24"/>
                <w:szCs w:val="26"/>
                <w:lang w:val="en-US" w:eastAsia="zh-CN" w:bidi="ar-SA"/>
              </w:rPr>
              <w:t>生态环境部发布</w:t>
            </w:r>
            <w:r>
              <w:rPr>
                <w:rFonts w:hint="eastAsia" w:ascii="Times New Roman" w:hAnsi="Times New Roman" w:eastAsia="宋体" w:cs="Times New Roman"/>
                <w:color w:val="auto"/>
                <w:kern w:val="2"/>
                <w:sz w:val="24"/>
                <w:szCs w:val="26"/>
                <w:lang w:val="en-US" w:eastAsia="zh-CN" w:bidi="ar-SA"/>
              </w:rPr>
              <w:t>的</w:t>
            </w:r>
            <w:r>
              <w:rPr>
                <w:rFonts w:hint="default" w:ascii="Times New Roman" w:hAnsi="Times New Roman" w:eastAsia="宋体" w:cs="Times New Roman"/>
                <w:color w:val="auto"/>
                <w:kern w:val="2"/>
                <w:sz w:val="24"/>
                <w:szCs w:val="26"/>
                <w:lang w:val="en-US" w:eastAsia="zh-CN" w:bidi="ar-SA"/>
              </w:rPr>
              <w:t>《工业源产排污核算方法和系数手册》（2021年6月）</w:t>
            </w:r>
            <w:r>
              <w:rPr>
                <w:rFonts w:hint="eastAsia" w:ascii="Times New Roman" w:hAnsi="Times New Roman" w:eastAsia="宋体" w:cs="Times New Roman"/>
                <w:color w:val="auto"/>
                <w:kern w:val="2"/>
                <w:sz w:val="24"/>
                <w:szCs w:val="26"/>
                <w:lang w:val="en-US" w:eastAsia="zh-CN" w:bidi="ar-SA"/>
              </w:rPr>
              <w:t>，最不利情况下项目最大锅炉烟气量为0.3×17804=5341.2m</w:t>
            </w:r>
            <w:r>
              <w:rPr>
                <w:rFonts w:hint="eastAsia" w:ascii="Times New Roman" w:hAnsi="Times New Roman" w:eastAsia="宋体" w:cs="Times New Roman"/>
                <w:color w:val="auto"/>
                <w:kern w:val="2"/>
                <w:sz w:val="24"/>
                <w:szCs w:val="26"/>
                <w:vertAlign w:val="superscript"/>
                <w:lang w:val="en-US" w:eastAsia="zh-CN" w:bidi="ar-SA"/>
              </w:rPr>
              <w:t>3</w:t>
            </w:r>
            <w:r>
              <w:rPr>
                <w:rFonts w:hint="eastAsia" w:ascii="Times New Roman" w:hAnsi="Times New Roman" w:eastAsia="宋体" w:cs="Times New Roman"/>
                <w:color w:val="auto"/>
                <w:kern w:val="2"/>
                <w:sz w:val="24"/>
                <w:szCs w:val="26"/>
                <w:lang w:val="en-US" w:eastAsia="zh-CN" w:bidi="ar-SA"/>
              </w:rPr>
              <w:t>/d</w:t>
            </w:r>
            <w:r>
              <w:rPr>
                <w:rFonts w:hint="eastAsia" w:cs="Times New Roman"/>
                <w:bCs/>
                <w:color w:val="auto"/>
                <w:kern w:val="0"/>
                <w:sz w:val="24"/>
                <w:lang w:val="en-US" w:eastAsia="zh-CN"/>
              </w:rPr>
              <w:t>，颗粒物产生量为0.26×0.3=0.078kg/d，SO</w:t>
            </w:r>
            <w:r>
              <w:rPr>
                <w:rFonts w:hint="eastAsia" w:cs="Times New Roman"/>
                <w:bCs/>
                <w:color w:val="auto"/>
                <w:kern w:val="0"/>
                <w:sz w:val="24"/>
                <w:vertAlign w:val="subscript"/>
                <w:lang w:val="en-US" w:eastAsia="zh-CN"/>
              </w:rPr>
              <w:t>2</w:t>
            </w:r>
            <w:r>
              <w:rPr>
                <w:rFonts w:hint="eastAsia" w:cs="Times New Roman"/>
                <w:bCs/>
                <w:color w:val="auto"/>
                <w:kern w:val="0"/>
                <w:sz w:val="24"/>
                <w:lang w:val="en-US" w:eastAsia="zh-CN"/>
              </w:rPr>
              <w:t>产生量为19×0.001=0.019kg/d，NO</w:t>
            </w:r>
            <w:r>
              <w:rPr>
                <w:rFonts w:hint="eastAsia" w:cs="Times New Roman"/>
                <w:bCs/>
                <w:color w:val="auto"/>
                <w:kern w:val="0"/>
                <w:sz w:val="24"/>
                <w:vertAlign w:val="subscript"/>
                <w:lang w:val="en-US" w:eastAsia="zh-CN"/>
              </w:rPr>
              <w:t>X</w:t>
            </w:r>
            <w:r>
              <w:rPr>
                <w:rFonts w:hint="eastAsia" w:cs="Times New Roman"/>
                <w:bCs/>
                <w:color w:val="auto"/>
                <w:kern w:val="0"/>
                <w:sz w:val="24"/>
                <w:lang w:val="en-US" w:eastAsia="zh-CN"/>
              </w:rPr>
              <w:t>产生量为3.03×0.3=0.909kg/d，锅炉烟气中颗粒物浓度为14.6mg/m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，SO</w:t>
            </w:r>
            <w:r>
              <w:rPr>
                <w:rFonts w:hint="eastAsia" w:cs="Times New Roman"/>
                <w:bCs/>
                <w:color w:val="auto"/>
                <w:kern w:val="0"/>
                <w:sz w:val="24"/>
                <w:vertAlign w:val="subscript"/>
                <w:lang w:val="en-US" w:eastAsia="zh-CN"/>
              </w:rPr>
              <w:t>2</w:t>
            </w:r>
            <w:r>
              <w:rPr>
                <w:rFonts w:hint="eastAsia" w:cs="Times New Roman"/>
                <w:bCs/>
                <w:color w:val="auto"/>
                <w:kern w:val="0"/>
                <w:sz w:val="24"/>
                <w:lang w:val="en-US" w:eastAsia="zh-CN"/>
              </w:rPr>
              <w:t>浓度为3.6mg/m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，NO</w:t>
            </w:r>
            <w:r>
              <w:rPr>
                <w:rFonts w:hint="eastAsia" w:cs="Times New Roman"/>
                <w:bCs/>
                <w:color w:val="auto"/>
                <w:kern w:val="0"/>
                <w:sz w:val="24"/>
                <w:vertAlign w:val="subscript"/>
                <w:lang w:val="en-US" w:eastAsia="zh-CN"/>
              </w:rPr>
              <w:t>X</w:t>
            </w:r>
            <w:r>
              <w:rPr>
                <w:rFonts w:hint="eastAsia" w:cs="Times New Roman"/>
                <w:bCs/>
                <w:color w:val="auto"/>
                <w:kern w:val="0"/>
                <w:sz w:val="24"/>
                <w:lang w:val="en-US" w:eastAsia="zh-CN"/>
              </w:rPr>
              <w:t>浓度为170.2mg/m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。锅炉烟气通过排气筒（8m）排放，锅炉烟气排放浓度满足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中表二标准浓度限值，对区域环境影响较小。</w:t>
            </w:r>
          </w:p>
          <w:p w14:paraId="57E092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综上所述，本项目事故放喷时间较短，燃烧后主要污染物为CO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、NOx和水，所产生的污染物产生量较小，并将随放喷结束而消除</w:t>
            </w:r>
            <w:r>
              <w:rPr>
                <w:rFonts w:hint="eastAsia" w:ascii="Times New Roman" w:hAnsi="Times New Roman" w:cs="Times New Roman"/>
                <w:bCs/>
                <w:color w:val="auto"/>
                <w:kern w:val="0"/>
                <w:sz w:val="24"/>
              </w:rPr>
              <w:t>；</w:t>
            </w:r>
            <w:r>
              <w:rPr>
                <w:rFonts w:hint="eastAsia" w:ascii="Times New Roman" w:hAnsi="Times New Roman" w:cs="Times New Roman"/>
                <w:bCs/>
                <w:color w:val="auto"/>
                <w:kern w:val="0"/>
                <w:sz w:val="24"/>
                <w:lang w:val="en-US" w:eastAsia="zh-CN"/>
              </w:rPr>
              <w:t>备用</w:t>
            </w:r>
            <w:r>
              <w:rPr>
                <w:rFonts w:hint="default" w:ascii="Times New Roman" w:hAnsi="Times New Roman" w:cs="Times New Roman"/>
                <w:bCs/>
                <w:color w:val="auto"/>
                <w:kern w:val="0"/>
                <w:sz w:val="24"/>
              </w:rPr>
              <w:t>柴油</w:t>
            </w:r>
            <w:r>
              <w:rPr>
                <w:rFonts w:hint="eastAsia" w:ascii="Times New Roman" w:hAnsi="Times New Roman" w:cs="Times New Roman"/>
                <w:bCs/>
                <w:color w:val="auto"/>
                <w:kern w:val="0"/>
                <w:sz w:val="24"/>
                <w:lang w:val="en-US" w:eastAsia="zh-CN"/>
              </w:rPr>
              <w:t>发电</w:t>
            </w:r>
            <w:r>
              <w:rPr>
                <w:rFonts w:hint="default" w:ascii="Times New Roman" w:hAnsi="Times New Roman" w:cs="Times New Roman"/>
                <w:bCs/>
                <w:color w:val="auto"/>
                <w:kern w:val="0"/>
                <w:sz w:val="24"/>
              </w:rPr>
              <w:t>机废气</w:t>
            </w:r>
            <w:r>
              <w:rPr>
                <w:rFonts w:hint="eastAsia" w:cs="Times New Roman"/>
                <w:bCs/>
                <w:color w:val="auto"/>
                <w:kern w:val="0"/>
                <w:sz w:val="24"/>
                <w:lang w:val="en-US" w:eastAsia="zh-CN"/>
              </w:rPr>
              <w:t>经自带尾气净化装置处理后排放</w:t>
            </w:r>
            <w:r>
              <w:rPr>
                <w:rFonts w:hint="default" w:ascii="Times New Roman" w:hAnsi="Times New Roman" w:cs="Times New Roman"/>
                <w:bCs/>
                <w:color w:val="auto"/>
                <w:kern w:val="0"/>
                <w:sz w:val="24"/>
              </w:rPr>
              <w:t>到环境空气中后将很快被稀释，且其影响的持续时间较短</w:t>
            </w:r>
            <w:r>
              <w:rPr>
                <w:rFonts w:hint="eastAsia" w:cs="Times New Roman"/>
                <w:bCs/>
                <w:color w:val="auto"/>
                <w:kern w:val="0"/>
                <w:sz w:val="24"/>
                <w:lang w:eastAsia="zh-CN"/>
              </w:rPr>
              <w:t>；</w:t>
            </w:r>
            <w:r>
              <w:rPr>
                <w:rFonts w:hint="eastAsia" w:cs="Times New Roman"/>
                <w:bCs/>
                <w:color w:val="auto"/>
                <w:kern w:val="0"/>
                <w:sz w:val="24"/>
                <w:lang w:val="en-US" w:eastAsia="zh-CN"/>
              </w:rPr>
              <w:t>最不利情况下锅炉烟气排放浓度满足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r>
              <w:rPr>
                <w:rFonts w:hint="default" w:ascii="Times New Roman" w:hAnsi="Times New Roman" w:cs="Times New Roman"/>
                <w:bCs/>
                <w:color w:val="auto"/>
                <w:kern w:val="0"/>
                <w:sz w:val="24"/>
              </w:rPr>
              <w:t>对环境空气影响较小</w:t>
            </w:r>
            <w:r>
              <w:rPr>
                <w:rFonts w:hint="eastAsia" w:cs="Times New Roman"/>
                <w:bCs/>
                <w:color w:val="auto"/>
                <w:kern w:val="0"/>
                <w:sz w:val="24"/>
                <w:lang w:val="en-US" w:eastAsia="zh-CN"/>
              </w:rPr>
              <w:t>能被</w:t>
            </w:r>
            <w:r>
              <w:rPr>
                <w:rFonts w:hint="default" w:ascii="Times New Roman" w:hAnsi="Times New Roman" w:cs="Times New Roman"/>
                <w:bCs/>
                <w:color w:val="auto"/>
                <w:kern w:val="0"/>
                <w:sz w:val="24"/>
              </w:rPr>
              <w:t>接受。</w:t>
            </w:r>
          </w:p>
          <w:p w14:paraId="12FF416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2、地表水环境影响分析</w:t>
            </w:r>
          </w:p>
          <w:p w14:paraId="6E69D2A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根据《环境影响评价技术导则 陆地石油天然气开发建设项目》</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349-2023</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分析了本项目地表水产生情况。</w:t>
            </w:r>
          </w:p>
          <w:p w14:paraId="23834E8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（1）项目废水</w:t>
            </w:r>
          </w:p>
          <w:p w14:paraId="5E25DD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本项目钻井期间和</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期间产生的废水主要包括钻井废水、洗井废水、</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r>
              <w:rPr>
                <w:rFonts w:hint="default" w:ascii="Times New Roman" w:hAnsi="Times New Roman" w:cs="Times New Roman"/>
                <w:bCs/>
                <w:color w:val="auto"/>
                <w:sz w:val="24"/>
              </w:rPr>
              <w:t>、压裂废水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default" w:ascii="Times New Roman" w:hAnsi="Times New Roman" w:cs="Times New Roman"/>
                <w:bCs/>
                <w:color w:val="auto"/>
                <w:sz w:val="24"/>
              </w:rPr>
              <w:t>和生活污水。</w:t>
            </w:r>
          </w:p>
          <w:p w14:paraId="58C9A7F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1）钻井废水、洗井废水</w:t>
            </w:r>
          </w:p>
          <w:p w14:paraId="7B8EBE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cs="Times New Roman"/>
                <w:bCs/>
                <w:color w:val="auto"/>
                <w:sz w:val="24"/>
              </w:rPr>
              <w:t>阶段</w:t>
            </w:r>
            <w:r>
              <w:rPr>
                <w:rFonts w:hint="eastAsia" w:cs="Times New Roman"/>
                <w:bCs/>
                <w:color w:val="auto"/>
                <w:sz w:val="24"/>
                <w:lang w:eastAsia="zh-CN"/>
              </w:rPr>
              <w:t>（</w:t>
            </w:r>
            <w:r>
              <w:rPr>
                <w:rFonts w:hint="eastAsia" w:cs="Times New Roman"/>
                <w:bCs/>
                <w:color w:val="auto"/>
                <w:sz w:val="24"/>
                <w:lang w:val="en-US" w:eastAsia="zh-CN"/>
              </w:rPr>
              <w:t>导管段</w:t>
            </w:r>
            <w:r>
              <w:rPr>
                <w:rFonts w:hint="eastAsia" w:cs="Times New Roman"/>
                <w:bCs/>
                <w:color w:val="auto"/>
                <w:sz w:val="24"/>
                <w:lang w:eastAsia="zh-CN"/>
              </w:rPr>
              <w:t>）</w:t>
            </w:r>
            <w:r>
              <w:rPr>
                <w:rFonts w:hint="default" w:ascii="Times New Roman" w:hAnsi="Times New Roman" w:cs="Times New Roman"/>
                <w:bCs/>
                <w:color w:val="auto"/>
                <w:sz w:val="24"/>
              </w:rPr>
              <w:t>：</w:t>
            </w: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cs="Times New Roman"/>
                <w:bCs/>
                <w:color w:val="auto"/>
                <w:sz w:val="24"/>
              </w:rPr>
              <w:t>使用清水，除附着于岩屑部分外的</w:t>
            </w:r>
            <w:r>
              <w:rPr>
                <w:rFonts w:hint="eastAsia" w:ascii="Times New Roman" w:hAnsi="Times New Roman" w:cs="Times New Roman"/>
                <w:bCs/>
                <w:color w:val="auto"/>
                <w:sz w:val="24"/>
                <w:lang w:val="en-US" w:eastAsia="zh-CN"/>
              </w:rPr>
              <w:t>废水</w:t>
            </w:r>
            <w:r>
              <w:rPr>
                <w:rFonts w:hint="default" w:ascii="Times New Roman" w:hAnsi="Times New Roman" w:cs="Times New Roman"/>
                <w:bCs/>
                <w:color w:val="auto"/>
                <w:sz w:val="24"/>
              </w:rPr>
              <w:t>循环使用，</w:t>
            </w:r>
            <w:r>
              <w:rPr>
                <w:rFonts w:hint="eastAsia" w:cs="Times New Roman"/>
                <w:bCs/>
                <w:color w:val="auto"/>
                <w:sz w:val="24"/>
                <w:lang w:val="en-US" w:eastAsia="zh-CN"/>
              </w:rPr>
              <w:t>导管段</w:t>
            </w:r>
            <w:r>
              <w:rPr>
                <w:rFonts w:hint="default" w:ascii="Times New Roman" w:hAnsi="Times New Roman" w:cs="Times New Roman"/>
                <w:bCs/>
                <w:color w:val="auto"/>
                <w:sz w:val="24"/>
              </w:rPr>
              <w:t>结束后剩余的</w:t>
            </w:r>
            <w:r>
              <w:rPr>
                <w:rFonts w:hint="eastAsia" w:ascii="Times New Roman" w:hAnsi="Times New Roman" w:cs="Times New Roman"/>
                <w:bCs/>
                <w:color w:val="auto"/>
                <w:sz w:val="24"/>
                <w:lang w:val="en-US" w:eastAsia="zh-CN"/>
              </w:rPr>
              <w:t>废水</w:t>
            </w:r>
            <w:r>
              <w:rPr>
                <w:rFonts w:hint="default" w:ascii="Times New Roman" w:hAnsi="Times New Roman" w:cs="Times New Roman"/>
                <w:bCs/>
                <w:color w:val="auto"/>
                <w:sz w:val="24"/>
              </w:rPr>
              <w:t>用于下阶段钻井</w:t>
            </w:r>
            <w:r>
              <w:rPr>
                <w:rFonts w:hint="eastAsia" w:ascii="Times New Roman" w:hAnsi="Times New Roman" w:cs="Times New Roman"/>
                <w:bCs/>
                <w:color w:val="auto"/>
                <w:sz w:val="24"/>
                <w:lang w:val="en-US" w:eastAsia="zh-CN"/>
              </w:rPr>
              <w:t>泥浆</w:t>
            </w:r>
            <w:r>
              <w:rPr>
                <w:rFonts w:hint="default" w:ascii="Times New Roman" w:hAnsi="Times New Roman" w:cs="Times New Roman"/>
                <w:bCs/>
                <w:color w:val="auto"/>
                <w:sz w:val="24"/>
              </w:rPr>
              <w:t>液配浆。</w:t>
            </w:r>
          </w:p>
          <w:p w14:paraId="226B2E5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水基钻井液阶段：在水基钻井作业的配浆过程中会根据泥浆的不同配比要求加入不等量的水，这些水随钻井泥浆进入井底协助钻井作业，在钻井泥浆返回地面后，</w:t>
            </w:r>
            <w:r>
              <w:rPr>
                <w:rFonts w:hint="eastAsia" w:ascii="Times New Roman" w:hAnsi="Times New Roman" w:cs="Times New Roman"/>
                <w:bCs/>
                <w:color w:val="auto"/>
                <w:sz w:val="24"/>
                <w:lang w:val="en-US" w:eastAsia="zh-CN"/>
              </w:rPr>
              <w:t>钻井废水</w:t>
            </w:r>
            <w:r>
              <w:rPr>
                <w:rFonts w:hint="default" w:ascii="Times New Roman" w:hAnsi="Times New Roman" w:cs="Times New Roman"/>
                <w:bCs/>
                <w:color w:val="auto"/>
                <w:sz w:val="24"/>
              </w:rPr>
              <w:t>随泥浆进入泥浆循环系统回用，</w:t>
            </w:r>
            <w:r>
              <w:rPr>
                <w:rFonts w:hint="eastAsia" w:ascii="Times New Roman" w:hAnsi="Times New Roman" w:cs="Times New Roman"/>
                <w:bCs/>
                <w:color w:val="auto"/>
                <w:sz w:val="24"/>
                <w:lang w:val="en-US" w:eastAsia="zh-CN"/>
              </w:rPr>
              <w:t>钻井岩屑压滤出的废水用于钻井泥浆</w:t>
            </w:r>
            <w:r>
              <w:rPr>
                <w:rFonts w:hint="eastAsia" w:cs="Times New Roman"/>
                <w:bCs/>
                <w:color w:val="auto"/>
                <w:sz w:val="24"/>
                <w:lang w:val="en-US" w:eastAsia="zh-CN"/>
              </w:rPr>
              <w:t>配制</w:t>
            </w:r>
            <w:r>
              <w:rPr>
                <w:rFonts w:hint="default" w:ascii="Times New Roman" w:hAnsi="Times New Roman" w:cs="Times New Roman"/>
                <w:bCs/>
                <w:color w:val="auto"/>
                <w:sz w:val="24"/>
              </w:rPr>
              <w:t>。</w:t>
            </w:r>
          </w:p>
          <w:p w14:paraId="7C540D3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0~</w:t>
            </w:r>
            <w:r>
              <w:rPr>
                <w:rFonts w:hint="eastAsia" w:cs="Times New Roman"/>
                <w:bCs/>
                <w:color w:val="auto"/>
                <w:sz w:val="24"/>
                <w:lang w:val="en-US" w:eastAsia="zh-CN"/>
              </w:rPr>
              <w:t>5</w:t>
            </w:r>
            <w:r>
              <w:rPr>
                <w:rFonts w:hint="eastAsia" w:ascii="Times New Roman" w:hAnsi="Times New Roman" w:cs="Times New Roman"/>
                <w:bCs/>
                <w:color w:val="auto"/>
                <w:sz w:val="24"/>
                <w:lang w:val="en-US" w:eastAsia="zh-CN"/>
              </w:rPr>
              <w:t>0m</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及水基泥浆钻井液钻井</w:t>
            </w:r>
            <w:r>
              <w:rPr>
                <w:rFonts w:hint="eastAsia" w:ascii="Times New Roman" w:hAnsi="Times New Roman" w:cs="Times New Roman"/>
                <w:bCs/>
                <w:color w:val="auto"/>
                <w:sz w:val="24"/>
                <w:lang w:val="en-US" w:eastAsia="zh-CN"/>
              </w:rPr>
              <w:t>段</w:t>
            </w:r>
            <w:r>
              <w:rPr>
                <w:rFonts w:hint="eastAsia" w:ascii="Times New Roman" w:hAnsi="Times New Roman" w:cs="Times New Roman"/>
                <w:bCs/>
                <w:color w:val="auto"/>
                <w:sz w:val="24"/>
                <w:lang w:eastAsia="zh-CN"/>
              </w:rPr>
              <w:t>（</w:t>
            </w:r>
            <w:r>
              <w:rPr>
                <w:rFonts w:hint="eastAsia" w:cs="Times New Roman"/>
                <w:bCs/>
                <w:color w:val="auto"/>
                <w:sz w:val="24"/>
                <w:lang w:val="en-US" w:eastAsia="zh-CN"/>
              </w:rPr>
              <w:t>51</w:t>
            </w:r>
            <w:r>
              <w:rPr>
                <w:rFonts w:hint="eastAsia" w:ascii="Times New Roman" w:hAnsi="Times New Roman" w:cs="Times New Roman"/>
                <w:bCs/>
                <w:color w:val="auto"/>
                <w:sz w:val="24"/>
                <w:lang w:val="en-US" w:eastAsia="zh-CN"/>
              </w:rPr>
              <w:t>~</w:t>
            </w:r>
            <w:r>
              <w:rPr>
                <w:rFonts w:hint="eastAsia" w:cs="Times New Roman"/>
                <w:bCs/>
                <w:color w:val="auto"/>
                <w:sz w:val="24"/>
                <w:lang w:val="en-US" w:eastAsia="zh-CN"/>
              </w:rPr>
              <w:t>4998</w:t>
            </w:r>
            <w:r>
              <w:rPr>
                <w:rFonts w:hint="eastAsia" w:ascii="Times New Roman" w:hAnsi="Times New Roman" w:cs="Times New Roman"/>
                <w:bCs/>
                <w:color w:val="auto"/>
                <w:sz w:val="24"/>
                <w:lang w:val="en-US" w:eastAsia="zh-CN"/>
              </w:rPr>
              <w:t>m</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总</w:t>
            </w:r>
            <w:r>
              <w:rPr>
                <w:rFonts w:hint="default" w:ascii="Times New Roman" w:hAnsi="Times New Roman" w:cs="Times New Roman"/>
                <w:bCs/>
                <w:color w:val="auto"/>
                <w:sz w:val="24"/>
              </w:rPr>
              <w:t>深度为</w:t>
            </w:r>
            <w:r>
              <w:rPr>
                <w:rFonts w:hint="eastAsia" w:cs="Times New Roman"/>
                <w:bCs/>
                <w:color w:val="auto"/>
                <w:sz w:val="24"/>
                <w:lang w:val="en-US" w:eastAsia="zh-CN"/>
              </w:rPr>
              <w:t>4998</w:t>
            </w:r>
            <w:r>
              <w:rPr>
                <w:rFonts w:hint="eastAsia" w:ascii="Times New Roman" w:hAnsi="Times New Roman" w:cs="Times New Roman"/>
                <w:bCs/>
                <w:color w:val="auto"/>
                <w:sz w:val="24"/>
                <w:lang w:val="en-US" w:eastAsia="zh-CN"/>
              </w:rPr>
              <w:t>m，</w:t>
            </w:r>
            <w:r>
              <w:rPr>
                <w:rFonts w:hint="default" w:ascii="Times New Roman" w:hAnsi="Times New Roman" w:cs="Times New Roman"/>
                <w:bCs/>
                <w:color w:val="auto"/>
                <w:sz w:val="24"/>
              </w:rPr>
              <w:t>根据邻井钻井废水产生经验数据，常规钻阶段每米进尺用水量约为0.4m³，钻井过程中产生的废水经处理后回用于水基钻井液的配制。钻井废水回用率约为90%以上，循环过程中的水损耗量约为5%。</w:t>
            </w:r>
          </w:p>
          <w:p w14:paraId="166878B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kern w:val="0"/>
                <w:sz w:val="24"/>
              </w:rPr>
              <w:t>项目完钻后首先要进行洗井作业，本项目采用清水对套管进行清洗，根据类比调查，单口井洗井废水产生量约100m³。大部分洗井废水从井口返排进入</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cs="Times New Roman"/>
                <w:bCs/>
                <w:color w:val="auto"/>
                <w:kern w:val="0"/>
                <w:sz w:val="24"/>
              </w:rPr>
              <w:t>中，少部分洗井废水从放喷口返排到</w:t>
            </w:r>
            <w:r>
              <w:rPr>
                <w:rFonts w:hint="eastAsia" w:ascii="Times New Roman" w:hAnsi="Times New Roman" w:cs="Times New Roman"/>
                <w:bCs/>
                <w:color w:val="auto"/>
                <w:kern w:val="0"/>
                <w:sz w:val="24"/>
                <w:lang w:val="en-US" w:eastAsia="zh-CN"/>
              </w:rPr>
              <w:t>放喷池</w:t>
            </w:r>
            <w:r>
              <w:rPr>
                <w:rFonts w:hint="default" w:ascii="Times New Roman" w:hAnsi="Times New Roman" w:cs="Times New Roman"/>
                <w:bCs/>
                <w:color w:val="auto"/>
                <w:kern w:val="0"/>
                <w:sz w:val="24"/>
              </w:rPr>
              <w:t>中，</w:t>
            </w:r>
            <w:r>
              <w:rPr>
                <w:rFonts w:hint="default" w:ascii="Times New Roman" w:hAnsi="Times New Roman" w:eastAsia="宋体" w:cs="Times New Roman"/>
                <w:bCs/>
                <w:color w:val="auto"/>
                <w:kern w:val="0"/>
                <w:sz w:val="24"/>
              </w:rPr>
              <w:t>交由符合环保要求且有处理能力的钻井废水处理公司进行处理。</w:t>
            </w:r>
            <w:r>
              <w:rPr>
                <w:rFonts w:hint="eastAsia" w:ascii="Times New Roman" w:hAnsi="Times New Roman" w:eastAsia="宋体" w:cs="Times New Roman"/>
                <w:bCs/>
                <w:color w:val="auto"/>
                <w:kern w:val="0"/>
                <w:sz w:val="24"/>
                <w:lang w:val="en-US" w:eastAsia="zh-CN"/>
              </w:rPr>
              <w:t>项目钻井阶段</w:t>
            </w:r>
            <w:r>
              <w:rPr>
                <w:rFonts w:hint="default" w:ascii="Times New Roman" w:hAnsi="Times New Roman" w:cs="Times New Roman"/>
                <w:bCs/>
                <w:color w:val="auto"/>
                <w:sz w:val="24"/>
              </w:rPr>
              <w:t>新鲜用水量和废水具体产生情况见下表。</w:t>
            </w:r>
          </w:p>
          <w:p w14:paraId="0B283495">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项目钻井阶段水量一览表</w:t>
            </w:r>
            <w:r>
              <w:rPr>
                <w:rFonts w:hint="eastAsia" w:ascii="Times New Roman" w:hAnsi="Times New Roman" w:eastAsia="宋体" w:cs="Times New Roman"/>
                <w:b/>
                <w:color w:val="auto"/>
                <w:lang w:val="en-US" w:eastAsia="zh-CN"/>
              </w:rPr>
              <w:t xml:space="preserve">    单位：m</w:t>
            </w:r>
            <w:r>
              <w:rPr>
                <w:rFonts w:hint="eastAsia" w:ascii="Times New Roman" w:hAnsi="Times New Roman" w:eastAsia="宋体" w:cs="Times New Roman"/>
                <w:b/>
                <w:color w:val="auto"/>
                <w:vertAlign w:val="superscript"/>
                <w:lang w:val="en-US" w:eastAsia="zh-CN"/>
              </w:rPr>
              <w:t>3</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1"/>
              <w:gridCol w:w="1106"/>
              <w:gridCol w:w="1083"/>
              <w:gridCol w:w="917"/>
              <w:gridCol w:w="1285"/>
              <w:gridCol w:w="1154"/>
              <w:gridCol w:w="1464"/>
            </w:tblGrid>
            <w:tr w14:paraId="1F649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67" w:type="pct"/>
                  <w:tcBorders>
                    <w:top w:val="single" w:color="000000" w:sz="4" w:space="0"/>
                    <w:left w:val="single" w:color="000000" w:sz="4" w:space="0"/>
                    <w:bottom w:val="single" w:color="000000" w:sz="4" w:space="0"/>
                    <w:right w:val="single" w:color="000000" w:sz="4" w:space="0"/>
                  </w:tcBorders>
                  <w:noWrap w:val="0"/>
                  <w:vAlign w:val="center"/>
                </w:tcPr>
                <w:p w14:paraId="22F98D7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钻井阶段</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10C31F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钻深（m）</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14:paraId="3A736F6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总用水量</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664DBE3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回用量</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BA165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新鲜用水量</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4BDA1B0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损耗量</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02BBC48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剩余废水量</w:t>
                  </w:r>
                </w:p>
              </w:tc>
            </w:tr>
            <w:tr w14:paraId="763A0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67" w:type="pct"/>
                  <w:tcBorders>
                    <w:top w:val="single" w:color="000000" w:sz="4" w:space="0"/>
                    <w:left w:val="single" w:color="000000" w:sz="4" w:space="0"/>
                    <w:bottom w:val="single" w:color="000000" w:sz="4" w:space="0"/>
                    <w:right w:val="single" w:color="000000" w:sz="4" w:space="0"/>
                  </w:tcBorders>
                  <w:noWrap w:val="0"/>
                  <w:vAlign w:val="center"/>
                </w:tcPr>
                <w:p w14:paraId="7724DF48">
                  <w:pPr>
                    <w:pStyle w:val="55"/>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清水及水基泥浆钻进</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DCDA25E">
                  <w:pPr>
                    <w:pStyle w:val="55"/>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4998</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14:paraId="01D6A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2000</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F83E6B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1800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0E0753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200</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22AB83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100</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EF5C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100</w:t>
                  </w:r>
                </w:p>
              </w:tc>
            </w:tr>
            <w:tr w14:paraId="2654E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67" w:type="pct"/>
                  <w:tcBorders>
                    <w:top w:val="single" w:color="000000" w:sz="4" w:space="0"/>
                    <w:left w:val="single" w:color="000000" w:sz="4" w:space="0"/>
                    <w:bottom w:val="single" w:color="000000" w:sz="4" w:space="0"/>
                    <w:right w:val="single" w:color="000000" w:sz="4" w:space="0"/>
                  </w:tcBorders>
                  <w:noWrap w:val="0"/>
                  <w:vAlign w:val="center"/>
                </w:tcPr>
                <w:p w14:paraId="36C05F6D">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洗井</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7631662A">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638" w:type="pct"/>
                  <w:tcBorders>
                    <w:top w:val="single" w:color="000000" w:sz="4" w:space="0"/>
                    <w:left w:val="single" w:color="000000" w:sz="4" w:space="0"/>
                    <w:bottom w:val="single" w:color="000000" w:sz="4" w:space="0"/>
                    <w:right w:val="single" w:color="000000" w:sz="4" w:space="0"/>
                  </w:tcBorders>
                  <w:noWrap w:val="0"/>
                  <w:vAlign w:val="center"/>
                </w:tcPr>
                <w:p w14:paraId="633BA195">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100</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29B4680">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420EDC9">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100</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3846E8D9">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E07D223">
                  <w:pPr>
                    <w:pStyle w:val="55"/>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100</w:t>
                  </w:r>
                </w:p>
              </w:tc>
            </w:tr>
          </w:tbl>
          <w:p w14:paraId="6D54053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钻井（含洗井）废水主要污染物成分为钻井泥浆成分，其性质是钻井泥浆的高倍稀释废水。本项目采用的水基钻井泥浆不含重金属，钻井废水无重金属污染，具有色度高、COD、悬浮物浓度高的特点。</w:t>
            </w:r>
            <w:r>
              <w:rPr>
                <w:rFonts w:hint="eastAsia" w:ascii="Times New Roman" w:hAnsi="Times New Roman" w:eastAsia="宋体" w:cs="Times New Roman"/>
                <w:color w:val="auto"/>
                <w:sz w:val="24"/>
                <w:szCs w:val="24"/>
              </w:rPr>
              <w:t>元陆178井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川东北普陆701HF井</w:t>
            </w:r>
            <w:r>
              <w:rPr>
                <w:rFonts w:hint="eastAsia" w:ascii="Times New Roman" w:hAnsi="Times New Roman" w:eastAsia="宋体" w:cs="Times New Roman"/>
                <w:color w:val="auto"/>
                <w:sz w:val="24"/>
                <w:szCs w:val="24"/>
                <w:lang w:val="en-US" w:eastAsia="zh-CN"/>
              </w:rPr>
              <w:t>及</w:t>
            </w:r>
            <w:r>
              <w:rPr>
                <w:rFonts w:hint="eastAsia" w:ascii="Times New Roman" w:hAnsi="Times New Roman" w:eastAsia="宋体" w:cs="Times New Roman"/>
                <w:color w:val="auto"/>
                <w:sz w:val="24"/>
                <w:szCs w:val="24"/>
              </w:rPr>
              <w:t>中江气田产能建设项目（四期）</w:t>
            </w:r>
            <w:r>
              <w:rPr>
                <w:rFonts w:hint="eastAsia" w:ascii="Times New Roman" w:hAnsi="Times New Roman" w:eastAsia="宋体" w:cs="Times New Roman"/>
                <w:color w:val="auto"/>
                <w:sz w:val="24"/>
                <w:szCs w:val="24"/>
                <w:lang w:val="en-US" w:eastAsia="zh-CN"/>
              </w:rPr>
              <w:t>等项目与本项目为同类型项目，各天然气井项目各阶段产污类似，与各天然气井规模关联较小。上述项目与本项目属同类项目，其钻井作业及压裂作业工艺、方式均与本项目一致，本项目</w:t>
            </w:r>
            <w:r>
              <w:rPr>
                <w:rFonts w:hint="default" w:ascii="Times New Roman" w:hAnsi="Times New Roman" w:eastAsia="宋体" w:cs="Times New Roman"/>
                <w:color w:val="auto"/>
                <w:sz w:val="24"/>
                <w:szCs w:val="24"/>
              </w:rPr>
              <w:t>类比分析</w:t>
            </w:r>
            <w:r>
              <w:rPr>
                <w:rFonts w:hint="eastAsia" w:ascii="Times New Roman" w:hAnsi="Times New Roman" w:eastAsia="宋体" w:cs="Times New Roman"/>
                <w:color w:val="auto"/>
                <w:sz w:val="24"/>
                <w:szCs w:val="24"/>
                <w:lang w:val="en-US" w:eastAsia="zh-CN"/>
              </w:rPr>
              <w:t>其</w:t>
            </w:r>
            <w:r>
              <w:rPr>
                <w:rFonts w:hint="default" w:ascii="Times New Roman" w:hAnsi="Times New Roman" w:eastAsia="宋体" w:cs="Times New Roman"/>
                <w:color w:val="auto"/>
                <w:sz w:val="24"/>
                <w:szCs w:val="24"/>
              </w:rPr>
              <w:t>废水</w:t>
            </w:r>
            <w:r>
              <w:rPr>
                <w:rFonts w:hint="eastAsia" w:ascii="Times New Roman" w:hAnsi="Times New Roman" w:eastAsia="宋体" w:cs="Times New Roman"/>
                <w:color w:val="auto"/>
                <w:sz w:val="24"/>
                <w:szCs w:val="24"/>
              </w:rPr>
              <w:t>源强</w:t>
            </w:r>
            <w:r>
              <w:rPr>
                <w:rFonts w:hint="default" w:ascii="Times New Roman" w:hAnsi="Times New Roman" w:eastAsia="宋体" w:cs="Times New Roman"/>
                <w:color w:val="auto"/>
                <w:sz w:val="24"/>
                <w:szCs w:val="24"/>
              </w:rPr>
              <w:t>，</w:t>
            </w:r>
            <w:r>
              <w:rPr>
                <w:rFonts w:hint="default" w:ascii="Times New Roman" w:hAnsi="Times New Roman" w:cs="Times New Roman"/>
                <w:bCs/>
                <w:color w:val="auto"/>
                <w:sz w:val="24"/>
                <w:highlight w:val="none"/>
              </w:rPr>
              <w:t>主要污染物浓度见下表</w:t>
            </w:r>
            <w:r>
              <w:rPr>
                <w:rFonts w:hint="default" w:ascii="Times New Roman" w:hAnsi="Times New Roman" w:cs="Times New Roman"/>
                <w:bCs/>
                <w:color w:val="auto"/>
                <w:sz w:val="24"/>
              </w:rPr>
              <w:t>。</w:t>
            </w:r>
          </w:p>
          <w:p w14:paraId="7DA84FE8">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钻井废水综合水质污染物浓度表</w:t>
            </w:r>
            <w:r>
              <w:rPr>
                <w:rFonts w:hint="eastAsia" w:ascii="Times New Roman" w:hAnsi="Times New Roman" w:eastAsia="宋体" w:cs="Times New Roman"/>
                <w:b/>
                <w:color w:val="auto"/>
                <w:lang w:val="en-US" w:eastAsia="zh-CN"/>
              </w:rPr>
              <w:t xml:space="preserve">    单位：mg/L</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443"/>
              <w:gridCol w:w="1068"/>
              <w:gridCol w:w="1284"/>
              <w:gridCol w:w="1296"/>
              <w:gridCol w:w="1092"/>
              <w:gridCol w:w="1019"/>
            </w:tblGrid>
            <w:tr w14:paraId="26780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3" w:type="pct"/>
                  <w:tcBorders>
                    <w:top w:val="single" w:color="000000" w:sz="4" w:space="0"/>
                    <w:left w:val="single" w:color="000000" w:sz="4" w:space="0"/>
                    <w:bottom w:val="single" w:color="000000" w:sz="4" w:space="0"/>
                    <w:right w:val="single" w:color="000000" w:sz="4" w:space="0"/>
                  </w:tcBorders>
                  <w:noWrap w:val="0"/>
                  <w:vAlign w:val="center"/>
                </w:tcPr>
                <w:p w14:paraId="2F0332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A3A1EB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pH</w:t>
                  </w:r>
                  <w:r>
                    <w:rPr>
                      <w:rFonts w:hint="eastAsia" w:ascii="Times New Roman" w:hAnsi="Times New Roman" w:cs="宋体"/>
                      <w:b/>
                      <w:color w:val="auto"/>
                      <w:szCs w:val="20"/>
                    </w:rPr>
                    <w:t>（无量纲）</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A3AC9B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SS</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F1F062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宋体"/>
                      <w:b/>
                      <w:color w:val="auto"/>
                      <w:szCs w:val="20"/>
                    </w:rPr>
                    <w:t>石油类</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29DF377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COD</w:t>
                  </w:r>
                  <w:r>
                    <w:rPr>
                      <w:rFonts w:hint="eastAsia" w:ascii="Times New Roman" w:hAnsi="Times New Roman" w:cs="Times New Roman"/>
                      <w:b/>
                      <w:color w:val="auto"/>
                      <w:szCs w:val="20"/>
                      <w:vertAlign w:val="subscript"/>
                    </w:rPr>
                    <w:t>C</w:t>
                  </w:r>
                  <w:r>
                    <w:rPr>
                      <w:rFonts w:hint="default" w:ascii="Times New Roman" w:hAnsi="Times New Roman" w:cs="宋体"/>
                      <w:b/>
                      <w:color w:val="auto"/>
                      <w:szCs w:val="20"/>
                      <w:vertAlign w:val="subscript"/>
                    </w:rPr>
                    <w:t>r</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CE8C16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Cl</w:t>
                  </w:r>
                  <w:r>
                    <w:rPr>
                      <w:rFonts w:hint="default" w:ascii="Times New Roman" w:hAnsi="Times New Roman" w:cs="宋体"/>
                      <w:b/>
                      <w:color w:val="auto"/>
                      <w:szCs w:val="20"/>
                      <w:vertAlign w:val="superscript"/>
                    </w:rPr>
                    <w:t>-</w:t>
                  </w:r>
                </w:p>
              </w:tc>
              <w:tc>
                <w:tcPr>
                  <w:tcW w:w="600" w:type="pct"/>
                  <w:tcBorders>
                    <w:top w:val="single" w:color="000000" w:sz="4" w:space="0"/>
                    <w:left w:val="single" w:color="auto" w:sz="4" w:space="0"/>
                    <w:bottom w:val="single" w:color="000000" w:sz="4" w:space="0"/>
                    <w:right w:val="single" w:color="000000" w:sz="4" w:space="0"/>
                  </w:tcBorders>
                  <w:noWrap w:val="0"/>
                  <w:vAlign w:val="center"/>
                </w:tcPr>
                <w:p w14:paraId="2926E929">
                  <w:pPr>
                    <w:keepNext w:val="0"/>
                    <w:keepLines w:val="0"/>
                    <w:suppressLineNumbers w:val="0"/>
                    <w:spacing w:before="0" w:beforeAutospacing="0" w:after="0" w:afterAutospacing="0"/>
                    <w:ind w:left="0" w:right="0"/>
                    <w:jc w:val="center"/>
                    <w:rPr>
                      <w:rFonts w:hint="default" w:ascii="Times New Roman" w:hAnsi="Times New Roman" w:eastAsia="宋体" w:cs="宋体"/>
                      <w:b/>
                      <w:color w:val="auto"/>
                      <w:szCs w:val="20"/>
                      <w:lang w:val="en-US" w:eastAsia="zh-CN"/>
                    </w:rPr>
                  </w:pPr>
                  <w:r>
                    <w:rPr>
                      <w:rFonts w:hint="eastAsia" w:ascii="Times New Roman" w:hAnsi="Times New Roman" w:cs="宋体"/>
                      <w:b/>
                      <w:color w:val="auto"/>
                      <w:szCs w:val="20"/>
                      <w:lang w:val="en-US" w:eastAsia="zh-CN"/>
                    </w:rPr>
                    <w:t>钡</w:t>
                  </w:r>
                </w:p>
              </w:tc>
            </w:tr>
            <w:tr w14:paraId="340F8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3" w:type="pct"/>
                  <w:tcBorders>
                    <w:top w:val="single" w:color="000000" w:sz="4" w:space="0"/>
                    <w:left w:val="single" w:color="000000" w:sz="4" w:space="0"/>
                    <w:bottom w:val="single" w:color="000000" w:sz="4" w:space="0"/>
                    <w:right w:val="single" w:color="000000" w:sz="4" w:space="0"/>
                  </w:tcBorders>
                  <w:noWrap w:val="0"/>
                  <w:vAlign w:val="center"/>
                </w:tcPr>
                <w:p w14:paraId="3773F8C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产生浓度</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686E15F">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10~11</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8B4900F">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≤5000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4E0132A">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≤70</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4DB10021">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36547B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kern w:val="0"/>
                      <w:szCs w:val="21"/>
                    </w:rPr>
                    <w:t>5000</w:t>
                  </w:r>
                </w:p>
              </w:tc>
              <w:tc>
                <w:tcPr>
                  <w:tcW w:w="600" w:type="pct"/>
                  <w:tcBorders>
                    <w:top w:val="single" w:color="000000" w:sz="4" w:space="0"/>
                    <w:left w:val="single" w:color="auto" w:sz="4" w:space="0"/>
                    <w:bottom w:val="single" w:color="000000" w:sz="4" w:space="0"/>
                    <w:right w:val="single" w:color="000000" w:sz="4" w:space="0"/>
                  </w:tcBorders>
                  <w:noWrap w:val="0"/>
                  <w:vAlign w:val="center"/>
                </w:tcPr>
                <w:p w14:paraId="4C3681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w:t>
                  </w:r>
                  <w:r>
                    <w:rPr>
                      <w:rFonts w:hint="eastAsia" w:ascii="Times New Roman" w:hAnsi="Times New Roman" w:cs="Times New Roman"/>
                      <w:color w:val="auto"/>
                      <w:lang w:val="en-US" w:eastAsia="zh-CN"/>
                    </w:rPr>
                    <w:t>3.46</w:t>
                  </w:r>
                </w:p>
              </w:tc>
            </w:tr>
          </w:tbl>
          <w:p w14:paraId="06F017ED">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洗井作业废水污染物浓度表</w:t>
            </w:r>
          </w:p>
          <w:tbl>
            <w:tblPr>
              <w:tblStyle w:val="23"/>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443"/>
              <w:gridCol w:w="1068"/>
              <w:gridCol w:w="1284"/>
              <w:gridCol w:w="1296"/>
              <w:gridCol w:w="1092"/>
              <w:gridCol w:w="1021"/>
            </w:tblGrid>
            <w:tr w14:paraId="025A9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2" w:type="pct"/>
                  <w:tcBorders>
                    <w:top w:val="single" w:color="000000" w:sz="4" w:space="0"/>
                    <w:left w:val="single" w:color="000000" w:sz="4" w:space="0"/>
                    <w:bottom w:val="single" w:color="000000" w:sz="4" w:space="0"/>
                    <w:right w:val="single" w:color="000000" w:sz="4" w:space="0"/>
                  </w:tcBorders>
                  <w:noWrap w:val="0"/>
                  <w:vAlign w:val="center"/>
                </w:tcPr>
                <w:p w14:paraId="1FD4777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659C69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pH</w:t>
                  </w:r>
                  <w:r>
                    <w:rPr>
                      <w:rFonts w:hint="eastAsia" w:ascii="Times New Roman" w:hAnsi="Times New Roman" w:cs="宋体"/>
                      <w:b/>
                      <w:color w:val="auto"/>
                      <w:szCs w:val="20"/>
                    </w:rPr>
                    <w:t>（无量纲）</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852B8C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SS</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14:paraId="372CA67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宋体"/>
                      <w:b/>
                      <w:color w:val="auto"/>
                      <w:szCs w:val="20"/>
                    </w:rPr>
                    <w:t>石油类</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40643FA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COD</w:t>
                  </w:r>
                  <w:r>
                    <w:rPr>
                      <w:rFonts w:hint="eastAsia" w:ascii="Times New Roman" w:hAnsi="Times New Roman" w:cs="Times New Roman"/>
                      <w:b/>
                      <w:color w:val="auto"/>
                      <w:szCs w:val="20"/>
                      <w:vertAlign w:val="subscript"/>
                    </w:rPr>
                    <w:t>C</w:t>
                  </w:r>
                  <w:r>
                    <w:rPr>
                      <w:rFonts w:hint="default" w:ascii="Times New Roman" w:hAnsi="Times New Roman" w:cs="宋体"/>
                      <w:b/>
                      <w:color w:val="auto"/>
                      <w:szCs w:val="20"/>
                      <w:vertAlign w:val="subscript"/>
                    </w:rPr>
                    <w:t>r</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575177E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Cl</w:t>
                  </w:r>
                  <w:r>
                    <w:rPr>
                      <w:rFonts w:hint="default" w:ascii="Times New Roman" w:hAnsi="Times New Roman" w:cs="宋体"/>
                      <w:b/>
                      <w:color w:val="auto"/>
                      <w:szCs w:val="20"/>
                      <w:vertAlign w:val="superscript"/>
                    </w:rPr>
                    <w:t>-</w:t>
                  </w:r>
                </w:p>
              </w:tc>
              <w:tc>
                <w:tcPr>
                  <w:tcW w:w="601" w:type="pct"/>
                  <w:tcBorders>
                    <w:top w:val="single" w:color="000000" w:sz="4" w:space="0"/>
                    <w:left w:val="single" w:color="auto" w:sz="4" w:space="0"/>
                    <w:bottom w:val="single" w:color="000000" w:sz="4" w:space="0"/>
                    <w:right w:val="single" w:color="000000" w:sz="4" w:space="0"/>
                  </w:tcBorders>
                  <w:noWrap w:val="0"/>
                  <w:vAlign w:val="center"/>
                </w:tcPr>
                <w:p w14:paraId="399566B6">
                  <w:pPr>
                    <w:keepNext w:val="0"/>
                    <w:keepLines w:val="0"/>
                    <w:suppressLineNumbers w:val="0"/>
                    <w:spacing w:before="0" w:beforeAutospacing="0" w:after="0" w:afterAutospacing="0"/>
                    <w:ind w:left="0" w:right="0"/>
                    <w:jc w:val="center"/>
                    <w:rPr>
                      <w:rFonts w:hint="default" w:ascii="Times New Roman" w:hAnsi="Times New Roman" w:cs="宋体"/>
                      <w:b/>
                      <w:color w:val="auto"/>
                      <w:szCs w:val="20"/>
                    </w:rPr>
                  </w:pPr>
                  <w:r>
                    <w:rPr>
                      <w:rFonts w:hint="eastAsia" w:ascii="Times New Roman" w:hAnsi="Times New Roman" w:cs="宋体"/>
                      <w:b/>
                      <w:color w:val="auto"/>
                      <w:szCs w:val="20"/>
                      <w:lang w:val="en-US" w:eastAsia="zh-CN"/>
                    </w:rPr>
                    <w:t>钡</w:t>
                  </w:r>
                </w:p>
              </w:tc>
            </w:tr>
            <w:tr w14:paraId="3DE5D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2" w:type="pct"/>
                  <w:tcBorders>
                    <w:top w:val="single" w:color="000000" w:sz="4" w:space="0"/>
                    <w:left w:val="single" w:color="000000" w:sz="4" w:space="0"/>
                    <w:bottom w:val="single" w:color="000000" w:sz="4" w:space="0"/>
                    <w:right w:val="single" w:color="000000" w:sz="4" w:space="0"/>
                  </w:tcBorders>
                  <w:noWrap w:val="0"/>
                  <w:vAlign w:val="center"/>
                </w:tcPr>
                <w:p w14:paraId="57D52F11">
                  <w:pPr>
                    <w:pStyle w:val="55"/>
                    <w:keepNext w:val="0"/>
                    <w:keepLines w:val="0"/>
                    <w:suppressLineNumbers w:val="0"/>
                    <w:spacing w:before="0" w:beforeAutospacing="0" w:after="0" w:afterAutospacing="0"/>
                    <w:ind w:left="0" w:right="0"/>
                    <w:jc w:val="center"/>
                    <w:rPr>
                      <w:rFonts w:ascii="Times New Roman" w:hAnsi="Times New Roman" w:cs="Times New Roman"/>
                      <w:color w:val="auto"/>
                    </w:rPr>
                  </w:pPr>
                  <w:r>
                    <w:rPr>
                      <w:rFonts w:ascii="Times New Roman" w:hAnsi="Times New Roman" w:eastAsia="宋体" w:cs="Times New Roman"/>
                      <w:color w:val="auto"/>
                    </w:rPr>
                    <w:t>产生浓度</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4DD955D">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F5769C1">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≤4500</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14:paraId="091F648A">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≤80</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094263AC">
                  <w:pPr>
                    <w:pStyle w:val="76"/>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46B452B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kern w:val="0"/>
                      <w:szCs w:val="21"/>
                    </w:rPr>
                    <w:t>3000</w:t>
                  </w:r>
                </w:p>
              </w:tc>
              <w:tc>
                <w:tcPr>
                  <w:tcW w:w="601" w:type="pct"/>
                  <w:tcBorders>
                    <w:top w:val="single" w:color="000000" w:sz="4" w:space="0"/>
                    <w:left w:val="single" w:color="auto" w:sz="4" w:space="0"/>
                    <w:bottom w:val="single" w:color="000000" w:sz="4" w:space="0"/>
                    <w:right w:val="single" w:color="000000" w:sz="4" w:space="0"/>
                  </w:tcBorders>
                  <w:noWrap w:val="0"/>
                  <w:vAlign w:val="center"/>
                </w:tcPr>
                <w:p w14:paraId="3FE11B14">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rPr>
                    <w:t>≤</w:t>
                  </w:r>
                  <w:r>
                    <w:rPr>
                      <w:rFonts w:hint="eastAsia" w:ascii="Times New Roman" w:hAnsi="Times New Roman" w:cs="Times New Roman"/>
                      <w:color w:val="auto"/>
                      <w:lang w:val="en-US" w:eastAsia="zh-CN"/>
                    </w:rPr>
                    <w:t>3.46</w:t>
                  </w:r>
                </w:p>
              </w:tc>
            </w:tr>
          </w:tbl>
          <w:p w14:paraId="66846E1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2）</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p>
          <w:p w14:paraId="70C184A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cs="Times New Roman"/>
                <w:bCs/>
                <w:color w:val="auto"/>
                <w:sz w:val="24"/>
                <w:highlight w:val="none"/>
                <w:lang w:val="en-US" w:eastAsia="zh-CN"/>
              </w:rPr>
              <w:t>多功能网格池</w:t>
            </w:r>
            <w:r>
              <w:rPr>
                <w:rFonts w:hint="eastAsia" w:ascii="Times New Roman" w:hAnsi="Times New Roman" w:cs="Times New Roman"/>
                <w:bCs/>
                <w:color w:val="auto"/>
                <w:sz w:val="24"/>
                <w:highlight w:val="none"/>
                <w:lang w:val="en-US" w:eastAsia="zh-CN"/>
              </w:rPr>
              <w:t>组），</w:t>
            </w:r>
            <w:r>
              <w:rPr>
                <w:rFonts w:hint="eastAsia" w:cs="Times New Roman"/>
                <w:bCs/>
                <w:color w:val="auto"/>
                <w:sz w:val="24"/>
                <w:highlight w:val="none"/>
                <w:lang w:val="en-US" w:eastAsia="zh-CN"/>
              </w:rPr>
              <w:t>后期清洁雨水</w:t>
            </w:r>
            <w:r>
              <w:rPr>
                <w:rFonts w:hint="eastAsia" w:ascii="Times New Roman" w:hAnsi="Times New Roman" w:cs="Times New Roman"/>
                <w:bCs/>
                <w:color w:val="auto"/>
                <w:sz w:val="24"/>
                <w:highlight w:val="none"/>
                <w:lang w:val="en-US" w:eastAsia="zh-CN"/>
              </w:rPr>
              <w:t>通过重力流排向周边环境。</w:t>
            </w:r>
            <w:r>
              <w:rPr>
                <w:rFonts w:hint="default" w:ascii="Times New Roman" w:hAnsi="Times New Roman" w:cs="Times New Roman"/>
                <w:bCs/>
                <w:color w:val="auto"/>
                <w:sz w:val="24"/>
                <w:highlight w:val="none"/>
                <w:lang w:val="en-US" w:eastAsia="zh-CN"/>
              </w:rPr>
              <w:t>井场外</w:t>
            </w:r>
            <w:r>
              <w:rPr>
                <w:rFonts w:hint="eastAsia" w:ascii="Times New Roman" w:hAnsi="Times New Roman" w:cs="Times New Roman"/>
                <w:bCs/>
                <w:color w:val="auto"/>
                <w:sz w:val="24"/>
                <w:highlight w:val="none"/>
                <w:lang w:val="en-US" w:eastAsia="zh-CN"/>
              </w:rPr>
              <w:t>北侧</w:t>
            </w:r>
            <w:r>
              <w:rPr>
                <w:rFonts w:hint="default" w:ascii="Times New Roman" w:hAnsi="Times New Roman" w:cs="Times New Roman"/>
                <w:bCs/>
                <w:color w:val="auto"/>
                <w:sz w:val="24"/>
                <w:highlight w:val="none"/>
                <w:lang w:val="en-US" w:eastAsia="zh-CN"/>
              </w:rPr>
              <w:t>设截水沟</w:t>
            </w:r>
            <w:r>
              <w:rPr>
                <w:rFonts w:hint="eastAsia" w:ascii="Times New Roman" w:hAnsi="Times New Roman" w:cs="Times New Roman"/>
                <w:bCs/>
                <w:color w:val="auto"/>
                <w:sz w:val="24"/>
                <w:highlight w:val="none"/>
                <w:lang w:val="en-US" w:eastAsia="zh-CN"/>
              </w:rPr>
              <w:t>及场外清水沟</w:t>
            </w:r>
            <w:r>
              <w:rPr>
                <w:rFonts w:hint="default" w:ascii="Times New Roman" w:hAnsi="Times New Roman"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井场外</w:t>
            </w:r>
            <w:r>
              <w:rPr>
                <w:rFonts w:hint="default" w:ascii="Times New Roman" w:hAnsi="Times New Roman" w:cs="Times New Roman"/>
                <w:bCs/>
                <w:color w:val="auto"/>
                <w:sz w:val="24"/>
                <w:highlight w:val="none"/>
                <w:lang w:val="en-US" w:eastAsia="zh-CN"/>
              </w:rPr>
              <w:t>雨水</w:t>
            </w:r>
            <w:r>
              <w:rPr>
                <w:rFonts w:hint="eastAsia" w:ascii="Times New Roman" w:hAnsi="Times New Roman" w:cs="Times New Roman"/>
                <w:bCs/>
                <w:color w:val="auto"/>
                <w:sz w:val="24"/>
                <w:highlight w:val="none"/>
                <w:lang w:val="en-US" w:eastAsia="zh-CN"/>
              </w:rPr>
              <w:t>由</w:t>
            </w:r>
            <w:r>
              <w:rPr>
                <w:rFonts w:hint="default" w:ascii="Times New Roman" w:hAnsi="Times New Roman" w:cs="Times New Roman"/>
                <w:bCs/>
                <w:color w:val="auto"/>
                <w:sz w:val="24"/>
                <w:highlight w:val="none"/>
                <w:lang w:val="en-US" w:eastAsia="zh-CN"/>
              </w:rPr>
              <w:t>截水沟</w:t>
            </w:r>
            <w:r>
              <w:rPr>
                <w:rFonts w:hint="eastAsia" w:ascii="Times New Roman" w:hAnsi="Times New Roman" w:cs="Times New Roman"/>
                <w:bCs/>
                <w:color w:val="auto"/>
                <w:sz w:val="24"/>
                <w:highlight w:val="none"/>
                <w:lang w:val="en-US" w:eastAsia="zh-CN"/>
              </w:rPr>
              <w:t>截留</w:t>
            </w:r>
            <w:r>
              <w:rPr>
                <w:rFonts w:hint="default" w:ascii="Times New Roman" w:hAnsi="Times New Roman" w:cs="Times New Roman"/>
                <w:bCs/>
                <w:color w:val="auto"/>
                <w:sz w:val="24"/>
                <w:highlight w:val="none"/>
                <w:lang w:val="en-US" w:eastAsia="zh-CN"/>
              </w:rPr>
              <w:t>，再</w:t>
            </w:r>
            <w:r>
              <w:rPr>
                <w:rFonts w:hint="eastAsia" w:ascii="Times New Roman" w:hAnsi="Times New Roman" w:cs="Times New Roman"/>
                <w:bCs/>
                <w:color w:val="auto"/>
                <w:sz w:val="24"/>
                <w:highlight w:val="none"/>
                <w:lang w:val="en-US" w:eastAsia="zh-CN"/>
              </w:rPr>
              <w:t>通过场外清水沟</w:t>
            </w:r>
            <w:r>
              <w:rPr>
                <w:rFonts w:hint="default" w:ascii="Times New Roman" w:hAnsi="Times New Roman" w:cs="Times New Roman"/>
                <w:bCs/>
                <w:color w:val="auto"/>
                <w:sz w:val="24"/>
                <w:highlight w:val="none"/>
                <w:lang w:val="en-US" w:eastAsia="zh-CN"/>
              </w:rPr>
              <w:t>排向</w:t>
            </w:r>
            <w:r>
              <w:rPr>
                <w:rFonts w:hint="eastAsia" w:ascii="Times New Roman" w:hAnsi="Times New Roman" w:cs="Times New Roman"/>
                <w:bCs/>
                <w:color w:val="auto"/>
                <w:sz w:val="24"/>
                <w:highlight w:val="none"/>
                <w:lang w:val="en-US" w:eastAsia="zh-CN"/>
              </w:rPr>
              <w:t>周边环境，以</w:t>
            </w:r>
            <w:r>
              <w:rPr>
                <w:rFonts w:hint="default" w:ascii="Times New Roman" w:hAnsi="Times New Roman" w:cs="Times New Roman"/>
                <w:bCs/>
                <w:color w:val="auto"/>
                <w:sz w:val="24"/>
                <w:highlight w:val="none"/>
                <w:lang w:val="en-US" w:eastAsia="zh-CN"/>
              </w:rPr>
              <w:t>防止场外雨水通过地面漫流等形式进入井场内</w:t>
            </w:r>
            <w:r>
              <w:rPr>
                <w:rFonts w:hint="eastAsia" w:ascii="Times New Roman" w:hAnsi="Times New Roman" w:cs="Times New Roman"/>
                <w:bCs/>
                <w:color w:val="auto"/>
                <w:sz w:val="24"/>
                <w:highlight w:val="none"/>
                <w:lang w:val="en-US" w:eastAsia="zh-CN"/>
              </w:rPr>
              <w:t>。</w:t>
            </w:r>
          </w:p>
          <w:p w14:paraId="6B65EB7E">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本次评价</w:t>
            </w:r>
            <w:r>
              <w:rPr>
                <w:rFonts w:hint="eastAsia" w:cs="Times New Roman"/>
                <w:bCs/>
                <w:color w:val="auto"/>
                <w:sz w:val="24"/>
                <w:lang w:val="en-US" w:eastAsia="zh-CN"/>
              </w:rPr>
              <w:t>依据2025年4月29日巴中市住房和城乡建设局 巴中市气象局《关于公布巴中市中心城区暴雨强度公式集设计雨型的通告》中暴雨强度公式对降雨量进行计算，根据项目</w:t>
            </w:r>
            <w:r>
              <w:rPr>
                <w:rFonts w:hint="eastAsia" w:ascii="Times New Roman" w:hAnsi="Times New Roman" w:eastAsia="宋体" w:cs="Times New Roman"/>
                <w:bCs/>
                <w:color w:val="auto"/>
                <w:sz w:val="24"/>
                <w:lang w:val="en-US" w:eastAsia="zh-CN"/>
              </w:rPr>
              <w:t>特点，</w:t>
            </w:r>
            <w:r>
              <w:rPr>
                <w:rFonts w:hint="eastAsia" w:cs="Times New Roman"/>
                <w:bCs/>
                <w:color w:val="auto"/>
                <w:sz w:val="24"/>
                <w:lang w:val="en-US" w:eastAsia="zh-CN"/>
              </w:rPr>
              <w:t>本次评价</w:t>
            </w:r>
            <w:r>
              <w:rPr>
                <w:rFonts w:hint="eastAsia" w:ascii="Times New Roman" w:hAnsi="Times New Roman" w:eastAsia="宋体" w:cs="Times New Roman"/>
                <w:bCs/>
                <w:color w:val="auto"/>
                <w:sz w:val="24"/>
                <w:lang w:val="en-US" w:eastAsia="zh-CN"/>
              </w:rPr>
              <w:t>采取短历时</w:t>
            </w:r>
            <w:r>
              <w:rPr>
                <w:rFonts w:hint="eastAsia" w:cs="Times New Roman"/>
                <w:bCs/>
                <w:color w:val="auto"/>
                <w:sz w:val="24"/>
                <w:lang w:val="en-US" w:eastAsia="zh-CN"/>
              </w:rPr>
              <w:t>（1~180min）</w:t>
            </w:r>
            <w:r>
              <w:rPr>
                <w:rFonts w:hint="eastAsia" w:ascii="Times New Roman" w:hAnsi="Times New Roman" w:eastAsia="宋体" w:cs="Times New Roman"/>
                <w:bCs/>
                <w:color w:val="auto"/>
                <w:sz w:val="24"/>
                <w:lang w:val="en-US" w:eastAsia="zh-CN"/>
              </w:rPr>
              <w:t>暴雨强度总公式：</w:t>
            </w:r>
          </w:p>
          <w:p w14:paraId="6E57F04B">
            <w:pPr>
              <w:pStyle w:val="21"/>
              <w:keepNext w:val="0"/>
              <w:keepLines w:val="0"/>
              <w:suppressLineNumbers w:val="0"/>
              <w:spacing w:beforeAutospacing="0" w:afterAutospacing="0"/>
              <w:ind w:left="0"/>
              <w:rPr>
                <w:rFonts w:hint="default" w:ascii="Times New Roman" w:hAnsi="Times New Roman" w:cs="Times New Roman"/>
                <w:color w:val="auto"/>
                <w:lang w:val="en-US" w:eastAsia="zh-CN"/>
              </w:rPr>
            </w:pPr>
            <m:oMathPara>
              <m:oMath>
                <m:r>
                  <m:rPr/>
                  <w:rPr>
                    <w:rFonts w:hint="default" w:ascii="Cambria Math" w:hAnsi="Cambria Math" w:eastAsia="宋体" w:cs="宋体"/>
                    <w:color w:val="auto"/>
                    <w:kern w:val="0"/>
                    <w:sz w:val="24"/>
                    <w:szCs w:val="24"/>
                    <w:lang w:val="en-US" w:eastAsia="zh-CN" w:bidi="ar-SA"/>
                  </w:rPr>
                  <m:t>q=</m:t>
                </m:r>
                <m:f>
                  <m:fPr>
                    <m:ctrlPr>
                      <w:rPr>
                        <w:rFonts w:hint="default" w:ascii="Cambria Math" w:hAnsi="Cambria Math" w:eastAsia="宋体" w:cs="Times New Roman"/>
                        <w:i/>
                        <w:color w:val="auto"/>
                        <w:kern w:val="0"/>
                        <w:sz w:val="24"/>
                        <w:szCs w:val="24"/>
                        <w:lang w:val="en-US" w:eastAsia="zh-CN" w:bidi="ar-SA"/>
                      </w:rPr>
                    </m:ctrlPr>
                  </m:fPr>
                  <m:num>
                    <m:r>
                      <m:rPr>
                        <m:nor/>
                        <m:sty m:val="p"/>
                      </m:rPr>
                      <w:rPr>
                        <w:rFonts w:hint="default" w:ascii="Times New Roman" w:hAnsi="Times New Roman" w:eastAsia="宋体" w:cs="Times New Roman"/>
                        <w:b w:val="0"/>
                        <w:i w:val="0"/>
                        <w:color w:val="auto"/>
                        <w:kern w:val="0"/>
                        <w:sz w:val="24"/>
                        <w:szCs w:val="24"/>
                        <w:lang w:val="en-US" w:eastAsia="zh-CN" w:bidi="ar-SA"/>
                      </w:rPr>
                      <m:t>1794.523</m:t>
                    </m:r>
                    <m:r>
                      <m:rPr>
                        <m:nor/>
                        <m:sty m:val="p"/>
                      </m:rPr>
                      <w:rPr>
                        <w:rFonts w:hint="default" w:ascii="Times New Roman" w:hAnsi="Times New Roman" w:cs="Times New Roman"/>
                        <w:b w:val="0"/>
                        <w:i w:val="0"/>
                        <w:color w:val="auto"/>
                        <w:kern w:val="0"/>
                        <w:sz w:val="24"/>
                        <w:szCs w:val="24"/>
                        <w:lang w:val="en-US" w:bidi="ar-SA"/>
                      </w:rPr>
                      <m:t>×</m:t>
                    </m:r>
                    <m:r>
                      <m:rPr>
                        <m:nor/>
                        <m:sty m:val="p"/>
                      </m:rPr>
                      <w:rPr>
                        <w:rFonts w:hint="default" w:ascii="Times New Roman" w:hAnsi="Times New Roman" w:cs="Times New Roman"/>
                        <w:b w:val="0"/>
                        <w:i w:val="0"/>
                        <w:color w:val="auto"/>
                        <w:kern w:val="0"/>
                        <w:sz w:val="24"/>
                        <w:szCs w:val="24"/>
                        <w:lang w:val="en-US" w:eastAsia="zh-CN" w:bidi="ar-SA"/>
                      </w:rPr>
                      <m:t>（1+0.854</m:t>
                    </m:r>
                    <m:r>
                      <m:rPr>
                        <m:nor/>
                        <m:sty m:val="p"/>
                      </m:rPr>
                      <w:rPr>
                        <w:rFonts w:hint="default" w:ascii="Times New Roman" w:hAnsi="Times New Roman" w:cs="Times New Roman"/>
                        <w:b w:val="0"/>
                        <w:i w:val="0"/>
                        <w:color w:val="auto"/>
                        <w:kern w:val="0"/>
                        <w:sz w:val="24"/>
                        <w:szCs w:val="24"/>
                        <w:lang w:val="en-US" w:bidi="ar-SA"/>
                      </w:rPr>
                      <m:t>×</m:t>
                    </m:r>
                    <m:r>
                      <m:rPr>
                        <m:nor/>
                        <m:sty m:val="p"/>
                      </m:rPr>
                      <w:rPr>
                        <w:rFonts w:hint="default" w:ascii="Times New Roman" w:hAnsi="Times New Roman" w:cs="Times New Roman"/>
                        <w:b w:val="0"/>
                        <w:i w:val="0"/>
                        <w:color w:val="auto"/>
                        <w:kern w:val="0"/>
                        <w:sz w:val="24"/>
                        <w:szCs w:val="24"/>
                        <w:lang w:val="en-US" w:eastAsia="zh-CN" w:bidi="ar-SA"/>
                      </w:rPr>
                      <m:t>lgP</m:t>
                    </m:r>
                    <m:r>
                      <m:rPr>
                        <m:nor/>
                        <m:sty m:val="p"/>
                      </m:rPr>
                      <w:rPr>
                        <w:rFonts w:hint="eastAsia" w:ascii="Times New Roman" w:hAnsi="Times New Roman" w:cs="Times New Roman"/>
                        <w:b w:val="0"/>
                        <w:i w:val="0"/>
                        <w:color w:val="auto"/>
                        <w:kern w:val="0"/>
                        <w:sz w:val="24"/>
                        <w:szCs w:val="24"/>
                        <w:lang w:val="en-US" w:eastAsia="zh-CN" w:bidi="ar-SA"/>
                      </w:rPr>
                      <m:t>）</m:t>
                    </m:r>
                    <m:ctrlPr>
                      <w:rPr>
                        <w:rFonts w:hint="default" w:ascii="Cambria Math" w:hAnsi="Cambria Math" w:eastAsia="宋体" w:cs="Times New Roman"/>
                        <w:i/>
                        <w:color w:val="auto"/>
                        <w:kern w:val="0"/>
                        <w:sz w:val="24"/>
                        <w:szCs w:val="24"/>
                        <w:lang w:val="en-US" w:eastAsia="zh-CN" w:bidi="ar-SA"/>
                      </w:rPr>
                    </m:ctrlPr>
                  </m:num>
                  <m:den>
                    <m:sSup>
                      <m:sSupPr>
                        <m:ctrlPr>
                          <w:rPr>
                            <w:rFonts w:hint="default" w:ascii="Cambria Math" w:hAnsi="Cambria Math" w:eastAsia="宋体" w:cs="Times New Roman"/>
                            <w:i/>
                            <w:color w:val="auto"/>
                            <w:kern w:val="0"/>
                            <w:sz w:val="24"/>
                            <w:szCs w:val="24"/>
                            <w:lang w:val="en-US" w:eastAsia="zh-CN" w:bidi="ar-SA"/>
                          </w:rPr>
                        </m:ctrlPr>
                      </m:sSupPr>
                      <m:e>
                        <m:r>
                          <m:rPr>
                            <m:nor/>
                            <m:sty m:val="p"/>
                          </m:rPr>
                          <w:rPr>
                            <w:rFonts w:hint="default" w:ascii="Times New Roman" w:hAnsi="Times New Roman" w:eastAsia="宋体" w:cs="Times New Roman"/>
                            <w:b w:val="0"/>
                            <w:i w:val="0"/>
                            <w:color w:val="auto"/>
                            <w:kern w:val="0"/>
                            <w:sz w:val="24"/>
                            <w:szCs w:val="24"/>
                            <w:lang w:val="en-US" w:eastAsia="zh-CN" w:bidi="ar-SA"/>
                          </w:rPr>
                          <m:t>（t+16.52）</m:t>
                        </m:r>
                        <m:ctrlPr>
                          <w:rPr>
                            <w:rFonts w:hint="default" w:ascii="Cambria Math" w:hAnsi="Cambria Math" w:eastAsia="宋体" w:cs="Times New Roman"/>
                            <w:i/>
                            <w:color w:val="auto"/>
                            <w:kern w:val="0"/>
                            <w:sz w:val="24"/>
                            <w:szCs w:val="24"/>
                            <w:lang w:val="en-US" w:eastAsia="zh-CN" w:bidi="ar-SA"/>
                          </w:rPr>
                        </m:ctrlPr>
                      </m:e>
                      <m:sup>
                        <m:r>
                          <m:rPr>
                            <m:nor/>
                            <m:sty m:val="p"/>
                          </m:rPr>
                          <w:rPr>
                            <w:rFonts w:hint="default" w:ascii="Times New Roman" w:hAnsi="Times New Roman" w:eastAsia="宋体" w:cs="Times New Roman"/>
                            <w:b w:val="0"/>
                            <w:i w:val="0"/>
                            <w:color w:val="auto"/>
                            <w:kern w:val="0"/>
                            <w:sz w:val="24"/>
                            <w:szCs w:val="24"/>
                            <w:lang w:val="en-US" w:eastAsia="zh-CN" w:bidi="ar-SA"/>
                          </w:rPr>
                          <m:t>0.704</m:t>
                        </m:r>
                        <m:ctrlPr>
                          <w:rPr>
                            <w:rFonts w:hint="default" w:ascii="Cambria Math" w:hAnsi="Cambria Math" w:eastAsia="宋体" w:cs="Times New Roman"/>
                            <w:i/>
                            <w:color w:val="auto"/>
                            <w:kern w:val="0"/>
                            <w:sz w:val="24"/>
                            <w:szCs w:val="24"/>
                            <w:lang w:val="en-US" w:eastAsia="zh-CN" w:bidi="ar-SA"/>
                          </w:rPr>
                        </m:ctrlPr>
                      </m:sup>
                    </m:sSup>
                    <m:ctrlPr>
                      <w:rPr>
                        <w:rFonts w:hint="default" w:ascii="Cambria Math" w:hAnsi="Cambria Math" w:eastAsia="宋体" w:cs="Times New Roman"/>
                        <w:i/>
                        <w:color w:val="auto"/>
                        <w:kern w:val="0"/>
                        <w:sz w:val="24"/>
                        <w:szCs w:val="24"/>
                        <w:lang w:val="en-US" w:eastAsia="zh-CN" w:bidi="ar-SA"/>
                      </w:rPr>
                    </m:ctrlPr>
                  </m:den>
                </m:f>
              </m:oMath>
            </m:oMathPara>
          </w:p>
          <w:p w14:paraId="6AC4C733">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式中：</w:t>
            </w:r>
            <w:r>
              <w:rPr>
                <w:rFonts w:hint="eastAsia" w:ascii="Times New Roman" w:hAnsi="Times New Roman" w:cs="Times New Roman"/>
                <w:bCs/>
                <w:color w:val="auto"/>
                <w:sz w:val="24"/>
                <w:highlight w:val="none"/>
                <w:lang w:val="en-US" w:eastAsia="zh-CN"/>
              </w:rPr>
              <w:t>q</w:t>
            </w:r>
            <w:r>
              <w:rPr>
                <w:rFonts w:hint="eastAsia" w:ascii="Times New Roman" w:hAnsi="Times New Roman" w:eastAsia="宋体" w:cs="Times New Roman"/>
                <w:bCs/>
                <w:color w:val="auto"/>
                <w:sz w:val="24"/>
                <w:highlight w:val="none"/>
                <w:lang w:val="en-US" w:eastAsia="zh-CN"/>
              </w:rPr>
              <w:t>—暴雨强度</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L/</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hm</w:t>
            </w:r>
            <w:r>
              <w:rPr>
                <w:rFonts w:hint="eastAsia" w:ascii="Times New Roman" w:hAnsi="Times New Roman" w:eastAsia="宋体" w:cs="Times New Roman"/>
                <w:bCs/>
                <w:color w:val="auto"/>
                <w:sz w:val="24"/>
                <w:highlight w:val="none"/>
                <w:vertAlign w:val="superscript"/>
                <w:lang w:val="en-US" w:eastAsia="zh-CN"/>
              </w:rPr>
              <w:t>2</w:t>
            </w:r>
            <w:r>
              <w:rPr>
                <w:rFonts w:hint="eastAsia" w:ascii="Times New Roman" w:hAnsi="Times New Roman" w:eastAsia="宋体" w:cs="Times New Roman"/>
                <w:bCs/>
                <w:color w:val="auto"/>
                <w:sz w:val="24"/>
                <w:highlight w:val="none"/>
                <w:lang w:val="en-US" w:eastAsia="zh-CN"/>
              </w:rPr>
              <w:t>∙s）</w:t>
            </w:r>
            <w:r>
              <w:rPr>
                <w:rFonts w:hint="eastAsia" w:cs="Times New Roman"/>
                <w:bCs/>
                <w:color w:val="auto"/>
                <w:sz w:val="24"/>
                <w:highlight w:val="none"/>
                <w:lang w:val="en-US" w:eastAsia="zh-CN"/>
              </w:rPr>
              <w:t>；</w:t>
            </w:r>
          </w:p>
          <w:p w14:paraId="08970E70">
            <w:pPr>
              <w:keepNext w:val="0"/>
              <w:keepLines w:val="0"/>
              <w:suppressLineNumbers w:val="0"/>
              <w:spacing w:before="0" w:beforeAutospacing="0" w:after="0" w:afterAutospacing="0" w:line="360" w:lineRule="auto"/>
              <w:ind w:left="0" w:right="0" w:firstLine="1200" w:firstLineChars="500"/>
              <w:jc w:val="left"/>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P—设计重现期（a）</w:t>
            </w:r>
            <w:r>
              <w:rPr>
                <w:rFonts w:hint="eastAsia" w:ascii="Times New Roman" w:hAnsi="Times New Roman" w:cs="Times New Roman"/>
                <w:bCs/>
                <w:color w:val="auto"/>
                <w:sz w:val="24"/>
                <w:highlight w:val="none"/>
                <w:lang w:val="en-US" w:eastAsia="zh-CN"/>
              </w:rPr>
              <w:t>，取1a</w:t>
            </w:r>
            <w:r>
              <w:rPr>
                <w:rFonts w:hint="eastAsia" w:ascii="Times New Roman" w:hAnsi="Times New Roman" w:eastAsia="宋体" w:cs="Times New Roman"/>
                <w:bCs/>
                <w:color w:val="auto"/>
                <w:sz w:val="24"/>
                <w:highlight w:val="none"/>
                <w:lang w:val="en-US" w:eastAsia="zh-CN"/>
              </w:rPr>
              <w:t>；</w:t>
            </w:r>
          </w:p>
          <w:p w14:paraId="5D60BBCB">
            <w:pPr>
              <w:keepNext w:val="0"/>
              <w:keepLines w:val="0"/>
              <w:suppressLineNumbers w:val="0"/>
              <w:spacing w:before="0" w:beforeAutospacing="0" w:after="0" w:afterAutospacing="0" w:line="360" w:lineRule="auto"/>
              <w:ind w:left="0" w:right="0" w:firstLine="1200" w:firstLineChars="500"/>
              <w:jc w:val="left"/>
              <w:rPr>
                <w:rFonts w:hint="eastAsia" w:ascii="Times New Roman" w:hAnsi="Times New Roman" w:eastAsia="宋体"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t</w:t>
            </w:r>
            <w:r>
              <w:rPr>
                <w:rFonts w:hint="eastAsia" w:ascii="Times New Roman" w:hAnsi="Times New Roman" w:eastAsia="宋体" w:cs="Times New Roman"/>
                <w:bCs/>
                <w:color w:val="auto"/>
                <w:sz w:val="24"/>
                <w:highlight w:val="none"/>
                <w:lang w:val="en-US" w:eastAsia="zh-CN"/>
              </w:rPr>
              <w:t>—降雨历时（min）</w:t>
            </w:r>
            <w:r>
              <w:rPr>
                <w:rFonts w:hint="eastAsia" w:ascii="Times New Roman" w:hAnsi="Times New Roman" w:cs="Times New Roman"/>
                <w:bCs/>
                <w:color w:val="auto"/>
                <w:sz w:val="24"/>
                <w:highlight w:val="none"/>
                <w:lang w:val="en-US" w:eastAsia="zh-CN"/>
              </w:rPr>
              <w:t>，取60min</w:t>
            </w:r>
            <w:r>
              <w:rPr>
                <w:rFonts w:hint="eastAsia" w:ascii="Times New Roman" w:hAnsi="Times New Roman" w:eastAsia="宋体" w:cs="Times New Roman"/>
                <w:bCs/>
                <w:color w:val="auto"/>
                <w:sz w:val="24"/>
                <w:highlight w:val="none"/>
                <w:lang w:val="en-US" w:eastAsia="zh-CN"/>
              </w:rPr>
              <w:t>。</w:t>
            </w:r>
          </w:p>
          <w:p w14:paraId="14AD52F4">
            <w:pPr>
              <w:keepNext w:val="0"/>
              <w:keepLines w:val="0"/>
              <w:suppressLineNumbers w:val="0"/>
              <w:spacing w:before="0" w:beforeAutospacing="0" w:after="0" w:afterAutospacing="0" w:line="360" w:lineRule="auto"/>
              <w:ind w:left="0" w:right="0" w:firstLine="480" w:firstLineChars="200"/>
              <w:jc w:val="left"/>
              <w:rPr>
                <w:rFonts w:hint="default" w:cs="Times New Roman"/>
                <w:bCs/>
                <w:color w:val="auto"/>
                <w:sz w:val="24"/>
                <w:highlight w:val="none"/>
                <w:vertAlign w:val="baseline"/>
                <w:lang w:val="en-US" w:eastAsia="zh-CN"/>
              </w:rPr>
            </w:pPr>
            <w:r>
              <w:rPr>
                <w:rFonts w:hint="eastAsia" w:ascii="Times New Roman" w:hAnsi="Times New Roman" w:cs="Times New Roman"/>
                <w:bCs/>
                <w:color w:val="auto"/>
                <w:sz w:val="24"/>
                <w:highlight w:val="none"/>
                <w:lang w:val="en-US" w:eastAsia="zh-CN"/>
              </w:rPr>
              <w:t>则q为84.7L/</w:t>
            </w:r>
            <w:r>
              <w:rPr>
                <w:rFonts w:hint="eastAsia"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hm</w:t>
            </w:r>
            <w:r>
              <w:rPr>
                <w:rFonts w:hint="eastAsia" w:ascii="Times New Roman" w:hAnsi="Times New Roman" w:cs="Times New Roman"/>
                <w:bCs/>
                <w:color w:val="auto"/>
                <w:sz w:val="24"/>
                <w:highlight w:val="none"/>
                <w:vertAlign w:val="superscript"/>
                <w:lang w:val="en-US" w:eastAsia="zh-CN"/>
              </w:rPr>
              <w:t>2</w:t>
            </w:r>
            <w:r>
              <w:rPr>
                <w:rFonts w:hint="eastAsia" w:ascii="Times New Roman" w:hAnsi="Times New Roman" w:cs="Times New Roman"/>
                <w:bCs/>
                <w:color w:val="auto"/>
                <w:sz w:val="24"/>
                <w:highlight w:val="none"/>
                <w:lang w:val="en-US" w:eastAsia="zh-CN"/>
              </w:rPr>
              <w:t>∙s</w:t>
            </w:r>
            <w:r>
              <w:rPr>
                <w:rFonts w:hint="eastAsia"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，则降雨深度H=0.006×q×t=30.5mm，</w:t>
            </w:r>
            <w:r>
              <w:rPr>
                <w:rFonts w:hint="eastAsia" w:cs="Times New Roman"/>
                <w:bCs/>
                <w:color w:val="auto"/>
                <w:sz w:val="24"/>
                <w:highlight w:val="none"/>
                <w:lang w:val="en-US" w:eastAsia="zh-CN"/>
              </w:rPr>
              <w:t>井场集雨面积为6600m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lang w:val="en-US" w:eastAsia="zh-CN"/>
              </w:rPr>
              <w:t>（井场面积7200m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lang w:val="en-US" w:eastAsia="zh-CN"/>
              </w:rPr>
              <w:t>，扣除循环罐防雨棚雨水收集外排部分面积600m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则井场一次暴雨总量为：V</w:t>
            </w:r>
            <w:r>
              <w:rPr>
                <w:rFonts w:hint="eastAsia" w:ascii="Times New Roman" w:hAnsi="Times New Roman" w:cs="Times New Roman"/>
                <w:bCs/>
                <w:color w:val="auto"/>
                <w:sz w:val="24"/>
                <w:highlight w:val="none"/>
                <w:vertAlign w:val="baseline"/>
                <w:lang w:val="en-US" w:eastAsia="zh-CN"/>
              </w:rPr>
              <w:t>=H×A×0.9=30.5÷1000×</w:t>
            </w:r>
            <w:r>
              <w:rPr>
                <w:rFonts w:hint="eastAsia" w:cs="Times New Roman"/>
                <w:bCs/>
                <w:color w:val="auto"/>
                <w:sz w:val="24"/>
                <w:highlight w:val="none"/>
                <w:vertAlign w:val="baseline"/>
                <w:lang w:val="en-US" w:eastAsia="zh-CN"/>
              </w:rPr>
              <w:t>6600</w:t>
            </w:r>
            <w:r>
              <w:rPr>
                <w:rFonts w:hint="eastAsia" w:ascii="Times New Roman" w:hAnsi="Times New Roman" w:cs="Times New Roman"/>
                <w:bCs/>
                <w:color w:val="auto"/>
                <w:sz w:val="24"/>
                <w:highlight w:val="none"/>
                <w:vertAlign w:val="baseline"/>
                <w:lang w:val="en-US" w:eastAsia="zh-CN"/>
              </w:rPr>
              <w:t>×0.9=</w:t>
            </w:r>
            <w:r>
              <w:rPr>
                <w:rFonts w:hint="eastAsia" w:cs="Times New Roman"/>
                <w:bCs/>
                <w:color w:val="auto"/>
                <w:sz w:val="24"/>
                <w:highlight w:val="none"/>
                <w:vertAlign w:val="baseline"/>
                <w:lang w:val="en-US" w:eastAsia="zh-CN"/>
              </w:rPr>
              <w:t>181.2</w:t>
            </w:r>
            <w:r>
              <w:rPr>
                <w:rFonts w:hint="eastAsia" w:ascii="Times New Roman" w:hAnsi="Times New Roman" w:cs="Times New Roman"/>
                <w:bCs/>
                <w:color w:val="auto"/>
                <w:sz w:val="24"/>
                <w:highlight w:val="none"/>
                <w:vertAlign w:val="baseline"/>
                <w:lang w:val="en-US" w:eastAsia="zh-CN"/>
              </w:rPr>
              <w:t>m</w:t>
            </w:r>
            <w:r>
              <w:rPr>
                <w:rFonts w:hint="eastAsia" w:ascii="Times New Roman" w:hAnsi="Times New Roman" w:cs="Times New Roman"/>
                <w:bCs/>
                <w:color w:val="auto"/>
                <w:sz w:val="24"/>
                <w:highlight w:val="none"/>
                <w:vertAlign w:val="superscript"/>
                <w:lang w:val="en-US" w:eastAsia="zh-CN"/>
              </w:rPr>
              <w:t>3</w:t>
            </w:r>
            <w:r>
              <w:rPr>
                <w:rFonts w:hint="eastAsia" w:ascii="Times New Roman" w:hAnsi="Times New Roman" w:cs="Times New Roman"/>
                <w:bCs/>
                <w:color w:val="auto"/>
                <w:sz w:val="24"/>
                <w:highlight w:val="none"/>
                <w:vertAlign w:val="baseline"/>
                <w:lang w:val="en-US" w:eastAsia="zh-CN"/>
              </w:rPr>
              <w:t>。</w:t>
            </w:r>
            <w:r>
              <w:rPr>
                <w:rFonts w:hint="eastAsia" w:cs="Times New Roman"/>
                <w:bCs/>
                <w:color w:val="auto"/>
                <w:sz w:val="24"/>
                <w:highlight w:val="none"/>
                <w:vertAlign w:val="baseline"/>
                <w:lang w:val="en-US" w:eastAsia="zh-CN"/>
              </w:rPr>
              <w:t>初期雨水按20min进行考虑，则井场一次暴雨初期雨水量为：181.2×20÷60=60.4</w:t>
            </w:r>
            <w:r>
              <w:rPr>
                <w:rFonts w:hint="eastAsia" w:ascii="Times New Roman" w:hAnsi="Times New Roman" w:cs="Times New Roman"/>
                <w:bCs/>
                <w:color w:val="auto"/>
                <w:sz w:val="24"/>
                <w:highlight w:val="none"/>
                <w:vertAlign w:val="baseline"/>
                <w:lang w:val="en-US" w:eastAsia="zh-CN"/>
              </w:rPr>
              <w:t>m</w:t>
            </w:r>
            <w:r>
              <w:rPr>
                <w:rFonts w:hint="eastAsia" w:ascii="Times New Roman" w:hAnsi="Times New Roman" w:cs="Times New Roman"/>
                <w:bCs/>
                <w:color w:val="auto"/>
                <w:sz w:val="24"/>
                <w:highlight w:val="none"/>
                <w:vertAlign w:val="superscript"/>
                <w:lang w:val="en-US" w:eastAsia="zh-CN"/>
              </w:rPr>
              <w:t>3</w:t>
            </w:r>
            <w:r>
              <w:rPr>
                <w:rFonts w:hint="eastAsia" w:ascii="Times New Roman" w:hAnsi="Times New Roman" w:cs="Times New Roman"/>
                <w:bCs/>
                <w:color w:val="auto"/>
                <w:sz w:val="24"/>
                <w:highlight w:val="none"/>
                <w:vertAlign w:val="baseline"/>
                <w:lang w:val="en-US" w:eastAsia="zh-CN"/>
              </w:rPr>
              <w:t>。</w:t>
            </w:r>
          </w:p>
          <w:p w14:paraId="31856B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宋体" w:hAnsi="宋体" w:cs="Times New Roman"/>
                <w:bCs/>
                <w:color w:val="auto"/>
                <w:sz w:val="24"/>
              </w:rPr>
              <w:t>本项目</w:t>
            </w:r>
            <w:r>
              <w:rPr>
                <w:rFonts w:hint="eastAsia" w:ascii="宋体" w:hAnsi="宋体" w:cs="Times New Roman"/>
                <w:bCs/>
                <w:color w:val="auto"/>
                <w:sz w:val="24"/>
                <w:lang w:val="en-US" w:eastAsia="zh-CN"/>
              </w:rPr>
              <w:t>井场内</w:t>
            </w:r>
            <w:r>
              <w:rPr>
                <w:rFonts w:hint="eastAsia" w:ascii="宋体" w:hAnsi="宋体" w:cs="Times New Roman"/>
                <w:bCs/>
                <w:color w:val="auto"/>
                <w:sz w:val="24"/>
              </w:rPr>
              <w:t>最大雨水量</w:t>
            </w:r>
            <w:r>
              <w:rPr>
                <w:rFonts w:hint="default" w:ascii="Times New Roman" w:hAnsi="Times New Roman" w:cs="Times New Roman"/>
                <w:bCs/>
                <w:color w:val="auto"/>
                <w:sz w:val="24"/>
              </w:rPr>
              <w:t>为</w:t>
            </w:r>
            <w:r>
              <w:rPr>
                <w:rFonts w:hint="eastAsia" w:cs="Times New Roman"/>
                <w:bCs/>
                <w:color w:val="auto"/>
                <w:sz w:val="24"/>
                <w:lang w:val="en-US" w:eastAsia="zh-CN"/>
              </w:rPr>
              <w:t>181.2</w:t>
            </w:r>
            <w:r>
              <w:rPr>
                <w:rFonts w:hint="default" w:ascii="Times New Roman" w:hAnsi="Times New Roman" w:cs="Times New Roman"/>
                <w:bCs/>
                <w:color w:val="auto"/>
                <w:sz w:val="24"/>
              </w:rPr>
              <w:t>m</w:t>
            </w:r>
            <w:r>
              <w:rPr>
                <w:rFonts w:hint="default" w:ascii="Times New Roman" w:hAnsi="Times New Roman" w:cs="Times New Roman"/>
                <w:bCs/>
                <w:color w:val="auto"/>
                <w:sz w:val="24"/>
                <w:vertAlign w:val="superscript"/>
              </w:rPr>
              <w:t>3</w:t>
            </w:r>
            <w:r>
              <w:rPr>
                <w:rFonts w:hint="eastAsia" w:ascii="Times New Roman" w:hAnsi="Times New Roman" w:cs="Times New Roman"/>
                <w:bCs/>
                <w:color w:val="auto"/>
                <w:sz w:val="24"/>
                <w:lang w:eastAsia="zh-CN"/>
              </w:rPr>
              <w:t>，</w:t>
            </w:r>
            <w:r>
              <w:rPr>
                <w:rFonts w:hint="eastAsia" w:cs="Times New Roman"/>
                <w:bCs/>
                <w:color w:val="auto"/>
                <w:sz w:val="24"/>
                <w:lang w:val="en-US" w:eastAsia="zh-CN"/>
              </w:rPr>
              <w:t>初期雨水量为60.4m</w:t>
            </w:r>
            <w:r>
              <w:rPr>
                <w:rFonts w:hint="eastAsia" w:cs="Times New Roman"/>
                <w:bCs/>
                <w:color w:val="auto"/>
                <w:sz w:val="24"/>
                <w:vertAlign w:val="superscript"/>
                <w:lang w:val="en-US" w:eastAsia="zh-CN"/>
              </w:rPr>
              <w:t>3</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类比同类井场</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井场内</w:t>
            </w:r>
            <w:r>
              <w:rPr>
                <w:rFonts w:hint="eastAsia" w:ascii="Times New Roman" w:hAnsi="Times New Roman" w:cs="Times New Roman"/>
                <w:bCs/>
                <w:color w:val="auto"/>
                <w:sz w:val="24"/>
              </w:rPr>
              <w:t>雨水</w:t>
            </w:r>
            <w:r>
              <w:rPr>
                <w:rFonts w:hint="default" w:ascii="Times New Roman" w:hAnsi="Times New Roman" w:cs="Times New Roman"/>
                <w:bCs/>
                <w:color w:val="auto"/>
                <w:sz w:val="24"/>
              </w:rPr>
              <w:t>主要污染物为SS和石油类，产生浓度</w:t>
            </w:r>
            <w:r>
              <w:rPr>
                <w:rFonts w:hint="eastAsia" w:ascii="Times New Roman" w:hAnsi="Times New Roman" w:cs="Times New Roman"/>
                <w:bCs/>
                <w:color w:val="auto"/>
                <w:sz w:val="24"/>
                <w:lang w:val="en-US" w:eastAsia="zh-CN"/>
              </w:rPr>
              <w:t>约为</w:t>
            </w:r>
            <w:r>
              <w:rPr>
                <w:rFonts w:hint="default" w:ascii="Times New Roman" w:hAnsi="Times New Roman" w:cs="Times New Roman"/>
                <w:bCs/>
                <w:color w:val="auto"/>
                <w:sz w:val="24"/>
              </w:rPr>
              <w:t>200mg/L和20mg/L。本项目</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default" w:ascii="Times New Roman" w:hAnsi="Times New Roman" w:cs="Times New Roman"/>
                <w:bCs/>
                <w:color w:val="auto"/>
                <w:sz w:val="24"/>
              </w:rPr>
              <w:t>雨水用于</w:t>
            </w:r>
            <w:r>
              <w:rPr>
                <w:rFonts w:hint="eastAsia" w:ascii="Times New Roman" w:hAnsi="Times New Roman" w:cs="Times New Roman"/>
                <w:bCs/>
                <w:color w:val="auto"/>
                <w:sz w:val="24"/>
                <w:lang w:val="en-US" w:eastAsia="zh-CN"/>
              </w:rPr>
              <w:t>钻井泥浆</w:t>
            </w:r>
            <w:r>
              <w:rPr>
                <w:rFonts w:hint="eastAsia" w:cs="Times New Roman"/>
                <w:bCs/>
                <w:color w:val="auto"/>
                <w:sz w:val="24"/>
                <w:lang w:eastAsia="zh-CN"/>
              </w:rPr>
              <w:t>配制</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不外排</w:t>
            </w:r>
            <w:r>
              <w:rPr>
                <w:rFonts w:hint="default" w:ascii="Times New Roman" w:hAnsi="Times New Roman" w:cs="Times New Roman"/>
                <w:bCs/>
                <w:color w:val="auto"/>
                <w:sz w:val="24"/>
              </w:rPr>
              <w:t>。</w:t>
            </w:r>
          </w:p>
          <w:p w14:paraId="19E2B9C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3）压裂废水</w:t>
            </w:r>
          </w:p>
          <w:p w14:paraId="34EBB1C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yellow"/>
              </w:rPr>
            </w:pPr>
            <w:r>
              <w:rPr>
                <w:rFonts w:hint="eastAsia" w:ascii="Times New Roman" w:hAnsi="Times New Roman" w:cs="Times New Roman"/>
                <w:color w:val="auto"/>
                <w:sz w:val="24"/>
              </w:rPr>
              <w:t>本项目</w:t>
            </w:r>
            <w:r>
              <w:rPr>
                <w:rFonts w:hint="eastAsia" w:ascii="Times New Roman" w:hAnsi="Times New Roman" w:cs="Times New Roman"/>
                <w:color w:val="auto"/>
                <w:sz w:val="24"/>
                <w:lang w:val="en-US" w:eastAsia="zh-CN"/>
              </w:rPr>
              <w:t>完</w:t>
            </w:r>
            <w:r>
              <w:rPr>
                <w:rFonts w:hint="eastAsia" w:ascii="Times New Roman" w:hAnsi="Times New Roman" w:cs="Times New Roman"/>
                <w:color w:val="auto"/>
                <w:sz w:val="24"/>
              </w:rPr>
              <w:t>钻层位为中</w:t>
            </w:r>
            <w:r>
              <w:rPr>
                <w:rFonts w:hint="default"/>
                <w:color w:val="auto"/>
                <w:sz w:val="24"/>
              </w:rPr>
              <w:t>须家河组</w:t>
            </w:r>
            <w:r>
              <w:rPr>
                <w:rFonts w:hint="eastAsia"/>
                <w:color w:val="auto"/>
                <w:sz w:val="24"/>
              </w:rPr>
              <w:t>四段下亚段</w:t>
            </w:r>
            <w:r>
              <w:rPr>
                <w:rFonts w:hint="eastAsia" w:ascii="Times New Roman" w:hAnsi="Times New Roman" w:cs="Times New Roman"/>
                <w:color w:val="auto"/>
                <w:sz w:val="24"/>
              </w:rPr>
              <w:t>，目的层</w:t>
            </w:r>
            <w:r>
              <w:rPr>
                <w:rFonts w:hint="eastAsia" w:ascii="Times New Roman" w:hAnsi="Times New Roman" w:cs="Times New Roman"/>
                <w:color w:val="auto"/>
                <w:sz w:val="24"/>
                <w:lang w:val="en-US" w:eastAsia="zh-CN"/>
              </w:rPr>
              <w:t>为</w:t>
            </w:r>
            <w:r>
              <w:rPr>
                <w:rFonts w:hint="default"/>
                <w:bCs/>
                <w:color w:val="auto"/>
                <w:sz w:val="24"/>
                <w:lang w:val="en-GB"/>
              </w:rPr>
              <w:t>上</w:t>
            </w:r>
            <w:r>
              <w:rPr>
                <w:rFonts w:hint="eastAsia"/>
                <w:bCs/>
                <w:color w:val="auto"/>
                <w:sz w:val="24"/>
                <w:lang w:val="en-GB"/>
              </w:rPr>
              <w:t>三叠统须家河组四段下亚段</w:t>
            </w:r>
            <w:r>
              <w:rPr>
                <w:rFonts w:hint="eastAsia" w:ascii="Times New Roman" w:hAnsi="Times New Roman" w:cs="Times New Roman"/>
                <w:color w:val="auto"/>
                <w:sz w:val="24"/>
              </w:rPr>
              <w:t>砂岩储层</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根据建设单位提供资料，</w:t>
            </w:r>
            <w:r>
              <w:rPr>
                <w:rFonts w:hint="eastAsia" w:ascii="Times New Roman" w:hAnsi="Times New Roman" w:cs="Times New Roman"/>
                <w:bCs/>
                <w:color w:val="auto"/>
                <w:sz w:val="24"/>
              </w:rPr>
              <w:t>本项目采用</w:t>
            </w:r>
            <w:r>
              <w:rPr>
                <w:rFonts w:hint="eastAsia" w:ascii="Times New Roman" w:hAnsi="Times New Roman" w:eastAsia="宋体" w:cs="Times New Roman"/>
                <w:bCs/>
                <w:color w:val="auto"/>
                <w:kern w:val="2"/>
                <w:sz w:val="24"/>
                <w:szCs w:val="24"/>
                <w:highlight w:val="none"/>
                <w:lang w:val="en-US" w:eastAsia="zh-CN" w:bidi="ar-SA"/>
              </w:rPr>
              <w:t>泵送桥塞电缆射孔联作多段压裂</w:t>
            </w:r>
            <w:r>
              <w:rPr>
                <w:rFonts w:hint="eastAsia" w:ascii="Times New Roman" w:hAnsi="Times New Roman" w:cs="Times New Roman"/>
                <w:bCs/>
                <w:color w:val="auto"/>
                <w:sz w:val="24"/>
              </w:rPr>
              <w:t>改造</w:t>
            </w:r>
            <w:r>
              <w:rPr>
                <w:rFonts w:hint="eastAsia" w:ascii="Times New Roman" w:hAnsi="Times New Roman" w:eastAsia="宋体" w:cs="Times New Roman"/>
                <w:bCs/>
                <w:color w:val="auto"/>
                <w:kern w:val="0"/>
                <w:sz w:val="24"/>
                <w:szCs w:val="21"/>
                <w:lang w:eastAsia="zh-CN"/>
              </w:rPr>
              <w:t>，</w:t>
            </w:r>
            <w:r>
              <w:rPr>
                <w:rFonts w:hint="eastAsia" w:ascii="Times New Roman" w:hAnsi="Times New Roman" w:eastAsia="宋体" w:cs="Times New Roman"/>
                <w:bCs/>
                <w:color w:val="auto"/>
                <w:kern w:val="0"/>
                <w:sz w:val="24"/>
                <w:szCs w:val="21"/>
                <w:lang w:val="en-US" w:eastAsia="zh-CN"/>
              </w:rPr>
              <w:t>目的含气层压裂段长</w:t>
            </w:r>
            <w:r>
              <w:rPr>
                <w:rFonts w:hint="eastAsia" w:cs="Times New Roman"/>
                <w:bCs/>
                <w:color w:val="auto"/>
                <w:kern w:val="0"/>
                <w:sz w:val="24"/>
                <w:szCs w:val="21"/>
                <w:lang w:val="en-US" w:eastAsia="zh-CN"/>
              </w:rPr>
              <w:t>169</w:t>
            </w:r>
            <w:r>
              <w:rPr>
                <w:rFonts w:hint="eastAsia" w:ascii="Times New Roman" w:hAnsi="Times New Roman" w:eastAsia="宋体" w:cs="Times New Roman"/>
                <w:bCs/>
                <w:color w:val="auto"/>
                <w:kern w:val="0"/>
                <w:sz w:val="24"/>
                <w:szCs w:val="21"/>
                <w:lang w:val="en-US" w:eastAsia="zh-CN"/>
              </w:rPr>
              <w:t>m，分</w:t>
            </w:r>
            <w:r>
              <w:rPr>
                <w:rFonts w:hint="eastAsia" w:cs="Times New Roman"/>
                <w:bCs/>
                <w:color w:val="auto"/>
                <w:kern w:val="0"/>
                <w:sz w:val="24"/>
                <w:szCs w:val="21"/>
                <w:lang w:val="en-US" w:eastAsia="zh-CN"/>
              </w:rPr>
              <w:t>3</w:t>
            </w:r>
            <w:r>
              <w:rPr>
                <w:rFonts w:hint="eastAsia" w:ascii="Times New Roman" w:hAnsi="Times New Roman" w:eastAsia="宋体" w:cs="Times New Roman"/>
                <w:bCs/>
                <w:color w:val="auto"/>
                <w:kern w:val="0"/>
                <w:sz w:val="24"/>
                <w:szCs w:val="21"/>
                <w:lang w:val="en-US" w:eastAsia="zh-CN"/>
              </w:rPr>
              <w:t>段加砂压裂，每段压裂液注入量约1800m</w:t>
            </w:r>
            <w:r>
              <w:rPr>
                <w:rFonts w:hint="eastAsia" w:ascii="Times New Roman" w:hAnsi="Times New Roman" w:eastAsia="宋体" w:cs="Times New Roman"/>
                <w:bCs/>
                <w:color w:val="auto"/>
                <w:kern w:val="0"/>
                <w:sz w:val="24"/>
                <w:szCs w:val="21"/>
                <w:vertAlign w:val="superscript"/>
                <w:lang w:val="en-US" w:eastAsia="zh-CN"/>
              </w:rPr>
              <w:t>3</w:t>
            </w:r>
            <w:r>
              <w:rPr>
                <w:rFonts w:hint="eastAsia" w:ascii="Times New Roman" w:hAnsi="Times New Roman" w:eastAsia="宋体" w:cs="Times New Roman"/>
                <w:bCs/>
                <w:color w:val="auto"/>
                <w:kern w:val="0"/>
                <w:sz w:val="24"/>
                <w:szCs w:val="21"/>
                <w:lang w:val="en-US" w:eastAsia="zh-CN"/>
              </w:rPr>
              <w:t>，总压裂液使用量为</w:t>
            </w:r>
            <w:r>
              <w:rPr>
                <w:rFonts w:hint="eastAsia" w:cs="Times New Roman"/>
                <w:bCs/>
                <w:color w:val="auto"/>
                <w:kern w:val="0"/>
                <w:sz w:val="24"/>
                <w:szCs w:val="21"/>
                <w:lang w:val="en-US" w:eastAsia="zh-CN"/>
              </w:rPr>
              <w:t>5400</w:t>
            </w:r>
            <w:r>
              <w:rPr>
                <w:rFonts w:hint="eastAsia" w:ascii="Times New Roman" w:hAnsi="Times New Roman" w:eastAsia="宋体" w:cs="Times New Roman"/>
                <w:bCs/>
                <w:color w:val="auto"/>
                <w:kern w:val="0"/>
                <w:sz w:val="24"/>
                <w:szCs w:val="21"/>
                <w:lang w:val="en-US" w:eastAsia="zh-CN"/>
              </w:rPr>
              <w:t>m</w:t>
            </w:r>
            <w:r>
              <w:rPr>
                <w:rFonts w:hint="eastAsia" w:ascii="Times New Roman" w:hAnsi="Times New Roman" w:eastAsia="宋体" w:cs="Times New Roman"/>
                <w:bCs/>
                <w:color w:val="auto"/>
                <w:kern w:val="0"/>
                <w:sz w:val="24"/>
                <w:szCs w:val="21"/>
                <w:vertAlign w:val="superscript"/>
                <w:lang w:val="en-US" w:eastAsia="zh-CN"/>
              </w:rPr>
              <w:t>3</w:t>
            </w:r>
            <w:r>
              <w:rPr>
                <w:rFonts w:hint="eastAsia" w:ascii="Times New Roman" w:hAnsi="Times New Roman" w:eastAsia="宋体" w:cs="Times New Roman"/>
                <w:bCs/>
                <w:color w:val="auto"/>
                <w:kern w:val="0"/>
                <w:sz w:val="24"/>
                <w:szCs w:val="21"/>
                <w:lang w:val="en-US" w:eastAsia="zh-CN"/>
              </w:rPr>
              <w:t>。</w:t>
            </w:r>
            <w:r>
              <w:rPr>
                <w:rFonts w:hint="eastAsia" w:ascii="Times New Roman" w:hAnsi="Times New Roman" w:cs="Times New Roman"/>
                <w:color w:val="auto"/>
                <w:sz w:val="24"/>
                <w:highlight w:val="none"/>
              </w:rPr>
              <w:t>该区域</w:t>
            </w:r>
            <w:r>
              <w:rPr>
                <w:rFonts w:hint="eastAsia" w:ascii="Times New Roman" w:hAnsi="Times New Roman" w:cs="Times New Roman"/>
                <w:color w:val="auto"/>
                <w:sz w:val="24"/>
                <w:highlight w:val="none"/>
                <w:lang w:val="en-US" w:eastAsia="zh-CN"/>
              </w:rPr>
              <w:t>最大</w:t>
            </w:r>
            <w:r>
              <w:rPr>
                <w:rFonts w:hint="eastAsia" w:ascii="Times New Roman" w:hAnsi="Times New Roman" w:cs="Times New Roman"/>
                <w:color w:val="auto"/>
                <w:sz w:val="24"/>
              </w:rPr>
              <w:t>压裂液返排率约60%，压裂废水</w:t>
            </w:r>
            <w:r>
              <w:rPr>
                <w:rFonts w:hint="eastAsia" w:ascii="Times New Roman" w:hAnsi="Times New Roman" w:cs="Times New Roman"/>
                <w:color w:val="auto"/>
                <w:sz w:val="24"/>
                <w:lang w:val="en-US" w:eastAsia="zh-CN"/>
              </w:rPr>
              <w:t>最大</w:t>
            </w:r>
            <w:r>
              <w:rPr>
                <w:rFonts w:hint="eastAsia" w:ascii="Times New Roman" w:hAnsi="Times New Roman" w:cs="Times New Roman"/>
                <w:color w:val="auto"/>
                <w:sz w:val="24"/>
              </w:rPr>
              <w:t>返排总量约为</w:t>
            </w:r>
            <w:r>
              <w:rPr>
                <w:rFonts w:hint="eastAsia" w:cs="Times New Roman"/>
                <w:color w:val="auto"/>
                <w:sz w:val="24"/>
                <w:lang w:val="en-US" w:eastAsia="zh-CN"/>
              </w:rPr>
              <w:t>3240</w:t>
            </w:r>
            <w:r>
              <w:rPr>
                <w:rFonts w:hint="eastAsia" w:ascii="Times New Roman" w:hAnsi="Times New Roman" w:cs="Times New Roman"/>
                <w:color w:val="auto"/>
                <w:sz w:val="24"/>
              </w:rPr>
              <w:t>m³。</w:t>
            </w:r>
            <w:r>
              <w:rPr>
                <w:rFonts w:hint="default" w:ascii="Times New Roman" w:hAnsi="Times New Roman" w:cs="Times New Roman"/>
                <w:bCs/>
                <w:color w:val="auto"/>
                <w:sz w:val="24"/>
              </w:rPr>
              <w:t>每次压裂液泵入时间约2~3h，均在白天进行，一天最长压裂作业时间不超过15h，并且最迟在</w:t>
            </w:r>
            <w:r>
              <w:rPr>
                <w:rFonts w:hint="eastAsia" w:ascii="Times New Roman" w:hAnsi="Times New Roman" w:cs="Times New Roman"/>
                <w:bCs/>
                <w:color w:val="auto"/>
                <w:sz w:val="24"/>
                <w:lang w:eastAsia="zh-CN"/>
              </w:rPr>
              <w:t>22:00</w:t>
            </w:r>
            <w:r>
              <w:rPr>
                <w:rFonts w:hint="default" w:ascii="Times New Roman" w:hAnsi="Times New Roman" w:cs="Times New Roman"/>
                <w:bCs/>
                <w:color w:val="auto"/>
                <w:sz w:val="24"/>
              </w:rPr>
              <w:t>点之前停止压裂作业。</w:t>
            </w:r>
          </w:p>
          <w:p w14:paraId="6E81FC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项目平台压裂液回用过程示意图见下图所示：</w:t>
            </w:r>
          </w:p>
          <w:p w14:paraId="356D5A1F">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object>
                <v:shape id="_x0000_i1035" o:spt="75" type="#_x0000_t75" style="height:74.55pt;width:413.75pt;" o:ole="t" filled="f" o:preferrelative="t" stroked="f" coordsize="21600,21600">
                  <v:path/>
                  <v:fill on="f" focussize="0,0"/>
                  <v:stroke on="f"/>
                  <v:imagedata r:id="rId43" o:title=""/>
                  <o:lock v:ext="edit" aspectratio="f"/>
                  <w10:wrap type="none"/>
                  <w10:anchorlock/>
                </v:shape>
                <o:OLEObject Type="Embed" ProgID="Visio.Drawing.11" ShapeID="_x0000_i1035" DrawAspect="Content" ObjectID="_1468075735" r:id="rId42">
                  <o:LockedField>false</o:LockedField>
                </o:OLEObject>
              </w:object>
            </w:r>
          </w:p>
          <w:p w14:paraId="75ED8B41">
            <w:pPr>
              <w:keepNext w:val="0"/>
              <w:keepLines w:val="0"/>
              <w:numPr>
                <w:ilvl w:val="0"/>
                <w:numId w:val="16"/>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rPr>
            </w:pPr>
            <w:r>
              <w:rPr>
                <w:rFonts w:hint="default" w:ascii="Times New Roman" w:hAnsi="Times New Roman" w:cs="Times New Roman"/>
                <w:b/>
                <w:color w:val="auto"/>
              </w:rPr>
              <w:t>平台压裂液回用过程示意图</w:t>
            </w:r>
          </w:p>
          <w:p w14:paraId="1E700EFE">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Cs/>
                <w:color w:val="auto"/>
                <w:kern w:val="0"/>
                <w:sz w:val="24"/>
              </w:rPr>
            </w:pPr>
            <w:r>
              <w:rPr>
                <w:rFonts w:hint="eastAsia" w:ascii="Times New Roman" w:hAnsi="Times New Roman" w:cs="Times New Roman"/>
                <w:bCs/>
                <w:color w:val="auto"/>
                <w:sz w:val="24"/>
                <w:lang w:val="en-US" w:eastAsia="zh-CN"/>
              </w:rPr>
              <w:t>本项目最终产生的最大返排压裂废水（</w:t>
            </w:r>
            <w:r>
              <w:rPr>
                <w:rFonts w:hint="default" w:ascii="Times New Roman" w:hAnsi="Times New Roman" w:cs="Times New Roman"/>
                <w:bCs/>
                <w:color w:val="auto"/>
                <w:sz w:val="24"/>
              </w:rPr>
              <w:t>压</w:t>
            </w:r>
            <w:r>
              <w:rPr>
                <w:rFonts w:hint="default" w:ascii="Times New Roman" w:hAnsi="Times New Roman" w:cs="Times New Roman"/>
                <w:bCs/>
                <w:color w:val="auto"/>
                <w:kern w:val="0"/>
                <w:sz w:val="24"/>
              </w:rPr>
              <w:t>裂返排液</w:t>
            </w:r>
            <w:r>
              <w:rPr>
                <w:rFonts w:hint="eastAsia" w:ascii="Times New Roman" w:hAnsi="Times New Roman" w:cs="Times New Roman"/>
                <w:bCs/>
                <w:color w:val="auto"/>
                <w:sz w:val="24"/>
                <w:lang w:val="en-US" w:eastAsia="zh-CN"/>
              </w:rPr>
              <w:t>）约</w:t>
            </w:r>
            <w:r>
              <w:rPr>
                <w:rFonts w:hint="eastAsia" w:cs="Times New Roman"/>
                <w:bCs/>
                <w:color w:val="auto"/>
                <w:sz w:val="24"/>
                <w:lang w:val="en-US" w:eastAsia="zh-CN"/>
              </w:rPr>
              <w:t>3240</w:t>
            </w:r>
            <w:r>
              <w:rPr>
                <w:rFonts w:hint="eastAsia" w:ascii="Times New Roman" w:hAnsi="Times New Roman" w:cs="Times New Roman"/>
                <w:color w:val="auto"/>
                <w:sz w:val="24"/>
              </w:rPr>
              <w:t>m³</w:t>
            </w:r>
            <w:r>
              <w:rPr>
                <w:rFonts w:hint="eastAsia" w:ascii="Times New Roman" w:hAnsi="Times New Roman" w:cs="Times New Roman"/>
                <w:bCs/>
                <w:color w:val="auto"/>
                <w:sz w:val="24"/>
                <w:lang w:val="en-US" w:eastAsia="zh-CN"/>
              </w:rPr>
              <w:t>，返排周期一般为25d，平均每天</w:t>
            </w:r>
            <w:r>
              <w:rPr>
                <w:rFonts w:hint="default" w:ascii="Times New Roman" w:hAnsi="Times New Roman" w:cs="Times New Roman"/>
                <w:bCs/>
                <w:color w:val="auto"/>
                <w:kern w:val="0"/>
                <w:sz w:val="24"/>
              </w:rPr>
              <w:t>返排</w:t>
            </w:r>
            <w:r>
              <w:rPr>
                <w:rFonts w:hint="eastAsia" w:ascii="Times New Roman" w:hAnsi="Times New Roman" w:cs="Times New Roman"/>
                <w:bCs/>
                <w:color w:val="auto"/>
                <w:kern w:val="0"/>
                <w:sz w:val="24"/>
                <w:lang w:val="en-US" w:eastAsia="zh-CN"/>
              </w:rPr>
              <w:t>压裂废水</w:t>
            </w:r>
            <w:r>
              <w:rPr>
                <w:rFonts w:hint="default" w:ascii="Times New Roman" w:hAnsi="Times New Roman" w:cs="Times New Roman"/>
                <w:bCs/>
                <w:color w:val="auto"/>
                <w:kern w:val="0"/>
                <w:sz w:val="24"/>
              </w:rPr>
              <w:t>为</w:t>
            </w:r>
            <w:r>
              <w:rPr>
                <w:rFonts w:hint="eastAsia" w:cs="Times New Roman"/>
                <w:bCs/>
                <w:color w:val="auto"/>
                <w:kern w:val="0"/>
                <w:sz w:val="24"/>
                <w:lang w:val="en-US" w:eastAsia="zh-CN"/>
              </w:rPr>
              <w:t>130</w:t>
            </w:r>
            <w:r>
              <w:rPr>
                <w:rFonts w:hint="default" w:ascii="Times New Roman" w:hAnsi="Times New Roman" w:cs="Times New Roman"/>
                <w:bCs/>
                <w:color w:val="auto"/>
                <w:kern w:val="0"/>
                <w:sz w:val="24"/>
              </w:rPr>
              <w:t>m³，</w:t>
            </w:r>
            <w:r>
              <w:rPr>
                <w:rFonts w:hint="eastAsia" w:ascii="Times New Roman" w:hAnsi="Times New Roman" w:cs="Times New Roman"/>
                <w:bCs/>
                <w:color w:val="auto"/>
                <w:sz w:val="24"/>
                <w:lang w:val="en-US" w:eastAsia="zh-CN"/>
              </w:rPr>
              <w:t>压裂废水</w:t>
            </w:r>
            <w:r>
              <w:rPr>
                <w:rFonts w:hint="default" w:ascii="Times New Roman" w:hAnsi="Times New Roman" w:cs="Times New Roman"/>
                <w:bCs/>
                <w:color w:val="auto"/>
                <w:kern w:val="0"/>
                <w:sz w:val="24"/>
              </w:rPr>
              <w:t>先</w:t>
            </w:r>
            <w:r>
              <w:rPr>
                <w:rFonts w:hint="eastAsia" w:ascii="Times New Roman" w:hAnsi="Times New Roman" w:cs="Times New Roman"/>
                <w:bCs/>
                <w:color w:val="auto"/>
                <w:kern w:val="0"/>
                <w:sz w:val="24"/>
                <w:lang w:val="en-US" w:eastAsia="zh-CN"/>
              </w:rPr>
              <w:t>贮存于</w:t>
            </w:r>
            <w:r>
              <w:rPr>
                <w:rFonts w:hint="default" w:ascii="Times New Roman" w:hAnsi="Times New Roman" w:cs="Times New Roman"/>
                <w:bCs/>
                <w:color w:val="auto"/>
                <w:kern w:val="0"/>
                <w:sz w:val="24"/>
              </w:rPr>
              <w:t>放喷池</w:t>
            </w:r>
            <w:r>
              <w:rPr>
                <w:rFonts w:hint="eastAsia" w:ascii="Times New Roman" w:hAnsi="Times New Roman" w:eastAsia="宋体" w:cs="Times New Roman"/>
                <w:bCs/>
                <w:color w:val="auto"/>
                <w:kern w:val="0"/>
                <w:sz w:val="24"/>
                <w:lang w:val="en-US" w:eastAsia="zh-CN"/>
              </w:rPr>
              <w:t>中</w:t>
            </w:r>
            <w:r>
              <w:rPr>
                <w:rFonts w:hint="default" w:ascii="Times New Roman" w:hAnsi="Times New Roman" w:eastAsia="宋体" w:cs="Times New Roman"/>
                <w:bCs/>
                <w:color w:val="auto"/>
                <w:kern w:val="0"/>
                <w:sz w:val="24"/>
              </w:rPr>
              <w:t>，</w:t>
            </w:r>
            <w:r>
              <w:rPr>
                <w:rFonts w:hint="eastAsia" w:ascii="Times New Roman" w:hAnsi="Times New Roman" w:eastAsia="宋体" w:cs="Times New Roman"/>
                <w:bCs/>
                <w:color w:val="auto"/>
                <w:kern w:val="0"/>
                <w:sz w:val="24"/>
              </w:rPr>
              <w:t>交由符合环保要求且有处理能力的钻井废水处理公司进行处理</w:t>
            </w:r>
            <w:r>
              <w:rPr>
                <w:rFonts w:hint="default" w:ascii="Times New Roman" w:hAnsi="Times New Roman" w:eastAsia="宋体" w:cs="Times New Roman"/>
                <w:bCs/>
                <w:color w:val="auto"/>
                <w:kern w:val="0"/>
                <w:sz w:val="24"/>
              </w:rPr>
              <w:t>。</w:t>
            </w:r>
          </w:p>
          <w:p w14:paraId="73A235AA">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rPr>
            </w:pPr>
            <w:r>
              <w:rPr>
                <w:rFonts w:hint="eastAsia" w:ascii="Times New Roman" w:hAnsi="Times New Roman" w:eastAsia="宋体" w:cs="Times New Roman"/>
                <w:color w:val="auto"/>
                <w:sz w:val="24"/>
                <w:szCs w:val="24"/>
              </w:rPr>
              <w:t>元陆178井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川东北普陆701HF井</w:t>
            </w:r>
            <w:r>
              <w:rPr>
                <w:rFonts w:hint="eastAsia" w:ascii="Times New Roman" w:hAnsi="Times New Roman" w:eastAsia="宋体" w:cs="Times New Roman"/>
                <w:color w:val="auto"/>
                <w:sz w:val="24"/>
                <w:szCs w:val="24"/>
                <w:lang w:val="en-US" w:eastAsia="zh-CN"/>
              </w:rPr>
              <w:t>及</w:t>
            </w:r>
            <w:r>
              <w:rPr>
                <w:rFonts w:hint="eastAsia" w:ascii="Times New Roman" w:hAnsi="Times New Roman" w:eastAsia="宋体" w:cs="Times New Roman"/>
                <w:color w:val="auto"/>
                <w:sz w:val="24"/>
                <w:szCs w:val="24"/>
              </w:rPr>
              <w:t>中江气田产能建设项目（四期）</w:t>
            </w:r>
            <w:r>
              <w:rPr>
                <w:rFonts w:hint="eastAsia" w:ascii="Times New Roman" w:hAnsi="Times New Roman" w:eastAsia="宋体" w:cs="Times New Roman"/>
                <w:color w:val="auto"/>
                <w:sz w:val="24"/>
                <w:szCs w:val="24"/>
                <w:lang w:val="en-US" w:eastAsia="zh-CN"/>
              </w:rPr>
              <w:t>等项目与本项目为同类型项目，各天然气井项目各阶段产污类似，与各天然气井规模关联较小。上述项目与本项目属同类项目，其钻井作业及压裂作业工艺、方式均与本项目一致，本项目</w:t>
            </w:r>
            <w:r>
              <w:rPr>
                <w:rFonts w:hint="default" w:ascii="Times New Roman" w:hAnsi="Times New Roman" w:eastAsia="宋体" w:cs="Times New Roman"/>
                <w:color w:val="auto"/>
                <w:sz w:val="24"/>
                <w:szCs w:val="24"/>
              </w:rPr>
              <w:t>类比分析</w:t>
            </w:r>
            <w:r>
              <w:rPr>
                <w:rFonts w:hint="eastAsia" w:ascii="Times New Roman" w:hAnsi="Times New Roman" w:eastAsia="宋体" w:cs="Times New Roman"/>
                <w:color w:val="auto"/>
                <w:sz w:val="24"/>
                <w:szCs w:val="24"/>
                <w:lang w:val="en-US" w:eastAsia="zh-CN"/>
              </w:rPr>
              <w:t>其</w:t>
            </w:r>
            <w:r>
              <w:rPr>
                <w:rFonts w:hint="default" w:ascii="Times New Roman" w:hAnsi="Times New Roman" w:eastAsia="宋体" w:cs="Times New Roman"/>
                <w:color w:val="auto"/>
                <w:sz w:val="24"/>
                <w:szCs w:val="24"/>
              </w:rPr>
              <w:t>废水</w:t>
            </w:r>
            <w:r>
              <w:rPr>
                <w:rFonts w:hint="eastAsia" w:ascii="Times New Roman" w:hAnsi="Times New Roman" w:eastAsia="宋体" w:cs="Times New Roman"/>
                <w:color w:val="auto"/>
                <w:sz w:val="24"/>
                <w:szCs w:val="24"/>
              </w:rPr>
              <w:t>源强</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rPr>
              <w:t>加砂压裂</w:t>
            </w:r>
            <w:r>
              <w:rPr>
                <w:rFonts w:hint="default" w:ascii="Times New Roman" w:hAnsi="Times New Roman" w:cs="Times New Roman"/>
                <w:color w:val="auto"/>
                <w:sz w:val="24"/>
              </w:rPr>
              <w:t>产生的压裂返排液水质情况见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64D7E04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压裂返排液污染物浓度表（单位：mg/L，pH值无量纲）</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19"/>
              <w:gridCol w:w="1248"/>
              <w:gridCol w:w="1069"/>
              <w:gridCol w:w="1212"/>
              <w:gridCol w:w="1092"/>
              <w:gridCol w:w="1092"/>
              <w:gridCol w:w="948"/>
            </w:tblGrid>
            <w:tr w14:paraId="777E8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72" w:type="pct"/>
                  <w:tcBorders>
                    <w:top w:val="single" w:color="000000" w:sz="4" w:space="0"/>
                    <w:left w:val="single" w:color="000000" w:sz="4" w:space="0"/>
                    <w:bottom w:val="single" w:color="000000" w:sz="4" w:space="0"/>
                    <w:right w:val="single" w:color="000000" w:sz="4" w:space="0"/>
                  </w:tcBorders>
                  <w:noWrap w:val="0"/>
                  <w:vAlign w:val="center"/>
                </w:tcPr>
                <w:p w14:paraId="5FF6314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735" w:type="pct"/>
                  <w:tcBorders>
                    <w:top w:val="single" w:color="000000" w:sz="4" w:space="0"/>
                    <w:left w:val="single" w:color="000000" w:sz="4" w:space="0"/>
                    <w:bottom w:val="single" w:color="000000" w:sz="4" w:space="0"/>
                    <w:right w:val="single" w:color="000000" w:sz="4" w:space="0"/>
                  </w:tcBorders>
                  <w:noWrap w:val="0"/>
                  <w:vAlign w:val="center"/>
                </w:tcPr>
                <w:p w14:paraId="6200D575">
                  <w:pPr>
                    <w:pStyle w:val="76"/>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pH</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5BB7E0A">
                  <w:pPr>
                    <w:pStyle w:val="76"/>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COD</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B8D1BCB">
                  <w:pPr>
                    <w:pStyle w:val="76"/>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石油类</w:t>
                  </w:r>
                </w:p>
              </w:tc>
              <w:tc>
                <w:tcPr>
                  <w:tcW w:w="643" w:type="pct"/>
                  <w:tcBorders>
                    <w:top w:val="single" w:color="000000" w:sz="4" w:space="0"/>
                    <w:left w:val="single" w:color="000000" w:sz="4" w:space="0"/>
                    <w:bottom w:val="single" w:color="000000" w:sz="4" w:space="0"/>
                    <w:right w:val="single" w:color="000000" w:sz="4" w:space="0"/>
                  </w:tcBorders>
                  <w:noWrap w:val="0"/>
                  <w:vAlign w:val="center"/>
                </w:tcPr>
                <w:p w14:paraId="72F9B796">
                  <w:pPr>
                    <w:pStyle w:val="76"/>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SS</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0C25FEB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color w:val="auto"/>
                      <w:szCs w:val="20"/>
                      <w:lang w:val="en-US" w:eastAsia="zh-CN"/>
                    </w:rPr>
                  </w:pPr>
                  <w:r>
                    <w:rPr>
                      <w:rFonts w:hint="default" w:ascii="Times New Roman" w:hAnsi="Times New Roman" w:cs="Times New Roman"/>
                      <w:b/>
                      <w:bCs/>
                      <w:color w:val="auto"/>
                      <w:kern w:val="0"/>
                      <w:szCs w:val="21"/>
                    </w:rPr>
                    <w:t>Cl</w:t>
                  </w:r>
                  <w:r>
                    <w:rPr>
                      <w:rFonts w:hint="eastAsia" w:ascii="Times New Roman" w:hAnsi="Times New Roman" w:cs="Times New Roman"/>
                      <w:b/>
                      <w:bCs/>
                      <w:color w:val="auto"/>
                      <w:kern w:val="0"/>
                      <w:szCs w:val="21"/>
                      <w:vertAlign w:val="superscript"/>
                      <w:lang w:val="en-US" w:eastAsia="zh-CN"/>
                    </w:rPr>
                    <w:t>-</w:t>
                  </w:r>
                </w:p>
              </w:tc>
              <w:tc>
                <w:tcPr>
                  <w:tcW w:w="558" w:type="pct"/>
                  <w:tcBorders>
                    <w:top w:val="single" w:color="000000" w:sz="4" w:space="0"/>
                    <w:left w:val="single" w:color="auto" w:sz="4" w:space="0"/>
                    <w:bottom w:val="single" w:color="000000" w:sz="4" w:space="0"/>
                    <w:right w:val="single" w:color="000000" w:sz="4" w:space="0"/>
                  </w:tcBorders>
                  <w:noWrap w:val="0"/>
                  <w:vAlign w:val="center"/>
                </w:tcPr>
                <w:p w14:paraId="657D8BE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color w:val="auto"/>
                      <w:kern w:val="0"/>
                      <w:szCs w:val="21"/>
                      <w:lang w:val="en-US" w:eastAsia="zh-CN"/>
                    </w:rPr>
                  </w:pPr>
                  <w:r>
                    <w:rPr>
                      <w:rFonts w:hint="eastAsia" w:ascii="Times New Roman" w:hAnsi="Times New Roman" w:cs="Times New Roman"/>
                      <w:b/>
                      <w:bCs/>
                      <w:color w:val="auto"/>
                      <w:kern w:val="0"/>
                      <w:szCs w:val="21"/>
                      <w:lang w:val="en-US" w:eastAsia="zh-CN"/>
                    </w:rPr>
                    <w:t>钡</w:t>
                  </w:r>
                </w:p>
              </w:tc>
            </w:tr>
            <w:tr w14:paraId="0D96C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72" w:type="pct"/>
                  <w:tcBorders>
                    <w:top w:val="single" w:color="000000" w:sz="4" w:space="0"/>
                    <w:left w:val="single" w:color="000000" w:sz="4" w:space="0"/>
                    <w:bottom w:val="single" w:color="000000" w:sz="4" w:space="0"/>
                    <w:right w:val="single" w:color="000000" w:sz="4" w:space="0"/>
                  </w:tcBorders>
                  <w:noWrap w:val="0"/>
                  <w:vAlign w:val="center"/>
                </w:tcPr>
                <w:p w14:paraId="23BC172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产生浓度</w:t>
                  </w:r>
                </w:p>
              </w:tc>
              <w:tc>
                <w:tcPr>
                  <w:tcW w:w="735" w:type="pct"/>
                  <w:tcBorders>
                    <w:top w:val="single" w:color="000000" w:sz="4" w:space="0"/>
                    <w:left w:val="single" w:color="000000" w:sz="4" w:space="0"/>
                    <w:bottom w:val="single" w:color="000000" w:sz="4" w:space="0"/>
                    <w:right w:val="single" w:color="000000" w:sz="4" w:space="0"/>
                  </w:tcBorders>
                  <w:noWrap w:val="0"/>
                  <w:vAlign w:val="center"/>
                </w:tcPr>
                <w:p w14:paraId="3A04F4FF">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7.5~10.5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79CE649">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≤3000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8554C99">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≤100</w:t>
                  </w:r>
                </w:p>
              </w:tc>
              <w:tc>
                <w:tcPr>
                  <w:tcW w:w="643" w:type="pct"/>
                  <w:tcBorders>
                    <w:top w:val="single" w:color="000000" w:sz="4" w:space="0"/>
                    <w:left w:val="single" w:color="000000" w:sz="4" w:space="0"/>
                    <w:bottom w:val="single" w:color="000000" w:sz="4" w:space="0"/>
                    <w:right w:val="single" w:color="000000" w:sz="4" w:space="0"/>
                  </w:tcBorders>
                  <w:noWrap w:val="0"/>
                  <w:vAlign w:val="center"/>
                </w:tcPr>
                <w:p w14:paraId="37949B41">
                  <w:pPr>
                    <w:pStyle w:val="76"/>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BA77F2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kern w:val="0"/>
                      <w:szCs w:val="21"/>
                    </w:rPr>
                    <w:t>5000</w:t>
                  </w:r>
                </w:p>
              </w:tc>
              <w:tc>
                <w:tcPr>
                  <w:tcW w:w="558" w:type="pct"/>
                  <w:tcBorders>
                    <w:top w:val="single" w:color="000000" w:sz="4" w:space="0"/>
                    <w:left w:val="single" w:color="auto" w:sz="4" w:space="0"/>
                    <w:bottom w:val="single" w:color="000000" w:sz="4" w:space="0"/>
                    <w:right w:val="single" w:color="000000" w:sz="4" w:space="0"/>
                  </w:tcBorders>
                  <w:noWrap w:val="0"/>
                  <w:vAlign w:val="center"/>
                </w:tcPr>
                <w:p w14:paraId="0F9AF3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78.16</w:t>
                  </w:r>
                </w:p>
              </w:tc>
            </w:tr>
          </w:tbl>
          <w:p w14:paraId="2A6E3F3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4）蒸汽冷凝水</w:t>
            </w:r>
          </w:p>
          <w:p w14:paraId="05FCC4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用于该情况出现时井口、管汇、放喷管线的保温，避免管线堵塞、憋压刺漏风险。</w:t>
            </w:r>
          </w:p>
          <w:p w14:paraId="648A2BB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lang w:val="en-US"/>
              </w:rPr>
            </w:pPr>
            <w:r>
              <w:rPr>
                <w:rFonts w:hint="eastAsia" w:cs="Times New Roman"/>
                <w:color w:val="auto"/>
                <w:sz w:val="24"/>
                <w:lang w:val="en-US" w:eastAsia="zh-CN"/>
              </w:rPr>
              <w:t>在</w:t>
            </w:r>
            <w:r>
              <w:rPr>
                <w:rFonts w:hint="eastAsia" w:ascii="Times New Roman" w:hAnsi="Times New Roman" w:cs="Times New Roman"/>
                <w:color w:val="auto"/>
                <w:sz w:val="24"/>
                <w:lang w:val="en-US" w:eastAsia="zh-CN"/>
              </w:rPr>
              <w:t>井口、管汇、放喷管线位置保温时，将产生</w:t>
            </w:r>
            <w:r>
              <w:rPr>
                <w:rFonts w:hint="eastAsia" w:cs="Times New Roman"/>
                <w:color w:val="auto"/>
                <w:sz w:val="24"/>
                <w:lang w:val="en-US" w:eastAsia="zh-CN"/>
              </w:rPr>
              <w:t>蒸汽冷凝水。蒸汽冷凝水产生量较少，蒸发损耗后在场内汇集至环状雨水沟，最终进入多功能网格池组外运处理。</w:t>
            </w:r>
          </w:p>
          <w:p w14:paraId="0D43A01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lang w:val="en-US" w:eastAsia="zh-CN"/>
              </w:rPr>
              <w:t>5</w:t>
            </w:r>
            <w:r>
              <w:rPr>
                <w:rFonts w:hint="default" w:ascii="Times New Roman" w:hAnsi="Times New Roman" w:cs="Times New Roman"/>
                <w:bCs/>
                <w:color w:val="auto"/>
                <w:sz w:val="24"/>
              </w:rPr>
              <w:t>）生活污水</w:t>
            </w:r>
          </w:p>
          <w:p w14:paraId="10ED76B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生活污水主要产生在办公生活设施内，本工程设有</w:t>
            </w:r>
            <w:r>
              <w:rPr>
                <w:rFonts w:hint="default" w:ascii="Times New Roman" w:hAnsi="Times New Roman" w:eastAsia="TimesNewRomanPSMT" w:cs="Times New Roman"/>
                <w:bCs/>
                <w:color w:val="auto"/>
                <w:sz w:val="24"/>
              </w:rPr>
              <w:t>1</w:t>
            </w:r>
            <w:r>
              <w:rPr>
                <w:rFonts w:hint="default" w:ascii="Times New Roman" w:hAnsi="Times New Roman" w:cs="Times New Roman"/>
                <w:bCs/>
                <w:color w:val="auto"/>
                <w:sz w:val="24"/>
              </w:rPr>
              <w:t>个钻井队进行钻井作业，井队人员为50人，根据中华人民共和国生态环境部《排污申报登记实用手册》提供的计算方法，钻井期间生活用水按每人每天100L计，排水系数取0.9，估算生活用水量约为5m³/d，生活污水产生量为4.5m³/d，整个钻井周期（</w:t>
            </w:r>
            <w:r>
              <w:rPr>
                <w:rFonts w:hint="eastAsia" w:ascii="Times New Roman" w:hAnsi="Times New Roman" w:cs="Times New Roman"/>
                <w:bCs/>
                <w:color w:val="auto"/>
                <w:sz w:val="24"/>
              </w:rPr>
              <w:t>300</w:t>
            </w:r>
            <w:r>
              <w:rPr>
                <w:rFonts w:hint="default" w:ascii="Times New Roman" w:hAnsi="Times New Roman" w:cs="Times New Roman"/>
                <w:bCs/>
                <w:color w:val="auto"/>
                <w:sz w:val="24"/>
              </w:rPr>
              <w:t>天）内生活废水产生量约为</w:t>
            </w:r>
            <w:r>
              <w:rPr>
                <w:rFonts w:hint="eastAsia" w:ascii="Times New Roman" w:hAnsi="Times New Roman" w:cs="Times New Roman"/>
                <w:bCs/>
                <w:color w:val="auto"/>
                <w:sz w:val="24"/>
              </w:rPr>
              <w:t>1350</w:t>
            </w:r>
            <w:r>
              <w:rPr>
                <w:rFonts w:hint="default" w:ascii="Times New Roman" w:hAnsi="Times New Roman" w:cs="Times New Roman"/>
                <w:bCs/>
                <w:color w:val="auto"/>
                <w:sz w:val="24"/>
              </w:rPr>
              <w:t>m³。主要污染物为COD、BOD</w:t>
            </w:r>
            <w:r>
              <w:rPr>
                <w:rFonts w:hint="default" w:ascii="Times New Roman" w:hAnsi="Times New Roman" w:cs="Times New Roman"/>
                <w:bCs/>
                <w:color w:val="auto"/>
                <w:sz w:val="24"/>
                <w:vertAlign w:val="subscript"/>
              </w:rPr>
              <w:t>5</w:t>
            </w:r>
            <w:r>
              <w:rPr>
                <w:rFonts w:hint="default" w:ascii="Times New Roman" w:hAnsi="Times New Roman" w:cs="Times New Roman"/>
                <w:bCs/>
                <w:color w:val="auto"/>
                <w:sz w:val="24"/>
              </w:rPr>
              <w:t>、SS、NH</w:t>
            </w:r>
            <w:r>
              <w:rPr>
                <w:rFonts w:hint="default" w:ascii="Times New Roman" w:hAnsi="Times New Roman" w:cs="Times New Roman"/>
                <w:bCs/>
                <w:color w:val="auto"/>
                <w:sz w:val="24"/>
                <w:vertAlign w:val="subscript"/>
              </w:rPr>
              <w:t>3</w:t>
            </w:r>
            <w:r>
              <w:rPr>
                <w:rFonts w:hint="default" w:ascii="Times New Roman" w:hAnsi="Times New Roman" w:cs="Times New Roman"/>
                <w:bCs/>
                <w:color w:val="auto"/>
                <w:sz w:val="24"/>
              </w:rPr>
              <w:t>-N，浓度约为400mg/L、200mg/L、300mg/L、25mg/L</w:t>
            </w:r>
            <w:r>
              <w:rPr>
                <w:rFonts w:hint="eastAsia" w:ascii="Times New Roman" w:hAnsi="Times New Roman" w:cs="Times New Roman"/>
                <w:bCs/>
                <w:color w:val="auto"/>
                <w:sz w:val="24"/>
              </w:rPr>
              <w:t>，</w:t>
            </w:r>
            <w:r>
              <w:rPr>
                <w:rFonts w:hint="default" w:ascii="Times New Roman" w:hAnsi="Times New Roman" w:cs="Times New Roman"/>
                <w:bCs/>
                <w:color w:val="auto"/>
                <w:sz w:val="24"/>
              </w:rPr>
              <w:t>该生活污水通过环保厕所（内置集粪桶）收集，转运至</w:t>
            </w:r>
            <w:r>
              <w:rPr>
                <w:rFonts w:hint="eastAsia" w:cs="Times New Roman"/>
                <w:bCs/>
                <w:color w:val="auto"/>
                <w:sz w:val="24"/>
                <w:lang w:eastAsia="zh-CN"/>
              </w:rPr>
              <w:t>上八庙镇</w:t>
            </w:r>
            <w:r>
              <w:rPr>
                <w:rFonts w:hint="eastAsia" w:ascii="Times New Roman" w:hAnsi="Times New Roman" w:cs="Times New Roman"/>
                <w:bCs/>
                <w:color w:val="auto"/>
                <w:sz w:val="24"/>
                <w:lang w:eastAsia="zh-CN"/>
              </w:rPr>
              <w:t>污水处理站</w:t>
            </w:r>
            <w:r>
              <w:rPr>
                <w:rFonts w:hint="default" w:ascii="Times New Roman" w:hAnsi="Times New Roman" w:cs="Times New Roman"/>
                <w:bCs/>
                <w:color w:val="auto"/>
                <w:sz w:val="24"/>
              </w:rPr>
              <w:t>进行处理。</w:t>
            </w:r>
          </w:p>
          <w:p w14:paraId="41C6674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（2）地表水环境影响分析</w:t>
            </w:r>
          </w:p>
          <w:p w14:paraId="4041226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1）钻井废水、洗井废水</w:t>
            </w:r>
          </w:p>
          <w:p w14:paraId="406AFE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本项目钻井废水最终产生量约</w:t>
            </w:r>
            <w:r>
              <w:rPr>
                <w:rFonts w:hint="eastAsia" w:cs="Times New Roman"/>
                <w:bCs/>
                <w:color w:val="auto"/>
                <w:sz w:val="24"/>
                <w:lang w:val="en-US" w:eastAsia="zh-CN"/>
              </w:rPr>
              <w:t>100</w:t>
            </w:r>
            <w:r>
              <w:rPr>
                <w:rFonts w:hint="default" w:ascii="Times New Roman" w:hAnsi="Times New Roman" w:cs="Times New Roman"/>
                <w:bCs/>
                <w:color w:val="auto"/>
                <w:sz w:val="24"/>
              </w:rPr>
              <w:t>m³，洗井废水产生量约100m³，</w:t>
            </w:r>
            <w:r>
              <w:rPr>
                <w:rFonts w:hint="eastAsia" w:ascii="Times New Roman" w:hAnsi="Times New Roman" w:cs="Times New Roman"/>
                <w:bCs/>
                <w:color w:val="auto"/>
                <w:sz w:val="24"/>
                <w:lang w:val="en-US" w:eastAsia="zh-CN"/>
              </w:rPr>
              <w:t>均</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eastAsia="宋体" w:cs="Times New Roman"/>
                <w:bCs/>
                <w:color w:val="auto"/>
                <w:sz w:val="24"/>
              </w:rPr>
              <w:t>中，交由符合环保要求且有处理能力的钻井废水处理公司进行处理</w:t>
            </w:r>
            <w:r>
              <w:rPr>
                <w:rFonts w:hint="eastAsia" w:ascii="Times New Roman" w:hAnsi="Times New Roman" w:cs="Times New Roman"/>
                <w:bCs/>
                <w:color w:val="auto"/>
                <w:sz w:val="24"/>
              </w:rPr>
              <w:t>，</w:t>
            </w:r>
            <w:r>
              <w:rPr>
                <w:rFonts w:hint="default" w:ascii="Times New Roman" w:hAnsi="Times New Roman" w:cs="Times New Roman"/>
                <w:bCs/>
                <w:color w:val="auto"/>
                <w:sz w:val="24"/>
              </w:rPr>
              <w:t>因此不会对周边地表水环境造成明显不利影响。</w:t>
            </w:r>
          </w:p>
          <w:p w14:paraId="38FCA033">
            <w:pPr>
              <w:keepNext w:val="0"/>
              <w:keepLines w:val="0"/>
              <w:numPr>
                <w:ilvl w:val="0"/>
                <w:numId w:val="17"/>
              </w:numPr>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lang w:val="en-US" w:eastAsia="zh-CN"/>
              </w:rPr>
              <w:t>井场内</w:t>
            </w:r>
            <w:r>
              <w:rPr>
                <w:rFonts w:hint="eastAsia" w:ascii="Times New Roman" w:hAnsi="Times New Roman" w:cs="Times New Roman"/>
                <w:bCs/>
                <w:color w:val="auto"/>
                <w:sz w:val="24"/>
              </w:rPr>
              <w:t>雨水</w:t>
            </w:r>
          </w:p>
          <w:p w14:paraId="72DCF017">
            <w:pPr>
              <w:keepNext w:val="0"/>
              <w:keepLines w:val="0"/>
              <w:numPr>
                <w:ilvl w:val="0"/>
                <w:numId w:val="0"/>
              </w:numPr>
              <w:suppressLineNumbers w:val="0"/>
              <w:spacing w:before="0" w:beforeAutospacing="0" w:after="0" w:afterAutospacing="0" w:line="360" w:lineRule="auto"/>
              <w:ind w:left="0" w:right="0" w:rightChars="0" w:firstLine="480" w:firstLineChars="200"/>
              <w:jc w:val="left"/>
              <w:rPr>
                <w:rFonts w:hint="eastAsia" w:ascii="Times New Roman" w:hAnsi="Times New Roman" w:cs="Times New Roman"/>
                <w:bCs/>
                <w:color w:val="auto"/>
                <w:sz w:val="24"/>
                <w:lang w:val="en-US" w:eastAsia="zh-CN"/>
              </w:rPr>
            </w:pPr>
            <w:r>
              <w:rPr>
                <w:rFonts w:hint="eastAsia" w:ascii="Times New Roman" w:hAnsi="Times New Roman" w:cs="Times New Roman"/>
                <w:bCs/>
                <w:color w:val="auto"/>
                <w:sz w:val="24"/>
                <w:lang w:val="en-US" w:eastAsia="zh-CN"/>
              </w:rPr>
              <w:t>本项目井场区雨水</w:t>
            </w:r>
            <w:r>
              <w:rPr>
                <w:rFonts w:hint="default" w:ascii="Times New Roman" w:hAnsi="Times New Roman" w:cs="Times New Roman"/>
                <w:bCs/>
                <w:color w:val="auto"/>
                <w:sz w:val="24"/>
                <w:lang w:val="en-US" w:eastAsia="zh-CN"/>
              </w:rPr>
              <w:t>主要污染物为石油类和SS。本项目井场周边</w:t>
            </w:r>
            <w:r>
              <w:rPr>
                <w:rFonts w:hint="eastAsia" w:ascii="Times New Roman" w:hAnsi="Times New Roman" w:cs="Times New Roman"/>
                <w:bCs/>
                <w:color w:val="auto"/>
                <w:sz w:val="24"/>
                <w:lang w:val="en-US" w:eastAsia="zh-CN"/>
              </w:rPr>
              <w:t>设置</w:t>
            </w:r>
            <w:r>
              <w:rPr>
                <w:rFonts w:hint="default" w:ascii="Times New Roman" w:hAnsi="Times New Roman" w:cs="Times New Roman"/>
                <w:bCs/>
                <w:color w:val="auto"/>
                <w:sz w:val="24"/>
                <w:lang w:val="en-US" w:eastAsia="zh-CN"/>
              </w:rPr>
              <w:t>环状雨水沟，将井场地面降水通过环状雨水沟收集后，在</w:t>
            </w:r>
            <w:r>
              <w:rPr>
                <w:rFonts w:hint="eastAsia" w:ascii="Times New Roman" w:hAnsi="Times New Roman" w:cs="Times New Roman"/>
                <w:bCs/>
                <w:color w:val="auto"/>
                <w:sz w:val="24"/>
                <w:lang w:val="en-US" w:eastAsia="zh-CN"/>
              </w:rPr>
              <w:t>环状雨水沟外排段设置监控池及切换闸，初期雨水通过重力流排入污水池（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后期清洁雨水</w:t>
            </w:r>
            <w:r>
              <w:rPr>
                <w:rFonts w:hint="eastAsia" w:ascii="Times New Roman" w:hAnsi="Times New Roman" w:cs="Times New Roman"/>
                <w:bCs/>
                <w:color w:val="auto"/>
                <w:sz w:val="24"/>
                <w:lang w:val="en-US" w:eastAsia="zh-CN"/>
              </w:rPr>
              <w:t>通过重力流排向周边环境。</w:t>
            </w:r>
          </w:p>
          <w:p w14:paraId="006CFFF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highlight w:val="none"/>
                <w:lang w:val="en-US" w:eastAsia="zh-CN"/>
              </w:rPr>
              <w:t>初期雨水</w:t>
            </w:r>
            <w:r>
              <w:rPr>
                <w:rFonts w:hint="default" w:ascii="Times New Roman" w:hAnsi="Times New Roman" w:cs="Times New Roman"/>
                <w:bCs/>
                <w:color w:val="auto"/>
                <w:sz w:val="24"/>
                <w:highlight w:val="none"/>
                <w:lang w:val="en-US" w:eastAsia="zh-CN"/>
              </w:rPr>
              <w:t>借助地形高差流入</w:t>
            </w:r>
            <w:r>
              <w:rPr>
                <w:rFonts w:hint="eastAsia" w:ascii="Times New Roman" w:hAnsi="Times New Roman" w:cs="Times New Roman"/>
                <w:bCs/>
                <w:color w:val="auto"/>
                <w:sz w:val="24"/>
                <w:highlight w:val="none"/>
                <w:lang w:val="en-US" w:eastAsia="zh-CN"/>
              </w:rPr>
              <w:t>多功能</w:t>
            </w:r>
            <w:r>
              <w:rPr>
                <w:rFonts w:hint="default" w:ascii="Times New Roman" w:hAnsi="Times New Roman" w:cs="Times New Roman"/>
                <w:bCs/>
                <w:color w:val="auto"/>
                <w:sz w:val="24"/>
                <w:highlight w:val="none"/>
                <w:lang w:val="en-US" w:eastAsia="zh-CN"/>
              </w:rPr>
              <w:t>污水池</w:t>
            </w:r>
            <w:r>
              <w:rPr>
                <w:rFonts w:hint="eastAsia" w:ascii="Times New Roman" w:hAnsi="Times New Roman" w:eastAsia="宋体" w:cs="Times New Roman"/>
                <w:bCs/>
                <w:color w:val="auto"/>
                <w:sz w:val="24"/>
                <w:highlight w:val="none"/>
              </w:rPr>
              <w:t>（多功能网格池组）</w:t>
            </w:r>
            <w:r>
              <w:rPr>
                <w:rFonts w:hint="default" w:ascii="Times New Roman" w:hAnsi="Times New Roman" w:cs="Times New Roman"/>
                <w:bCs/>
                <w:color w:val="auto"/>
                <w:sz w:val="24"/>
                <w:highlight w:val="none"/>
                <w:lang w:val="en-US" w:eastAsia="zh-CN"/>
              </w:rPr>
              <w:t>，用于钻井</w:t>
            </w:r>
            <w:r>
              <w:rPr>
                <w:rFonts w:hint="eastAsia" w:ascii="Times New Roman" w:hAnsi="Times New Roman" w:cs="Times New Roman"/>
                <w:bCs/>
                <w:color w:val="auto"/>
                <w:sz w:val="24"/>
                <w:highlight w:val="none"/>
                <w:lang w:val="en-US" w:eastAsia="zh-CN"/>
              </w:rPr>
              <w:t>泥浆</w:t>
            </w:r>
            <w:r>
              <w:rPr>
                <w:rFonts w:hint="default" w:ascii="Times New Roman" w:hAnsi="Times New Roman" w:cs="Times New Roman"/>
                <w:bCs/>
                <w:color w:val="auto"/>
                <w:sz w:val="24"/>
                <w:highlight w:val="none"/>
                <w:lang w:val="en-US" w:eastAsia="zh-CN"/>
              </w:rPr>
              <w:t>配制，不外排</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rPr>
              <w:t>不会对周边地表水环境造成明显不利影响。</w:t>
            </w:r>
            <w:r>
              <w:rPr>
                <w:rFonts w:hint="eastAsia" w:ascii="Times New Roman" w:hAnsi="Times New Roman" w:eastAsia="宋体" w:cs="Times New Roman"/>
                <w:bCs/>
                <w:color w:val="auto"/>
                <w:sz w:val="24"/>
                <w:highlight w:val="none"/>
                <w:lang w:val="en-US" w:eastAsia="zh-CN"/>
              </w:rPr>
              <w:t>井场外设截水沟</w:t>
            </w:r>
            <w:r>
              <w:rPr>
                <w:rFonts w:hint="eastAsia" w:cs="Times New Roman"/>
                <w:bCs/>
                <w:color w:val="auto"/>
                <w:sz w:val="24"/>
                <w:highlight w:val="none"/>
                <w:lang w:val="en-US" w:eastAsia="zh-CN"/>
              </w:rPr>
              <w:t>及场外清水沟</w:t>
            </w:r>
            <w:r>
              <w:rPr>
                <w:rFonts w:hint="eastAsia" w:ascii="Times New Roman" w:hAnsi="Times New Roman" w:eastAsia="宋体" w:cs="Times New Roman"/>
                <w:bCs/>
                <w:color w:val="auto"/>
                <w:sz w:val="24"/>
                <w:highlight w:val="none"/>
                <w:lang w:val="en-US" w:eastAsia="zh-CN"/>
              </w:rPr>
              <w:t>，</w:t>
            </w:r>
            <w:r>
              <w:rPr>
                <w:rFonts w:hint="eastAsia" w:cs="Times New Roman"/>
                <w:bCs/>
                <w:color w:val="auto"/>
                <w:sz w:val="24"/>
                <w:highlight w:val="none"/>
                <w:lang w:val="en-US" w:eastAsia="zh-CN"/>
              </w:rPr>
              <w:t>以</w:t>
            </w:r>
            <w:r>
              <w:rPr>
                <w:rFonts w:hint="eastAsia" w:ascii="Times New Roman" w:hAnsi="Times New Roman" w:eastAsia="宋体" w:cs="Times New Roman"/>
                <w:bCs/>
                <w:color w:val="auto"/>
                <w:sz w:val="24"/>
                <w:highlight w:val="none"/>
                <w:lang w:val="en-US" w:eastAsia="zh-CN"/>
              </w:rPr>
              <w:t>防止场外雨水通过地面漫流等形式进入井场内</w:t>
            </w:r>
            <w:r>
              <w:rPr>
                <w:rFonts w:hint="default" w:ascii="Times New Roman" w:hAnsi="Times New Roman" w:eastAsia="宋体" w:cs="Times New Roman"/>
                <w:bCs/>
                <w:color w:val="auto"/>
                <w:sz w:val="24"/>
                <w:highlight w:val="none"/>
                <w:lang w:val="en-US" w:eastAsia="zh-CN"/>
              </w:rPr>
              <w:t>。</w:t>
            </w:r>
          </w:p>
          <w:p w14:paraId="1EA1410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3）压裂废水</w:t>
            </w:r>
          </w:p>
          <w:p w14:paraId="6D0F23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项目压裂</w:t>
            </w:r>
            <w:r>
              <w:rPr>
                <w:rFonts w:hint="eastAsia" w:ascii="Times New Roman" w:hAnsi="Times New Roman" w:cs="Times New Roman"/>
                <w:bCs/>
                <w:color w:val="auto"/>
                <w:sz w:val="24"/>
                <w:lang w:val="en-US" w:eastAsia="zh-CN"/>
              </w:rPr>
              <w:t>废水</w:t>
            </w:r>
            <w:r>
              <w:rPr>
                <w:rFonts w:hint="eastAsia" w:ascii="Times New Roman" w:hAnsi="Times New Roman" w:cs="Times New Roman"/>
                <w:bCs/>
                <w:color w:val="auto"/>
                <w:sz w:val="24"/>
              </w:rPr>
              <w:t>通过</w:t>
            </w:r>
            <w:r>
              <w:rPr>
                <w:rFonts w:hint="eastAsia" w:ascii="Times New Roman" w:hAnsi="Times New Roman" w:cs="Times New Roman"/>
                <w:bCs/>
                <w:color w:val="auto"/>
                <w:sz w:val="24"/>
                <w:lang w:val="en-US" w:eastAsia="zh-CN"/>
              </w:rPr>
              <w:t>放喷</w:t>
            </w:r>
            <w:r>
              <w:rPr>
                <w:rFonts w:hint="eastAsia" w:ascii="Times New Roman" w:hAnsi="Times New Roman" w:cs="Times New Roman"/>
                <w:bCs/>
                <w:color w:val="auto"/>
                <w:sz w:val="24"/>
              </w:rPr>
              <w:t>管线</w:t>
            </w:r>
            <w:r>
              <w:rPr>
                <w:rFonts w:hint="eastAsia" w:ascii="Times New Roman" w:hAnsi="Times New Roman" w:cs="Times New Roman"/>
                <w:bCs/>
                <w:color w:val="auto"/>
                <w:sz w:val="24"/>
                <w:lang w:val="en-US" w:eastAsia="zh-CN"/>
              </w:rPr>
              <w:t>输送至放</w:t>
            </w:r>
            <w:r>
              <w:rPr>
                <w:rFonts w:hint="eastAsia" w:ascii="Times New Roman" w:hAnsi="Times New Roman" w:cs="Times New Roman"/>
                <w:bCs/>
                <w:color w:val="auto"/>
                <w:sz w:val="24"/>
              </w:rPr>
              <w:t>喷池</w:t>
            </w:r>
            <w:r>
              <w:rPr>
                <w:rFonts w:hint="eastAsia" w:ascii="Times New Roman" w:hAnsi="Times New Roman" w:cs="Times New Roman"/>
                <w:bCs/>
                <w:color w:val="auto"/>
                <w:sz w:val="24"/>
                <w:lang w:val="en-US" w:eastAsia="zh-CN"/>
              </w:rPr>
              <w:t>暂存</w:t>
            </w:r>
            <w:r>
              <w:rPr>
                <w:rFonts w:hint="default" w:ascii="Times New Roman" w:hAnsi="Times New Roman" w:cs="Times New Roman"/>
                <w:bCs/>
                <w:color w:val="auto"/>
                <w:sz w:val="24"/>
              </w:rPr>
              <w:t>，</w:t>
            </w:r>
            <w:r>
              <w:rPr>
                <w:rFonts w:hint="default" w:ascii="Times New Roman" w:hAnsi="Times New Roman" w:eastAsia="宋体" w:cs="Times New Roman"/>
                <w:bCs/>
                <w:color w:val="auto"/>
                <w:sz w:val="24"/>
              </w:rPr>
              <w:t>交由符合环保要求且有处理能力的钻井废水处理公司进行处理</w:t>
            </w:r>
            <w:r>
              <w:rPr>
                <w:rFonts w:hint="eastAsia" w:ascii="Times New Roman" w:hAnsi="Times New Roman" w:eastAsia="宋体" w:cs="Times New Roman"/>
                <w:bCs/>
                <w:color w:val="auto"/>
                <w:sz w:val="24"/>
                <w:lang w:eastAsia="zh-CN"/>
              </w:rPr>
              <w:t>，</w:t>
            </w:r>
            <w:r>
              <w:rPr>
                <w:rFonts w:hint="eastAsia" w:ascii="Times New Roman" w:hAnsi="Times New Roman" w:cs="Times New Roman"/>
                <w:bCs/>
                <w:color w:val="auto"/>
                <w:sz w:val="24"/>
                <w:lang w:val="en-US" w:eastAsia="zh-CN"/>
              </w:rPr>
              <w:t>不外排</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不会对区域</w:t>
            </w:r>
            <w:r>
              <w:rPr>
                <w:rFonts w:hint="default" w:ascii="Times New Roman" w:hAnsi="Times New Roman" w:cs="Times New Roman"/>
                <w:bCs/>
                <w:color w:val="auto"/>
                <w:sz w:val="24"/>
              </w:rPr>
              <w:t>地表水环境</w:t>
            </w:r>
            <w:r>
              <w:rPr>
                <w:rFonts w:hint="eastAsia" w:ascii="Times New Roman" w:hAnsi="Times New Roman" w:cs="Times New Roman"/>
                <w:bCs/>
                <w:color w:val="auto"/>
                <w:sz w:val="24"/>
                <w:lang w:val="en-US" w:eastAsia="zh-CN"/>
              </w:rPr>
              <w:t>造成</w:t>
            </w:r>
            <w:r>
              <w:rPr>
                <w:rFonts w:hint="default" w:ascii="Times New Roman" w:hAnsi="Times New Roman" w:cs="Times New Roman"/>
                <w:bCs/>
                <w:color w:val="auto"/>
                <w:sz w:val="24"/>
              </w:rPr>
              <w:t>影响。</w:t>
            </w:r>
          </w:p>
          <w:p w14:paraId="096B305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4）蒸汽冷凝水</w:t>
            </w:r>
          </w:p>
          <w:p w14:paraId="53DDC04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lang w:val="en-US"/>
              </w:rPr>
            </w:pPr>
            <w:r>
              <w:rPr>
                <w:rFonts w:hint="eastAsia" w:cs="Times New Roman"/>
                <w:color w:val="auto"/>
                <w:sz w:val="24"/>
                <w:lang w:val="en-US" w:eastAsia="zh-CN"/>
              </w:rPr>
              <w:t>蒸汽冷凝水产生量较少，蒸发损耗后在场内汇集至环状雨水沟，最终进入多功能网格池组外运处理。</w:t>
            </w:r>
          </w:p>
          <w:p w14:paraId="25D4E65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lang w:val="en-US" w:eastAsia="zh-CN"/>
              </w:rPr>
              <w:t>5</w:t>
            </w:r>
            <w:r>
              <w:rPr>
                <w:rFonts w:hint="default" w:ascii="Times New Roman" w:hAnsi="Times New Roman" w:cs="Times New Roman"/>
                <w:bCs/>
                <w:color w:val="auto"/>
                <w:sz w:val="24"/>
              </w:rPr>
              <w:t>）生活污水</w:t>
            </w:r>
          </w:p>
          <w:p w14:paraId="0EB0135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钻井施工期间，钻井队生活区每天将有生活污水产生，本项目生活污水产生量约4.5m³/d，该生活污水通过环保厕所（内置集粪桶）收集，转运至</w:t>
            </w:r>
            <w:r>
              <w:rPr>
                <w:rFonts w:hint="eastAsia" w:cs="Times New Roman"/>
                <w:bCs/>
                <w:color w:val="auto"/>
                <w:sz w:val="24"/>
                <w:lang w:eastAsia="zh-CN"/>
              </w:rPr>
              <w:t>上八庙镇</w:t>
            </w:r>
            <w:r>
              <w:rPr>
                <w:rFonts w:hint="eastAsia" w:ascii="Times New Roman" w:hAnsi="Times New Roman" w:cs="Times New Roman"/>
                <w:bCs/>
                <w:color w:val="auto"/>
                <w:sz w:val="24"/>
                <w:lang w:eastAsia="zh-CN"/>
              </w:rPr>
              <w:t>污水处理站</w:t>
            </w:r>
            <w:r>
              <w:rPr>
                <w:rFonts w:hint="default" w:ascii="Times New Roman" w:hAnsi="Times New Roman" w:cs="Times New Roman"/>
                <w:bCs/>
                <w:color w:val="auto"/>
                <w:sz w:val="24"/>
              </w:rPr>
              <w:t>进行处理。</w:t>
            </w:r>
          </w:p>
          <w:p w14:paraId="71DF954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根据以上分析，</w:t>
            </w:r>
            <w:r>
              <w:rPr>
                <w:rFonts w:hint="default" w:ascii="Times New Roman" w:hAnsi="Times New Roman" w:eastAsia="宋体" w:cs="Times New Roman"/>
                <w:bCs/>
                <w:color w:val="auto"/>
                <w:sz w:val="24"/>
              </w:rPr>
              <w:t>项目钻井废水、井场内</w:t>
            </w:r>
            <w:r>
              <w:rPr>
                <w:rFonts w:hint="eastAsia" w:cs="Times New Roman"/>
                <w:bCs/>
                <w:color w:val="auto"/>
                <w:sz w:val="24"/>
                <w:lang w:eastAsia="zh-CN"/>
              </w:rPr>
              <w:t>初期雨水优先回用于</w:t>
            </w:r>
            <w:r>
              <w:rPr>
                <w:rFonts w:hint="default" w:ascii="Times New Roman" w:hAnsi="Times New Roman" w:eastAsia="宋体" w:cs="Times New Roman"/>
                <w:bCs/>
                <w:color w:val="auto"/>
                <w:sz w:val="24"/>
              </w:rPr>
              <w:t>钻井泥浆</w:t>
            </w:r>
            <w:r>
              <w:rPr>
                <w:rFonts w:hint="eastAsia" w:ascii="Times New Roman" w:hAnsi="Times New Roman" w:eastAsia="宋体" w:cs="Times New Roman"/>
                <w:bCs/>
                <w:color w:val="auto"/>
                <w:sz w:val="24"/>
                <w:lang w:eastAsia="zh-CN"/>
              </w:rPr>
              <w:t>配制</w:t>
            </w:r>
            <w:r>
              <w:rPr>
                <w:rFonts w:hint="default" w:ascii="Times New Roman" w:hAnsi="Times New Roman" w:eastAsia="宋体" w:cs="Times New Roman"/>
                <w:bCs/>
                <w:color w:val="auto"/>
                <w:sz w:val="24"/>
              </w:rPr>
              <w:t>，未能回用的钻井废水和井场内</w:t>
            </w:r>
            <w:r>
              <w:rPr>
                <w:rFonts w:hint="eastAsia" w:cs="Times New Roman"/>
                <w:bCs/>
                <w:color w:val="auto"/>
                <w:sz w:val="24"/>
                <w:lang w:eastAsia="zh-CN"/>
              </w:rPr>
              <w:t>初期雨水</w:t>
            </w:r>
            <w:r>
              <w:rPr>
                <w:rFonts w:hint="default" w:ascii="Times New Roman" w:hAnsi="Times New Roman" w:eastAsia="宋体" w:cs="Times New Roman"/>
                <w:bCs/>
                <w:color w:val="auto"/>
                <w:sz w:val="24"/>
              </w:rPr>
              <w:t>、洗井废水、压裂废水交由符合环保要求且有处理能力的钻井废水处理公司进行处理</w:t>
            </w:r>
            <w:r>
              <w:rPr>
                <w:rFonts w:hint="default" w:ascii="Times New Roman" w:hAnsi="Times New Roman" w:cs="Times New Roman"/>
                <w:bCs/>
                <w:color w:val="auto"/>
                <w:sz w:val="24"/>
              </w:rPr>
              <w:t>；</w:t>
            </w:r>
            <w:r>
              <w:rPr>
                <w:rFonts w:hint="eastAsia" w:cs="Times New Roman"/>
                <w:color w:val="auto"/>
                <w:sz w:val="24"/>
                <w:lang w:val="en-US" w:eastAsia="zh-CN"/>
              </w:rPr>
              <w:t>蒸汽冷凝水在场内汇集至环状雨水沟后进入多功能网格池组；</w:t>
            </w:r>
            <w:r>
              <w:rPr>
                <w:rFonts w:hint="eastAsia" w:ascii="Times New Roman" w:hAnsi="Times New Roman" w:cs="Times New Roman"/>
                <w:bCs/>
                <w:color w:val="auto"/>
                <w:sz w:val="24"/>
              </w:rPr>
              <w:t>生活污水通过环保厕所（内置集粪桶）收集，转运至</w:t>
            </w:r>
            <w:r>
              <w:rPr>
                <w:rFonts w:hint="eastAsia" w:cs="Times New Roman"/>
                <w:bCs/>
                <w:color w:val="auto"/>
                <w:sz w:val="24"/>
                <w:lang w:eastAsia="zh-CN"/>
              </w:rPr>
              <w:t>上八庙镇</w:t>
            </w:r>
            <w:r>
              <w:rPr>
                <w:rFonts w:hint="eastAsia" w:ascii="Times New Roman" w:hAnsi="Times New Roman" w:cs="Times New Roman"/>
                <w:bCs/>
                <w:color w:val="auto"/>
                <w:sz w:val="24"/>
                <w:lang w:eastAsia="zh-CN"/>
              </w:rPr>
              <w:t>污水处理站</w:t>
            </w:r>
            <w:r>
              <w:rPr>
                <w:rFonts w:hint="eastAsia" w:ascii="Times New Roman" w:hAnsi="Times New Roman" w:cs="Times New Roman"/>
                <w:bCs/>
                <w:color w:val="auto"/>
                <w:sz w:val="24"/>
              </w:rPr>
              <w:t>进行处理。</w:t>
            </w:r>
            <w:r>
              <w:rPr>
                <w:rFonts w:hint="default" w:ascii="Times New Roman" w:hAnsi="Times New Roman" w:cs="Times New Roman"/>
                <w:bCs/>
                <w:color w:val="auto"/>
                <w:sz w:val="24"/>
              </w:rPr>
              <w:t>故本工程产生的各类废水不会对周边地表水环境造成明显不利影响。</w:t>
            </w:r>
          </w:p>
          <w:p w14:paraId="5FBACC3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四</w:t>
            </w:r>
            <w:r>
              <w:rPr>
                <w:rFonts w:hint="default" w:ascii="Times New Roman" w:hAnsi="Times New Roman" w:cs="Times New Roman"/>
                <w:b/>
                <w:bCs/>
                <w:color w:val="auto"/>
                <w:sz w:val="24"/>
              </w:rPr>
              <w:t>、地下水环境影响分析</w:t>
            </w:r>
          </w:p>
          <w:p w14:paraId="2C54B494">
            <w:pPr>
              <w:keepNext w:val="0"/>
              <w:keepLines w:val="0"/>
              <w:widowControl/>
              <w:suppressLineNumbers w:val="0"/>
              <w:spacing w:before="0" w:beforeAutospacing="0" w:after="0" w:afterAutospacing="0" w:line="360" w:lineRule="auto"/>
              <w:ind w:left="0" w:right="0" w:firstLine="480"/>
              <w:jc w:val="left"/>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eastAsia" w:ascii="Times New Roman" w:hAnsi="Times New Roman" w:cs="Times New Roman"/>
                <w:b/>
                <w:bCs/>
                <w:color w:val="auto"/>
                <w:kern w:val="0"/>
                <w:sz w:val="24"/>
                <w:lang w:eastAsia="zh-CN"/>
              </w:rPr>
              <w:t>、</w:t>
            </w:r>
            <w:r>
              <w:rPr>
                <w:rFonts w:hint="default" w:ascii="Times New Roman" w:hAnsi="Times New Roman" w:cs="Times New Roman"/>
                <w:b/>
                <w:bCs/>
                <w:color w:val="auto"/>
                <w:kern w:val="0"/>
                <w:sz w:val="24"/>
              </w:rPr>
              <w:t>正常工况对地下水环境的影响</w:t>
            </w:r>
          </w:p>
          <w:p w14:paraId="0A323F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本项目运行过程中主要产污区域包括：</w:t>
            </w:r>
            <w:r>
              <w:rPr>
                <w:rFonts w:hint="eastAsia" w:ascii="Times New Roman" w:hAnsi="Times New Roman" w:eastAsia="宋体" w:cs="Times New Roman"/>
                <w:color w:val="auto"/>
                <w:sz w:val="24"/>
                <w:szCs w:val="20"/>
              </w:rPr>
              <w:t>①主体工程：</w:t>
            </w:r>
            <w:r>
              <w:rPr>
                <w:rFonts w:hint="eastAsia" w:ascii="Times New Roman" w:hAnsi="Times New Roman" w:eastAsia="宋体" w:cs="Times New Roman"/>
                <w:color w:val="auto"/>
                <w:sz w:val="24"/>
                <w:szCs w:val="20"/>
                <w:lang w:val="en-US" w:eastAsia="zh-CN"/>
              </w:rPr>
              <w:t>井场后场井架区（</w:t>
            </w:r>
            <w:r>
              <w:rPr>
                <w:rFonts w:hint="eastAsia" w:ascii="Times New Roman" w:hAnsi="Times New Roman" w:eastAsia="宋体" w:cs="Times New Roman"/>
                <w:color w:val="auto"/>
                <w:sz w:val="24"/>
                <w:szCs w:val="20"/>
              </w:rPr>
              <w:t>钻井口区域、固井及井控装置区</w:t>
            </w:r>
            <w:r>
              <w:rPr>
                <w:rFonts w:hint="eastAsia" w:ascii="Times New Roman" w:hAnsi="Times New Roman" w:eastAsia="宋体" w:cs="Times New Roman"/>
                <w:color w:val="auto"/>
                <w:sz w:val="24"/>
                <w:szCs w:val="20"/>
                <w:lang w:eastAsia="zh-CN"/>
              </w:rPr>
              <w:t>）</w:t>
            </w:r>
            <w:r>
              <w:rPr>
                <w:rFonts w:hint="eastAsia" w:ascii="Times New Roman" w:hAnsi="Times New Roman" w:eastAsia="宋体" w:cs="Times New Roman"/>
                <w:color w:val="auto"/>
                <w:sz w:val="24"/>
                <w:szCs w:val="20"/>
              </w:rPr>
              <w:t>；②公辅工程：</w:t>
            </w:r>
            <w:r>
              <w:rPr>
                <w:rFonts w:hint="eastAsia" w:ascii="Times New Roman" w:hAnsi="Times New Roman" w:eastAsia="宋体" w:cs="Times New Roman"/>
                <w:color w:val="auto"/>
                <w:sz w:val="24"/>
                <w:szCs w:val="20"/>
                <w:lang w:val="en-US" w:eastAsia="zh-CN"/>
              </w:rPr>
              <w:t>泥浆泵基础（泵房基础）、</w:t>
            </w:r>
            <w:r>
              <w:rPr>
                <w:rFonts w:hint="default" w:ascii="Times New Roman" w:hAnsi="Times New Roman" w:eastAsia="宋体" w:cs="Times New Roman"/>
                <w:color w:val="auto"/>
                <w:sz w:val="24"/>
                <w:szCs w:val="20"/>
                <w:lang w:val="en-US" w:eastAsia="zh-CN"/>
              </w:rPr>
              <w:t>循环罐基础、机房基础（发电机房及高低压配电房基础）</w:t>
            </w:r>
            <w:r>
              <w:rPr>
                <w:rFonts w:hint="eastAsia" w:ascii="Times New Roman" w:hAnsi="Times New Roman" w:eastAsia="宋体" w:cs="Times New Roman"/>
                <w:color w:val="auto"/>
                <w:sz w:val="24"/>
                <w:szCs w:val="20"/>
              </w:rPr>
              <w:t>、</w:t>
            </w:r>
            <w:r>
              <w:rPr>
                <w:rFonts w:hint="eastAsia" w:ascii="Times New Roman" w:hAnsi="Times New Roman" w:eastAsia="宋体" w:cs="Times New Roman"/>
                <w:color w:val="auto"/>
                <w:sz w:val="24"/>
                <w:szCs w:val="20"/>
                <w:lang w:val="en-US" w:eastAsia="zh-CN"/>
              </w:rPr>
              <w:t>油罐区</w:t>
            </w:r>
            <w:r>
              <w:rPr>
                <w:rFonts w:hint="eastAsia" w:ascii="Times New Roman" w:hAnsi="Times New Roman" w:eastAsia="宋体" w:cs="Times New Roman"/>
                <w:color w:val="auto"/>
                <w:sz w:val="24"/>
                <w:szCs w:val="20"/>
              </w:rPr>
              <w:t>；③储运工程：</w:t>
            </w:r>
            <w:r>
              <w:rPr>
                <w:rFonts w:hint="default" w:ascii="Times New Roman" w:hAnsi="Times New Roman" w:eastAsia="宋体" w:cs="Times New Roman"/>
                <w:color w:val="auto"/>
                <w:sz w:val="24"/>
                <w:szCs w:val="20"/>
                <w:lang w:val="en-US" w:eastAsia="zh-CN"/>
              </w:rPr>
              <w:t>储备罐基础（泥浆储备）</w:t>
            </w:r>
            <w:r>
              <w:rPr>
                <w:rFonts w:hint="eastAsia" w:ascii="Times New Roman" w:hAnsi="Times New Roman" w:eastAsia="宋体" w:cs="Times New Roman"/>
                <w:color w:val="auto"/>
                <w:sz w:val="24"/>
                <w:szCs w:val="20"/>
              </w:rPr>
              <w:t>、泥浆循环罐、储油罐区；④环保工程：</w:t>
            </w:r>
            <w:r>
              <w:rPr>
                <w:rFonts w:hint="default" w:ascii="Times New Roman" w:hAnsi="Times New Roman" w:eastAsia="宋体" w:cs="Times New Roman"/>
                <w:color w:val="auto"/>
                <w:sz w:val="24"/>
                <w:szCs w:val="20"/>
              </w:rPr>
              <w:t>放喷池、</w:t>
            </w:r>
            <w:r>
              <w:rPr>
                <w:rFonts w:hint="eastAsia" w:ascii="Times New Roman" w:hAnsi="Times New Roman" w:eastAsia="宋体" w:cs="Times New Roman"/>
                <w:color w:val="auto"/>
                <w:sz w:val="24"/>
                <w:szCs w:val="20"/>
              </w:rPr>
              <w:t>“泥浆不落地”操作平台</w:t>
            </w:r>
            <w:r>
              <w:rPr>
                <w:rFonts w:hint="default" w:ascii="Times New Roman" w:hAnsi="Times New Roman" w:eastAsia="宋体" w:cs="Times New Roman"/>
                <w:color w:val="auto"/>
                <w:sz w:val="24"/>
                <w:szCs w:val="20"/>
              </w:rPr>
              <w:t>（包括岩屑</w:t>
            </w:r>
            <w:r>
              <w:rPr>
                <w:rFonts w:hint="eastAsia" w:ascii="Times New Roman" w:hAnsi="Times New Roman" w:eastAsia="宋体" w:cs="Times New Roman"/>
                <w:color w:val="auto"/>
                <w:sz w:val="24"/>
                <w:szCs w:val="20"/>
              </w:rPr>
              <w:t>接收</w:t>
            </w:r>
            <w:r>
              <w:rPr>
                <w:rFonts w:hint="default" w:ascii="Times New Roman" w:hAnsi="Times New Roman" w:eastAsia="宋体" w:cs="Times New Roman"/>
                <w:color w:val="auto"/>
                <w:sz w:val="24"/>
                <w:szCs w:val="20"/>
              </w:rPr>
              <w:t>罐</w:t>
            </w:r>
            <w:r>
              <w:rPr>
                <w:rFonts w:hint="eastAsia"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岩屑暂存罐、</w:t>
            </w:r>
            <w:r>
              <w:rPr>
                <w:rFonts w:hint="eastAsia" w:ascii="Times New Roman" w:hAnsi="Times New Roman" w:eastAsia="宋体" w:cs="Times New Roman"/>
                <w:color w:val="auto"/>
                <w:sz w:val="24"/>
                <w:szCs w:val="20"/>
              </w:rPr>
              <w:t>脱稳剂配置罐</w:t>
            </w:r>
            <w:r>
              <w:rPr>
                <w:rFonts w:hint="default" w:ascii="Times New Roman" w:hAnsi="Times New Roman" w:eastAsia="宋体" w:cs="Times New Roman"/>
                <w:color w:val="auto"/>
                <w:sz w:val="24"/>
                <w:szCs w:val="20"/>
              </w:rPr>
              <w:t>）、泥浆药品台基础</w:t>
            </w:r>
            <w:r>
              <w:rPr>
                <w:rFonts w:hint="eastAsia" w:ascii="Times New Roman" w:hAnsi="Times New Roman" w:eastAsia="宋体" w:cs="Times New Roman"/>
                <w:color w:val="auto"/>
                <w:sz w:val="24"/>
                <w:szCs w:val="20"/>
              </w:rPr>
              <w:t>、压裂液罐、污水池（多功能网格池组）、危废暂存间、生活污水处理设施。</w:t>
            </w:r>
          </w:p>
          <w:p w14:paraId="26BF3FB9">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环评要求上述区域均</w:t>
            </w:r>
            <w:r>
              <w:rPr>
                <w:rFonts w:hint="default" w:ascii="Times New Roman" w:hAnsi="Times New Roman" w:eastAsia="宋体" w:cs="Times New Roman"/>
                <w:color w:val="auto"/>
                <w:kern w:val="0"/>
                <w:sz w:val="24"/>
                <w:szCs w:val="24"/>
              </w:rPr>
              <w:t>依据《环境影响评价技术导则 地下水环境》（HJ610-2016）分区防渗要求，并借鉴《危险废物贮存污染控制标准》（GB18597</w:t>
            </w:r>
            <w:r>
              <w:rPr>
                <w:rFonts w:hint="eastAsia" w:ascii="Times New Roman" w:hAnsi="Times New Roman" w:eastAsia="宋体" w:cs="Times New Roman"/>
                <w:color w:val="auto"/>
                <w:kern w:val="0"/>
                <w:sz w:val="24"/>
                <w:szCs w:val="24"/>
              </w:rPr>
              <w:t>-2023</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和《非常规油气开采污染控制技术规范》（SY/T7482-2020）</w:t>
            </w:r>
            <w:r>
              <w:rPr>
                <w:rFonts w:hint="default" w:ascii="Times New Roman" w:hAnsi="Times New Roman" w:eastAsia="宋体" w:cs="Times New Roman"/>
                <w:color w:val="auto"/>
                <w:kern w:val="0"/>
                <w:sz w:val="24"/>
                <w:szCs w:val="24"/>
              </w:rPr>
              <w:t>及同类型项目防渗施工经验</w:t>
            </w:r>
            <w:r>
              <w:rPr>
                <w:rFonts w:hint="eastAsia" w:ascii="Times New Roman" w:hAnsi="Times New Roman" w:eastAsia="宋体" w:cs="Times New Roman"/>
                <w:color w:val="auto"/>
                <w:kern w:val="0"/>
                <w:sz w:val="24"/>
                <w:szCs w:val="24"/>
              </w:rPr>
              <w:t>等</w:t>
            </w:r>
            <w:r>
              <w:rPr>
                <w:rFonts w:hint="default" w:ascii="Times New Roman" w:hAnsi="Times New Roman" w:eastAsia="宋体" w:cs="Times New Roman"/>
                <w:color w:val="auto"/>
                <w:kern w:val="0"/>
                <w:sz w:val="24"/>
                <w:szCs w:val="24"/>
              </w:rPr>
              <w:t>采取重点防渗措施。在采取防渗措施后，本项目正常运行状况废水下渗量极小，对地下水环境影响较小</w:t>
            </w:r>
            <w:r>
              <w:rPr>
                <w:rFonts w:hint="eastAsia" w:ascii="Times New Roman" w:hAnsi="Times New Roman" w:eastAsia="宋体" w:cs="Times New Roman"/>
                <w:color w:val="auto"/>
                <w:kern w:val="0"/>
                <w:sz w:val="24"/>
                <w:szCs w:val="24"/>
              </w:rPr>
              <w:t>。正常运行状态，</w:t>
            </w:r>
            <w:r>
              <w:rPr>
                <w:rFonts w:hint="default" w:ascii="Times New Roman" w:hAnsi="Times New Roman" w:eastAsia="宋体" w:cs="Times New Roman"/>
                <w:color w:val="auto"/>
                <w:kern w:val="0"/>
                <w:sz w:val="24"/>
                <w:szCs w:val="24"/>
              </w:rPr>
              <w:t>在采取相应措施后，以上构筑物运行过程中产生污染物下渗进入含水层</w:t>
            </w:r>
            <w:r>
              <w:rPr>
                <w:rFonts w:hint="eastAsia" w:ascii="Times New Roman" w:hAnsi="Times New Roman" w:eastAsia="宋体" w:cs="Times New Roman"/>
                <w:color w:val="auto"/>
                <w:kern w:val="0"/>
                <w:sz w:val="24"/>
                <w:szCs w:val="24"/>
              </w:rPr>
              <w:t>概率</w:t>
            </w:r>
            <w:r>
              <w:rPr>
                <w:rFonts w:hint="default" w:ascii="Times New Roman" w:hAnsi="Times New Roman" w:eastAsia="宋体" w:cs="Times New Roman"/>
                <w:color w:val="auto"/>
                <w:kern w:val="0"/>
                <w:sz w:val="24"/>
                <w:szCs w:val="24"/>
              </w:rPr>
              <w:t>较小。因此，以上构筑物不作为本次预测工作重点。</w:t>
            </w:r>
          </w:p>
          <w:p w14:paraId="064B9217">
            <w:pPr>
              <w:keepNext w:val="0"/>
              <w:keepLines w:val="0"/>
              <w:widowControl/>
              <w:suppressLineNumbers w:val="0"/>
              <w:spacing w:before="0" w:beforeAutospacing="0" w:after="0" w:afterAutospacing="0" w:line="360" w:lineRule="auto"/>
              <w:ind w:left="0" w:right="0" w:firstLine="480"/>
              <w:jc w:val="left"/>
              <w:rPr>
                <w:rFonts w:hint="default" w:ascii="Times New Roman" w:hAnsi="Times New Roman" w:cs="Times New Roman"/>
                <w:b/>
                <w:bCs/>
                <w:color w:val="auto"/>
                <w:kern w:val="0"/>
                <w:sz w:val="24"/>
              </w:rPr>
            </w:pPr>
            <w:bookmarkStart w:id="54" w:name="_Hlk524885055"/>
            <w:r>
              <w:rPr>
                <w:rFonts w:hint="eastAsia" w:ascii="Times New Roman" w:hAnsi="Times New Roman" w:cs="Times New Roman"/>
                <w:b/>
                <w:bCs/>
                <w:color w:val="auto"/>
                <w:kern w:val="0"/>
                <w:sz w:val="24"/>
              </w:rPr>
              <w:t>2</w:t>
            </w:r>
            <w:r>
              <w:rPr>
                <w:rFonts w:hint="eastAsia" w:ascii="Times New Roman" w:hAnsi="Times New Roman" w:cs="Times New Roman"/>
                <w:b/>
                <w:bCs/>
                <w:color w:val="auto"/>
                <w:kern w:val="0"/>
                <w:sz w:val="24"/>
                <w:lang w:eastAsia="zh-CN"/>
              </w:rPr>
              <w:t>、</w:t>
            </w:r>
            <w:r>
              <w:rPr>
                <w:rFonts w:hint="eastAsia" w:ascii="Times New Roman" w:hAnsi="Times New Roman" w:cs="Times New Roman"/>
                <w:b/>
                <w:bCs/>
                <w:color w:val="auto"/>
                <w:kern w:val="0"/>
                <w:sz w:val="24"/>
              </w:rPr>
              <w:t>非</w:t>
            </w:r>
            <w:r>
              <w:rPr>
                <w:rFonts w:hint="default" w:ascii="Times New Roman" w:hAnsi="Times New Roman" w:cs="Times New Roman"/>
                <w:b/>
                <w:bCs/>
                <w:color w:val="auto"/>
                <w:kern w:val="0"/>
                <w:sz w:val="24"/>
              </w:rPr>
              <w:t>正常工况对地下水环境的影响</w:t>
            </w:r>
          </w:p>
          <w:bookmarkEnd w:id="54"/>
          <w:p w14:paraId="6D732D2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在非正常工况条件下，当</w:t>
            </w:r>
            <w:r>
              <w:rPr>
                <w:rFonts w:hint="eastAsia" w:ascii="Times New Roman" w:hAnsi="Times New Roman" w:eastAsia="宋体" w:cs="Times New Roman"/>
                <w:color w:val="auto"/>
                <w:kern w:val="0"/>
                <w:sz w:val="24"/>
                <w:szCs w:val="24"/>
              </w:rPr>
              <w:t>污水池、</w:t>
            </w:r>
            <w:r>
              <w:rPr>
                <w:rFonts w:hint="default" w:ascii="Times New Roman" w:hAnsi="Times New Roman" w:eastAsia="宋体" w:cs="Times New Roman"/>
                <w:color w:val="auto"/>
                <w:kern w:val="0"/>
                <w:sz w:val="24"/>
                <w:szCs w:val="24"/>
              </w:rPr>
              <w:t>放喷池</w:t>
            </w:r>
            <w:r>
              <w:rPr>
                <w:rFonts w:hint="eastAsia" w:ascii="Times New Roman" w:hAnsi="Times New Roman" w:eastAsia="宋体" w:cs="Times New Roman"/>
                <w:color w:val="auto"/>
                <w:kern w:val="0"/>
                <w:sz w:val="24"/>
                <w:szCs w:val="24"/>
              </w:rPr>
              <w:t>、压裂液罐</w:t>
            </w:r>
            <w:r>
              <w:rPr>
                <w:rFonts w:hint="default" w:ascii="Times New Roman" w:hAnsi="Times New Roman" w:eastAsia="宋体" w:cs="Times New Roman"/>
                <w:color w:val="auto"/>
                <w:kern w:val="0"/>
                <w:sz w:val="24"/>
                <w:szCs w:val="24"/>
              </w:rPr>
              <w:t>发生破损，在防渗层失效的情况下，污染物通过包气带进入地下水中会造成地下水环境的污染，</w:t>
            </w:r>
            <w:r>
              <w:rPr>
                <w:rFonts w:hint="default" w:ascii="Times New Roman" w:hAnsi="Times New Roman" w:eastAsia="宋体" w:cs="Times New Roman"/>
                <w:color w:val="auto"/>
                <w:sz w:val="24"/>
                <w:szCs w:val="24"/>
              </w:rPr>
              <w:t>通过</w:t>
            </w:r>
            <w:r>
              <w:rPr>
                <w:rFonts w:hint="default" w:ascii="Times New Roman" w:hAnsi="Times New Roman" w:eastAsia="宋体" w:cs="Times New Roman"/>
                <w:color w:val="auto"/>
                <w:kern w:val="0"/>
                <w:sz w:val="24"/>
              </w:rPr>
              <w:t>Visual MODFLOW软件预测结果可知</w:t>
            </w:r>
            <w:r>
              <w:rPr>
                <w:rFonts w:hint="default" w:ascii="Times New Roman" w:hAnsi="Times New Roman" w:eastAsia="宋体" w:cs="Times New Roman"/>
                <w:color w:val="auto"/>
                <w:sz w:val="24"/>
                <w:szCs w:val="24"/>
              </w:rPr>
              <w:t>，当相应各类赋值区发生</w:t>
            </w:r>
            <w:r>
              <w:rPr>
                <w:rFonts w:hint="eastAsia" w:ascii="Times New Roman" w:hAnsi="Times New Roman" w:eastAsia="宋体" w:cs="Times New Roman"/>
                <w:color w:val="auto"/>
                <w:sz w:val="24"/>
                <w:szCs w:val="24"/>
              </w:rPr>
              <w:t>泄漏</w:t>
            </w:r>
            <w:r>
              <w:rPr>
                <w:rFonts w:hint="default" w:ascii="Times New Roman" w:hAnsi="Times New Roman" w:eastAsia="宋体" w:cs="Times New Roman"/>
                <w:color w:val="auto"/>
                <w:sz w:val="24"/>
                <w:szCs w:val="24"/>
              </w:rPr>
              <w:t>后，</w:t>
            </w:r>
            <w:r>
              <w:rPr>
                <w:rFonts w:hint="default" w:ascii="Times New Roman" w:hAnsi="Times New Roman" w:eastAsia="宋体" w:cs="Times New Roman"/>
                <w:color w:val="auto"/>
                <w:kern w:val="0"/>
                <w:sz w:val="24"/>
                <w:szCs w:val="24"/>
              </w:rPr>
              <w:t>COD</w:t>
            </w:r>
            <w:r>
              <w:rPr>
                <w:rFonts w:hint="default" w:ascii="Times New Roman" w:hAnsi="Times New Roman" w:eastAsia="宋体" w:cs="Times New Roman"/>
                <w:color w:val="auto"/>
                <w:kern w:val="0"/>
                <w:sz w:val="24"/>
                <w:szCs w:val="24"/>
                <w:vertAlign w:val="subscript"/>
              </w:rPr>
              <w:t>Mn</w:t>
            </w:r>
            <w:r>
              <w:rPr>
                <w:rFonts w:hint="default" w:ascii="Times New Roman" w:hAnsi="Times New Roman" w:eastAsia="宋体" w:cs="Times New Roman"/>
                <w:color w:val="auto"/>
                <w:kern w:val="0"/>
                <w:sz w:val="24"/>
                <w:szCs w:val="24"/>
              </w:rPr>
              <w:t>、石油类</w:t>
            </w:r>
            <w:r>
              <w:rPr>
                <w:rFonts w:hint="eastAsia" w:ascii="Times New Roman" w:hAnsi="Times New Roman" w:eastAsia="宋体" w:cs="Times New Roman"/>
                <w:color w:val="auto"/>
                <w:kern w:val="0"/>
                <w:sz w:val="24"/>
                <w:szCs w:val="24"/>
              </w:rPr>
              <w:t>、Cl</w:t>
            </w:r>
            <w:r>
              <w:rPr>
                <w:rFonts w:hint="eastAsia" w:ascii="Times New Roman" w:hAnsi="Times New Roman" w:eastAsia="宋体" w:cs="Times New Roman"/>
                <w:color w:val="auto"/>
                <w:kern w:val="0"/>
                <w:sz w:val="24"/>
                <w:szCs w:val="24"/>
                <w:vertAlign w:val="superscript"/>
              </w:rPr>
              <w:t>-</w:t>
            </w:r>
            <w:r>
              <w:rPr>
                <w:rFonts w:hint="eastAsia" w:ascii="Times New Roman" w:hAnsi="Times New Roman" w:eastAsia="宋体" w:cs="Times New Roman"/>
                <w:color w:val="auto"/>
                <w:kern w:val="0"/>
                <w:sz w:val="24"/>
                <w:szCs w:val="24"/>
              </w:rPr>
              <w:t>、钡</w:t>
            </w:r>
            <w:r>
              <w:rPr>
                <w:rFonts w:hint="default" w:ascii="Times New Roman" w:hAnsi="Times New Roman" w:eastAsia="宋体" w:cs="Times New Roman"/>
                <w:color w:val="auto"/>
                <w:kern w:val="0"/>
                <w:sz w:val="24"/>
                <w:szCs w:val="24"/>
              </w:rPr>
              <w:t>在短时间内浓度增加，在地下水流作用下污染晕不断向周边扩散，污染物主要向地下水下游方向运移。随着时间的增加，污染晕的范围不断扩大，中心浓度也随着地下水水流向下游方向发生迁移，在地下水的稀释和岩土体的物理化学作用下不断减小。本项目区域地下水执行《地下水质量标准》（GB/T 14848-2017）中的Ⅲ类标准（COD</w:t>
            </w:r>
            <w:r>
              <w:rPr>
                <w:rFonts w:hint="default" w:ascii="Times New Roman" w:hAnsi="Times New Roman" w:eastAsia="宋体" w:cs="Times New Roman"/>
                <w:color w:val="auto"/>
                <w:kern w:val="0"/>
                <w:sz w:val="24"/>
                <w:szCs w:val="24"/>
                <w:vertAlign w:val="subscript"/>
              </w:rPr>
              <w:t>Mn</w:t>
            </w:r>
            <w:r>
              <w:rPr>
                <w:rFonts w:hint="default" w:ascii="Times New Roman" w:hAnsi="Times New Roman" w:eastAsia="宋体" w:cs="Times New Roman"/>
                <w:color w:val="auto"/>
                <w:kern w:val="0"/>
                <w:sz w:val="24"/>
                <w:szCs w:val="24"/>
              </w:rPr>
              <w:t>≤3.0mg/L</w:t>
            </w:r>
            <w:r>
              <w:rPr>
                <w:rFonts w:hint="eastAsia" w:ascii="Times New Roman" w:hAnsi="Times New Roman" w:eastAsia="宋体" w:cs="Times New Roman"/>
                <w:color w:val="auto"/>
                <w:kern w:val="0"/>
                <w:sz w:val="24"/>
                <w:szCs w:val="24"/>
              </w:rPr>
              <w:t>、Cl</w:t>
            </w:r>
            <w:r>
              <w:rPr>
                <w:rFonts w:hint="eastAsia" w:ascii="Times New Roman" w:hAnsi="Times New Roman" w:eastAsia="宋体" w:cs="Times New Roman"/>
                <w:color w:val="auto"/>
                <w:kern w:val="0"/>
                <w:sz w:val="24"/>
                <w:szCs w:val="24"/>
                <w:vertAlign w:val="superscript"/>
              </w:rPr>
              <w:t>-</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250</w:t>
            </w:r>
            <w:r>
              <w:rPr>
                <w:rFonts w:hint="default" w:ascii="Times New Roman" w:hAnsi="Times New Roman" w:eastAsia="宋体" w:cs="Times New Roman"/>
                <w:color w:val="auto"/>
                <w:kern w:val="0"/>
                <w:sz w:val="24"/>
                <w:szCs w:val="24"/>
              </w:rPr>
              <w:t>mg/L</w:t>
            </w:r>
            <w:r>
              <w:rPr>
                <w:rFonts w:hint="eastAsia" w:ascii="Times New Roman" w:hAnsi="Times New Roman" w:eastAsia="宋体" w:cs="Times New Roman"/>
                <w:color w:val="auto"/>
                <w:kern w:val="0"/>
                <w:sz w:val="24"/>
                <w:szCs w:val="24"/>
              </w:rPr>
              <w:t>、钡</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0.70</w:t>
            </w:r>
            <w:r>
              <w:rPr>
                <w:rFonts w:hint="default" w:ascii="Times New Roman" w:hAnsi="Times New Roman" w:eastAsia="宋体" w:cs="Times New Roman"/>
                <w:color w:val="auto"/>
                <w:kern w:val="0"/>
                <w:sz w:val="24"/>
                <w:szCs w:val="24"/>
              </w:rPr>
              <w:t>mg/L）、石油类参考《地表水环境质量标准》（GB3838-2002）（石油类</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rPr>
              <w:t>0.05mg/L）。</w:t>
            </w:r>
          </w:p>
          <w:p w14:paraId="1DE31894">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rPr>
              <w:t>分析非正常运行状况污染源浓度变化趋势，非正常运行状况发生后，各污染源最大浓度贡献值叠加背景值</w:t>
            </w:r>
            <w:r>
              <w:rPr>
                <w:rFonts w:hint="eastAsia" w:ascii="Times New Roman" w:hAnsi="Times New Roman" w:eastAsia="宋体" w:cs="Times New Roman"/>
                <w:color w:val="auto"/>
                <w:kern w:val="0"/>
                <w:sz w:val="24"/>
                <w:szCs w:val="24"/>
              </w:rPr>
              <w:t>（注：背景值取现状监测值最大值）</w:t>
            </w:r>
            <w:r>
              <w:rPr>
                <w:rFonts w:hint="default" w:ascii="Times New Roman" w:hAnsi="Times New Roman" w:eastAsia="宋体" w:cs="Times New Roman"/>
                <w:color w:val="auto"/>
                <w:kern w:val="0"/>
                <w:sz w:val="24"/>
                <w:szCs w:val="24"/>
              </w:rPr>
              <w:t>后，污水</w:t>
            </w:r>
            <w:r>
              <w:rPr>
                <w:rFonts w:hint="eastAsia" w:ascii="Times New Roman" w:hAnsi="Times New Roman" w:eastAsia="宋体" w:cs="Times New Roman"/>
                <w:color w:val="auto"/>
                <w:sz w:val="24"/>
                <w:szCs w:val="24"/>
              </w:rPr>
              <w:t>池</w:t>
            </w:r>
            <w:r>
              <w:rPr>
                <w:rFonts w:hint="default" w:ascii="Times New Roman" w:hAnsi="Times New Roman" w:eastAsia="宋体" w:cs="Times New Roman"/>
                <w:color w:val="auto"/>
                <w:sz w:val="24"/>
                <w:szCs w:val="24"/>
              </w:rPr>
              <w:t>（钻井废水）</w:t>
            </w:r>
            <w:r>
              <w:rPr>
                <w:rFonts w:hint="eastAsia"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rPr>
              <w:t>污水</w:t>
            </w:r>
            <w:r>
              <w:rPr>
                <w:rFonts w:hint="eastAsia" w:ascii="Times New Roman" w:hAnsi="Times New Roman" w:eastAsia="宋体" w:cs="Times New Roman"/>
                <w:color w:val="auto"/>
                <w:sz w:val="24"/>
                <w:szCs w:val="24"/>
              </w:rPr>
              <w:t>池</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洗</w:t>
            </w:r>
            <w:r>
              <w:rPr>
                <w:rFonts w:hint="default" w:ascii="Times New Roman" w:hAnsi="Times New Roman" w:eastAsia="宋体" w:cs="Times New Roman"/>
                <w:color w:val="auto"/>
                <w:sz w:val="24"/>
                <w:szCs w:val="24"/>
              </w:rPr>
              <w:t>井废水）</w:t>
            </w:r>
            <w:r>
              <w:rPr>
                <w:rFonts w:hint="eastAsia" w:ascii="Times New Roman" w:hAnsi="Times New Roman" w:eastAsia="宋体" w:cs="Times New Roman"/>
                <w:color w:val="auto"/>
                <w:sz w:val="24"/>
                <w:szCs w:val="24"/>
              </w:rPr>
              <w:t>泄漏</w:t>
            </w:r>
            <w:r>
              <w:rPr>
                <w:rFonts w:hint="eastAsia" w:ascii="Times New Roman" w:hAnsi="Times New Roman" w:eastAsia="宋体" w:cs="Times New Roman"/>
                <w:color w:val="auto"/>
                <w:kern w:val="0"/>
                <w:sz w:val="24"/>
                <w:szCs w:val="24"/>
              </w:rPr>
              <w:t>COD</w:t>
            </w:r>
            <w:r>
              <w:rPr>
                <w:rFonts w:hint="eastAsia" w:ascii="Times New Roman" w:hAnsi="Times New Roman" w:eastAsia="宋体" w:cs="Times New Roman"/>
                <w:color w:val="auto"/>
                <w:kern w:val="0"/>
                <w:sz w:val="24"/>
                <w:szCs w:val="24"/>
                <w:vertAlign w:val="subscript"/>
              </w:rPr>
              <w:t>Mn</w:t>
            </w:r>
            <w:r>
              <w:rPr>
                <w:rFonts w:hint="eastAsia" w:ascii="Times New Roman" w:hAnsi="Times New Roman" w:eastAsia="宋体" w:cs="Times New Roman"/>
                <w:color w:val="auto"/>
                <w:kern w:val="0"/>
                <w:sz w:val="24"/>
                <w:szCs w:val="24"/>
              </w:rPr>
              <w:t>超标时间集中于泄漏后0~1</w:t>
            </w:r>
            <w:r>
              <w:rPr>
                <w:rFonts w:hint="eastAsia" w:ascii="Times New Roman" w:hAnsi="Times New Roman" w:eastAsia="宋体" w:cs="Times New Roman"/>
                <w:color w:val="auto"/>
                <w:kern w:val="0"/>
                <w:sz w:val="24"/>
                <w:szCs w:val="24"/>
                <w:lang w:val="en-US" w:eastAsia="zh-CN"/>
              </w:rPr>
              <w:t>825</w:t>
            </w:r>
            <w:r>
              <w:rPr>
                <w:rFonts w:hint="eastAsia" w:ascii="Times New Roman" w:hAnsi="Times New Roman" w:eastAsia="宋体" w:cs="Times New Roman"/>
                <w:color w:val="auto"/>
                <w:kern w:val="0"/>
                <w:sz w:val="24"/>
                <w:szCs w:val="24"/>
              </w:rPr>
              <w:t>d，超标集中于下游</w:t>
            </w:r>
            <w:r>
              <w:rPr>
                <w:rFonts w:hint="eastAsia" w:ascii="Times New Roman" w:hAnsi="Times New Roman" w:eastAsia="宋体" w:cs="Times New Roman"/>
                <w:color w:val="auto"/>
                <w:kern w:val="0"/>
                <w:sz w:val="24"/>
                <w:szCs w:val="24"/>
                <w:lang w:val="en-US" w:eastAsia="zh-CN"/>
              </w:rPr>
              <w:t>110</w:t>
            </w:r>
            <w:r>
              <w:rPr>
                <w:rFonts w:hint="eastAsia" w:ascii="Times New Roman" w:hAnsi="Times New Roman" w:eastAsia="宋体" w:cs="Times New Roman"/>
                <w:color w:val="auto"/>
                <w:kern w:val="0"/>
                <w:sz w:val="24"/>
                <w:szCs w:val="24"/>
              </w:rPr>
              <w:t>m范围内；</w:t>
            </w:r>
            <w:r>
              <w:rPr>
                <w:rFonts w:hint="eastAsia" w:ascii="Times New Roman" w:hAnsi="Times New Roman" w:eastAsia="宋体" w:cs="Times New Roman"/>
                <w:color w:val="auto"/>
                <w:sz w:val="24"/>
                <w:szCs w:val="24"/>
              </w:rPr>
              <w:t>石油类</w:t>
            </w:r>
            <w:r>
              <w:rPr>
                <w:rFonts w:hint="eastAsia" w:ascii="Times New Roman" w:hAnsi="Times New Roman" w:eastAsia="宋体" w:cs="Times New Roman"/>
                <w:color w:val="auto"/>
                <w:kern w:val="0"/>
                <w:sz w:val="24"/>
                <w:szCs w:val="24"/>
              </w:rPr>
              <w:t>超标时间集中于泄漏后0~</w:t>
            </w:r>
            <w:r>
              <w:rPr>
                <w:rFonts w:hint="eastAsia" w:ascii="Times New Roman" w:hAnsi="Times New Roman" w:eastAsia="宋体" w:cs="Times New Roman"/>
                <w:color w:val="auto"/>
                <w:kern w:val="0"/>
                <w:sz w:val="24"/>
                <w:szCs w:val="24"/>
                <w:lang w:val="en-US" w:eastAsia="zh-CN"/>
              </w:rPr>
              <w:t>730</w:t>
            </w:r>
            <w:r>
              <w:rPr>
                <w:rFonts w:hint="eastAsia" w:ascii="Times New Roman" w:hAnsi="Times New Roman" w:eastAsia="宋体" w:cs="Times New Roman"/>
                <w:color w:val="auto"/>
                <w:kern w:val="0"/>
                <w:sz w:val="24"/>
                <w:szCs w:val="24"/>
              </w:rPr>
              <w:t>d，超标集中于下游</w:t>
            </w:r>
            <w:r>
              <w:rPr>
                <w:rFonts w:hint="eastAsia" w:ascii="Times New Roman" w:hAnsi="Times New Roman" w:eastAsia="宋体" w:cs="Times New Roman"/>
                <w:color w:val="auto"/>
                <w:kern w:val="0"/>
                <w:sz w:val="24"/>
                <w:szCs w:val="24"/>
                <w:lang w:val="en-US" w:eastAsia="zh-CN"/>
              </w:rPr>
              <w:t>45</w:t>
            </w:r>
            <w:r>
              <w:rPr>
                <w:rFonts w:hint="eastAsia" w:ascii="Times New Roman" w:hAnsi="Times New Roman" w:eastAsia="宋体" w:cs="Times New Roman"/>
                <w:color w:val="auto"/>
                <w:kern w:val="0"/>
                <w:sz w:val="24"/>
                <w:szCs w:val="24"/>
              </w:rPr>
              <w:t>m范围内；</w:t>
            </w:r>
            <w:r>
              <w:rPr>
                <w:rFonts w:hint="default" w:ascii="Times New Roman" w:hAnsi="Times New Roman" w:eastAsia="宋体" w:cs="Times New Roman"/>
                <w:color w:val="auto"/>
                <w:sz w:val="24"/>
                <w:szCs w:val="24"/>
              </w:rPr>
              <w:t>Cl</w:t>
            </w:r>
            <w:r>
              <w:rPr>
                <w:rFonts w:hint="default" w:ascii="Times New Roman" w:hAnsi="Times New Roman" w:eastAsia="宋体" w:cs="Times New Roman"/>
                <w:color w:val="auto"/>
                <w:sz w:val="24"/>
                <w:szCs w:val="24"/>
                <w:vertAlign w:val="superscript"/>
              </w:rPr>
              <w:t>-</w:t>
            </w:r>
            <w:r>
              <w:rPr>
                <w:rFonts w:hint="eastAsia" w:ascii="Times New Roman" w:hAnsi="Times New Roman" w:eastAsia="宋体" w:cs="Times New Roman"/>
                <w:color w:val="auto"/>
                <w:sz w:val="24"/>
                <w:szCs w:val="24"/>
              </w:rPr>
              <w:t>、钡未</w:t>
            </w:r>
            <w:r>
              <w:rPr>
                <w:rFonts w:hint="eastAsia" w:ascii="Times New Roman" w:hAnsi="Times New Roman" w:eastAsia="宋体" w:cs="Times New Roman"/>
                <w:color w:val="auto"/>
                <w:kern w:val="0"/>
                <w:sz w:val="24"/>
                <w:szCs w:val="24"/>
              </w:rPr>
              <w:t>超标。</w:t>
            </w:r>
            <w:r>
              <w:rPr>
                <w:rFonts w:hint="default" w:ascii="Times New Roman" w:hAnsi="Times New Roman" w:eastAsia="宋体" w:cs="Times New Roman"/>
                <w:bCs/>
                <w:color w:val="auto"/>
                <w:sz w:val="24"/>
                <w:szCs w:val="24"/>
              </w:rPr>
              <w:t>放喷池（压裂废水）泄漏</w:t>
            </w:r>
            <w:r>
              <w:rPr>
                <w:rFonts w:hint="eastAsia" w:ascii="Times New Roman" w:hAnsi="Times New Roman" w:eastAsia="宋体" w:cs="Times New Roman"/>
                <w:color w:val="auto"/>
                <w:kern w:val="0"/>
                <w:sz w:val="24"/>
                <w:szCs w:val="24"/>
              </w:rPr>
              <w:t>COD</w:t>
            </w:r>
            <w:r>
              <w:rPr>
                <w:rFonts w:hint="eastAsia" w:ascii="Times New Roman" w:hAnsi="Times New Roman" w:eastAsia="宋体" w:cs="Times New Roman"/>
                <w:color w:val="auto"/>
                <w:kern w:val="0"/>
                <w:sz w:val="24"/>
                <w:szCs w:val="24"/>
                <w:vertAlign w:val="subscript"/>
              </w:rPr>
              <w:t>Mn</w:t>
            </w:r>
            <w:r>
              <w:rPr>
                <w:rFonts w:hint="eastAsia" w:ascii="Times New Roman" w:hAnsi="Times New Roman" w:eastAsia="宋体" w:cs="Times New Roman"/>
                <w:color w:val="auto"/>
                <w:kern w:val="0"/>
                <w:sz w:val="24"/>
                <w:szCs w:val="24"/>
              </w:rPr>
              <w:t>超标时间集中于泄漏后0~</w:t>
            </w:r>
            <w:r>
              <w:rPr>
                <w:rFonts w:hint="eastAsia" w:ascii="Times New Roman" w:hAnsi="Times New Roman" w:eastAsia="宋体" w:cs="Times New Roman"/>
                <w:color w:val="auto"/>
                <w:kern w:val="0"/>
                <w:sz w:val="24"/>
                <w:szCs w:val="24"/>
                <w:lang w:val="en-US" w:eastAsia="zh-CN"/>
              </w:rPr>
              <w:t>1825</w:t>
            </w:r>
            <w:r>
              <w:rPr>
                <w:rFonts w:hint="eastAsia" w:ascii="Times New Roman" w:hAnsi="Times New Roman" w:eastAsia="宋体" w:cs="Times New Roman"/>
                <w:color w:val="auto"/>
                <w:kern w:val="0"/>
                <w:sz w:val="24"/>
                <w:szCs w:val="24"/>
              </w:rPr>
              <w:t>d，超标集中于下游</w:t>
            </w:r>
            <w:r>
              <w:rPr>
                <w:rFonts w:hint="eastAsia" w:ascii="Times New Roman" w:hAnsi="Times New Roman" w:eastAsia="宋体" w:cs="Times New Roman"/>
                <w:color w:val="auto"/>
                <w:kern w:val="0"/>
                <w:sz w:val="24"/>
                <w:szCs w:val="24"/>
                <w:lang w:val="en-US" w:eastAsia="zh-CN"/>
              </w:rPr>
              <w:t>70</w:t>
            </w:r>
            <w:r>
              <w:rPr>
                <w:rFonts w:hint="eastAsia" w:ascii="Times New Roman" w:hAnsi="Times New Roman" w:eastAsia="宋体" w:cs="Times New Roman"/>
                <w:color w:val="auto"/>
                <w:kern w:val="0"/>
                <w:sz w:val="24"/>
                <w:szCs w:val="24"/>
              </w:rPr>
              <w:t>m范围内；</w:t>
            </w:r>
            <w:r>
              <w:rPr>
                <w:rFonts w:hint="eastAsia" w:ascii="Times New Roman" w:hAnsi="Times New Roman" w:eastAsia="宋体" w:cs="Times New Roman"/>
                <w:color w:val="auto"/>
                <w:sz w:val="24"/>
                <w:szCs w:val="24"/>
              </w:rPr>
              <w:t>石油类</w:t>
            </w:r>
            <w:r>
              <w:rPr>
                <w:rFonts w:hint="eastAsia" w:ascii="Times New Roman" w:hAnsi="Times New Roman" w:eastAsia="宋体" w:cs="Times New Roman"/>
                <w:color w:val="auto"/>
                <w:kern w:val="0"/>
                <w:sz w:val="24"/>
                <w:szCs w:val="24"/>
              </w:rPr>
              <w:t>超标时间集中于泄漏后0~1000d，超标集中于下游</w:t>
            </w:r>
            <w:r>
              <w:rPr>
                <w:rFonts w:hint="eastAsia" w:ascii="Times New Roman" w:hAnsi="Times New Roman" w:eastAsia="宋体" w:cs="Times New Roman"/>
                <w:color w:val="auto"/>
                <w:kern w:val="0"/>
                <w:sz w:val="24"/>
                <w:szCs w:val="24"/>
                <w:lang w:val="en-US" w:eastAsia="zh-CN"/>
              </w:rPr>
              <w:t>4</w:t>
            </w:r>
            <w:r>
              <w:rPr>
                <w:rFonts w:hint="eastAsia" w:ascii="Times New Roman" w:hAnsi="Times New Roman" w:eastAsia="宋体" w:cs="Times New Roman"/>
                <w:color w:val="auto"/>
                <w:kern w:val="0"/>
                <w:sz w:val="24"/>
                <w:szCs w:val="24"/>
              </w:rPr>
              <w:t>0m范围内；</w:t>
            </w:r>
            <w:r>
              <w:rPr>
                <w:rFonts w:hint="default" w:ascii="Times New Roman" w:hAnsi="Times New Roman" w:eastAsia="宋体" w:cs="Times New Roman"/>
                <w:color w:val="auto"/>
                <w:sz w:val="24"/>
                <w:szCs w:val="24"/>
              </w:rPr>
              <w:t>Cl</w:t>
            </w:r>
            <w:r>
              <w:rPr>
                <w:rFonts w:hint="default" w:ascii="Times New Roman" w:hAnsi="Times New Roman" w:eastAsia="宋体" w:cs="Times New Roman"/>
                <w:color w:val="auto"/>
                <w:sz w:val="24"/>
                <w:szCs w:val="24"/>
                <w:vertAlign w:val="superscript"/>
              </w:rPr>
              <w:t>-</w:t>
            </w:r>
            <w:r>
              <w:rPr>
                <w:rFonts w:hint="eastAsia" w:ascii="Times New Roman" w:hAnsi="Times New Roman" w:eastAsia="宋体" w:cs="Times New Roman"/>
                <w:color w:val="auto"/>
                <w:sz w:val="24"/>
                <w:szCs w:val="24"/>
              </w:rPr>
              <w:t>、钡未</w:t>
            </w:r>
            <w:r>
              <w:rPr>
                <w:rFonts w:hint="eastAsia" w:ascii="Times New Roman" w:hAnsi="Times New Roman" w:eastAsia="宋体" w:cs="Times New Roman"/>
                <w:color w:val="auto"/>
                <w:kern w:val="0"/>
                <w:sz w:val="24"/>
                <w:szCs w:val="24"/>
              </w:rPr>
              <w:t>超标</w:t>
            </w:r>
            <w:r>
              <w:rPr>
                <w:rFonts w:hint="default" w:ascii="Times New Roman" w:hAnsi="Times New Roman" w:eastAsia="宋体" w:cs="Times New Roman"/>
                <w:bCs/>
                <w:color w:val="auto"/>
                <w:sz w:val="24"/>
                <w:szCs w:val="24"/>
              </w:rPr>
              <w:t>。</w:t>
            </w:r>
            <w:r>
              <w:rPr>
                <w:rFonts w:hint="eastAsia" w:ascii="Times New Roman" w:hAnsi="Times New Roman" w:eastAsia="宋体" w:cs="Times New Roman"/>
                <w:color w:val="auto"/>
                <w:sz w:val="24"/>
                <w:szCs w:val="24"/>
              </w:rPr>
              <w:t>压裂液罐（压裂废水）泄漏</w:t>
            </w:r>
            <w:r>
              <w:rPr>
                <w:rFonts w:hint="eastAsia" w:ascii="Times New Roman" w:hAnsi="Times New Roman" w:eastAsia="宋体" w:cs="Times New Roman"/>
                <w:color w:val="auto"/>
                <w:kern w:val="0"/>
                <w:sz w:val="24"/>
                <w:szCs w:val="24"/>
              </w:rPr>
              <w:t>COD</w:t>
            </w:r>
            <w:r>
              <w:rPr>
                <w:rFonts w:hint="eastAsia" w:ascii="Times New Roman" w:hAnsi="Times New Roman" w:eastAsia="宋体" w:cs="Times New Roman"/>
                <w:color w:val="auto"/>
                <w:kern w:val="0"/>
                <w:sz w:val="24"/>
                <w:szCs w:val="24"/>
                <w:vertAlign w:val="subscript"/>
              </w:rPr>
              <w:t>Mn</w:t>
            </w:r>
            <w:r>
              <w:rPr>
                <w:rFonts w:hint="eastAsia" w:ascii="Times New Roman" w:hAnsi="Times New Roman" w:eastAsia="宋体" w:cs="Times New Roman"/>
                <w:color w:val="auto"/>
                <w:kern w:val="0"/>
                <w:sz w:val="24"/>
                <w:szCs w:val="24"/>
              </w:rPr>
              <w:t>超标时间集中于泄漏后0~</w:t>
            </w:r>
            <w:r>
              <w:rPr>
                <w:rFonts w:hint="eastAsia" w:ascii="Times New Roman" w:hAnsi="Times New Roman" w:eastAsia="宋体" w:cs="Times New Roman"/>
                <w:color w:val="auto"/>
                <w:kern w:val="0"/>
                <w:sz w:val="24"/>
                <w:szCs w:val="24"/>
                <w:lang w:val="en-US" w:eastAsia="zh-CN"/>
              </w:rPr>
              <w:t>730</w:t>
            </w:r>
            <w:r>
              <w:rPr>
                <w:rFonts w:hint="eastAsia" w:ascii="Times New Roman" w:hAnsi="Times New Roman" w:eastAsia="宋体" w:cs="Times New Roman"/>
                <w:color w:val="auto"/>
                <w:kern w:val="0"/>
                <w:sz w:val="24"/>
                <w:szCs w:val="24"/>
              </w:rPr>
              <w:t>d，超标集中于下游</w:t>
            </w:r>
            <w:r>
              <w:rPr>
                <w:rFonts w:hint="eastAsia" w:ascii="Times New Roman" w:hAnsi="Times New Roman" w:eastAsia="宋体" w:cs="Times New Roman"/>
                <w:color w:val="auto"/>
                <w:kern w:val="0"/>
                <w:sz w:val="24"/>
                <w:szCs w:val="24"/>
                <w:lang w:val="en-US" w:eastAsia="zh-CN"/>
              </w:rPr>
              <w:t>30</w:t>
            </w:r>
            <w:r>
              <w:rPr>
                <w:rFonts w:hint="eastAsia" w:ascii="Times New Roman" w:hAnsi="Times New Roman" w:eastAsia="宋体" w:cs="Times New Roman"/>
                <w:color w:val="auto"/>
                <w:kern w:val="0"/>
                <w:sz w:val="24"/>
                <w:szCs w:val="24"/>
              </w:rPr>
              <w:t>m范围内；石油类</w:t>
            </w:r>
            <w:r>
              <w:rPr>
                <w:rFonts w:hint="default" w:ascii="Times New Roman" w:hAnsi="Times New Roman" w:eastAsia="宋体" w:cs="Times New Roman"/>
                <w:bCs/>
                <w:color w:val="auto"/>
                <w:sz w:val="24"/>
                <w:szCs w:val="24"/>
              </w:rPr>
              <w:t>超标时间集中于泄漏后0~</w:t>
            </w:r>
            <w:r>
              <w:rPr>
                <w:rFonts w:hint="eastAsia" w:ascii="Times New Roman" w:hAnsi="Times New Roman" w:eastAsia="宋体" w:cs="Times New Roman"/>
                <w:bCs/>
                <w:color w:val="auto"/>
                <w:sz w:val="24"/>
                <w:szCs w:val="24"/>
                <w:lang w:val="en-US" w:eastAsia="zh-CN"/>
              </w:rPr>
              <w:t>365</w:t>
            </w:r>
            <w:r>
              <w:rPr>
                <w:rFonts w:hint="default" w:ascii="Times New Roman" w:hAnsi="Times New Roman" w:eastAsia="宋体" w:cs="Times New Roman"/>
                <w:bCs/>
                <w:color w:val="auto"/>
                <w:sz w:val="24"/>
                <w:szCs w:val="24"/>
              </w:rPr>
              <w:t>d，超标集中于下游</w:t>
            </w:r>
            <w:r>
              <w:rPr>
                <w:rFonts w:hint="eastAsia" w:ascii="Times New Roman" w:hAnsi="Times New Roman" w:eastAsia="宋体" w:cs="Times New Roman"/>
                <w:bCs/>
                <w:color w:val="auto"/>
                <w:sz w:val="24"/>
                <w:szCs w:val="24"/>
                <w:lang w:val="en-US" w:eastAsia="zh-CN"/>
              </w:rPr>
              <w:t>15</w:t>
            </w:r>
            <w:r>
              <w:rPr>
                <w:rFonts w:hint="default" w:ascii="Times New Roman" w:hAnsi="Times New Roman" w:eastAsia="宋体" w:cs="Times New Roman"/>
                <w:bCs/>
                <w:color w:val="auto"/>
                <w:sz w:val="24"/>
                <w:szCs w:val="24"/>
              </w:rPr>
              <w:t>m范围内</w:t>
            </w:r>
            <w:r>
              <w:rPr>
                <w:rFonts w:hint="eastAsia"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rPr>
              <w:t>Cl</w:t>
            </w:r>
            <w:r>
              <w:rPr>
                <w:rFonts w:hint="default" w:ascii="Times New Roman" w:hAnsi="Times New Roman" w:eastAsia="宋体" w:cs="Times New Roman"/>
                <w:color w:val="auto"/>
                <w:sz w:val="24"/>
                <w:szCs w:val="24"/>
                <w:vertAlign w:val="superscript"/>
              </w:rPr>
              <w:t>-</w:t>
            </w:r>
            <w:r>
              <w:rPr>
                <w:rFonts w:hint="eastAsia" w:ascii="Times New Roman" w:hAnsi="Times New Roman" w:eastAsia="宋体" w:cs="Times New Roman"/>
                <w:color w:val="auto"/>
                <w:sz w:val="24"/>
                <w:szCs w:val="24"/>
              </w:rPr>
              <w:t>、钡未</w:t>
            </w:r>
            <w:r>
              <w:rPr>
                <w:rFonts w:hint="eastAsia" w:ascii="Times New Roman" w:hAnsi="Times New Roman" w:eastAsia="宋体" w:cs="Times New Roman"/>
                <w:color w:val="auto"/>
                <w:kern w:val="0"/>
                <w:sz w:val="24"/>
                <w:szCs w:val="24"/>
              </w:rPr>
              <w:t>超标</w:t>
            </w:r>
            <w:r>
              <w:rPr>
                <w:rFonts w:hint="eastAsia" w:ascii="Times New Roman" w:hAnsi="Times New Roman" w:eastAsia="宋体" w:cs="Times New Roman"/>
                <w:color w:val="auto"/>
                <w:sz w:val="24"/>
                <w:szCs w:val="24"/>
              </w:rPr>
              <w:t>。</w:t>
            </w:r>
          </w:p>
          <w:p w14:paraId="1FBFBE53">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非正常运行状况下，各</w:t>
            </w:r>
            <w:r>
              <w:rPr>
                <w:rFonts w:hint="eastAsia" w:ascii="Times New Roman" w:hAnsi="Times New Roman" w:eastAsia="宋体" w:cs="Times New Roman"/>
                <w:color w:val="auto"/>
                <w:kern w:val="0"/>
                <w:sz w:val="24"/>
                <w:szCs w:val="24"/>
                <w:lang w:val="en-US" w:eastAsia="zh-CN"/>
              </w:rPr>
              <w:t>产污</w:t>
            </w:r>
            <w:r>
              <w:rPr>
                <w:rFonts w:hint="eastAsia" w:ascii="Times New Roman" w:hAnsi="Times New Roman" w:eastAsia="宋体" w:cs="Times New Roman"/>
                <w:color w:val="auto"/>
                <w:kern w:val="0"/>
                <w:sz w:val="24"/>
                <w:szCs w:val="24"/>
              </w:rPr>
              <w:t>构筑物发生</w:t>
            </w:r>
            <w:r>
              <w:rPr>
                <w:rFonts w:hint="eastAsia" w:ascii="Times New Roman" w:hAnsi="Times New Roman" w:eastAsia="宋体" w:cs="Times New Roman"/>
                <w:color w:val="auto"/>
                <w:kern w:val="0"/>
                <w:sz w:val="24"/>
                <w:szCs w:val="24"/>
                <w:lang w:eastAsia="zh-CN"/>
              </w:rPr>
              <w:t>泄漏</w:t>
            </w:r>
            <w:r>
              <w:rPr>
                <w:rFonts w:hint="eastAsia" w:ascii="Times New Roman" w:hAnsi="Times New Roman" w:eastAsia="宋体" w:cs="Times New Roman"/>
                <w:color w:val="auto"/>
                <w:kern w:val="0"/>
                <w:sz w:val="24"/>
                <w:szCs w:val="24"/>
              </w:rPr>
              <w:t>时各污染物最大浓度贡献值叠加背景值，各污染因子超标范围不超过</w:t>
            </w:r>
            <w:r>
              <w:rPr>
                <w:rFonts w:hint="eastAsia" w:ascii="Times New Roman" w:hAnsi="Times New Roman" w:eastAsia="宋体" w:cs="Times New Roman"/>
                <w:color w:val="auto"/>
                <w:kern w:val="0"/>
                <w:sz w:val="24"/>
                <w:szCs w:val="24"/>
                <w:lang w:val="en-US" w:eastAsia="zh-CN"/>
              </w:rPr>
              <w:t>产污构筑物</w:t>
            </w:r>
            <w:r>
              <w:rPr>
                <w:rFonts w:hint="eastAsia" w:ascii="Times New Roman" w:hAnsi="Times New Roman" w:eastAsia="宋体" w:cs="Times New Roman"/>
                <w:color w:val="auto"/>
                <w:kern w:val="0"/>
                <w:sz w:val="24"/>
                <w:szCs w:val="24"/>
              </w:rPr>
              <w:t>下游</w:t>
            </w:r>
            <w:r>
              <w:rPr>
                <w:rFonts w:hint="eastAsia" w:ascii="Times New Roman" w:hAnsi="Times New Roman" w:eastAsia="宋体" w:cs="Times New Roman"/>
                <w:color w:val="auto"/>
                <w:kern w:val="0"/>
                <w:sz w:val="24"/>
                <w:szCs w:val="24"/>
                <w:lang w:val="en-US" w:eastAsia="zh-CN"/>
              </w:rPr>
              <w:t>110</w:t>
            </w:r>
            <w:r>
              <w:rPr>
                <w:rFonts w:hint="eastAsia" w:ascii="Times New Roman" w:hAnsi="Times New Roman" w:eastAsia="宋体" w:cs="Times New Roman"/>
                <w:color w:val="auto"/>
                <w:kern w:val="0"/>
                <w:sz w:val="24"/>
                <w:szCs w:val="24"/>
              </w:rPr>
              <w:t>m；本项目</w:t>
            </w:r>
            <w:r>
              <w:rPr>
                <w:rFonts w:hint="eastAsia" w:ascii="Times New Roman" w:hAnsi="Times New Roman" w:eastAsia="宋体" w:cs="Times New Roman"/>
                <w:color w:val="auto"/>
                <w:kern w:val="0"/>
                <w:sz w:val="24"/>
                <w:szCs w:val="24"/>
                <w:lang w:val="en-US" w:eastAsia="zh-CN"/>
              </w:rPr>
              <w:t>区</w:t>
            </w:r>
            <w:r>
              <w:rPr>
                <w:rFonts w:hint="eastAsia" w:ascii="Times New Roman" w:hAnsi="Times New Roman" w:eastAsia="宋体" w:cs="Times New Roman"/>
                <w:color w:val="auto"/>
                <w:kern w:val="0"/>
                <w:sz w:val="24"/>
                <w:szCs w:val="24"/>
              </w:rPr>
              <w:t>产污构筑物</w:t>
            </w:r>
            <w:r>
              <w:rPr>
                <w:rFonts w:hint="eastAsia" w:ascii="Times New Roman" w:hAnsi="Times New Roman" w:eastAsia="宋体" w:cs="Times New Roman"/>
                <w:color w:val="auto"/>
                <w:kern w:val="0"/>
                <w:sz w:val="24"/>
                <w:szCs w:val="24"/>
                <w:lang w:val="en-US" w:eastAsia="zh-CN"/>
              </w:rPr>
              <w:t>下游的</w:t>
            </w:r>
            <w:r>
              <w:rPr>
                <w:rFonts w:hint="eastAsia" w:ascii="Times New Roman" w:hAnsi="Times New Roman" w:eastAsia="宋体" w:cs="Times New Roman"/>
                <w:color w:val="auto"/>
                <w:kern w:val="0"/>
                <w:sz w:val="24"/>
                <w:szCs w:val="24"/>
              </w:rPr>
              <w:t>地下水保护目标散户分散式饮用水源距产污构筑物</w:t>
            </w:r>
            <w:r>
              <w:rPr>
                <w:rFonts w:hint="eastAsia" w:ascii="Times New Roman" w:hAnsi="Times New Roman" w:eastAsia="宋体" w:cs="Times New Roman"/>
                <w:color w:val="auto"/>
                <w:kern w:val="0"/>
                <w:sz w:val="24"/>
                <w:szCs w:val="24"/>
                <w:lang w:val="en-US" w:eastAsia="zh-CN"/>
              </w:rPr>
              <w:t>最近距离约160</w:t>
            </w:r>
            <w:r>
              <w:rPr>
                <w:rFonts w:hint="eastAsia" w:ascii="Times New Roman" w:hAnsi="Times New Roman" w:eastAsia="宋体" w:cs="Times New Roman"/>
                <w:color w:val="auto"/>
                <w:kern w:val="0"/>
                <w:sz w:val="24"/>
                <w:szCs w:val="24"/>
              </w:rPr>
              <w:t>m</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经预测结果显示</w:t>
            </w:r>
            <w:r>
              <w:rPr>
                <w:rFonts w:hint="eastAsia" w:ascii="Times New Roman" w:hAnsi="Times New Roman" w:eastAsia="宋体" w:cs="Times New Roman"/>
                <w:color w:val="auto"/>
                <w:kern w:val="0"/>
                <w:sz w:val="24"/>
                <w:szCs w:val="24"/>
              </w:rPr>
              <w:t>不会造成超标</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对地下水保护目标</w:t>
            </w:r>
            <w:r>
              <w:rPr>
                <w:rFonts w:hint="eastAsia" w:ascii="Times New Roman" w:hAnsi="Times New Roman" w:eastAsia="宋体" w:cs="Times New Roman"/>
                <w:color w:val="auto"/>
                <w:kern w:val="0"/>
                <w:sz w:val="24"/>
                <w:szCs w:val="24"/>
                <w:lang w:val="en-US" w:eastAsia="zh-CN"/>
              </w:rPr>
              <w:t>的</w:t>
            </w:r>
            <w:r>
              <w:rPr>
                <w:rFonts w:hint="eastAsia" w:ascii="Times New Roman" w:hAnsi="Times New Roman" w:eastAsia="宋体" w:cs="Times New Roman"/>
                <w:color w:val="auto"/>
                <w:kern w:val="0"/>
                <w:sz w:val="24"/>
                <w:szCs w:val="24"/>
              </w:rPr>
              <w:t>水质影响</w:t>
            </w:r>
            <w:r>
              <w:rPr>
                <w:rFonts w:hint="eastAsia" w:ascii="Times New Roman" w:hAnsi="Times New Roman" w:eastAsia="宋体" w:cs="Times New Roman"/>
                <w:color w:val="auto"/>
                <w:kern w:val="0"/>
                <w:sz w:val="24"/>
                <w:szCs w:val="24"/>
                <w:lang w:val="en-US" w:eastAsia="zh-CN"/>
              </w:rPr>
              <w:t>较小</w:t>
            </w:r>
            <w:r>
              <w:rPr>
                <w:rFonts w:hint="eastAsia" w:ascii="Times New Roman" w:hAnsi="Times New Roman" w:eastAsia="宋体" w:cs="Times New Roman"/>
                <w:color w:val="auto"/>
                <w:kern w:val="0"/>
                <w:sz w:val="24"/>
                <w:szCs w:val="24"/>
              </w:rPr>
              <w:t>。</w:t>
            </w:r>
          </w:p>
          <w:p w14:paraId="47EAF37C">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本项目非正常状况发生后，</w:t>
            </w:r>
            <w:r>
              <w:rPr>
                <w:rFonts w:hint="default" w:ascii="Times New Roman" w:hAnsi="Times New Roman" w:eastAsia="宋体" w:cs="Times New Roman"/>
                <w:color w:val="auto"/>
                <w:kern w:val="0"/>
                <w:sz w:val="24"/>
                <w:szCs w:val="24"/>
              </w:rPr>
              <w:t>各污染物下渗进入地下水系统后</w:t>
            </w:r>
            <w:r>
              <w:rPr>
                <w:rFonts w:hint="eastAsia" w:ascii="Times New Roman" w:hAnsi="Times New Roman" w:eastAsia="宋体" w:cs="Times New Roman"/>
                <w:color w:val="auto"/>
                <w:kern w:val="0"/>
                <w:sz w:val="24"/>
                <w:szCs w:val="24"/>
              </w:rPr>
              <w:t>将对评价区地下水系统造成影响，同时会对周边居民饮用水造成一定影响，且要恢复至背景值水平需一定时间</w:t>
            </w:r>
            <w:r>
              <w:rPr>
                <w:rFonts w:hint="default" w:ascii="Times New Roman" w:hAnsi="Times New Roman" w:eastAsia="宋体" w:cs="Times New Roman"/>
                <w:color w:val="auto"/>
                <w:kern w:val="0"/>
                <w:sz w:val="24"/>
                <w:szCs w:val="24"/>
              </w:rPr>
              <w:t>。因此应尽量避免非正常状况发生。</w:t>
            </w:r>
          </w:p>
          <w:p w14:paraId="1332CA85">
            <w:pPr>
              <w:keepNext w:val="0"/>
              <w:keepLines w:val="0"/>
              <w:widowControl/>
              <w:suppressLineNumbers w:val="0"/>
              <w:spacing w:before="0" w:beforeAutospacing="0" w:after="0" w:afterAutospacing="0" w:line="360" w:lineRule="auto"/>
              <w:ind w:left="0" w:right="0" w:firstLine="480"/>
              <w:jc w:val="left"/>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环评要求本项目运行过程中，在项目下游布设地下水水质监测井，定期对地下水水质进行监测，如发现水质异常，立刻采取有效措施（如采用水动力隔离技术）阻止污染羽的扩散迁移，将地下水控制在局部范围，避免对下游地下水造成污染；</w:t>
            </w:r>
            <w:r>
              <w:rPr>
                <w:rFonts w:hint="eastAsia" w:ascii="Times New Roman" w:hAnsi="Times New Roman" w:eastAsia="宋体" w:cs="Times New Roman"/>
                <w:color w:val="auto"/>
                <w:sz w:val="24"/>
                <w:szCs w:val="24"/>
              </w:rPr>
              <w:t>同时对附近散户用水采取集中供应或提供桶装水措施，防止水污染中毒。</w:t>
            </w:r>
          </w:p>
          <w:p w14:paraId="701A79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Cs/>
                <w:color w:val="auto"/>
                <w:kern w:val="0"/>
                <w:sz w:val="24"/>
              </w:rPr>
            </w:pPr>
            <w:r>
              <w:rPr>
                <w:rFonts w:hint="default" w:ascii="Times New Roman" w:hAnsi="Times New Roman" w:eastAsia="宋体" w:cs="Times New Roman"/>
                <w:b/>
                <w:color w:val="auto"/>
                <w:sz w:val="24"/>
              </w:rPr>
              <w:t>本项目地下水环境影响分析详见“地下水环境影响专项”。</w:t>
            </w:r>
          </w:p>
          <w:p w14:paraId="30758B17">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五</w:t>
            </w:r>
            <w:r>
              <w:rPr>
                <w:rFonts w:hint="default" w:ascii="Times New Roman" w:hAnsi="Times New Roman" w:cs="Times New Roman"/>
                <w:b/>
                <w:bCs/>
                <w:color w:val="auto"/>
                <w:sz w:val="24"/>
              </w:rPr>
              <w:t>、声环境影响分析</w:t>
            </w:r>
          </w:p>
          <w:p w14:paraId="029660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工程噪声</w:t>
            </w:r>
          </w:p>
          <w:p w14:paraId="209F62D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工程噪声主要为钻井作业过程中钻机、振动筛、离心机和柴油发电机等设备运行产生的机械噪声、完井作业噪声等。</w:t>
            </w:r>
          </w:p>
          <w:p w14:paraId="14C17D2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1）钻井作业噪声</w:t>
            </w:r>
          </w:p>
          <w:p w14:paraId="693DF44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钻井过程中的噪声主要包括正常生产过程中的机械噪声、作业噪声以及事故放喷噪声，其产生情况为：</w:t>
            </w:r>
          </w:p>
          <w:p w14:paraId="2CB475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①机械噪声：包括钻机、振动筛、钻井泵、离心机、柴油发电机以及其他各种机械转动所产生的噪声；</w:t>
            </w:r>
          </w:p>
          <w:p w14:paraId="4EF19A9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②作业噪声：包括固井作业、下套管、起下钻具、钻机气路控制系统操作时快速放气阀放气、跳钻时吊环与水龙头的撞击等所产生的噪声。</w:t>
            </w:r>
          </w:p>
          <w:p w14:paraId="24109F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③事故放喷噪声。</w:t>
            </w:r>
          </w:p>
          <w:p w14:paraId="2EED087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作业噪声</w:t>
            </w:r>
          </w:p>
          <w:p w14:paraId="60EC043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中产生的噪声主要有设备运行噪声、压裂作业噪声和测试放喷噪声。单口井压裂作业在白天进行，参与作业的压裂车</w:t>
            </w:r>
            <w:r>
              <w:rPr>
                <w:rFonts w:hint="eastAsia" w:cs="Times New Roman"/>
                <w:bCs/>
                <w:color w:val="auto"/>
                <w:sz w:val="24"/>
                <w:lang w:val="en-US" w:eastAsia="zh-CN"/>
              </w:rPr>
              <w:t>6</w:t>
            </w:r>
            <w:r>
              <w:rPr>
                <w:rFonts w:hint="default" w:ascii="Times New Roman" w:hAnsi="Times New Roman" w:cs="Times New Roman"/>
                <w:bCs/>
                <w:color w:val="auto"/>
                <w:sz w:val="24"/>
              </w:rPr>
              <w:t>台，噪声主要来源于压裂车和泵注噪声，其噪声将随着压裂作业的完成而消失。</w:t>
            </w:r>
          </w:p>
          <w:p w14:paraId="6BD4635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主要噪声源设备产生情况一览表</w:t>
            </w:r>
          </w:p>
          <w:tbl>
            <w:tblPr>
              <w:tblStyle w:val="23"/>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0"/>
              <w:gridCol w:w="865"/>
              <w:gridCol w:w="1057"/>
              <w:gridCol w:w="1064"/>
              <w:gridCol w:w="1233"/>
              <w:gridCol w:w="881"/>
              <w:gridCol w:w="952"/>
              <w:gridCol w:w="1170"/>
            </w:tblGrid>
            <w:tr w14:paraId="67ACC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0F3F198C">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钻井噪声声级/dB（A</w:t>
                  </w:r>
                  <w:r>
                    <w:rPr>
                      <w:rFonts w:hint="eastAsia" w:ascii="Times New Roman" w:hAnsi="Times New Roman" w:cs="Times New Roman"/>
                      <w:b/>
                      <w:color w:val="auto"/>
                      <w:szCs w:val="20"/>
                      <w:lang w:eastAsia="zh-CN"/>
                    </w:rPr>
                    <w:t>）</w:t>
                  </w:r>
                </w:p>
              </w:tc>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5B903AC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完井测试作业中噪声声级/dB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r>
            <w:tr w14:paraId="31C8B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3D13785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DA9FD2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678932D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26D027F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6261716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6F9021C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F06DC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A36065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7F44479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F5447A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32ADDE3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405621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63A01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18319DD9">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旋挖机</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D43529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4FD2D04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80</w:t>
                  </w:r>
                </w:p>
              </w:tc>
              <w:tc>
                <w:tcPr>
                  <w:tcW w:w="627" w:type="pct"/>
                  <w:vMerge w:val="restart"/>
                  <w:tcBorders>
                    <w:top w:val="nil"/>
                    <w:left w:val="single" w:color="000000" w:sz="4" w:space="0"/>
                    <w:bottom w:val="single" w:color="000000" w:sz="4" w:space="0"/>
                    <w:right w:val="single" w:color="000000" w:sz="4" w:space="0"/>
                  </w:tcBorders>
                  <w:noWrap w:val="0"/>
                  <w:vAlign w:val="center"/>
                </w:tcPr>
                <w:p w14:paraId="6F91003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单台声源</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AA794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测试放喷</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5A08B5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6B1CE8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95</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D60A85A">
                  <w:pPr>
                    <w:pStyle w:val="55"/>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昼间进行</w:t>
                  </w:r>
                </w:p>
              </w:tc>
            </w:tr>
            <w:tr w14:paraId="66D99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AF70A">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钻机</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184B6">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1</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4AA32">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9</w:t>
                  </w:r>
                  <w:r>
                    <w:rPr>
                      <w:rFonts w:ascii="Times New Roman" w:hAnsi="Times New Roman" w:eastAsia="宋体" w:cs="Times New Roman"/>
                      <w:color w:val="auto"/>
                    </w:rPr>
                    <w:t>5</w:t>
                  </w:r>
                </w:p>
              </w:tc>
              <w:tc>
                <w:tcPr>
                  <w:tcW w:w="627" w:type="pct"/>
                  <w:vMerge w:val="continue"/>
                  <w:tcBorders>
                    <w:left w:val="single" w:color="000000" w:sz="4" w:space="0"/>
                    <w:right w:val="single" w:color="000000" w:sz="4" w:space="0"/>
                  </w:tcBorders>
                  <w:noWrap w:val="0"/>
                  <w:vAlign w:val="center"/>
                </w:tcPr>
                <w:p w14:paraId="750D32F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7AEF0">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蒸汽锅炉</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FE8EB">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1套</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3B3ED">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70</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4E43B">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昼间进行</w:t>
                  </w:r>
                </w:p>
              </w:tc>
            </w:tr>
            <w:tr w14:paraId="3C0B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7368CD4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钻井泵</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E36F8E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57AB121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top w:val="nil"/>
                    <w:left w:val="single" w:color="000000" w:sz="4" w:space="0"/>
                    <w:bottom w:val="single" w:color="000000" w:sz="4" w:space="0"/>
                    <w:right w:val="single" w:color="000000" w:sz="4" w:space="0"/>
                  </w:tcBorders>
                  <w:noWrap w:val="0"/>
                  <w:vAlign w:val="center"/>
                </w:tcPr>
                <w:p w14:paraId="648ED8B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FFD2BC8">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663CBCED">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D9EEE01">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1AD37CE2">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r w14:paraId="540A5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4674E26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振动筛</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08841B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2台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02FF06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top w:val="nil"/>
                    <w:left w:val="single" w:color="000000" w:sz="4" w:space="0"/>
                    <w:bottom w:val="single" w:color="000000" w:sz="4" w:space="0"/>
                    <w:right w:val="single" w:color="000000" w:sz="4" w:space="0"/>
                  </w:tcBorders>
                  <w:noWrap w:val="0"/>
                  <w:vAlign w:val="center"/>
                </w:tcPr>
                <w:p w14:paraId="6C90790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CAAAB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17FA13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1FA62F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390DEF4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CA57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41ACA62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离心机</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32FE41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41C795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top w:val="nil"/>
                    <w:left w:val="single" w:color="000000" w:sz="4" w:space="0"/>
                    <w:bottom w:val="single" w:color="000000" w:sz="4" w:space="0"/>
                    <w:right w:val="single" w:color="000000" w:sz="4" w:space="0"/>
                  </w:tcBorders>
                  <w:noWrap w:val="0"/>
                  <w:vAlign w:val="center"/>
                </w:tcPr>
                <w:p w14:paraId="05BCDB5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CFDB9D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3205B4B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60FE61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1994918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02429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ED58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w:t>
                  </w:r>
                </w:p>
                <w:p w14:paraId="77260D35">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发电机组</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EA2C4">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rPr>
                    <w:t>2台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BC762">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100</w:t>
                  </w:r>
                </w:p>
              </w:tc>
              <w:tc>
                <w:tcPr>
                  <w:tcW w:w="627" w:type="pct"/>
                  <w:vMerge w:val="continue"/>
                  <w:tcBorders>
                    <w:top w:val="nil"/>
                    <w:left w:val="single" w:color="000000" w:sz="4" w:space="0"/>
                    <w:bottom w:val="single" w:color="000000" w:sz="4" w:space="0"/>
                    <w:right w:val="single" w:color="000000" w:sz="4" w:space="0"/>
                  </w:tcBorders>
                  <w:noWrap w:val="0"/>
                  <w:vAlign w:val="center"/>
                </w:tcPr>
                <w:p w14:paraId="70A8539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5933BB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656325D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4C88F2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7130AEA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3DED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2CFF39A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压裂作业噪声/dB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4EA65AD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事故放喷噪声/dB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r>
            <w:tr w14:paraId="4DD80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108C0E4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EC8FCE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7850B90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28A664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6E57952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3613738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A37A3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6FA57D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5EB2932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48E441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04CF157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07B0234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5A525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007579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压裂泵车</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360461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辆</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194CDF0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95</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644CC26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单台声源</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6A2EC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事故</w:t>
                  </w:r>
                  <w:r>
                    <w:rPr>
                      <w:rFonts w:ascii="Times New Roman" w:hAnsi="Times New Roman" w:eastAsia="宋体" w:cs="Times New Roman"/>
                      <w:color w:val="auto"/>
                    </w:rPr>
                    <w:t>放喷</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17124B8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142779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95</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2B14C52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临时放喷</w:t>
                  </w:r>
                </w:p>
              </w:tc>
            </w:tr>
          </w:tbl>
          <w:p w14:paraId="3A9F247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钻井工程主要噪声源</w:t>
            </w:r>
            <w:r>
              <w:rPr>
                <w:rFonts w:hint="eastAsia" w:ascii="Times New Roman" w:hAnsi="Times New Roman" w:eastAsia="宋体" w:cs="Times New Roman"/>
                <w:b/>
                <w:color w:val="auto"/>
                <w:lang w:val="en-US" w:eastAsia="zh-CN"/>
              </w:rPr>
              <w:t>强调查清单（室外声源）</w:t>
            </w:r>
          </w:p>
          <w:tbl>
            <w:tblPr>
              <w:tblStyle w:val="23"/>
              <w:tblW w:w="84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178"/>
              <w:gridCol w:w="1217"/>
              <w:gridCol w:w="816"/>
              <w:gridCol w:w="856"/>
              <w:gridCol w:w="572"/>
              <w:gridCol w:w="1312"/>
              <w:gridCol w:w="1047"/>
              <w:gridCol w:w="784"/>
            </w:tblGrid>
            <w:tr w14:paraId="065C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vMerge w:val="restart"/>
                  <w:tcBorders>
                    <w:top w:val="single" w:color="auto" w:sz="4" w:space="0"/>
                    <w:left w:val="single" w:color="auto" w:sz="4" w:space="0"/>
                    <w:bottom w:val="single" w:color="auto" w:sz="4" w:space="0"/>
                    <w:right w:val="single" w:color="auto" w:sz="4" w:space="0"/>
                  </w:tcBorders>
                  <w:noWrap/>
                  <w:vAlign w:val="center"/>
                </w:tcPr>
                <w:p w14:paraId="24691EE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序号</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39667687">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声源名称</w:t>
                  </w:r>
                </w:p>
              </w:tc>
              <w:tc>
                <w:tcPr>
                  <w:tcW w:w="1217" w:type="dxa"/>
                  <w:vMerge w:val="restart"/>
                  <w:tcBorders>
                    <w:top w:val="single" w:color="auto" w:sz="4" w:space="0"/>
                    <w:left w:val="single" w:color="auto" w:sz="4" w:space="0"/>
                    <w:bottom w:val="single" w:color="auto" w:sz="4" w:space="0"/>
                    <w:right w:val="single" w:color="auto" w:sz="4" w:space="0"/>
                  </w:tcBorders>
                  <w:noWrap/>
                  <w:vAlign w:val="center"/>
                </w:tcPr>
                <w:p w14:paraId="7417CCA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型号</w:t>
                  </w:r>
                </w:p>
              </w:tc>
              <w:tc>
                <w:tcPr>
                  <w:tcW w:w="2244" w:type="dxa"/>
                  <w:gridSpan w:val="3"/>
                  <w:tcBorders>
                    <w:top w:val="single" w:color="auto" w:sz="4" w:space="0"/>
                    <w:left w:val="single" w:color="auto" w:sz="4" w:space="0"/>
                    <w:bottom w:val="single" w:color="auto" w:sz="4" w:space="0"/>
                    <w:right w:val="single" w:color="auto" w:sz="4" w:space="0"/>
                  </w:tcBorders>
                  <w:noWrap/>
                  <w:vAlign w:val="center"/>
                </w:tcPr>
                <w:p w14:paraId="7085F5D6">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空间相对位置</w:t>
                  </w:r>
                  <w:r>
                    <w:rPr>
                      <w:rFonts w:hint="default" w:ascii="Times New Roman" w:hAnsi="Times New Roman" w:cs="Times New Roman"/>
                      <w:b/>
                      <w:bCs/>
                      <w:color w:val="auto"/>
                      <w:sz w:val="21"/>
                      <w:szCs w:val="21"/>
                      <w:lang w:bidi="ar"/>
                    </w:rPr>
                    <w:t>/m</w:t>
                  </w:r>
                </w:p>
              </w:tc>
              <w:tc>
                <w:tcPr>
                  <w:tcW w:w="1312" w:type="dxa"/>
                  <w:vMerge w:val="restart"/>
                  <w:tcBorders>
                    <w:top w:val="single" w:color="auto" w:sz="4" w:space="0"/>
                    <w:left w:val="single" w:color="auto" w:sz="4" w:space="0"/>
                    <w:right w:val="single" w:color="auto" w:sz="4" w:space="0"/>
                  </w:tcBorders>
                  <w:noWrap/>
                  <w:vAlign w:val="center"/>
                </w:tcPr>
                <w:p w14:paraId="441A087F">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 w:val="21"/>
                      <w:szCs w:val="21"/>
                      <w:lang w:eastAsia="zh-CN"/>
                    </w:rPr>
                  </w:pPr>
                  <w:r>
                    <w:rPr>
                      <w:rFonts w:hint="eastAsia" w:cs="宋体"/>
                      <w:b/>
                      <w:bCs/>
                      <w:color w:val="auto"/>
                      <w:sz w:val="21"/>
                      <w:szCs w:val="21"/>
                      <w:lang w:bidi="ar"/>
                    </w:rPr>
                    <w:t>声压级（</w:t>
                  </w:r>
                  <w:r>
                    <w:rPr>
                      <w:rFonts w:hint="default" w:ascii="Times New Roman" w:hAnsi="Times New Roman" w:cs="Times New Roman"/>
                      <w:b/>
                      <w:bCs/>
                      <w:color w:val="auto"/>
                      <w:sz w:val="21"/>
                      <w:szCs w:val="21"/>
                      <w:lang w:bidi="ar"/>
                    </w:rPr>
                    <w:t>dB</w:t>
                  </w:r>
                  <w:r>
                    <w:rPr>
                      <w:rFonts w:hint="eastAsia" w:cs="宋体"/>
                      <w:b/>
                      <w:bCs/>
                      <w:color w:val="auto"/>
                      <w:sz w:val="21"/>
                      <w:szCs w:val="21"/>
                      <w:lang w:bidi="ar"/>
                    </w:rPr>
                    <w:t>）</w:t>
                  </w:r>
                  <w:r>
                    <w:rPr>
                      <w:rFonts w:hint="default" w:ascii="Times New Roman" w:hAnsi="Times New Roman" w:cs="Times New Roman"/>
                      <w:b/>
                      <w:bCs/>
                      <w:color w:val="auto"/>
                      <w:sz w:val="21"/>
                      <w:szCs w:val="21"/>
                      <w:lang w:bidi="ar"/>
                    </w:rPr>
                    <w:t>/</w:t>
                  </w:r>
                  <w:r>
                    <w:rPr>
                      <w:rFonts w:hint="eastAsia" w:cs="宋体"/>
                      <w:b/>
                      <w:bCs/>
                      <w:color w:val="auto"/>
                      <w:sz w:val="21"/>
                      <w:szCs w:val="21"/>
                      <w:lang w:bidi="ar"/>
                    </w:rPr>
                    <w:t>距声源距离</w:t>
                  </w:r>
                  <w:r>
                    <w:rPr>
                      <w:rFonts w:hint="eastAsia" w:cs="宋体"/>
                      <w:b/>
                      <w:bCs/>
                      <w:color w:val="auto"/>
                      <w:sz w:val="21"/>
                      <w:szCs w:val="21"/>
                      <w:lang w:eastAsia="zh-CN" w:bidi="ar"/>
                    </w:rPr>
                    <w:t>（</w:t>
                  </w:r>
                  <w:r>
                    <w:rPr>
                      <w:rFonts w:hint="eastAsia" w:cs="宋体"/>
                      <w:b/>
                      <w:bCs/>
                      <w:color w:val="auto"/>
                      <w:sz w:val="21"/>
                      <w:szCs w:val="21"/>
                      <w:lang w:val="en-US" w:eastAsia="zh-CN" w:bidi="ar"/>
                    </w:rPr>
                    <w:t>m</w:t>
                  </w:r>
                  <w:r>
                    <w:rPr>
                      <w:rFonts w:hint="eastAsia" w:cs="宋体"/>
                      <w:b/>
                      <w:bCs/>
                      <w:color w:val="auto"/>
                      <w:sz w:val="21"/>
                      <w:szCs w:val="21"/>
                      <w:lang w:eastAsia="zh-CN" w:bidi="ar"/>
                    </w:rPr>
                    <w:t>）</w:t>
                  </w:r>
                </w:p>
              </w:tc>
              <w:tc>
                <w:tcPr>
                  <w:tcW w:w="1047" w:type="dxa"/>
                  <w:vMerge w:val="restart"/>
                  <w:tcBorders>
                    <w:top w:val="single" w:color="auto" w:sz="4" w:space="0"/>
                    <w:left w:val="single" w:color="auto" w:sz="4" w:space="0"/>
                    <w:bottom w:val="single" w:color="auto" w:sz="4" w:space="0"/>
                    <w:right w:val="single" w:color="auto" w:sz="4" w:space="0"/>
                  </w:tcBorders>
                  <w:noWrap/>
                  <w:vAlign w:val="center"/>
                </w:tcPr>
                <w:p w14:paraId="59F5A027">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声源控制措施</w:t>
                  </w:r>
                </w:p>
              </w:tc>
              <w:tc>
                <w:tcPr>
                  <w:tcW w:w="784" w:type="dxa"/>
                  <w:vMerge w:val="restart"/>
                  <w:tcBorders>
                    <w:top w:val="single" w:color="auto" w:sz="4" w:space="0"/>
                    <w:left w:val="single" w:color="auto" w:sz="4" w:space="0"/>
                    <w:bottom w:val="single" w:color="auto" w:sz="4" w:space="0"/>
                    <w:right w:val="single" w:color="auto" w:sz="4" w:space="0"/>
                  </w:tcBorders>
                  <w:noWrap/>
                  <w:vAlign w:val="center"/>
                </w:tcPr>
                <w:p w14:paraId="24B299FD">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运行时段</w:t>
                  </w:r>
                </w:p>
              </w:tc>
            </w:tr>
            <w:tr w14:paraId="0DE8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vMerge w:val="continue"/>
                  <w:tcBorders>
                    <w:top w:val="single" w:color="auto" w:sz="4" w:space="0"/>
                    <w:left w:val="single" w:color="auto" w:sz="4" w:space="0"/>
                    <w:bottom w:val="single" w:color="auto" w:sz="4" w:space="0"/>
                    <w:right w:val="single" w:color="auto" w:sz="4" w:space="0"/>
                  </w:tcBorders>
                  <w:noWrap/>
                  <w:vAlign w:val="center"/>
                </w:tcPr>
                <w:p w14:paraId="0E2D1D7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3397F3D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1217" w:type="dxa"/>
                  <w:vMerge w:val="continue"/>
                  <w:tcBorders>
                    <w:top w:val="single" w:color="auto" w:sz="4" w:space="0"/>
                    <w:left w:val="single" w:color="auto" w:sz="4" w:space="0"/>
                    <w:bottom w:val="single" w:color="auto" w:sz="4" w:space="0"/>
                    <w:right w:val="single" w:color="auto" w:sz="4" w:space="0"/>
                  </w:tcBorders>
                  <w:noWrap/>
                  <w:vAlign w:val="center"/>
                </w:tcPr>
                <w:p w14:paraId="374F265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816" w:type="dxa"/>
                  <w:tcBorders>
                    <w:top w:val="single" w:color="auto" w:sz="4" w:space="0"/>
                    <w:left w:val="single" w:color="auto" w:sz="4" w:space="0"/>
                    <w:bottom w:val="single" w:color="auto" w:sz="4" w:space="0"/>
                    <w:right w:val="single" w:color="auto" w:sz="4" w:space="0"/>
                  </w:tcBorders>
                  <w:noWrap/>
                  <w:vAlign w:val="center"/>
                </w:tcPr>
                <w:p w14:paraId="16F1E7C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X</w:t>
                  </w:r>
                </w:p>
              </w:tc>
              <w:tc>
                <w:tcPr>
                  <w:tcW w:w="856" w:type="dxa"/>
                  <w:tcBorders>
                    <w:top w:val="single" w:color="auto" w:sz="4" w:space="0"/>
                    <w:left w:val="single" w:color="auto" w:sz="4" w:space="0"/>
                    <w:bottom w:val="single" w:color="auto" w:sz="4" w:space="0"/>
                    <w:right w:val="single" w:color="auto" w:sz="4" w:space="0"/>
                  </w:tcBorders>
                  <w:noWrap/>
                  <w:vAlign w:val="center"/>
                </w:tcPr>
                <w:p w14:paraId="2B315F2C">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Y</w:t>
                  </w:r>
                </w:p>
              </w:tc>
              <w:tc>
                <w:tcPr>
                  <w:tcW w:w="572" w:type="dxa"/>
                  <w:tcBorders>
                    <w:top w:val="single" w:color="auto" w:sz="4" w:space="0"/>
                    <w:left w:val="single" w:color="auto" w:sz="4" w:space="0"/>
                    <w:bottom w:val="single" w:color="auto" w:sz="4" w:space="0"/>
                    <w:right w:val="single" w:color="auto" w:sz="4" w:space="0"/>
                  </w:tcBorders>
                  <w:noWrap/>
                  <w:vAlign w:val="center"/>
                </w:tcPr>
                <w:p w14:paraId="0F00438A">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Z</w:t>
                  </w:r>
                </w:p>
              </w:tc>
              <w:tc>
                <w:tcPr>
                  <w:tcW w:w="1312" w:type="dxa"/>
                  <w:vMerge w:val="continue"/>
                  <w:tcBorders>
                    <w:left w:val="single" w:color="auto" w:sz="4" w:space="0"/>
                    <w:bottom w:val="single" w:color="auto" w:sz="4" w:space="0"/>
                    <w:right w:val="single" w:color="auto" w:sz="4" w:space="0"/>
                  </w:tcBorders>
                  <w:noWrap/>
                  <w:vAlign w:val="center"/>
                </w:tcPr>
                <w:p w14:paraId="622F3A64">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p>
              </w:tc>
              <w:tc>
                <w:tcPr>
                  <w:tcW w:w="1047" w:type="dxa"/>
                  <w:vMerge w:val="continue"/>
                  <w:tcBorders>
                    <w:top w:val="single" w:color="auto" w:sz="4" w:space="0"/>
                    <w:left w:val="single" w:color="auto" w:sz="4" w:space="0"/>
                    <w:bottom w:val="single" w:color="auto" w:sz="4" w:space="0"/>
                    <w:right w:val="single" w:color="auto" w:sz="4" w:space="0"/>
                  </w:tcBorders>
                  <w:noWrap/>
                  <w:vAlign w:val="center"/>
                </w:tcPr>
                <w:p w14:paraId="43F62C5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top w:val="single" w:color="auto" w:sz="4" w:space="0"/>
                    <w:left w:val="single" w:color="auto" w:sz="4" w:space="0"/>
                    <w:bottom w:val="single" w:color="auto" w:sz="4" w:space="0"/>
                    <w:right w:val="single" w:color="auto" w:sz="4" w:space="0"/>
                  </w:tcBorders>
                  <w:noWrap/>
                  <w:vAlign w:val="center"/>
                </w:tcPr>
                <w:p w14:paraId="3476B9B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1CDF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228518C6">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rPr>
                  </w:pPr>
                  <w:r>
                    <w:rPr>
                      <w:rFonts w:hint="eastAsia" w:cs="宋体"/>
                      <w:b/>
                      <w:bCs/>
                      <w:color w:val="auto"/>
                      <w:sz w:val="21"/>
                      <w:szCs w:val="21"/>
                      <w:lang w:bidi="ar"/>
                    </w:rPr>
                    <w:t>情景一：电网</w:t>
                  </w:r>
                  <w:r>
                    <w:rPr>
                      <w:rFonts w:hint="eastAsia" w:cs="宋体"/>
                      <w:b/>
                      <w:bCs/>
                      <w:color w:val="auto"/>
                      <w:sz w:val="21"/>
                      <w:szCs w:val="21"/>
                      <w:lang w:val="en-US" w:eastAsia="zh-CN" w:bidi="ar"/>
                    </w:rPr>
                    <w:t>供电</w:t>
                  </w:r>
                  <w:r>
                    <w:rPr>
                      <w:rFonts w:hint="eastAsia" w:ascii="宋体" w:hAnsi="宋体" w:eastAsia="宋体" w:cs="宋体"/>
                      <w:b/>
                      <w:bCs/>
                      <w:color w:val="auto"/>
                      <w:sz w:val="21"/>
                      <w:szCs w:val="21"/>
                      <w:lang w:val="en-US" w:eastAsia="zh-CN" w:bidi="ar"/>
                    </w:rPr>
                    <w:t>旋挖机钻孔作业</w:t>
                  </w:r>
                </w:p>
              </w:tc>
            </w:tr>
            <w:tr w14:paraId="0C99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19311FFA">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72216F31">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旋挖机</w:t>
                  </w:r>
                </w:p>
              </w:tc>
              <w:tc>
                <w:tcPr>
                  <w:tcW w:w="1217" w:type="dxa"/>
                  <w:tcBorders>
                    <w:top w:val="single" w:color="auto" w:sz="4" w:space="0"/>
                    <w:left w:val="single" w:color="auto" w:sz="4" w:space="0"/>
                    <w:bottom w:val="single" w:color="auto" w:sz="4" w:space="0"/>
                    <w:right w:val="single" w:color="auto" w:sz="4" w:space="0"/>
                  </w:tcBorders>
                  <w:noWrap/>
                  <w:vAlign w:val="center"/>
                </w:tcPr>
                <w:p w14:paraId="077F83BC">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cs="Times New Roman"/>
                      <w:color w:val="auto"/>
                    </w:rPr>
                    <w:t>XR150D</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2721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E4B5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4AC8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795B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lang w:val="en-US" w:eastAsia="zh-CN"/>
                    </w:rPr>
                    <w:t>80</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restart"/>
                  <w:tcBorders>
                    <w:top w:val="single" w:color="auto" w:sz="4" w:space="0"/>
                    <w:left w:val="single" w:color="auto" w:sz="4" w:space="0"/>
                    <w:right w:val="single" w:color="auto" w:sz="4" w:space="0"/>
                  </w:tcBorders>
                  <w:noWrap/>
                  <w:vAlign w:val="center"/>
                </w:tcPr>
                <w:p w14:paraId="1B620539">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采用低噪声设备、基础减振、加强维护</w:t>
                  </w:r>
                </w:p>
              </w:tc>
              <w:tc>
                <w:tcPr>
                  <w:tcW w:w="784" w:type="dxa"/>
                  <w:vMerge w:val="restart"/>
                  <w:tcBorders>
                    <w:top w:val="single" w:color="auto" w:sz="4" w:space="0"/>
                    <w:left w:val="single" w:color="auto" w:sz="4" w:space="0"/>
                    <w:right w:val="single" w:color="auto" w:sz="4" w:space="0"/>
                  </w:tcBorders>
                  <w:noWrap/>
                  <w:vAlign w:val="center"/>
                </w:tcPr>
                <w:p w14:paraId="57B2971C">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昼夜</w:t>
                  </w:r>
                </w:p>
              </w:tc>
            </w:tr>
            <w:tr w14:paraId="5538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52F27">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6A16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E0BD0">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AB9F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4.61</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C31A3">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18.66</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A1D8A">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AACE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65442CA">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p>
              </w:tc>
              <w:tc>
                <w:tcPr>
                  <w:tcW w:w="784" w:type="dxa"/>
                  <w:vMerge w:val="continue"/>
                  <w:tcBorders>
                    <w:left w:val="single" w:color="auto" w:sz="4" w:space="0"/>
                    <w:right w:val="single" w:color="auto" w:sz="4" w:space="0"/>
                  </w:tcBorders>
                  <w:noWrap/>
                  <w:vAlign w:val="center"/>
                </w:tcPr>
                <w:p w14:paraId="4C6FAD94">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p>
              </w:tc>
            </w:tr>
            <w:tr w14:paraId="2313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BEF11">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3</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845F6">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A4C79">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CA3A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4.97</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9279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23.17</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7834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12C5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3238D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EE4864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094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5588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101E4">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20364">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5AC0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4.85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D76C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27.92</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1A87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957A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2EDC85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489723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E8F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D4B18">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39721">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5E98E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2BFE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3AFE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28.04</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9A7F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C427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2BC9DD5">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28A7DEB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B31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8129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6</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5C579">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3ACCC">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A779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3368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24</w:t>
                  </w:r>
                  <w:r>
                    <w:rPr>
                      <w:rFonts w:hint="eastAsia"/>
                      <w:color w:val="auto"/>
                      <w:lang w:val="en-US" w:eastAsia="zh-CN"/>
                    </w:rPr>
                    <w:t>.00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FB1E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13FA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CEBC88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040D12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4D1D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666F8">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7</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B11F65">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离心机</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17022">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67149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10.07</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4D5C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2"/>
                      <w:sz w:val="21"/>
                      <w:szCs w:val="24"/>
                      <w:lang w:val="en-US" w:eastAsia="zh-CN" w:bidi="ar"/>
                    </w:rPr>
                  </w:pPr>
                  <w:r>
                    <w:rPr>
                      <w:rFonts w:hint="eastAsia"/>
                      <w:color w:val="auto"/>
                    </w:rPr>
                    <w:t>19.25</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6CEB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CD02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36494B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6B366D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A79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0161339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lang w:val="en-US"/>
                    </w:rPr>
                  </w:pPr>
                  <w:r>
                    <w:rPr>
                      <w:rFonts w:hint="eastAsia" w:ascii="宋体" w:hAnsi="宋体" w:eastAsia="宋体" w:cs="宋体"/>
                      <w:b/>
                      <w:bCs/>
                      <w:color w:val="auto"/>
                      <w:sz w:val="21"/>
                      <w:szCs w:val="21"/>
                      <w:lang w:bidi="ar"/>
                    </w:rPr>
                    <w:t>情景二：</w:t>
                  </w:r>
                  <w:r>
                    <w:rPr>
                      <w:rFonts w:hint="eastAsia" w:ascii="宋体" w:hAnsi="宋体" w:eastAsia="宋体" w:cs="宋体"/>
                      <w:b/>
                      <w:bCs/>
                      <w:color w:val="auto"/>
                      <w:sz w:val="21"/>
                      <w:szCs w:val="21"/>
                      <w:lang w:val="en-US" w:eastAsia="zh-CN" w:bidi="ar"/>
                    </w:rPr>
                    <w:t>柴油</w:t>
                  </w:r>
                  <w:r>
                    <w:rPr>
                      <w:rFonts w:hint="eastAsia" w:ascii="宋体" w:hAnsi="宋体" w:eastAsia="宋体" w:cs="宋体"/>
                      <w:b/>
                      <w:bCs/>
                      <w:color w:val="auto"/>
                      <w:sz w:val="21"/>
                      <w:szCs w:val="21"/>
                      <w:lang w:bidi="ar"/>
                    </w:rPr>
                    <w:t>发电机</w:t>
                  </w:r>
                  <w:r>
                    <w:rPr>
                      <w:rFonts w:hint="eastAsia" w:ascii="宋体" w:hAnsi="宋体" w:eastAsia="宋体" w:cs="宋体"/>
                      <w:b/>
                      <w:bCs/>
                      <w:color w:val="auto"/>
                      <w:sz w:val="21"/>
                      <w:szCs w:val="21"/>
                      <w:lang w:val="en-US" w:eastAsia="zh-CN" w:bidi="ar"/>
                    </w:rPr>
                    <w:t>供电旋挖机钻孔作业</w:t>
                  </w:r>
                </w:p>
              </w:tc>
            </w:tr>
            <w:tr w14:paraId="1849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4890FC">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3055E">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rPr>
                    <w:t>旋挖机</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35EA9">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t>XR150D</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A807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19CD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3F51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4D47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rPr>
                    <w:t>80</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restart"/>
                  <w:tcBorders>
                    <w:left w:val="single" w:color="auto" w:sz="4" w:space="0"/>
                    <w:right w:val="single" w:color="auto" w:sz="4" w:space="0"/>
                  </w:tcBorders>
                  <w:shd w:val="clear" w:color="auto" w:fill="auto"/>
                  <w:noWrap/>
                  <w:vAlign w:val="center"/>
                </w:tcPr>
                <w:p w14:paraId="36E329A9">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采用低噪声设备、基础减振、加强维护</w:t>
                  </w:r>
                </w:p>
              </w:tc>
              <w:tc>
                <w:tcPr>
                  <w:tcW w:w="784" w:type="dxa"/>
                  <w:vMerge w:val="restart"/>
                  <w:tcBorders>
                    <w:left w:val="single" w:color="auto" w:sz="4" w:space="0"/>
                    <w:right w:val="single" w:color="auto" w:sz="4" w:space="0"/>
                  </w:tcBorders>
                  <w:shd w:val="clear" w:color="auto" w:fill="auto"/>
                  <w:noWrap/>
                  <w:vAlign w:val="center"/>
                </w:tcPr>
                <w:p w14:paraId="69077672">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昼夜</w:t>
                  </w:r>
                </w:p>
              </w:tc>
            </w:tr>
            <w:tr w14:paraId="2BB3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5D44A">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C0E7A">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457ED">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FD97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3F9B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776A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618C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E80791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640CDB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C5B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2AEF0">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3</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162E2">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57697">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548B3">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4.61</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E28E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18.66</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57E6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7C69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B31A29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5A8E08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A30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A0BC3">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E2920">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C5771">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EFE3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4.97</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B6C5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23.17</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C146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7755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00D855A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BA8EA9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252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BF28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33109">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DB8FD">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0D2D1">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4.85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95BD9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27.92</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5AA2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39F8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C24085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74FB57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5F5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316FA">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6</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90EE8">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F50C5">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E811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CEAD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28.04</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02E0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28D2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00BC570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8660B0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D4A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915AC">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7</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3FF27">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离心机</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1D208">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8462A">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4EB7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24</w:t>
                  </w:r>
                  <w:r>
                    <w:rPr>
                      <w:rFonts w:hint="eastAsia"/>
                      <w:color w:val="auto"/>
                      <w:lang w:val="en-US" w:eastAsia="zh-CN"/>
                    </w:rPr>
                    <w:t>.00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32F3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F087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591DAE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861EAD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749B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5EAC9DE9">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b/>
                      <w:bCs/>
                      <w:color w:val="auto"/>
                      <w:sz w:val="21"/>
                      <w:szCs w:val="21"/>
                      <w:lang w:bidi="ar"/>
                    </w:rPr>
                    <w:t>情景</w:t>
                  </w:r>
                  <w:r>
                    <w:rPr>
                      <w:rFonts w:hint="eastAsia" w:cs="宋体"/>
                      <w:b/>
                      <w:bCs/>
                      <w:color w:val="auto"/>
                      <w:sz w:val="21"/>
                      <w:szCs w:val="21"/>
                      <w:lang w:val="en-US" w:eastAsia="zh-CN" w:bidi="ar"/>
                    </w:rPr>
                    <w:t>三</w:t>
                  </w:r>
                  <w:r>
                    <w:rPr>
                      <w:rFonts w:hint="eastAsia" w:cs="宋体"/>
                      <w:b/>
                      <w:bCs/>
                      <w:color w:val="auto"/>
                      <w:sz w:val="21"/>
                      <w:szCs w:val="21"/>
                      <w:lang w:bidi="ar"/>
                    </w:rPr>
                    <w:t>：电网</w:t>
                  </w:r>
                  <w:r>
                    <w:rPr>
                      <w:rFonts w:hint="eastAsia" w:cs="宋体"/>
                      <w:b/>
                      <w:bCs/>
                      <w:color w:val="auto"/>
                      <w:sz w:val="21"/>
                      <w:szCs w:val="21"/>
                      <w:lang w:val="en-US" w:eastAsia="zh-CN" w:bidi="ar"/>
                    </w:rPr>
                    <w:t>供电钻机</w:t>
                  </w:r>
                  <w:r>
                    <w:rPr>
                      <w:rFonts w:hint="eastAsia" w:cs="宋体"/>
                      <w:b/>
                      <w:bCs/>
                      <w:color w:val="auto"/>
                      <w:sz w:val="21"/>
                      <w:szCs w:val="21"/>
                      <w:lang w:bidi="ar"/>
                    </w:rPr>
                    <w:t>钻井</w:t>
                  </w:r>
                  <w:r>
                    <w:rPr>
                      <w:rFonts w:hint="eastAsia" w:cs="宋体"/>
                      <w:b/>
                      <w:bCs/>
                      <w:color w:val="auto"/>
                      <w:sz w:val="21"/>
                      <w:szCs w:val="21"/>
                      <w:lang w:val="en-US" w:eastAsia="zh-CN" w:bidi="ar"/>
                    </w:rPr>
                    <w:t>作业</w:t>
                  </w:r>
                </w:p>
              </w:tc>
            </w:tr>
            <w:tr w14:paraId="6EE2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94F17">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0D06A">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钻机</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6FF77">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ZJ70D</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448E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57E8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DBEC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bidi="ar"/>
                    </w:rPr>
                    <w:t>15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9334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rPr>
                    <w:t>95/</w:t>
                  </w:r>
                  <w:r>
                    <w:rPr>
                      <w:rFonts w:hint="eastAsia" w:ascii="Times New Roman" w:hAnsi="Times New Roman" w:cs="Times New Roman"/>
                      <w:color w:val="auto"/>
                      <w:lang w:val="en-US" w:eastAsia="zh-CN"/>
                    </w:rPr>
                    <w:t>5</w:t>
                  </w:r>
                </w:p>
              </w:tc>
              <w:tc>
                <w:tcPr>
                  <w:tcW w:w="1047" w:type="dxa"/>
                  <w:vMerge w:val="restart"/>
                  <w:tcBorders>
                    <w:left w:val="single" w:color="auto" w:sz="4" w:space="0"/>
                    <w:right w:val="single" w:color="auto" w:sz="4" w:space="0"/>
                  </w:tcBorders>
                  <w:shd w:val="clear" w:color="auto" w:fill="auto"/>
                  <w:noWrap/>
                  <w:vAlign w:val="center"/>
                </w:tcPr>
                <w:p w14:paraId="44E41514">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采用低噪声设备、基础减振、加强维护</w:t>
                  </w:r>
                </w:p>
              </w:tc>
              <w:tc>
                <w:tcPr>
                  <w:tcW w:w="784" w:type="dxa"/>
                  <w:vMerge w:val="restart"/>
                  <w:tcBorders>
                    <w:left w:val="single" w:color="auto" w:sz="4" w:space="0"/>
                    <w:right w:val="single" w:color="auto" w:sz="4" w:space="0"/>
                  </w:tcBorders>
                  <w:shd w:val="clear" w:color="auto" w:fill="auto"/>
                  <w:noWrap/>
                  <w:vAlign w:val="center"/>
                </w:tcPr>
                <w:p w14:paraId="6AC5AC2F">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昼夜</w:t>
                  </w:r>
                </w:p>
              </w:tc>
            </w:tr>
            <w:tr w14:paraId="2766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27A76">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E41B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AA9C9">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A578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4.61</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5252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18.66</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B703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87E8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BE1F71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1E18C31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7FB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C0DB2">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3</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5A682">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19DE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8FD3A">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4.97</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EE41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23.17</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7491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767F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414B7A3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6BB39B0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716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5A23F">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AFA29">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4736A1">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FCDE2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4.85</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D6D03">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color w:val="auto"/>
                    </w:rPr>
                    <w:t>27.92</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379F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AA8F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4E20AF3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17D401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BAC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D436E">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B9941">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B9690">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6951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BC92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28.04</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41DE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039D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28574D4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02A3A0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6D4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EE652">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6</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138DD">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F53A6">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0746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5490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24</w:t>
                  </w:r>
                  <w:r>
                    <w:rPr>
                      <w:rFonts w:hint="eastAsia"/>
                      <w:color w:val="auto"/>
                      <w:lang w:val="en-US" w:eastAsia="zh-CN"/>
                    </w:rPr>
                    <w:t>.00</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737F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3B91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C203CA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A9950E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111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8D0EC">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7</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9E477">
                  <w:pPr>
                    <w:pStyle w:val="19"/>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离心机</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610F0">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0457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10.07</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16ACB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19.25</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38C5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C3A7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bottom w:val="single" w:color="auto" w:sz="4" w:space="0"/>
                    <w:right w:val="single" w:color="auto" w:sz="4" w:space="0"/>
                  </w:tcBorders>
                  <w:noWrap/>
                  <w:vAlign w:val="center"/>
                </w:tcPr>
                <w:p w14:paraId="15FDEE9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bottom w:val="single" w:color="auto" w:sz="4" w:space="0"/>
                    <w:right w:val="single" w:color="auto" w:sz="4" w:space="0"/>
                  </w:tcBorders>
                  <w:noWrap/>
                  <w:vAlign w:val="center"/>
                </w:tcPr>
                <w:p w14:paraId="1357B9D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94E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2C1F944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rPr>
                  </w:pPr>
                  <w:r>
                    <w:rPr>
                      <w:rFonts w:hint="eastAsia" w:ascii="宋体" w:hAnsi="宋体" w:eastAsia="宋体" w:cs="宋体"/>
                      <w:b/>
                      <w:bCs/>
                      <w:color w:val="auto"/>
                      <w:sz w:val="21"/>
                      <w:szCs w:val="21"/>
                      <w:lang w:bidi="ar"/>
                    </w:rPr>
                    <w:t>情景</w:t>
                  </w:r>
                  <w:r>
                    <w:rPr>
                      <w:rFonts w:hint="eastAsia" w:cs="宋体"/>
                      <w:b/>
                      <w:bCs/>
                      <w:color w:val="auto"/>
                      <w:sz w:val="21"/>
                      <w:szCs w:val="21"/>
                      <w:lang w:val="en-US" w:eastAsia="zh-CN" w:bidi="ar"/>
                    </w:rPr>
                    <w:t>四</w:t>
                  </w:r>
                  <w:r>
                    <w:rPr>
                      <w:rFonts w:hint="eastAsia" w:ascii="宋体" w:hAnsi="宋体" w:eastAsia="宋体" w:cs="宋体"/>
                      <w:b/>
                      <w:bCs/>
                      <w:color w:val="auto"/>
                      <w:sz w:val="21"/>
                      <w:szCs w:val="21"/>
                      <w:lang w:bidi="ar"/>
                    </w:rPr>
                    <w:t>：</w:t>
                  </w:r>
                  <w:r>
                    <w:rPr>
                      <w:rFonts w:hint="eastAsia" w:ascii="宋体" w:hAnsi="宋体" w:eastAsia="宋体" w:cs="宋体"/>
                      <w:b/>
                      <w:bCs/>
                      <w:color w:val="auto"/>
                      <w:sz w:val="21"/>
                      <w:szCs w:val="21"/>
                      <w:lang w:val="en-US" w:eastAsia="zh-CN" w:bidi="ar"/>
                    </w:rPr>
                    <w:t>柴油</w:t>
                  </w:r>
                  <w:r>
                    <w:rPr>
                      <w:rFonts w:hint="eastAsia" w:ascii="宋体" w:hAnsi="宋体" w:eastAsia="宋体" w:cs="宋体"/>
                      <w:b/>
                      <w:bCs/>
                      <w:color w:val="auto"/>
                      <w:sz w:val="21"/>
                      <w:szCs w:val="21"/>
                      <w:lang w:bidi="ar"/>
                    </w:rPr>
                    <w:t>发电机</w:t>
                  </w:r>
                  <w:r>
                    <w:rPr>
                      <w:rFonts w:hint="eastAsia" w:ascii="宋体" w:hAnsi="宋体" w:eastAsia="宋体" w:cs="宋体"/>
                      <w:b/>
                      <w:bCs/>
                      <w:color w:val="auto"/>
                      <w:sz w:val="21"/>
                      <w:szCs w:val="21"/>
                      <w:lang w:val="en-US" w:eastAsia="zh-CN" w:bidi="ar"/>
                    </w:rPr>
                    <w:t>供电</w:t>
                  </w:r>
                  <w:r>
                    <w:rPr>
                      <w:rFonts w:hint="eastAsia" w:cs="宋体"/>
                      <w:b/>
                      <w:bCs/>
                      <w:color w:val="auto"/>
                      <w:sz w:val="21"/>
                      <w:szCs w:val="21"/>
                      <w:lang w:val="en-US" w:eastAsia="zh-CN" w:bidi="ar"/>
                    </w:rPr>
                    <w:t>钻机</w:t>
                  </w:r>
                  <w:r>
                    <w:rPr>
                      <w:rFonts w:hint="eastAsia" w:ascii="宋体" w:hAnsi="宋体" w:eastAsia="宋体" w:cs="宋体"/>
                      <w:b/>
                      <w:bCs/>
                      <w:color w:val="auto"/>
                      <w:sz w:val="21"/>
                      <w:szCs w:val="21"/>
                      <w:lang w:bidi="ar"/>
                    </w:rPr>
                    <w:t>钻井</w:t>
                  </w:r>
                  <w:r>
                    <w:rPr>
                      <w:rFonts w:hint="eastAsia" w:cs="宋体"/>
                      <w:b/>
                      <w:bCs/>
                      <w:color w:val="auto"/>
                      <w:sz w:val="21"/>
                      <w:szCs w:val="21"/>
                      <w:lang w:val="en-US" w:eastAsia="zh-CN" w:bidi="ar"/>
                    </w:rPr>
                    <w:t>作业</w:t>
                  </w:r>
                </w:p>
              </w:tc>
            </w:tr>
            <w:tr w14:paraId="2BE6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15C033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37860F23">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钻机</w:t>
                  </w:r>
                </w:p>
              </w:tc>
              <w:tc>
                <w:tcPr>
                  <w:tcW w:w="1217" w:type="dxa"/>
                  <w:tcBorders>
                    <w:top w:val="single" w:color="auto" w:sz="4" w:space="0"/>
                    <w:left w:val="single" w:color="auto" w:sz="4" w:space="0"/>
                    <w:bottom w:val="single" w:color="auto" w:sz="4" w:space="0"/>
                    <w:right w:val="single" w:color="auto" w:sz="4" w:space="0"/>
                  </w:tcBorders>
                  <w:noWrap/>
                  <w:vAlign w:val="center"/>
                </w:tcPr>
                <w:p w14:paraId="6DFAB7C3">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ZJ70D</w:t>
                  </w:r>
                </w:p>
              </w:tc>
              <w:tc>
                <w:tcPr>
                  <w:tcW w:w="816" w:type="dxa"/>
                  <w:tcBorders>
                    <w:top w:val="single" w:color="auto" w:sz="4" w:space="0"/>
                    <w:left w:val="single" w:color="auto" w:sz="4" w:space="0"/>
                    <w:bottom w:val="single" w:color="auto" w:sz="4" w:space="0"/>
                    <w:right w:val="single" w:color="auto" w:sz="4" w:space="0"/>
                  </w:tcBorders>
                  <w:noWrap/>
                  <w:vAlign w:val="center"/>
                </w:tcPr>
                <w:p w14:paraId="559EEB91">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noWrap/>
                  <w:vAlign w:val="center"/>
                </w:tcPr>
                <w:p w14:paraId="3B31822E">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noWrap/>
                  <w:vAlign w:val="center"/>
                </w:tcPr>
                <w:p w14:paraId="066D6C1D">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15</w:t>
                  </w:r>
                </w:p>
              </w:tc>
              <w:tc>
                <w:tcPr>
                  <w:tcW w:w="1312" w:type="dxa"/>
                  <w:tcBorders>
                    <w:top w:val="single" w:color="auto" w:sz="4" w:space="0"/>
                    <w:left w:val="single" w:color="auto" w:sz="4" w:space="0"/>
                    <w:bottom w:val="single" w:color="auto" w:sz="4" w:space="0"/>
                    <w:right w:val="single" w:color="auto" w:sz="4" w:space="0"/>
                  </w:tcBorders>
                  <w:noWrap/>
                  <w:vAlign w:val="center"/>
                </w:tcPr>
                <w:p w14:paraId="3BFDA17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eastAsia="zh-CN" w:bidi="ar"/>
                    </w:rPr>
                  </w:pPr>
                  <w:r>
                    <w:rPr>
                      <w:rFonts w:hint="eastAsia" w:ascii="Times New Roman" w:hAnsi="Times New Roman" w:cs="Times New Roman"/>
                      <w:color w:val="auto"/>
                    </w:rPr>
                    <w:t>95/</w:t>
                  </w:r>
                  <w:r>
                    <w:rPr>
                      <w:rFonts w:hint="eastAsia" w:ascii="Times New Roman" w:hAnsi="Times New Roman" w:cs="Times New Roman"/>
                      <w:color w:val="auto"/>
                      <w:lang w:val="en-US" w:eastAsia="zh-CN"/>
                    </w:rPr>
                    <w:t>5</w:t>
                  </w:r>
                </w:p>
              </w:tc>
              <w:tc>
                <w:tcPr>
                  <w:tcW w:w="1047" w:type="dxa"/>
                  <w:vMerge w:val="restart"/>
                  <w:tcBorders>
                    <w:top w:val="single" w:color="auto" w:sz="4" w:space="0"/>
                    <w:left w:val="single" w:color="auto" w:sz="4" w:space="0"/>
                    <w:right w:val="single" w:color="auto" w:sz="4" w:space="0"/>
                  </w:tcBorders>
                  <w:noWrap/>
                  <w:vAlign w:val="center"/>
                </w:tcPr>
                <w:p w14:paraId="17ED694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采用低噪声设备、基础减振、加强维护</w:t>
                  </w:r>
                </w:p>
              </w:tc>
              <w:tc>
                <w:tcPr>
                  <w:tcW w:w="784" w:type="dxa"/>
                  <w:vMerge w:val="restart"/>
                  <w:tcBorders>
                    <w:top w:val="single" w:color="auto" w:sz="4" w:space="0"/>
                    <w:left w:val="single" w:color="auto" w:sz="4" w:space="0"/>
                    <w:right w:val="single" w:color="auto" w:sz="4" w:space="0"/>
                  </w:tcBorders>
                  <w:noWrap/>
                  <w:vAlign w:val="center"/>
                </w:tcPr>
                <w:p w14:paraId="0A8F2093">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昼夜</w:t>
                  </w:r>
                </w:p>
              </w:tc>
            </w:tr>
            <w:tr w14:paraId="38FB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EF6BF1A">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351BF774">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noWrap/>
                  <w:vAlign w:val="center"/>
                </w:tcPr>
                <w:p w14:paraId="6D1B2605">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5C032A2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rPr>
                    <w:t>0</w:t>
                  </w:r>
                </w:p>
              </w:tc>
              <w:tc>
                <w:tcPr>
                  <w:tcW w:w="856" w:type="dxa"/>
                  <w:tcBorders>
                    <w:top w:val="single" w:color="auto" w:sz="4" w:space="0"/>
                    <w:left w:val="single" w:color="auto" w:sz="4" w:space="0"/>
                    <w:bottom w:val="single" w:color="auto" w:sz="4" w:space="0"/>
                    <w:right w:val="single" w:color="auto" w:sz="4" w:space="0"/>
                  </w:tcBorders>
                  <w:noWrap/>
                  <w:vAlign w:val="center"/>
                </w:tcPr>
                <w:p w14:paraId="3E2708A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rPr>
                    <w:t>0</w:t>
                  </w:r>
                </w:p>
              </w:tc>
              <w:tc>
                <w:tcPr>
                  <w:tcW w:w="572" w:type="dxa"/>
                  <w:tcBorders>
                    <w:top w:val="single" w:color="auto" w:sz="4" w:space="0"/>
                    <w:left w:val="single" w:color="auto" w:sz="4" w:space="0"/>
                    <w:bottom w:val="single" w:color="auto" w:sz="4" w:space="0"/>
                    <w:right w:val="single" w:color="auto" w:sz="4" w:space="0"/>
                  </w:tcBorders>
                  <w:noWrap/>
                  <w:vAlign w:val="center"/>
                </w:tcPr>
                <w:p w14:paraId="18A5C5B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15</w:t>
                  </w:r>
                </w:p>
              </w:tc>
              <w:tc>
                <w:tcPr>
                  <w:tcW w:w="1312" w:type="dxa"/>
                  <w:tcBorders>
                    <w:top w:val="single" w:color="auto" w:sz="4" w:space="0"/>
                    <w:left w:val="single" w:color="auto" w:sz="4" w:space="0"/>
                    <w:bottom w:val="single" w:color="auto" w:sz="4" w:space="0"/>
                    <w:right w:val="single" w:color="auto" w:sz="4" w:space="0"/>
                  </w:tcBorders>
                  <w:noWrap/>
                  <w:vAlign w:val="center"/>
                </w:tcPr>
                <w:p w14:paraId="79272BE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eastAsia="zh-CN" w:bidi="ar"/>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313ACC8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9D2F89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610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4D54F85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cs="Times New Roman"/>
                      <w:color w:val="auto"/>
                      <w:sz w:val="21"/>
                      <w:szCs w:val="21"/>
                      <w:lang w:val="en-US" w:eastAsia="zh-CN" w:bidi="ar"/>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46350479">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217" w:type="dxa"/>
                  <w:tcBorders>
                    <w:top w:val="single" w:color="auto" w:sz="4" w:space="0"/>
                    <w:left w:val="single" w:color="auto" w:sz="4" w:space="0"/>
                    <w:bottom w:val="single" w:color="auto" w:sz="4" w:space="0"/>
                    <w:right w:val="single" w:color="auto" w:sz="4" w:space="0"/>
                  </w:tcBorders>
                  <w:noWrap/>
                  <w:vAlign w:val="center"/>
                </w:tcPr>
                <w:p w14:paraId="440F7EF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lang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3213287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4.61</w:t>
                  </w:r>
                </w:p>
              </w:tc>
              <w:tc>
                <w:tcPr>
                  <w:tcW w:w="856" w:type="dxa"/>
                  <w:tcBorders>
                    <w:top w:val="single" w:color="auto" w:sz="4" w:space="0"/>
                    <w:left w:val="single" w:color="auto" w:sz="4" w:space="0"/>
                    <w:bottom w:val="single" w:color="auto" w:sz="4" w:space="0"/>
                    <w:right w:val="single" w:color="auto" w:sz="4" w:space="0"/>
                  </w:tcBorders>
                  <w:noWrap/>
                  <w:vAlign w:val="center"/>
                </w:tcPr>
                <w:p w14:paraId="72BFA45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18.66</w:t>
                  </w:r>
                </w:p>
              </w:tc>
              <w:tc>
                <w:tcPr>
                  <w:tcW w:w="572" w:type="dxa"/>
                  <w:tcBorders>
                    <w:top w:val="single" w:color="auto" w:sz="4" w:space="0"/>
                    <w:left w:val="single" w:color="auto" w:sz="4" w:space="0"/>
                    <w:bottom w:val="single" w:color="auto" w:sz="4" w:space="0"/>
                    <w:right w:val="single" w:color="auto" w:sz="4" w:space="0"/>
                  </w:tcBorders>
                  <w:noWrap/>
                  <w:vAlign w:val="center"/>
                </w:tcPr>
                <w:p w14:paraId="69338A0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D24A9B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DF0C94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9E3E1A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831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5C20753F">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noWrap/>
                  <w:vAlign w:val="center"/>
                </w:tcPr>
                <w:p w14:paraId="2A5B9FE7">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217" w:type="dxa"/>
                  <w:tcBorders>
                    <w:top w:val="single" w:color="auto" w:sz="4" w:space="0"/>
                    <w:left w:val="single" w:color="auto" w:sz="4" w:space="0"/>
                    <w:bottom w:val="single" w:color="auto" w:sz="4" w:space="0"/>
                    <w:right w:val="single" w:color="auto" w:sz="4" w:space="0"/>
                  </w:tcBorders>
                  <w:noWrap/>
                  <w:vAlign w:val="center"/>
                </w:tcPr>
                <w:p w14:paraId="56179A9E">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lang w:bidi="ar"/>
                    </w:rPr>
                  </w:pPr>
                  <w:r>
                    <w:rPr>
                      <w:rFonts w:hint="eastAsia" w:ascii="Times New Roman" w:hAnsi="Times New Roman" w:eastAsia="宋体"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4FBFEAE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4.97</w:t>
                  </w:r>
                </w:p>
              </w:tc>
              <w:tc>
                <w:tcPr>
                  <w:tcW w:w="856" w:type="dxa"/>
                  <w:tcBorders>
                    <w:top w:val="single" w:color="auto" w:sz="4" w:space="0"/>
                    <w:left w:val="single" w:color="auto" w:sz="4" w:space="0"/>
                    <w:bottom w:val="single" w:color="auto" w:sz="4" w:space="0"/>
                    <w:right w:val="single" w:color="auto" w:sz="4" w:space="0"/>
                  </w:tcBorders>
                  <w:noWrap/>
                  <w:vAlign w:val="center"/>
                </w:tcPr>
                <w:p w14:paraId="32F3B103">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23.17</w:t>
                  </w:r>
                </w:p>
              </w:tc>
              <w:tc>
                <w:tcPr>
                  <w:tcW w:w="572" w:type="dxa"/>
                  <w:tcBorders>
                    <w:top w:val="single" w:color="auto" w:sz="4" w:space="0"/>
                    <w:left w:val="single" w:color="auto" w:sz="4" w:space="0"/>
                    <w:bottom w:val="single" w:color="auto" w:sz="4" w:space="0"/>
                    <w:right w:val="single" w:color="auto" w:sz="4" w:space="0"/>
                  </w:tcBorders>
                  <w:noWrap/>
                  <w:vAlign w:val="center"/>
                </w:tcPr>
                <w:p w14:paraId="00FBF68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75F949E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B62024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E4B7E2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B99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11D20A5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cs="Times New Roman"/>
                      <w:color w:val="auto"/>
                      <w:sz w:val="21"/>
                      <w:szCs w:val="21"/>
                      <w:lang w:val="en-US" w:eastAsia="zh-CN" w:bidi="ar"/>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322E8A87">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217" w:type="dxa"/>
                  <w:tcBorders>
                    <w:top w:val="single" w:color="auto" w:sz="4" w:space="0"/>
                    <w:left w:val="single" w:color="auto" w:sz="4" w:space="0"/>
                    <w:bottom w:val="single" w:color="auto" w:sz="4" w:space="0"/>
                    <w:right w:val="single" w:color="auto" w:sz="4" w:space="0"/>
                  </w:tcBorders>
                  <w:noWrap/>
                  <w:vAlign w:val="center"/>
                </w:tcPr>
                <w:p w14:paraId="319D933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lang w:bidi="ar"/>
                    </w:rPr>
                  </w:pPr>
                  <w:r>
                    <w:rPr>
                      <w:rFonts w:hint="eastAsia" w:ascii="Times New Roman" w:hAnsi="Times New Roman" w:cs="Times New Roman"/>
                      <w:color w:val="auto"/>
                      <w:sz w:val="21"/>
                      <w:szCs w:val="21"/>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4339733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4.85</w:t>
                  </w:r>
                </w:p>
              </w:tc>
              <w:tc>
                <w:tcPr>
                  <w:tcW w:w="856" w:type="dxa"/>
                  <w:tcBorders>
                    <w:top w:val="single" w:color="auto" w:sz="4" w:space="0"/>
                    <w:left w:val="single" w:color="auto" w:sz="4" w:space="0"/>
                    <w:bottom w:val="single" w:color="auto" w:sz="4" w:space="0"/>
                    <w:right w:val="single" w:color="auto" w:sz="4" w:space="0"/>
                  </w:tcBorders>
                  <w:noWrap/>
                  <w:vAlign w:val="center"/>
                </w:tcPr>
                <w:p w14:paraId="0803144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color w:val="auto"/>
                    </w:rPr>
                    <w:t>27.92</w:t>
                  </w:r>
                </w:p>
              </w:tc>
              <w:tc>
                <w:tcPr>
                  <w:tcW w:w="572" w:type="dxa"/>
                  <w:tcBorders>
                    <w:top w:val="single" w:color="auto" w:sz="4" w:space="0"/>
                    <w:left w:val="single" w:color="auto" w:sz="4" w:space="0"/>
                    <w:bottom w:val="single" w:color="auto" w:sz="4" w:space="0"/>
                    <w:right w:val="single" w:color="auto" w:sz="4" w:space="0"/>
                  </w:tcBorders>
                  <w:noWrap/>
                  <w:vAlign w:val="center"/>
                </w:tcPr>
                <w:p w14:paraId="641BF57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C063E6D">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207EF72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6B0B549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A1C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16A6590D">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bidi="ar"/>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43F6E718">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217" w:type="dxa"/>
                  <w:tcBorders>
                    <w:top w:val="single" w:color="auto" w:sz="4" w:space="0"/>
                    <w:left w:val="single" w:color="auto" w:sz="4" w:space="0"/>
                    <w:bottom w:val="single" w:color="auto" w:sz="4" w:space="0"/>
                    <w:right w:val="single" w:color="auto" w:sz="4" w:space="0"/>
                  </w:tcBorders>
                  <w:noWrap/>
                  <w:vAlign w:val="center"/>
                </w:tcPr>
                <w:p w14:paraId="33B73627">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79AD9DB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noWrap/>
                  <w:vAlign w:val="center"/>
                </w:tcPr>
                <w:p w14:paraId="2A2AB59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color w:val="auto"/>
                    </w:rPr>
                    <w:t>28.04</w:t>
                  </w:r>
                </w:p>
              </w:tc>
              <w:tc>
                <w:tcPr>
                  <w:tcW w:w="572" w:type="dxa"/>
                  <w:tcBorders>
                    <w:top w:val="single" w:color="auto" w:sz="4" w:space="0"/>
                    <w:left w:val="single" w:color="auto" w:sz="4" w:space="0"/>
                    <w:bottom w:val="single" w:color="auto" w:sz="4" w:space="0"/>
                    <w:right w:val="single" w:color="auto" w:sz="4" w:space="0"/>
                  </w:tcBorders>
                  <w:noWrap/>
                  <w:vAlign w:val="center"/>
                </w:tcPr>
                <w:p w14:paraId="154CD6D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2B006A7">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eastAsia="zh-CN" w:bidi="ar"/>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37742E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4413CC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111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79B4BCE8">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bidi="ar"/>
                    </w:rPr>
                    <w:t>7</w:t>
                  </w:r>
                </w:p>
              </w:tc>
              <w:tc>
                <w:tcPr>
                  <w:tcW w:w="1178" w:type="dxa"/>
                  <w:tcBorders>
                    <w:top w:val="single" w:color="auto" w:sz="4" w:space="0"/>
                    <w:left w:val="single" w:color="auto" w:sz="4" w:space="0"/>
                    <w:bottom w:val="single" w:color="auto" w:sz="4" w:space="0"/>
                    <w:right w:val="single" w:color="auto" w:sz="4" w:space="0"/>
                  </w:tcBorders>
                  <w:noWrap/>
                  <w:vAlign w:val="center"/>
                </w:tcPr>
                <w:p w14:paraId="3579FCC0">
                  <w:pPr>
                    <w:pStyle w:val="19"/>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离心机</w:t>
                  </w:r>
                </w:p>
              </w:tc>
              <w:tc>
                <w:tcPr>
                  <w:tcW w:w="1217" w:type="dxa"/>
                  <w:tcBorders>
                    <w:top w:val="single" w:color="auto" w:sz="4" w:space="0"/>
                    <w:left w:val="single" w:color="auto" w:sz="4" w:space="0"/>
                    <w:bottom w:val="single" w:color="auto" w:sz="4" w:space="0"/>
                    <w:right w:val="single" w:color="auto" w:sz="4" w:space="0"/>
                  </w:tcBorders>
                  <w:noWrap/>
                  <w:vAlign w:val="center"/>
                </w:tcPr>
                <w:p w14:paraId="3360BACB">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5F4D262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color w:val="auto"/>
                    </w:rPr>
                    <w:t>9.48</w:t>
                  </w:r>
                </w:p>
              </w:tc>
              <w:tc>
                <w:tcPr>
                  <w:tcW w:w="856" w:type="dxa"/>
                  <w:tcBorders>
                    <w:top w:val="single" w:color="auto" w:sz="4" w:space="0"/>
                    <w:left w:val="single" w:color="auto" w:sz="4" w:space="0"/>
                    <w:bottom w:val="single" w:color="auto" w:sz="4" w:space="0"/>
                    <w:right w:val="single" w:color="auto" w:sz="4" w:space="0"/>
                  </w:tcBorders>
                  <w:noWrap/>
                  <w:vAlign w:val="center"/>
                </w:tcPr>
                <w:p w14:paraId="13F44D0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color w:val="auto"/>
                    </w:rPr>
                    <w:t>24</w:t>
                  </w:r>
                  <w:r>
                    <w:rPr>
                      <w:rFonts w:hint="eastAsia"/>
                      <w:color w:val="auto"/>
                      <w:lang w:val="en-US" w:eastAsia="zh-CN"/>
                    </w:rPr>
                    <w:t>.00</w:t>
                  </w:r>
                </w:p>
              </w:tc>
              <w:tc>
                <w:tcPr>
                  <w:tcW w:w="572" w:type="dxa"/>
                  <w:tcBorders>
                    <w:top w:val="single" w:color="auto" w:sz="4" w:space="0"/>
                    <w:left w:val="single" w:color="auto" w:sz="4" w:space="0"/>
                    <w:bottom w:val="single" w:color="auto" w:sz="4" w:space="0"/>
                    <w:right w:val="single" w:color="auto" w:sz="4" w:space="0"/>
                  </w:tcBorders>
                  <w:noWrap/>
                  <w:vAlign w:val="center"/>
                </w:tcPr>
                <w:p w14:paraId="15F5094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EE49481">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eastAsia="zh-CN" w:bidi="ar"/>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C8D6DD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049713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B73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336B83CC">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rPr>
                  </w:pPr>
                  <w:r>
                    <w:rPr>
                      <w:rFonts w:hint="eastAsia" w:ascii="宋体" w:hAnsi="宋体" w:eastAsia="宋体" w:cs="宋体"/>
                      <w:b/>
                      <w:bCs/>
                      <w:color w:val="auto"/>
                      <w:sz w:val="21"/>
                      <w:szCs w:val="21"/>
                      <w:lang w:val="en-US" w:eastAsia="zh-CN" w:bidi="ar"/>
                    </w:rPr>
                    <w:t>情景</w:t>
                  </w:r>
                  <w:r>
                    <w:rPr>
                      <w:rFonts w:hint="eastAsia" w:cs="宋体"/>
                      <w:b/>
                      <w:bCs/>
                      <w:color w:val="auto"/>
                      <w:sz w:val="21"/>
                      <w:szCs w:val="21"/>
                      <w:lang w:val="en-US" w:eastAsia="zh-CN" w:bidi="ar"/>
                    </w:rPr>
                    <w:t>五</w:t>
                  </w:r>
                  <w:r>
                    <w:rPr>
                      <w:rFonts w:hint="eastAsia" w:ascii="宋体" w:hAnsi="宋体" w:eastAsia="宋体" w:cs="宋体"/>
                      <w:b/>
                      <w:bCs/>
                      <w:color w:val="auto"/>
                      <w:sz w:val="21"/>
                      <w:szCs w:val="21"/>
                      <w:lang w:val="en-US" w:eastAsia="zh-CN" w:bidi="ar"/>
                    </w:rPr>
                    <w:t>：压裂作业</w:t>
                  </w:r>
                </w:p>
              </w:tc>
            </w:tr>
            <w:tr w14:paraId="36DC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4F81AE7B">
                  <w:pPr>
                    <w:keepNext w:val="0"/>
                    <w:keepLines w:val="0"/>
                    <w:suppressLineNumbers w:val="0"/>
                    <w:autoSpaceDN w:val="0"/>
                    <w:spacing w:before="0" w:beforeAutospacing="0" w:after="0" w:afterAutospacing="0"/>
                    <w:ind w:left="0" w:right="0"/>
                    <w:jc w:val="center"/>
                    <w:rPr>
                      <w:rFonts w:hint="eastAsia" w:ascii="Times New Roman" w:hAnsi="Times New Roman" w:cs="Times New Roman"/>
                      <w:color w:val="auto"/>
                      <w:lang w:bidi="ar"/>
                    </w:rPr>
                  </w:pPr>
                  <w:r>
                    <w:rPr>
                      <w:rFonts w:hint="eastAsia" w:ascii="Times New Roman" w:hAnsi="Times New Roman" w:cs="Times New Roman"/>
                      <w:color w:val="auto"/>
                      <w:lang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12ADFFD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压裂泵车1</w:t>
                  </w:r>
                </w:p>
              </w:tc>
              <w:tc>
                <w:tcPr>
                  <w:tcW w:w="1217" w:type="dxa"/>
                  <w:tcBorders>
                    <w:top w:val="single" w:color="auto" w:sz="4" w:space="0"/>
                    <w:left w:val="single" w:color="auto" w:sz="4" w:space="0"/>
                    <w:bottom w:val="single" w:color="auto" w:sz="4" w:space="0"/>
                    <w:right w:val="single" w:color="auto" w:sz="4" w:space="0"/>
                  </w:tcBorders>
                  <w:noWrap/>
                  <w:vAlign w:val="center"/>
                </w:tcPr>
                <w:p w14:paraId="55D4F52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79B9E77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bidi="ar"/>
                    </w:rPr>
                  </w:pPr>
                  <w:r>
                    <w:rPr>
                      <w:rFonts w:hint="eastAsia"/>
                      <w:color w:val="auto"/>
                    </w:rPr>
                    <w:t>-3.11</w:t>
                  </w:r>
                </w:p>
              </w:tc>
              <w:tc>
                <w:tcPr>
                  <w:tcW w:w="856" w:type="dxa"/>
                  <w:tcBorders>
                    <w:top w:val="single" w:color="auto" w:sz="4" w:space="0"/>
                    <w:left w:val="single" w:color="auto" w:sz="4" w:space="0"/>
                    <w:bottom w:val="single" w:color="auto" w:sz="4" w:space="0"/>
                    <w:right w:val="single" w:color="auto" w:sz="4" w:space="0"/>
                  </w:tcBorders>
                  <w:noWrap/>
                  <w:vAlign w:val="center"/>
                </w:tcPr>
                <w:p w14:paraId="09275507">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bidi="ar"/>
                    </w:rPr>
                  </w:pPr>
                  <w:r>
                    <w:rPr>
                      <w:rFonts w:hint="eastAsia"/>
                      <w:color w:val="auto"/>
                    </w:rPr>
                    <w:t>-11.24</w:t>
                  </w:r>
                </w:p>
              </w:tc>
              <w:tc>
                <w:tcPr>
                  <w:tcW w:w="572" w:type="dxa"/>
                  <w:tcBorders>
                    <w:top w:val="single" w:color="auto" w:sz="4" w:space="0"/>
                    <w:left w:val="single" w:color="auto" w:sz="4" w:space="0"/>
                    <w:bottom w:val="single" w:color="auto" w:sz="4" w:space="0"/>
                    <w:right w:val="single" w:color="auto" w:sz="4" w:space="0"/>
                  </w:tcBorders>
                  <w:noWrap/>
                  <w:vAlign w:val="center"/>
                </w:tcPr>
                <w:p w14:paraId="2628688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568EDA6">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restart"/>
                  <w:tcBorders>
                    <w:top w:val="single" w:color="auto" w:sz="4" w:space="0"/>
                    <w:left w:val="single" w:color="auto" w:sz="4" w:space="0"/>
                    <w:right w:val="single" w:color="auto" w:sz="4" w:space="0"/>
                  </w:tcBorders>
                  <w:noWrap/>
                  <w:vAlign w:val="center"/>
                </w:tcPr>
                <w:p w14:paraId="459C50C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r>
                    <w:rPr>
                      <w:rFonts w:hint="eastAsia" w:ascii="宋体" w:hAnsi="宋体" w:eastAsia="宋体" w:cs="宋体"/>
                      <w:b w:val="0"/>
                      <w:color w:val="auto"/>
                      <w:kern w:val="0"/>
                      <w:sz w:val="21"/>
                      <w:szCs w:val="21"/>
                      <w:highlight w:val="none"/>
                      <w:lang w:val="en-US" w:eastAsia="zh-CN" w:bidi="ar"/>
                    </w:rPr>
                    <w:t>采用低噪声设备、加强维护</w:t>
                  </w:r>
                </w:p>
              </w:tc>
              <w:tc>
                <w:tcPr>
                  <w:tcW w:w="784" w:type="dxa"/>
                  <w:vMerge w:val="restart"/>
                  <w:tcBorders>
                    <w:top w:val="single" w:color="auto" w:sz="4" w:space="0"/>
                    <w:left w:val="single" w:color="auto" w:sz="4" w:space="0"/>
                    <w:right w:val="single" w:color="auto" w:sz="4" w:space="0"/>
                  </w:tcBorders>
                  <w:noWrap/>
                  <w:vAlign w:val="center"/>
                </w:tcPr>
                <w:p w14:paraId="5EDD8E31">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宋体" w:hAnsi="宋体" w:eastAsia="宋体" w:cs="宋体"/>
                      <w:b w:val="0"/>
                      <w:color w:val="auto"/>
                      <w:kern w:val="0"/>
                      <w:sz w:val="21"/>
                      <w:szCs w:val="21"/>
                      <w:highlight w:val="none"/>
                      <w:lang w:val="en-US" w:eastAsia="zh-CN" w:bidi="ar"/>
                    </w:rPr>
                  </w:pPr>
                  <w:r>
                    <w:rPr>
                      <w:rFonts w:hint="eastAsia" w:ascii="宋体" w:hAnsi="宋体" w:eastAsia="宋体" w:cs="宋体"/>
                      <w:b w:val="0"/>
                      <w:color w:val="auto"/>
                      <w:kern w:val="0"/>
                      <w:sz w:val="21"/>
                      <w:szCs w:val="21"/>
                      <w:highlight w:val="none"/>
                      <w:lang w:val="en-US" w:eastAsia="zh-CN" w:bidi="ar"/>
                    </w:rPr>
                    <w:t>昼间</w:t>
                  </w:r>
                </w:p>
              </w:tc>
            </w:tr>
            <w:tr w14:paraId="79FA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33823DCA">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7FE7470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压裂泵车2</w:t>
                  </w:r>
                </w:p>
              </w:tc>
              <w:tc>
                <w:tcPr>
                  <w:tcW w:w="1217" w:type="dxa"/>
                  <w:tcBorders>
                    <w:top w:val="single" w:color="auto" w:sz="4" w:space="0"/>
                    <w:left w:val="single" w:color="auto" w:sz="4" w:space="0"/>
                    <w:bottom w:val="single" w:color="auto" w:sz="4" w:space="0"/>
                    <w:right w:val="single" w:color="auto" w:sz="4" w:space="0"/>
                  </w:tcBorders>
                  <w:noWrap/>
                  <w:vAlign w:val="center"/>
                </w:tcPr>
                <w:p w14:paraId="403B2CF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2BDECD1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-3.11</w:t>
                  </w:r>
                </w:p>
              </w:tc>
              <w:tc>
                <w:tcPr>
                  <w:tcW w:w="856" w:type="dxa"/>
                  <w:tcBorders>
                    <w:top w:val="single" w:color="auto" w:sz="4" w:space="0"/>
                    <w:left w:val="single" w:color="auto" w:sz="4" w:space="0"/>
                    <w:bottom w:val="single" w:color="auto" w:sz="4" w:space="0"/>
                    <w:right w:val="single" w:color="auto" w:sz="4" w:space="0"/>
                  </w:tcBorders>
                  <w:noWrap/>
                  <w:vAlign w:val="center"/>
                </w:tcPr>
                <w:p w14:paraId="4019EC7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-14.71</w:t>
                  </w:r>
                </w:p>
              </w:tc>
              <w:tc>
                <w:tcPr>
                  <w:tcW w:w="572" w:type="dxa"/>
                  <w:tcBorders>
                    <w:top w:val="single" w:color="auto" w:sz="4" w:space="0"/>
                    <w:left w:val="single" w:color="auto" w:sz="4" w:space="0"/>
                    <w:bottom w:val="single" w:color="auto" w:sz="4" w:space="0"/>
                    <w:right w:val="single" w:color="auto" w:sz="4" w:space="0"/>
                  </w:tcBorders>
                  <w:noWrap/>
                  <w:vAlign w:val="center"/>
                </w:tcPr>
                <w:p w14:paraId="7DAB15E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1781927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7CB33D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19B31052">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0C40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6513679F">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12A2CDA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压裂泵车3</w:t>
                  </w:r>
                </w:p>
              </w:tc>
              <w:tc>
                <w:tcPr>
                  <w:tcW w:w="1217" w:type="dxa"/>
                  <w:tcBorders>
                    <w:top w:val="single" w:color="auto" w:sz="4" w:space="0"/>
                    <w:left w:val="single" w:color="auto" w:sz="4" w:space="0"/>
                    <w:bottom w:val="single" w:color="auto" w:sz="4" w:space="0"/>
                    <w:right w:val="single" w:color="auto" w:sz="4" w:space="0"/>
                  </w:tcBorders>
                  <w:noWrap/>
                  <w:vAlign w:val="center"/>
                </w:tcPr>
                <w:p w14:paraId="79D352AE">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47ADF16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-2.56</w:t>
                  </w:r>
                </w:p>
              </w:tc>
              <w:tc>
                <w:tcPr>
                  <w:tcW w:w="856" w:type="dxa"/>
                  <w:tcBorders>
                    <w:top w:val="single" w:color="auto" w:sz="4" w:space="0"/>
                    <w:left w:val="single" w:color="auto" w:sz="4" w:space="0"/>
                    <w:bottom w:val="single" w:color="auto" w:sz="4" w:space="0"/>
                    <w:right w:val="single" w:color="auto" w:sz="4" w:space="0"/>
                  </w:tcBorders>
                  <w:noWrap/>
                  <w:vAlign w:val="center"/>
                </w:tcPr>
                <w:p w14:paraId="61C5DFD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-18.17</w:t>
                  </w:r>
                </w:p>
              </w:tc>
              <w:tc>
                <w:tcPr>
                  <w:tcW w:w="572" w:type="dxa"/>
                  <w:tcBorders>
                    <w:top w:val="single" w:color="auto" w:sz="4" w:space="0"/>
                    <w:left w:val="single" w:color="auto" w:sz="4" w:space="0"/>
                    <w:bottom w:val="single" w:color="auto" w:sz="4" w:space="0"/>
                    <w:right w:val="single" w:color="auto" w:sz="4" w:space="0"/>
                  </w:tcBorders>
                  <w:noWrap/>
                  <w:vAlign w:val="center"/>
                </w:tcPr>
                <w:p w14:paraId="3F673C5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46076A5">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0E1B4D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06E84372">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4A4C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C365FE7">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4</w:t>
                  </w:r>
                </w:p>
              </w:tc>
              <w:tc>
                <w:tcPr>
                  <w:tcW w:w="1178" w:type="dxa"/>
                  <w:tcBorders>
                    <w:top w:val="single" w:color="auto" w:sz="4" w:space="0"/>
                    <w:left w:val="single" w:color="auto" w:sz="4" w:space="0"/>
                    <w:bottom w:val="single" w:color="auto" w:sz="4" w:space="0"/>
                    <w:right w:val="single" w:color="auto" w:sz="4" w:space="0"/>
                  </w:tcBorders>
                  <w:noWrap/>
                  <w:vAlign w:val="center"/>
                </w:tcPr>
                <w:p w14:paraId="63E2243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压裂泵车4</w:t>
                  </w:r>
                </w:p>
              </w:tc>
              <w:tc>
                <w:tcPr>
                  <w:tcW w:w="1217" w:type="dxa"/>
                  <w:tcBorders>
                    <w:top w:val="single" w:color="auto" w:sz="4" w:space="0"/>
                    <w:left w:val="single" w:color="auto" w:sz="4" w:space="0"/>
                    <w:bottom w:val="single" w:color="auto" w:sz="4" w:space="0"/>
                    <w:right w:val="single" w:color="auto" w:sz="4" w:space="0"/>
                  </w:tcBorders>
                  <w:noWrap/>
                  <w:vAlign w:val="center"/>
                </w:tcPr>
                <w:p w14:paraId="3F800AB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6C394C4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4.09</w:t>
                  </w:r>
                </w:p>
              </w:tc>
              <w:tc>
                <w:tcPr>
                  <w:tcW w:w="856" w:type="dxa"/>
                  <w:tcBorders>
                    <w:top w:val="single" w:color="auto" w:sz="4" w:space="0"/>
                    <w:left w:val="single" w:color="auto" w:sz="4" w:space="0"/>
                    <w:bottom w:val="single" w:color="auto" w:sz="4" w:space="0"/>
                    <w:right w:val="single" w:color="auto" w:sz="4" w:space="0"/>
                  </w:tcBorders>
                  <w:noWrap/>
                  <w:vAlign w:val="center"/>
                </w:tcPr>
                <w:p w14:paraId="566B7D86">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-11.38</w:t>
                  </w:r>
                </w:p>
              </w:tc>
              <w:tc>
                <w:tcPr>
                  <w:tcW w:w="572" w:type="dxa"/>
                  <w:tcBorders>
                    <w:top w:val="single" w:color="auto" w:sz="4" w:space="0"/>
                    <w:left w:val="single" w:color="auto" w:sz="4" w:space="0"/>
                    <w:bottom w:val="single" w:color="auto" w:sz="4" w:space="0"/>
                    <w:right w:val="single" w:color="auto" w:sz="4" w:space="0"/>
                  </w:tcBorders>
                  <w:noWrap/>
                  <w:vAlign w:val="center"/>
                </w:tcPr>
                <w:p w14:paraId="4CC416D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2F57381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433C6C3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4BD56BC2">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14C5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1FDFCC35">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54DFEF9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压裂泵车5</w:t>
                  </w:r>
                </w:p>
              </w:tc>
              <w:tc>
                <w:tcPr>
                  <w:tcW w:w="1217" w:type="dxa"/>
                  <w:tcBorders>
                    <w:top w:val="single" w:color="auto" w:sz="4" w:space="0"/>
                    <w:left w:val="single" w:color="auto" w:sz="4" w:space="0"/>
                    <w:bottom w:val="single" w:color="auto" w:sz="4" w:space="0"/>
                    <w:right w:val="single" w:color="auto" w:sz="4" w:space="0"/>
                  </w:tcBorders>
                  <w:noWrap/>
                  <w:vAlign w:val="center"/>
                </w:tcPr>
                <w:p w14:paraId="6B02BF0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62E4061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4.51</w:t>
                  </w:r>
                </w:p>
              </w:tc>
              <w:tc>
                <w:tcPr>
                  <w:tcW w:w="856" w:type="dxa"/>
                  <w:tcBorders>
                    <w:top w:val="single" w:color="auto" w:sz="4" w:space="0"/>
                    <w:left w:val="single" w:color="auto" w:sz="4" w:space="0"/>
                    <w:bottom w:val="single" w:color="auto" w:sz="4" w:space="0"/>
                    <w:right w:val="single" w:color="auto" w:sz="4" w:space="0"/>
                  </w:tcBorders>
                  <w:noWrap/>
                  <w:vAlign w:val="center"/>
                </w:tcPr>
                <w:p w14:paraId="7818F45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-14.57</w:t>
                  </w:r>
                </w:p>
              </w:tc>
              <w:tc>
                <w:tcPr>
                  <w:tcW w:w="572" w:type="dxa"/>
                  <w:tcBorders>
                    <w:top w:val="single" w:color="auto" w:sz="4" w:space="0"/>
                    <w:left w:val="single" w:color="auto" w:sz="4" w:space="0"/>
                    <w:bottom w:val="single" w:color="auto" w:sz="4" w:space="0"/>
                    <w:right w:val="single" w:color="auto" w:sz="4" w:space="0"/>
                  </w:tcBorders>
                  <w:noWrap/>
                  <w:vAlign w:val="center"/>
                </w:tcPr>
                <w:p w14:paraId="7B3B629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A5D434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C2035F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7CE06950">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2067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649B9A84">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751737A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压裂泵车6</w:t>
                  </w:r>
                </w:p>
              </w:tc>
              <w:tc>
                <w:tcPr>
                  <w:tcW w:w="1217" w:type="dxa"/>
                  <w:tcBorders>
                    <w:top w:val="single" w:color="auto" w:sz="4" w:space="0"/>
                    <w:left w:val="single" w:color="auto" w:sz="4" w:space="0"/>
                    <w:bottom w:val="single" w:color="auto" w:sz="4" w:space="0"/>
                    <w:right w:val="single" w:color="auto" w:sz="4" w:space="0"/>
                  </w:tcBorders>
                  <w:noWrap/>
                  <w:vAlign w:val="center"/>
                </w:tcPr>
                <w:p w14:paraId="6957D06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6B6CD41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4.92</w:t>
                  </w:r>
                </w:p>
              </w:tc>
              <w:tc>
                <w:tcPr>
                  <w:tcW w:w="856" w:type="dxa"/>
                  <w:tcBorders>
                    <w:top w:val="single" w:color="auto" w:sz="4" w:space="0"/>
                    <w:left w:val="single" w:color="auto" w:sz="4" w:space="0"/>
                    <w:bottom w:val="single" w:color="auto" w:sz="4" w:space="0"/>
                    <w:right w:val="single" w:color="auto" w:sz="4" w:space="0"/>
                  </w:tcBorders>
                  <w:noWrap/>
                  <w:vAlign w:val="center"/>
                </w:tcPr>
                <w:p w14:paraId="1DB5522D">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rPr>
                  </w:pPr>
                  <w:r>
                    <w:rPr>
                      <w:rFonts w:hint="eastAsia"/>
                      <w:color w:val="auto"/>
                    </w:rPr>
                    <w:t>-18.31</w:t>
                  </w:r>
                </w:p>
              </w:tc>
              <w:tc>
                <w:tcPr>
                  <w:tcW w:w="572" w:type="dxa"/>
                  <w:tcBorders>
                    <w:top w:val="single" w:color="auto" w:sz="4" w:space="0"/>
                    <w:left w:val="single" w:color="auto" w:sz="4" w:space="0"/>
                    <w:bottom w:val="single" w:color="auto" w:sz="4" w:space="0"/>
                    <w:right w:val="single" w:color="auto" w:sz="4" w:space="0"/>
                  </w:tcBorders>
                  <w:noWrap/>
                  <w:vAlign w:val="center"/>
                </w:tcPr>
                <w:p w14:paraId="5193DCA4">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color w:val="auto"/>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7228F84">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B16EF1D">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2BB71C67">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5D3B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70755E35">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ascii="宋体" w:hAnsi="宋体" w:eastAsia="宋体" w:cs="宋体"/>
                      <w:b/>
                      <w:bCs/>
                      <w:color w:val="auto"/>
                      <w:sz w:val="21"/>
                      <w:szCs w:val="21"/>
                      <w:lang w:bidi="ar"/>
                    </w:rPr>
                    <w:t>情景</w:t>
                  </w:r>
                  <w:r>
                    <w:rPr>
                      <w:rFonts w:hint="eastAsia" w:cs="宋体"/>
                      <w:b/>
                      <w:bCs/>
                      <w:color w:val="auto"/>
                      <w:sz w:val="21"/>
                      <w:szCs w:val="21"/>
                      <w:lang w:val="en-US" w:eastAsia="zh-CN" w:bidi="ar"/>
                    </w:rPr>
                    <w:t>六</w:t>
                  </w:r>
                  <w:r>
                    <w:rPr>
                      <w:rFonts w:hint="eastAsia" w:ascii="宋体" w:hAnsi="宋体" w:eastAsia="宋体" w:cs="宋体"/>
                      <w:b/>
                      <w:bCs/>
                      <w:color w:val="auto"/>
                      <w:sz w:val="21"/>
                      <w:szCs w:val="21"/>
                      <w:lang w:bidi="ar"/>
                    </w:rPr>
                    <w:t>：放喷</w:t>
                  </w:r>
                  <w:r>
                    <w:rPr>
                      <w:rFonts w:hint="eastAsia" w:ascii="宋体" w:hAnsi="宋体" w:eastAsia="宋体" w:cs="宋体"/>
                      <w:b/>
                      <w:bCs/>
                      <w:color w:val="auto"/>
                      <w:sz w:val="21"/>
                      <w:szCs w:val="21"/>
                      <w:lang w:val="en-US" w:eastAsia="zh-CN" w:bidi="ar"/>
                    </w:rPr>
                    <w:t>作业</w:t>
                  </w:r>
                </w:p>
              </w:tc>
            </w:tr>
            <w:tr w14:paraId="6A1C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1098622">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6D8F905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2"/>
                      <w:sz w:val="21"/>
                      <w:szCs w:val="24"/>
                      <w:lang w:val="en-US" w:eastAsia="zh-CN" w:bidi="ar"/>
                    </w:rPr>
                  </w:pPr>
                  <w:r>
                    <w:rPr>
                      <w:rFonts w:hint="eastAsia" w:ascii="Times New Roman" w:hAnsi="Times New Roman" w:cs="Times New Roman"/>
                      <w:color w:val="auto"/>
                      <w:lang w:bidi="ar"/>
                    </w:rPr>
                    <w:t>放喷池</w:t>
                  </w:r>
                </w:p>
              </w:tc>
              <w:tc>
                <w:tcPr>
                  <w:tcW w:w="1217" w:type="dxa"/>
                  <w:tcBorders>
                    <w:top w:val="single" w:color="auto" w:sz="4" w:space="0"/>
                    <w:left w:val="single" w:color="auto" w:sz="4" w:space="0"/>
                    <w:bottom w:val="single" w:color="auto" w:sz="4" w:space="0"/>
                    <w:right w:val="single" w:color="auto" w:sz="4" w:space="0"/>
                  </w:tcBorders>
                  <w:noWrap/>
                  <w:vAlign w:val="center"/>
                </w:tcPr>
                <w:p w14:paraId="37C57C9E">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2"/>
                      <w:sz w:val="21"/>
                      <w:szCs w:val="24"/>
                      <w:lang w:val="en-US" w:eastAsia="zh-CN" w:bidi="ar"/>
                    </w:rPr>
                  </w:pPr>
                  <w:r>
                    <w:rPr>
                      <w:rFonts w:hint="eastAsia" w:ascii="Times New Roman" w:hAnsi="Times New Roman" w:cs="Times New Roman"/>
                      <w:color w:val="auto"/>
                      <w:lang w:bidi="ar"/>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2A93BB9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2"/>
                      <w:sz w:val="21"/>
                      <w:szCs w:val="24"/>
                      <w:lang w:val="en-US" w:eastAsia="zh-CN" w:bidi="ar"/>
                    </w:rPr>
                  </w:pPr>
                  <w:r>
                    <w:rPr>
                      <w:rFonts w:hint="eastAsia"/>
                      <w:color w:val="auto"/>
                    </w:rPr>
                    <w:t>65.42</w:t>
                  </w:r>
                </w:p>
              </w:tc>
              <w:tc>
                <w:tcPr>
                  <w:tcW w:w="856" w:type="dxa"/>
                  <w:tcBorders>
                    <w:top w:val="single" w:color="auto" w:sz="4" w:space="0"/>
                    <w:left w:val="single" w:color="auto" w:sz="4" w:space="0"/>
                    <w:bottom w:val="single" w:color="auto" w:sz="4" w:space="0"/>
                    <w:right w:val="single" w:color="auto" w:sz="4" w:space="0"/>
                  </w:tcBorders>
                  <w:noWrap/>
                  <w:vAlign w:val="center"/>
                </w:tcPr>
                <w:p w14:paraId="538A55F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2"/>
                      <w:sz w:val="21"/>
                      <w:szCs w:val="24"/>
                      <w:lang w:val="en-US" w:eastAsia="zh-CN" w:bidi="ar"/>
                    </w:rPr>
                  </w:pPr>
                  <w:r>
                    <w:rPr>
                      <w:rFonts w:hint="eastAsia"/>
                      <w:color w:val="auto"/>
                    </w:rPr>
                    <w:t>48.56</w:t>
                  </w:r>
                </w:p>
              </w:tc>
              <w:tc>
                <w:tcPr>
                  <w:tcW w:w="572" w:type="dxa"/>
                  <w:tcBorders>
                    <w:top w:val="single" w:color="auto" w:sz="4" w:space="0"/>
                    <w:left w:val="single" w:color="auto" w:sz="4" w:space="0"/>
                    <w:bottom w:val="single" w:color="auto" w:sz="4" w:space="0"/>
                    <w:right w:val="single" w:color="auto" w:sz="4" w:space="0"/>
                  </w:tcBorders>
                  <w:noWrap/>
                  <w:vAlign w:val="center"/>
                </w:tcPr>
                <w:p w14:paraId="12369D3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73048D02">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tcBorders>
                    <w:left w:val="single" w:color="auto" w:sz="4" w:space="0"/>
                    <w:right w:val="single" w:color="auto" w:sz="4" w:space="0"/>
                  </w:tcBorders>
                  <w:noWrap/>
                  <w:vAlign w:val="center"/>
                </w:tcPr>
                <w:p w14:paraId="7E28BECE">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cs="Times New Roman"/>
                      <w:color w:val="auto"/>
                      <w:kern w:val="2"/>
                      <w:sz w:val="21"/>
                      <w:szCs w:val="21"/>
                      <w:lang w:val="en-US" w:eastAsia="zh-CN" w:bidi="ar-SA"/>
                    </w:rPr>
                  </w:pPr>
                  <w:r>
                    <w:rPr>
                      <w:rFonts w:hint="default" w:ascii="Times New Roman" w:hAnsi="Times New Roman" w:eastAsia="宋体" w:cs="Times New Roman"/>
                      <w:color w:val="auto"/>
                      <w:sz w:val="21"/>
                      <w:szCs w:val="21"/>
                      <w:lang w:bidi="ar"/>
                    </w:rPr>
                    <w:t>3.5m高的围墙隔声、临时疏散</w:t>
                  </w:r>
                </w:p>
              </w:tc>
              <w:tc>
                <w:tcPr>
                  <w:tcW w:w="784" w:type="dxa"/>
                  <w:tcBorders>
                    <w:left w:val="single" w:color="auto" w:sz="4" w:space="0"/>
                    <w:right w:val="single" w:color="auto" w:sz="4" w:space="0"/>
                  </w:tcBorders>
                  <w:noWrap/>
                  <w:vAlign w:val="center"/>
                </w:tcPr>
                <w:p w14:paraId="195002CB">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cs="宋体"/>
                      <w:color w:val="auto"/>
                      <w:sz w:val="21"/>
                      <w:szCs w:val="21"/>
                      <w:lang w:bidi="ar"/>
                    </w:rPr>
                    <w:t>昼间</w:t>
                  </w:r>
                </w:p>
              </w:tc>
            </w:tr>
            <w:tr w14:paraId="5692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479D378A">
                  <w:pPr>
                    <w:pStyle w:val="19"/>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eastAsia="宋体" w:cs="宋体"/>
                      <w:color w:val="auto"/>
                      <w:sz w:val="21"/>
                      <w:szCs w:val="21"/>
                      <w:lang w:val="en-US" w:eastAsia="zh-CN" w:bidi="ar"/>
                    </w:rPr>
                  </w:pPr>
                  <w:r>
                    <w:rPr>
                      <w:rFonts w:hint="eastAsia" w:cs="宋体"/>
                      <w:b/>
                      <w:bCs/>
                      <w:color w:val="auto"/>
                      <w:sz w:val="21"/>
                      <w:szCs w:val="21"/>
                      <w:lang w:val="en-US" w:eastAsia="zh-CN" w:bidi="ar"/>
                    </w:rPr>
                    <w:t>情景七：锅炉保温放喷作业</w:t>
                  </w:r>
                </w:p>
              </w:tc>
            </w:tr>
            <w:tr w14:paraId="78E9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4ACFB">
                  <w:pPr>
                    <w:keepNext w:val="0"/>
                    <w:keepLines w:val="0"/>
                    <w:suppressLineNumbers w:val="0"/>
                    <w:autoSpaceDN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167D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放喷池</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75C7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bidi="ar"/>
                    </w:rPr>
                    <w:t>/</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1079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65.42</w:t>
                  </w:r>
                </w:p>
              </w:tc>
              <w:tc>
                <w:tcPr>
                  <w:tcW w:w="8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15A6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color w:val="auto"/>
                    </w:rPr>
                    <w:t>48.56</w:t>
                  </w:r>
                </w:p>
              </w:tc>
              <w:tc>
                <w:tcPr>
                  <w:tcW w:w="5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387A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DC78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tcBorders>
                    <w:left w:val="single" w:color="auto" w:sz="4" w:space="0"/>
                    <w:right w:val="single" w:color="auto" w:sz="4" w:space="0"/>
                  </w:tcBorders>
                  <w:shd w:val="clear" w:color="auto" w:fill="auto"/>
                  <w:noWrap/>
                  <w:vAlign w:val="center"/>
                </w:tcPr>
                <w:p w14:paraId="16A7EF9F">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宋体" w:hAnsi="宋体"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bidi="ar"/>
                    </w:rPr>
                    <w:t>3.5m高的围墙隔声、临时疏散</w:t>
                  </w:r>
                </w:p>
              </w:tc>
              <w:tc>
                <w:tcPr>
                  <w:tcW w:w="784" w:type="dxa"/>
                  <w:tcBorders>
                    <w:left w:val="single" w:color="auto" w:sz="4" w:space="0"/>
                    <w:right w:val="single" w:color="auto" w:sz="4" w:space="0"/>
                  </w:tcBorders>
                  <w:shd w:val="clear" w:color="auto" w:fill="auto"/>
                  <w:noWrap/>
                  <w:vAlign w:val="center"/>
                </w:tcPr>
                <w:p w14:paraId="16C447F8">
                  <w:pPr>
                    <w:pStyle w:val="19"/>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昼间</w:t>
                  </w:r>
                </w:p>
              </w:tc>
            </w:tr>
            <w:tr w14:paraId="7F29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7E638D90">
                  <w:pPr>
                    <w:pStyle w:val="19"/>
                    <w:keepNext w:val="0"/>
                    <w:keepLines w:val="0"/>
                    <w:widowControl w:val="0"/>
                    <w:suppressLineNumbers w:val="0"/>
                    <w:autoSpaceDE w:val="0"/>
                    <w:adjustRightInd w:val="0"/>
                    <w:snapToGrid w:val="0"/>
                    <w:spacing w:before="0" w:beforeAutospacing="0" w:after="0" w:afterAutospacing="0"/>
                    <w:ind w:left="0" w:right="0"/>
                    <w:jc w:val="left"/>
                    <w:textAlignment w:val="baseline"/>
                    <w:outlineLvl w:val="4"/>
                    <w:rPr>
                      <w:rFonts w:hint="default" w:cs="宋体"/>
                      <w:color w:val="auto"/>
                      <w:sz w:val="21"/>
                      <w:szCs w:val="21"/>
                      <w:lang w:val="en-US" w:bidi="ar"/>
                    </w:rPr>
                  </w:pPr>
                  <w:r>
                    <w:rPr>
                      <w:rFonts w:hint="eastAsia" w:cs="Times New Roman"/>
                      <w:color w:val="auto"/>
                      <w:sz w:val="21"/>
                      <w:szCs w:val="21"/>
                      <w:lang w:val="en-US" w:eastAsia="zh-CN" w:bidi="ar"/>
                    </w:rPr>
                    <w:t>注：以井口为坐标原点。</w:t>
                  </w:r>
                </w:p>
              </w:tc>
            </w:tr>
          </w:tbl>
          <w:p w14:paraId="057860F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钻井工程主要噪声源</w:t>
            </w:r>
            <w:r>
              <w:rPr>
                <w:rFonts w:hint="eastAsia" w:ascii="Times New Roman" w:hAnsi="Times New Roman" w:eastAsia="宋体" w:cs="Times New Roman"/>
                <w:b/>
                <w:color w:val="auto"/>
                <w:lang w:val="en-US" w:eastAsia="zh-CN"/>
              </w:rPr>
              <w:t>强调查清单（室内声源）</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
              <w:gridCol w:w="610"/>
              <w:gridCol w:w="542"/>
              <w:gridCol w:w="334"/>
              <w:gridCol w:w="805"/>
              <w:gridCol w:w="762"/>
              <w:gridCol w:w="523"/>
              <w:gridCol w:w="501"/>
              <w:gridCol w:w="435"/>
              <w:gridCol w:w="633"/>
              <w:gridCol w:w="653"/>
              <w:gridCol w:w="453"/>
              <w:gridCol w:w="612"/>
              <w:gridCol w:w="648"/>
              <w:gridCol w:w="634"/>
            </w:tblGrid>
            <w:tr w14:paraId="7B0E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69937EFF">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序号</w:t>
                  </w:r>
                </w:p>
              </w:tc>
              <w:tc>
                <w:tcPr>
                  <w:tcW w:w="359" w:type="pct"/>
                  <w:vMerge w:val="restart"/>
                  <w:noWrap/>
                  <w:vAlign w:val="center"/>
                </w:tcPr>
                <w:p w14:paraId="4A849239">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建筑物名称</w:t>
                  </w:r>
                </w:p>
              </w:tc>
              <w:tc>
                <w:tcPr>
                  <w:tcW w:w="319" w:type="pct"/>
                  <w:vMerge w:val="restart"/>
                  <w:noWrap/>
                  <w:vAlign w:val="center"/>
                </w:tcPr>
                <w:p w14:paraId="4EA029CE">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声源名称</w:t>
                  </w:r>
                </w:p>
              </w:tc>
              <w:tc>
                <w:tcPr>
                  <w:tcW w:w="196" w:type="pct"/>
                  <w:vMerge w:val="restart"/>
                  <w:noWrap/>
                  <w:vAlign w:val="center"/>
                </w:tcPr>
                <w:p w14:paraId="153DDE33">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型号</w:t>
                  </w:r>
                </w:p>
              </w:tc>
              <w:tc>
                <w:tcPr>
                  <w:tcW w:w="474" w:type="pct"/>
                  <w:vMerge w:val="restart"/>
                  <w:noWrap/>
                  <w:vAlign w:val="center"/>
                </w:tcPr>
                <w:p w14:paraId="563D5DC5">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lang w:bidi="ar"/>
                    </w:rPr>
                    <w:t>声压级（dB）/距声源距离</w:t>
                  </w:r>
                  <w:r>
                    <w:rPr>
                      <w:rFonts w:hint="default" w:ascii="Times New Roman" w:hAnsi="Times New Roman" w:eastAsia="宋体" w:cs="Times New Roman"/>
                      <w:b/>
                      <w:bCs/>
                      <w:color w:val="auto"/>
                      <w:sz w:val="18"/>
                      <w:szCs w:val="18"/>
                      <w:lang w:eastAsia="zh-CN" w:bidi="ar"/>
                    </w:rPr>
                    <w:t>（</w:t>
                  </w:r>
                  <w:r>
                    <w:rPr>
                      <w:rFonts w:hint="default" w:ascii="Times New Roman" w:hAnsi="Times New Roman" w:eastAsia="宋体" w:cs="Times New Roman"/>
                      <w:b/>
                      <w:bCs/>
                      <w:color w:val="auto"/>
                      <w:sz w:val="18"/>
                      <w:szCs w:val="18"/>
                      <w:lang w:val="en-US" w:eastAsia="zh-CN" w:bidi="ar"/>
                    </w:rPr>
                    <w:t>m</w:t>
                  </w:r>
                  <w:r>
                    <w:rPr>
                      <w:rFonts w:hint="default" w:ascii="Times New Roman" w:hAnsi="Times New Roman" w:eastAsia="宋体" w:cs="Times New Roman"/>
                      <w:b/>
                      <w:bCs/>
                      <w:color w:val="auto"/>
                      <w:sz w:val="18"/>
                      <w:szCs w:val="18"/>
                      <w:lang w:eastAsia="zh-CN" w:bidi="ar"/>
                    </w:rPr>
                    <w:t>）</w:t>
                  </w:r>
                </w:p>
              </w:tc>
              <w:tc>
                <w:tcPr>
                  <w:tcW w:w="449" w:type="pct"/>
                  <w:vMerge w:val="restart"/>
                  <w:noWrap/>
                  <w:vAlign w:val="center"/>
                </w:tcPr>
                <w:p w14:paraId="64A8DE8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声源控制措施</w:t>
                  </w:r>
                </w:p>
              </w:tc>
              <w:tc>
                <w:tcPr>
                  <w:tcW w:w="860" w:type="pct"/>
                  <w:gridSpan w:val="3"/>
                  <w:noWrap/>
                  <w:vAlign w:val="center"/>
                </w:tcPr>
                <w:p w14:paraId="777DBB5F">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空间相对位置/m</w:t>
                  </w:r>
                </w:p>
              </w:tc>
              <w:tc>
                <w:tcPr>
                  <w:tcW w:w="373" w:type="pct"/>
                  <w:vMerge w:val="restart"/>
                  <w:noWrap/>
                  <w:vAlign w:val="center"/>
                </w:tcPr>
                <w:p w14:paraId="676A3085">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距室内边界距离/m</w:t>
                  </w:r>
                </w:p>
              </w:tc>
              <w:tc>
                <w:tcPr>
                  <w:tcW w:w="385" w:type="pct"/>
                  <w:vMerge w:val="restart"/>
                  <w:noWrap/>
                  <w:vAlign w:val="center"/>
                </w:tcPr>
                <w:p w14:paraId="4D794A07">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室内边界声级/dB(A)</w:t>
                  </w:r>
                </w:p>
              </w:tc>
              <w:tc>
                <w:tcPr>
                  <w:tcW w:w="267" w:type="pct"/>
                  <w:vMerge w:val="restart"/>
                  <w:noWrap/>
                  <w:vAlign w:val="center"/>
                </w:tcPr>
                <w:p w14:paraId="34D38395">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运行时段</w:t>
                  </w:r>
                </w:p>
              </w:tc>
              <w:tc>
                <w:tcPr>
                  <w:tcW w:w="360" w:type="pct"/>
                  <w:vMerge w:val="restart"/>
                  <w:noWrap/>
                  <w:vAlign w:val="center"/>
                </w:tcPr>
                <w:p w14:paraId="443DF74A">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建筑物插入损失/dB(A)</w:t>
                  </w:r>
                </w:p>
              </w:tc>
              <w:tc>
                <w:tcPr>
                  <w:tcW w:w="756" w:type="pct"/>
                  <w:gridSpan w:val="2"/>
                  <w:noWrap/>
                  <w:vAlign w:val="center"/>
                </w:tcPr>
                <w:p w14:paraId="66C1067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建筑物外噪声</w:t>
                  </w:r>
                </w:p>
              </w:tc>
            </w:tr>
            <w:tr w14:paraId="4EB1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C4CD236">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59" w:type="pct"/>
                  <w:vMerge w:val="continue"/>
                  <w:noWrap/>
                  <w:vAlign w:val="center"/>
                </w:tcPr>
                <w:p w14:paraId="27A8DF51">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19" w:type="pct"/>
                  <w:vMerge w:val="continue"/>
                  <w:noWrap/>
                  <w:vAlign w:val="center"/>
                </w:tcPr>
                <w:p w14:paraId="45299078">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196" w:type="pct"/>
                  <w:vMerge w:val="continue"/>
                  <w:noWrap/>
                  <w:vAlign w:val="center"/>
                </w:tcPr>
                <w:p w14:paraId="75E9B81A">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474" w:type="pct"/>
                  <w:vMerge w:val="continue"/>
                  <w:noWrap w:val="0"/>
                  <w:vAlign w:val="center"/>
                </w:tcPr>
                <w:p w14:paraId="1C2FD11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449" w:type="pct"/>
                  <w:vMerge w:val="continue"/>
                  <w:noWrap/>
                  <w:vAlign w:val="center"/>
                </w:tcPr>
                <w:p w14:paraId="1BE6A33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308" w:type="pct"/>
                  <w:noWrap/>
                  <w:vAlign w:val="center"/>
                </w:tcPr>
                <w:p w14:paraId="0F629FE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X</w:t>
                  </w:r>
                </w:p>
              </w:tc>
              <w:tc>
                <w:tcPr>
                  <w:tcW w:w="295" w:type="pct"/>
                  <w:noWrap/>
                  <w:vAlign w:val="center"/>
                </w:tcPr>
                <w:p w14:paraId="36C71862">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Y</w:t>
                  </w:r>
                </w:p>
              </w:tc>
              <w:tc>
                <w:tcPr>
                  <w:tcW w:w="256" w:type="pct"/>
                  <w:noWrap/>
                  <w:vAlign w:val="center"/>
                </w:tcPr>
                <w:p w14:paraId="142C411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Z</w:t>
                  </w:r>
                </w:p>
              </w:tc>
              <w:tc>
                <w:tcPr>
                  <w:tcW w:w="373" w:type="pct"/>
                  <w:vMerge w:val="continue"/>
                  <w:noWrap/>
                  <w:vAlign w:val="center"/>
                </w:tcPr>
                <w:p w14:paraId="758718D5">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385" w:type="pct"/>
                  <w:vMerge w:val="continue"/>
                  <w:noWrap/>
                  <w:vAlign w:val="center"/>
                </w:tcPr>
                <w:p w14:paraId="09AFBD3E">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267" w:type="pct"/>
                  <w:vMerge w:val="continue"/>
                  <w:noWrap/>
                  <w:vAlign w:val="center"/>
                </w:tcPr>
                <w:p w14:paraId="06733DEB">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60" w:type="pct"/>
                  <w:vMerge w:val="continue"/>
                  <w:noWrap/>
                  <w:vAlign w:val="center"/>
                </w:tcPr>
                <w:p w14:paraId="05FCDAD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82" w:type="pct"/>
                  <w:noWrap/>
                  <w:vAlign w:val="center"/>
                </w:tcPr>
                <w:p w14:paraId="6F470393">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声压级/dB(A)</w:t>
                  </w:r>
                </w:p>
              </w:tc>
              <w:tc>
                <w:tcPr>
                  <w:tcW w:w="373" w:type="pct"/>
                  <w:noWrap/>
                  <w:vAlign w:val="center"/>
                </w:tcPr>
                <w:p w14:paraId="293E27FC">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建筑物外距离</w:t>
                  </w:r>
                </w:p>
              </w:tc>
            </w:tr>
            <w:tr w14:paraId="0359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2D36E26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359" w:type="pct"/>
                  <w:vMerge w:val="restart"/>
                  <w:noWrap/>
                  <w:vAlign w:val="center"/>
                </w:tcPr>
                <w:p w14:paraId="73836B16">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rPr>
                    <w:t>柴油发电机房</w:t>
                  </w:r>
                </w:p>
              </w:tc>
              <w:tc>
                <w:tcPr>
                  <w:tcW w:w="319" w:type="pct"/>
                  <w:vMerge w:val="restart"/>
                  <w:noWrap/>
                  <w:vAlign w:val="center"/>
                </w:tcPr>
                <w:p w14:paraId="25D5A2F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rPr>
                    <w:t>柴油发电机</w:t>
                  </w:r>
                  <w:r>
                    <w:rPr>
                      <w:rFonts w:hint="default" w:ascii="Times New Roman" w:hAnsi="Times New Roman" w:eastAsia="宋体" w:cs="Times New Roman"/>
                      <w:color w:val="auto"/>
                      <w:sz w:val="18"/>
                      <w:szCs w:val="18"/>
                      <w:lang w:val="en-US" w:eastAsia="zh-CN"/>
                    </w:rPr>
                    <w:t>1</w:t>
                  </w:r>
                </w:p>
              </w:tc>
              <w:tc>
                <w:tcPr>
                  <w:tcW w:w="196" w:type="pct"/>
                  <w:vMerge w:val="restart"/>
                  <w:noWrap/>
                  <w:vAlign w:val="center"/>
                </w:tcPr>
                <w:p w14:paraId="507C8C3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p>
              </w:tc>
              <w:tc>
                <w:tcPr>
                  <w:tcW w:w="474" w:type="pct"/>
                  <w:vMerge w:val="restart"/>
                  <w:noWrap w:val="0"/>
                  <w:vAlign w:val="center"/>
                </w:tcPr>
                <w:p w14:paraId="2C76E68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r>
                    <w:rPr>
                      <w:rFonts w:hint="default" w:ascii="Times New Roman" w:hAnsi="Times New Roman" w:eastAsia="宋体" w:cs="Times New Roman"/>
                      <w:color w:val="auto"/>
                      <w:sz w:val="18"/>
                      <w:szCs w:val="18"/>
                      <w:lang w:val="en-US" w:eastAsia="zh-CN"/>
                    </w:rPr>
                    <w:t>00</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5</w:t>
                  </w:r>
                </w:p>
              </w:tc>
              <w:tc>
                <w:tcPr>
                  <w:tcW w:w="449" w:type="pct"/>
                  <w:vMerge w:val="restart"/>
                  <w:noWrap/>
                  <w:vAlign w:val="center"/>
                </w:tcPr>
                <w:p w14:paraId="06937D3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b w:val="0"/>
                      <w:color w:val="auto"/>
                      <w:kern w:val="0"/>
                      <w:sz w:val="18"/>
                      <w:szCs w:val="18"/>
                      <w:highlight w:val="none"/>
                      <w:lang w:val="en-US" w:eastAsia="zh-CN" w:bidi="ar"/>
                    </w:rPr>
                    <w:t>采用低噪声设备、基础减振、加强维护、建筑隔声</w:t>
                  </w:r>
                </w:p>
              </w:tc>
              <w:tc>
                <w:tcPr>
                  <w:tcW w:w="308" w:type="pct"/>
                  <w:vMerge w:val="restart"/>
                  <w:noWrap/>
                  <w:vAlign w:val="center"/>
                </w:tcPr>
                <w:p w14:paraId="3A27F21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-5.91</w:t>
                  </w:r>
                </w:p>
              </w:tc>
              <w:tc>
                <w:tcPr>
                  <w:tcW w:w="295" w:type="pct"/>
                  <w:vMerge w:val="restart"/>
                  <w:noWrap/>
                  <w:vAlign w:val="center"/>
                </w:tcPr>
                <w:p w14:paraId="79B0F9B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37.31</w:t>
                  </w:r>
                </w:p>
              </w:tc>
              <w:tc>
                <w:tcPr>
                  <w:tcW w:w="256" w:type="pct"/>
                  <w:vMerge w:val="restart"/>
                  <w:noWrap/>
                  <w:vAlign w:val="center"/>
                </w:tcPr>
                <w:p w14:paraId="3133EB9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w:t>
                  </w:r>
                </w:p>
              </w:tc>
              <w:tc>
                <w:tcPr>
                  <w:tcW w:w="373" w:type="pct"/>
                  <w:noWrap/>
                  <w:vAlign w:val="center"/>
                </w:tcPr>
                <w:p w14:paraId="044C38D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7.80</w:t>
                  </w:r>
                </w:p>
              </w:tc>
              <w:tc>
                <w:tcPr>
                  <w:tcW w:w="385" w:type="pct"/>
                  <w:noWrap/>
                  <w:vAlign w:val="center"/>
                </w:tcPr>
                <w:p w14:paraId="306B369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restart"/>
                  <w:noWrap/>
                  <w:vAlign w:val="center"/>
                </w:tcPr>
                <w:p w14:paraId="3EB1A8C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昼</w:t>
                  </w:r>
                  <w:r>
                    <w:rPr>
                      <w:rFonts w:hint="default" w:ascii="Times New Roman" w:hAnsi="Times New Roman" w:eastAsia="宋体" w:cs="Times New Roman"/>
                      <w:color w:val="auto"/>
                      <w:sz w:val="18"/>
                      <w:szCs w:val="18"/>
                      <w:lang w:val="en-US" w:eastAsia="zh-CN"/>
                    </w:rPr>
                    <w:t>夜</w:t>
                  </w:r>
                </w:p>
              </w:tc>
              <w:tc>
                <w:tcPr>
                  <w:tcW w:w="360" w:type="pct"/>
                  <w:vMerge w:val="restart"/>
                  <w:noWrap/>
                  <w:vAlign w:val="center"/>
                </w:tcPr>
                <w:p w14:paraId="0C36C9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26</w:t>
                  </w:r>
                </w:p>
              </w:tc>
              <w:tc>
                <w:tcPr>
                  <w:tcW w:w="382" w:type="pct"/>
                  <w:noWrap/>
                  <w:vAlign w:val="center"/>
                </w:tcPr>
                <w:p w14:paraId="6715A29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restart"/>
                  <w:noWrap/>
                  <w:vAlign w:val="center"/>
                </w:tcPr>
                <w:p w14:paraId="6E5D534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r>
            <w:tr w14:paraId="30CA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7D449F0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40DD662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2AF24D6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15AC5C2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74" w:type="pct"/>
                  <w:vMerge w:val="continue"/>
                  <w:noWrap w:val="0"/>
                  <w:vAlign w:val="center"/>
                </w:tcPr>
                <w:p w14:paraId="4A65DF7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9" w:type="pct"/>
                  <w:vMerge w:val="continue"/>
                  <w:noWrap/>
                  <w:vAlign w:val="center"/>
                </w:tcPr>
                <w:p w14:paraId="6CD0B017">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4F2001D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5D86F77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56E5CE7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3FBD572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12.33</w:t>
                  </w:r>
                </w:p>
              </w:tc>
              <w:tc>
                <w:tcPr>
                  <w:tcW w:w="385" w:type="pct"/>
                  <w:noWrap/>
                  <w:vAlign w:val="center"/>
                </w:tcPr>
                <w:p w14:paraId="1F48EEE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119.13</w:t>
                  </w:r>
                </w:p>
              </w:tc>
              <w:tc>
                <w:tcPr>
                  <w:tcW w:w="267" w:type="pct"/>
                  <w:vMerge w:val="continue"/>
                  <w:noWrap/>
                  <w:vAlign w:val="center"/>
                </w:tcPr>
                <w:p w14:paraId="47BA2BB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0EF9FEF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82" w:type="pct"/>
                  <w:noWrap/>
                  <w:vAlign w:val="center"/>
                </w:tcPr>
                <w:p w14:paraId="6B4C953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93.13</w:t>
                  </w:r>
                </w:p>
              </w:tc>
              <w:tc>
                <w:tcPr>
                  <w:tcW w:w="373" w:type="pct"/>
                  <w:vMerge w:val="continue"/>
                  <w:noWrap/>
                  <w:vAlign w:val="center"/>
                </w:tcPr>
                <w:p w14:paraId="0F30D3C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3D3B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471FE34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2751A60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5223C49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6B65EDE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74" w:type="pct"/>
                  <w:vMerge w:val="continue"/>
                  <w:noWrap w:val="0"/>
                  <w:vAlign w:val="center"/>
                </w:tcPr>
                <w:p w14:paraId="59EE45D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9" w:type="pct"/>
                  <w:vMerge w:val="continue"/>
                  <w:noWrap/>
                  <w:vAlign w:val="center"/>
                </w:tcPr>
                <w:p w14:paraId="02B411C8">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035E68D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7192869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19D5996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12296BB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7.43</w:t>
                  </w:r>
                </w:p>
              </w:tc>
              <w:tc>
                <w:tcPr>
                  <w:tcW w:w="385" w:type="pct"/>
                  <w:noWrap/>
                  <w:vAlign w:val="center"/>
                </w:tcPr>
                <w:p w14:paraId="44D5752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continue"/>
                  <w:noWrap/>
                  <w:vAlign w:val="center"/>
                </w:tcPr>
                <w:p w14:paraId="1620C0D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0021B98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82" w:type="pct"/>
                  <w:noWrap/>
                  <w:vAlign w:val="center"/>
                </w:tcPr>
                <w:p w14:paraId="5D09E4F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continue"/>
                  <w:noWrap/>
                  <w:vAlign w:val="center"/>
                </w:tcPr>
                <w:p w14:paraId="3AA1B62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046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02BC64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37A7772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148010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140ABB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74" w:type="pct"/>
                  <w:vMerge w:val="continue"/>
                  <w:noWrap w:val="0"/>
                  <w:vAlign w:val="center"/>
                </w:tcPr>
                <w:p w14:paraId="5BB1E8A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9" w:type="pct"/>
                  <w:vMerge w:val="continue"/>
                  <w:noWrap/>
                  <w:vAlign w:val="center"/>
                </w:tcPr>
                <w:p w14:paraId="59F8140A">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5A09990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005E87E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0C0C551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4C5BE3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9.14</w:t>
                  </w:r>
                </w:p>
              </w:tc>
              <w:tc>
                <w:tcPr>
                  <w:tcW w:w="385" w:type="pct"/>
                  <w:noWrap/>
                  <w:vAlign w:val="center"/>
                </w:tcPr>
                <w:p w14:paraId="6405630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continue"/>
                  <w:noWrap/>
                  <w:vAlign w:val="center"/>
                </w:tcPr>
                <w:p w14:paraId="48D6B05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686E7F9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82" w:type="pct"/>
                  <w:noWrap/>
                  <w:vAlign w:val="center"/>
                </w:tcPr>
                <w:p w14:paraId="1F2B06F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continue"/>
                  <w:noWrap/>
                  <w:vAlign w:val="center"/>
                </w:tcPr>
                <w:p w14:paraId="401119A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455E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1CBB919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59" w:type="pct"/>
                  <w:vMerge w:val="continue"/>
                  <w:noWrap/>
                  <w:vAlign w:val="center"/>
                </w:tcPr>
                <w:p w14:paraId="5EB2E66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restart"/>
                  <w:noWrap/>
                  <w:vAlign w:val="center"/>
                </w:tcPr>
                <w:p w14:paraId="15FEE6C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柴油</w:t>
                  </w:r>
                  <w:r>
                    <w:rPr>
                      <w:rFonts w:hint="default" w:ascii="Times New Roman" w:hAnsi="Times New Roman" w:eastAsia="宋体" w:cs="Times New Roman"/>
                      <w:color w:val="auto"/>
                      <w:sz w:val="18"/>
                      <w:szCs w:val="18"/>
                    </w:rPr>
                    <w:t>发电机</w:t>
                  </w:r>
                  <w:r>
                    <w:rPr>
                      <w:rFonts w:hint="default" w:ascii="Times New Roman" w:hAnsi="Times New Roman" w:eastAsia="宋体" w:cs="Times New Roman"/>
                      <w:color w:val="auto"/>
                      <w:sz w:val="18"/>
                      <w:szCs w:val="18"/>
                      <w:lang w:val="en-US" w:eastAsia="zh-CN"/>
                    </w:rPr>
                    <w:t>2</w:t>
                  </w:r>
                </w:p>
              </w:tc>
              <w:tc>
                <w:tcPr>
                  <w:tcW w:w="196" w:type="pct"/>
                  <w:vMerge w:val="restart"/>
                  <w:noWrap/>
                  <w:vAlign w:val="center"/>
                </w:tcPr>
                <w:p w14:paraId="25074E6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474" w:type="pct"/>
                  <w:vMerge w:val="restart"/>
                  <w:noWrap w:val="0"/>
                  <w:vAlign w:val="center"/>
                </w:tcPr>
                <w:p w14:paraId="5618F20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100/5</w:t>
                  </w:r>
                </w:p>
              </w:tc>
              <w:tc>
                <w:tcPr>
                  <w:tcW w:w="449" w:type="pct"/>
                  <w:vMerge w:val="continue"/>
                  <w:noWrap/>
                  <w:vAlign w:val="center"/>
                </w:tcPr>
                <w:p w14:paraId="669BA8D4">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restart"/>
                  <w:noWrap/>
                  <w:vAlign w:val="center"/>
                </w:tcPr>
                <w:p w14:paraId="49944B9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-2.59</w:t>
                  </w:r>
                </w:p>
              </w:tc>
              <w:tc>
                <w:tcPr>
                  <w:tcW w:w="295" w:type="pct"/>
                  <w:vMerge w:val="restart"/>
                  <w:noWrap/>
                  <w:vAlign w:val="center"/>
                </w:tcPr>
                <w:p w14:paraId="3A9B1ED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37.48</w:t>
                  </w:r>
                </w:p>
              </w:tc>
              <w:tc>
                <w:tcPr>
                  <w:tcW w:w="256" w:type="pct"/>
                  <w:vMerge w:val="restart"/>
                  <w:noWrap/>
                  <w:vAlign w:val="center"/>
                </w:tcPr>
                <w:p w14:paraId="5E5DC7C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w:t>
                  </w:r>
                </w:p>
              </w:tc>
              <w:tc>
                <w:tcPr>
                  <w:tcW w:w="373" w:type="pct"/>
                  <w:noWrap/>
                  <w:vAlign w:val="center"/>
                </w:tcPr>
                <w:p w14:paraId="303EBF1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7.73</w:t>
                  </w:r>
                </w:p>
              </w:tc>
              <w:tc>
                <w:tcPr>
                  <w:tcW w:w="385" w:type="pct"/>
                  <w:noWrap/>
                  <w:vAlign w:val="center"/>
                </w:tcPr>
                <w:p w14:paraId="19CDE87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restart"/>
                  <w:noWrap/>
                  <w:vAlign w:val="center"/>
                </w:tcPr>
                <w:p w14:paraId="36BF96B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昼夜</w:t>
                  </w:r>
                </w:p>
              </w:tc>
              <w:tc>
                <w:tcPr>
                  <w:tcW w:w="360" w:type="pct"/>
                  <w:vMerge w:val="restart"/>
                  <w:noWrap/>
                  <w:vAlign w:val="center"/>
                </w:tcPr>
                <w:p w14:paraId="3B65ACE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26</w:t>
                  </w:r>
                </w:p>
              </w:tc>
              <w:tc>
                <w:tcPr>
                  <w:tcW w:w="382" w:type="pct"/>
                  <w:noWrap/>
                  <w:vAlign w:val="center"/>
                </w:tcPr>
                <w:p w14:paraId="2525F40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restart"/>
                  <w:noWrap/>
                  <w:vAlign w:val="center"/>
                </w:tcPr>
                <w:p w14:paraId="20F5E39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r>
            <w:tr w14:paraId="64D4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0DC2029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4E9082D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62CAA17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F9B99A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74" w:type="pct"/>
                  <w:vMerge w:val="continue"/>
                  <w:noWrap w:val="0"/>
                  <w:vAlign w:val="center"/>
                </w:tcPr>
                <w:p w14:paraId="68469CE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9" w:type="pct"/>
                  <w:vMerge w:val="continue"/>
                  <w:noWrap/>
                  <w:vAlign w:val="center"/>
                </w:tcPr>
                <w:p w14:paraId="3710A71F">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41781BF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564029A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33C7A75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2DCEB3D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9.01</w:t>
                  </w:r>
                </w:p>
              </w:tc>
              <w:tc>
                <w:tcPr>
                  <w:tcW w:w="385" w:type="pct"/>
                  <w:noWrap/>
                  <w:vAlign w:val="center"/>
                </w:tcPr>
                <w:p w14:paraId="71D75BB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continue"/>
                  <w:noWrap/>
                  <w:vAlign w:val="center"/>
                </w:tcPr>
                <w:p w14:paraId="58B4A82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40AB0A8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82" w:type="pct"/>
                  <w:noWrap/>
                  <w:vAlign w:val="center"/>
                </w:tcPr>
                <w:p w14:paraId="3D84E70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continue"/>
                  <w:noWrap/>
                  <w:vAlign w:val="center"/>
                </w:tcPr>
                <w:p w14:paraId="40D5404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407C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D9D024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34AE52F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3029BB2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2B4C43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74" w:type="pct"/>
                  <w:vMerge w:val="continue"/>
                  <w:noWrap w:val="0"/>
                  <w:vAlign w:val="center"/>
                </w:tcPr>
                <w:p w14:paraId="666F021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9" w:type="pct"/>
                  <w:vMerge w:val="continue"/>
                  <w:noWrap/>
                  <w:vAlign w:val="center"/>
                </w:tcPr>
                <w:p w14:paraId="0D9C6B4A">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4A92933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5E22BE1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3627BC8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37D639E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7.50</w:t>
                  </w:r>
                </w:p>
              </w:tc>
              <w:tc>
                <w:tcPr>
                  <w:tcW w:w="385" w:type="pct"/>
                  <w:noWrap/>
                  <w:vAlign w:val="center"/>
                </w:tcPr>
                <w:p w14:paraId="02F154B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119.14</w:t>
                  </w:r>
                </w:p>
              </w:tc>
              <w:tc>
                <w:tcPr>
                  <w:tcW w:w="267" w:type="pct"/>
                  <w:vMerge w:val="continue"/>
                  <w:noWrap/>
                  <w:vAlign w:val="center"/>
                </w:tcPr>
                <w:p w14:paraId="6F1FF8F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575293C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82" w:type="pct"/>
                  <w:noWrap/>
                  <w:vAlign w:val="center"/>
                </w:tcPr>
                <w:p w14:paraId="20EA043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93.14</w:t>
                  </w:r>
                </w:p>
              </w:tc>
              <w:tc>
                <w:tcPr>
                  <w:tcW w:w="373" w:type="pct"/>
                  <w:vMerge w:val="continue"/>
                  <w:noWrap/>
                  <w:vAlign w:val="center"/>
                </w:tcPr>
                <w:p w14:paraId="2EE38B6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2077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2A43633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59" w:type="pct"/>
                  <w:vMerge w:val="continue"/>
                  <w:noWrap/>
                  <w:vAlign w:val="center"/>
                </w:tcPr>
                <w:p w14:paraId="045F904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090E2DD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196" w:type="pct"/>
                  <w:vMerge w:val="continue"/>
                  <w:noWrap/>
                  <w:vAlign w:val="center"/>
                </w:tcPr>
                <w:p w14:paraId="217A277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74" w:type="pct"/>
                  <w:vMerge w:val="continue"/>
                  <w:noWrap w:val="0"/>
                  <w:vAlign w:val="center"/>
                </w:tcPr>
                <w:p w14:paraId="7260C96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49" w:type="pct"/>
                  <w:vMerge w:val="continue"/>
                  <w:noWrap/>
                  <w:vAlign w:val="center"/>
                </w:tcPr>
                <w:p w14:paraId="2A6F9CA6">
                  <w:pPr>
                    <w:pStyle w:val="55"/>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3D85CFF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2E3ADB7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60B45DD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495C16F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12.46</w:t>
                  </w:r>
                </w:p>
              </w:tc>
              <w:tc>
                <w:tcPr>
                  <w:tcW w:w="385" w:type="pct"/>
                  <w:noWrap/>
                  <w:vAlign w:val="center"/>
                </w:tcPr>
                <w:p w14:paraId="6FDFC03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119.13</w:t>
                  </w:r>
                </w:p>
              </w:tc>
              <w:tc>
                <w:tcPr>
                  <w:tcW w:w="267" w:type="pct"/>
                  <w:vMerge w:val="continue"/>
                  <w:noWrap/>
                  <w:vAlign w:val="center"/>
                </w:tcPr>
                <w:p w14:paraId="7C1EB1E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60" w:type="pct"/>
                  <w:vMerge w:val="continue"/>
                  <w:noWrap/>
                  <w:vAlign w:val="center"/>
                </w:tcPr>
                <w:p w14:paraId="6D417FB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82" w:type="pct"/>
                  <w:noWrap/>
                  <w:vAlign w:val="center"/>
                </w:tcPr>
                <w:p w14:paraId="668B1DC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93.13</w:t>
                  </w:r>
                </w:p>
              </w:tc>
              <w:tc>
                <w:tcPr>
                  <w:tcW w:w="373" w:type="pct"/>
                  <w:vMerge w:val="continue"/>
                  <w:noWrap/>
                  <w:vAlign w:val="center"/>
                </w:tcPr>
                <w:p w14:paraId="4A38BA7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r>
            <w:tr w14:paraId="70F4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4AC8B288">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3</w:t>
                  </w:r>
                </w:p>
              </w:tc>
              <w:tc>
                <w:tcPr>
                  <w:tcW w:w="359" w:type="pct"/>
                  <w:vMerge w:val="restart"/>
                  <w:noWrap/>
                  <w:vAlign w:val="center"/>
                </w:tcPr>
                <w:p w14:paraId="2F19AC73">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锅炉房</w:t>
                  </w:r>
                </w:p>
              </w:tc>
              <w:tc>
                <w:tcPr>
                  <w:tcW w:w="319" w:type="pct"/>
                  <w:vMerge w:val="restart"/>
                  <w:noWrap/>
                  <w:vAlign w:val="center"/>
                </w:tcPr>
                <w:p w14:paraId="0DCC9DAB">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蒸汽锅炉（含风机）</w:t>
                  </w:r>
                </w:p>
              </w:tc>
              <w:tc>
                <w:tcPr>
                  <w:tcW w:w="196" w:type="pct"/>
                  <w:vMerge w:val="restart"/>
                  <w:noWrap/>
                  <w:vAlign w:val="center"/>
                </w:tcPr>
                <w:p w14:paraId="1B9AE798">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c>
                <w:tcPr>
                  <w:tcW w:w="474" w:type="pct"/>
                  <w:vMerge w:val="restart"/>
                  <w:noWrap w:val="0"/>
                  <w:vAlign w:val="center"/>
                </w:tcPr>
                <w:p w14:paraId="79871BC8">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70/5</w:t>
                  </w:r>
                </w:p>
              </w:tc>
              <w:tc>
                <w:tcPr>
                  <w:tcW w:w="449" w:type="pct"/>
                  <w:vMerge w:val="continue"/>
                  <w:noWrap/>
                  <w:vAlign w:val="center"/>
                </w:tcPr>
                <w:p w14:paraId="5F6F0012">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restart"/>
                  <w:noWrap/>
                  <w:vAlign w:val="center"/>
                </w:tcPr>
                <w:p w14:paraId="34B2179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22.53</w:t>
                  </w:r>
                </w:p>
              </w:tc>
              <w:tc>
                <w:tcPr>
                  <w:tcW w:w="295" w:type="pct"/>
                  <w:vMerge w:val="restart"/>
                  <w:noWrap/>
                  <w:vAlign w:val="center"/>
                </w:tcPr>
                <w:p w14:paraId="685F352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6.63</w:t>
                  </w:r>
                </w:p>
              </w:tc>
              <w:tc>
                <w:tcPr>
                  <w:tcW w:w="256" w:type="pct"/>
                  <w:vMerge w:val="restart"/>
                  <w:noWrap/>
                  <w:vAlign w:val="center"/>
                </w:tcPr>
                <w:p w14:paraId="48E5621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rPr>
                    <w:t>1</w:t>
                  </w:r>
                </w:p>
              </w:tc>
              <w:tc>
                <w:tcPr>
                  <w:tcW w:w="373" w:type="pct"/>
                  <w:noWrap/>
                  <w:vAlign w:val="center"/>
                </w:tcPr>
                <w:p w14:paraId="7BDF4C7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4.63</w:t>
                  </w:r>
                </w:p>
              </w:tc>
              <w:tc>
                <w:tcPr>
                  <w:tcW w:w="385" w:type="pct"/>
                  <w:noWrap/>
                  <w:vAlign w:val="center"/>
                </w:tcPr>
                <w:p w14:paraId="7ABDC5C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92.68</w:t>
                  </w:r>
                </w:p>
              </w:tc>
              <w:tc>
                <w:tcPr>
                  <w:tcW w:w="267" w:type="pct"/>
                  <w:vMerge w:val="restart"/>
                  <w:noWrap/>
                  <w:vAlign w:val="center"/>
                </w:tcPr>
                <w:p w14:paraId="738995A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昼间</w:t>
                  </w:r>
                </w:p>
              </w:tc>
              <w:tc>
                <w:tcPr>
                  <w:tcW w:w="360" w:type="pct"/>
                  <w:vMerge w:val="restart"/>
                  <w:noWrap/>
                  <w:vAlign w:val="center"/>
                </w:tcPr>
                <w:p w14:paraId="22F986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26</w:t>
                  </w:r>
                </w:p>
              </w:tc>
              <w:tc>
                <w:tcPr>
                  <w:tcW w:w="382" w:type="pct"/>
                  <w:noWrap/>
                  <w:vAlign w:val="center"/>
                </w:tcPr>
                <w:p w14:paraId="15F7DEA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66.68</w:t>
                  </w:r>
                </w:p>
              </w:tc>
              <w:tc>
                <w:tcPr>
                  <w:tcW w:w="373" w:type="pct"/>
                  <w:vMerge w:val="restart"/>
                  <w:noWrap/>
                  <w:vAlign w:val="center"/>
                </w:tcPr>
                <w:p w14:paraId="037D8B50">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w:t>
                  </w:r>
                </w:p>
              </w:tc>
            </w:tr>
            <w:tr w14:paraId="457B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527FF65F">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59" w:type="pct"/>
                  <w:vMerge w:val="continue"/>
                  <w:noWrap/>
                  <w:vAlign w:val="center"/>
                </w:tcPr>
                <w:p w14:paraId="1435DF7A">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19" w:type="pct"/>
                  <w:vMerge w:val="continue"/>
                  <w:noWrap/>
                  <w:vAlign w:val="center"/>
                </w:tcPr>
                <w:p w14:paraId="53305FBF">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196" w:type="pct"/>
                  <w:vMerge w:val="continue"/>
                  <w:noWrap/>
                  <w:vAlign w:val="center"/>
                </w:tcPr>
                <w:p w14:paraId="4CDC9C0A">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74" w:type="pct"/>
                  <w:vMerge w:val="continue"/>
                  <w:noWrap w:val="0"/>
                  <w:vAlign w:val="center"/>
                </w:tcPr>
                <w:p w14:paraId="4CF0406D">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49" w:type="pct"/>
                  <w:vMerge w:val="continue"/>
                  <w:noWrap/>
                  <w:vAlign w:val="center"/>
                </w:tcPr>
                <w:p w14:paraId="3E1F4F3F">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0748069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1C8F0E0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30E55CF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2BEF46C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4.15</w:t>
                  </w:r>
                </w:p>
              </w:tc>
              <w:tc>
                <w:tcPr>
                  <w:tcW w:w="385" w:type="pct"/>
                  <w:noWrap/>
                  <w:vAlign w:val="center"/>
                </w:tcPr>
                <w:p w14:paraId="53BD191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92.69</w:t>
                  </w:r>
                </w:p>
              </w:tc>
              <w:tc>
                <w:tcPr>
                  <w:tcW w:w="267" w:type="pct"/>
                  <w:vMerge w:val="continue"/>
                  <w:noWrap/>
                  <w:vAlign w:val="center"/>
                </w:tcPr>
                <w:p w14:paraId="2245CF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360" w:type="pct"/>
                  <w:vMerge w:val="continue"/>
                  <w:noWrap/>
                  <w:vAlign w:val="center"/>
                </w:tcPr>
                <w:p w14:paraId="2D042F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c>
                <w:tcPr>
                  <w:tcW w:w="382" w:type="pct"/>
                  <w:noWrap/>
                  <w:vAlign w:val="center"/>
                </w:tcPr>
                <w:p w14:paraId="0B5DBEC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66.69</w:t>
                  </w:r>
                </w:p>
              </w:tc>
              <w:tc>
                <w:tcPr>
                  <w:tcW w:w="373" w:type="pct"/>
                  <w:vMerge w:val="continue"/>
                  <w:noWrap/>
                  <w:vAlign w:val="center"/>
                </w:tcPr>
                <w:p w14:paraId="76EC8FFF">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r>
            <w:tr w14:paraId="39C3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3D0B13F4">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59" w:type="pct"/>
                  <w:vMerge w:val="continue"/>
                  <w:noWrap/>
                  <w:vAlign w:val="center"/>
                </w:tcPr>
                <w:p w14:paraId="3320FDB2">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19" w:type="pct"/>
                  <w:vMerge w:val="continue"/>
                  <w:noWrap/>
                  <w:vAlign w:val="center"/>
                </w:tcPr>
                <w:p w14:paraId="2E48A9C1">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196" w:type="pct"/>
                  <w:vMerge w:val="continue"/>
                  <w:noWrap/>
                  <w:vAlign w:val="center"/>
                </w:tcPr>
                <w:p w14:paraId="5B814C2D">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74" w:type="pct"/>
                  <w:vMerge w:val="continue"/>
                  <w:noWrap w:val="0"/>
                  <w:vAlign w:val="center"/>
                </w:tcPr>
                <w:p w14:paraId="1ACE00A8">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49" w:type="pct"/>
                  <w:vMerge w:val="continue"/>
                  <w:noWrap/>
                  <w:vAlign w:val="center"/>
                </w:tcPr>
                <w:p w14:paraId="68331916">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527DA39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2361DD8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5FB44DF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0B5939E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5.22</w:t>
                  </w:r>
                </w:p>
              </w:tc>
              <w:tc>
                <w:tcPr>
                  <w:tcW w:w="385" w:type="pct"/>
                  <w:noWrap/>
                  <w:vAlign w:val="center"/>
                </w:tcPr>
                <w:p w14:paraId="5CC0AFE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92.67</w:t>
                  </w:r>
                </w:p>
              </w:tc>
              <w:tc>
                <w:tcPr>
                  <w:tcW w:w="267" w:type="pct"/>
                  <w:vMerge w:val="continue"/>
                  <w:noWrap/>
                  <w:vAlign w:val="center"/>
                </w:tcPr>
                <w:p w14:paraId="0C39B3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360" w:type="pct"/>
                  <w:vMerge w:val="continue"/>
                  <w:noWrap/>
                  <w:vAlign w:val="center"/>
                </w:tcPr>
                <w:p w14:paraId="2287DA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c>
                <w:tcPr>
                  <w:tcW w:w="382" w:type="pct"/>
                  <w:noWrap/>
                  <w:vAlign w:val="center"/>
                </w:tcPr>
                <w:p w14:paraId="1160097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66.67</w:t>
                  </w:r>
                </w:p>
              </w:tc>
              <w:tc>
                <w:tcPr>
                  <w:tcW w:w="373" w:type="pct"/>
                  <w:vMerge w:val="continue"/>
                  <w:noWrap/>
                  <w:vAlign w:val="center"/>
                </w:tcPr>
                <w:p w14:paraId="1DF2B8C9">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r>
            <w:tr w14:paraId="7219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61CF8F77">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59" w:type="pct"/>
                  <w:vMerge w:val="continue"/>
                  <w:noWrap/>
                  <w:vAlign w:val="center"/>
                </w:tcPr>
                <w:p w14:paraId="43F59ECF">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319" w:type="pct"/>
                  <w:vMerge w:val="continue"/>
                  <w:noWrap/>
                  <w:vAlign w:val="center"/>
                </w:tcPr>
                <w:p w14:paraId="7195CB70">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196" w:type="pct"/>
                  <w:vMerge w:val="continue"/>
                  <w:noWrap/>
                  <w:vAlign w:val="center"/>
                </w:tcPr>
                <w:p w14:paraId="2B780B4C">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74" w:type="pct"/>
                  <w:vMerge w:val="continue"/>
                  <w:noWrap w:val="0"/>
                  <w:vAlign w:val="center"/>
                </w:tcPr>
                <w:p w14:paraId="6B52225E">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18"/>
                      <w:szCs w:val="18"/>
                      <w:lang w:val="en-US" w:eastAsia="zh-CN"/>
                    </w:rPr>
                  </w:pPr>
                </w:p>
              </w:tc>
              <w:tc>
                <w:tcPr>
                  <w:tcW w:w="449" w:type="pct"/>
                  <w:vMerge w:val="continue"/>
                  <w:noWrap/>
                  <w:vAlign w:val="center"/>
                </w:tcPr>
                <w:p w14:paraId="63F8F68D">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b w:val="0"/>
                      <w:color w:val="auto"/>
                      <w:kern w:val="0"/>
                      <w:sz w:val="18"/>
                      <w:szCs w:val="18"/>
                      <w:highlight w:val="none"/>
                      <w:lang w:val="en-US" w:eastAsia="zh-CN" w:bidi="ar"/>
                    </w:rPr>
                  </w:pPr>
                </w:p>
              </w:tc>
              <w:tc>
                <w:tcPr>
                  <w:tcW w:w="308" w:type="pct"/>
                  <w:vMerge w:val="continue"/>
                  <w:noWrap/>
                  <w:vAlign w:val="center"/>
                </w:tcPr>
                <w:p w14:paraId="20257F1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7F661EF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1CCC6AD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69E89FB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3.66</w:t>
                  </w:r>
                </w:p>
              </w:tc>
              <w:tc>
                <w:tcPr>
                  <w:tcW w:w="385" w:type="pct"/>
                  <w:noWrap/>
                  <w:vAlign w:val="center"/>
                </w:tcPr>
                <w:p w14:paraId="1B0A01B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92.71</w:t>
                  </w:r>
                </w:p>
              </w:tc>
              <w:tc>
                <w:tcPr>
                  <w:tcW w:w="267" w:type="pct"/>
                  <w:vMerge w:val="continue"/>
                  <w:noWrap/>
                  <w:vAlign w:val="center"/>
                </w:tcPr>
                <w:p w14:paraId="5D57ED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rPr>
                  </w:pPr>
                </w:p>
              </w:tc>
              <w:tc>
                <w:tcPr>
                  <w:tcW w:w="360" w:type="pct"/>
                  <w:vMerge w:val="continue"/>
                  <w:noWrap/>
                  <w:vAlign w:val="center"/>
                </w:tcPr>
                <w:p w14:paraId="1088B7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c>
                <w:tcPr>
                  <w:tcW w:w="382" w:type="pct"/>
                  <w:noWrap/>
                  <w:vAlign w:val="center"/>
                </w:tcPr>
                <w:p w14:paraId="464C75C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66.71</w:t>
                  </w:r>
                </w:p>
              </w:tc>
              <w:tc>
                <w:tcPr>
                  <w:tcW w:w="373" w:type="pct"/>
                  <w:vMerge w:val="continue"/>
                  <w:noWrap/>
                  <w:vAlign w:val="center"/>
                </w:tcPr>
                <w:p w14:paraId="62D07646">
                  <w:pPr>
                    <w:pStyle w:val="55"/>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18"/>
                      <w:szCs w:val="18"/>
                      <w:lang w:val="en-US" w:eastAsia="zh-CN"/>
                    </w:rPr>
                  </w:pPr>
                </w:p>
              </w:tc>
            </w:tr>
            <w:tr w14:paraId="229A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15"/>
                  <w:noWrap/>
                  <w:vAlign w:val="center"/>
                </w:tcPr>
                <w:p w14:paraId="14C21A6B">
                  <w:pPr>
                    <w:pStyle w:val="55"/>
                    <w:keepNext w:val="0"/>
                    <w:keepLines w:val="0"/>
                    <w:suppressLineNumbers w:val="0"/>
                    <w:spacing w:before="0" w:beforeAutospacing="0" w:after="0" w:afterAutospacing="0"/>
                    <w:ind w:left="0" w:right="0"/>
                    <w:jc w:val="left"/>
                    <w:rPr>
                      <w:rFonts w:hint="eastAsia" w:cs="Times New Roman"/>
                      <w:color w:val="auto"/>
                      <w:lang w:val="en-US" w:eastAsia="zh-CN" w:bidi="ar"/>
                    </w:rPr>
                  </w:pPr>
                  <w:r>
                    <w:rPr>
                      <w:rFonts w:hint="eastAsia" w:cs="Times New Roman"/>
                      <w:color w:val="auto"/>
                      <w:lang w:val="en-US" w:eastAsia="zh-CN" w:bidi="ar"/>
                    </w:rPr>
                    <w:t>注：①以井口为坐标原点；</w:t>
                  </w:r>
                </w:p>
                <w:p w14:paraId="409048C1">
                  <w:pPr>
                    <w:pStyle w:val="55"/>
                    <w:keepNext w:val="0"/>
                    <w:keepLines w:val="0"/>
                    <w:suppressLineNumbers w:val="0"/>
                    <w:spacing w:before="0" w:beforeAutospacing="0" w:after="0" w:afterAutospacing="0"/>
                    <w:ind w:left="0" w:right="0" w:firstLine="420" w:firstLineChars="200"/>
                    <w:jc w:val="left"/>
                    <w:rPr>
                      <w:rFonts w:hint="default" w:ascii="Times New Roman" w:hAnsi="Times New Roman" w:eastAsia="宋体" w:cs="Times New Roman"/>
                      <w:color w:val="auto"/>
                      <w:sz w:val="18"/>
                      <w:szCs w:val="18"/>
                      <w:lang w:val="en-US" w:eastAsia="zh-CN"/>
                    </w:rPr>
                  </w:pPr>
                  <w:r>
                    <w:rPr>
                      <w:rFonts w:hint="eastAsia" w:cs="Times New Roman"/>
                      <w:color w:val="auto"/>
                      <w:lang w:val="en-US" w:eastAsia="zh-CN" w:bidi="ar"/>
                    </w:rPr>
                    <w:t>②柴油发电机在情景二、情景四涉及，蒸汽锅炉在情景七涉及。</w:t>
                  </w:r>
                </w:p>
              </w:tc>
            </w:tr>
          </w:tbl>
          <w:p w14:paraId="775D96F4">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声环境影响分析</w:t>
            </w:r>
          </w:p>
          <w:p w14:paraId="686B9D3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1）噪声评价方法</w:t>
            </w:r>
          </w:p>
          <w:p w14:paraId="03EF50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某一分区等效为点声源的条件：①分区内声源有大致相同的强度和离地面的高度、到预测点有相同的传播条件；②等效点声源到预测点的距离（d）应大于声源最大尺寸（Hmax）2倍（d&gt;2Hmax）。井场在设备摆放时，相同</w:t>
            </w:r>
            <w:r>
              <w:rPr>
                <w:rFonts w:hint="eastAsia" w:ascii="Times New Roman" w:hAnsi="Times New Roman" w:cs="Times New Roman"/>
                <w:bCs/>
                <w:color w:val="auto"/>
                <w:sz w:val="24"/>
              </w:rPr>
              <w:t>设备</w:t>
            </w:r>
            <w:r>
              <w:rPr>
                <w:rFonts w:hint="default" w:ascii="Times New Roman" w:hAnsi="Times New Roman" w:cs="Times New Roman"/>
                <w:bCs/>
                <w:color w:val="auto"/>
                <w:sz w:val="24"/>
              </w:rPr>
              <w:t>并列摆放，设备之间距离较近，且噪声设备到预测点的距离远大于噪声设备声源最大尺寸的2倍，满足等效为点声源的条件，因此多台并列摆放的相同设备进行噪声叠加。</w:t>
            </w:r>
          </w:p>
          <w:p w14:paraId="7CF8A49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次评价以所有钻井设备均开机运行，并按各设备最大声级进行预测，多台相同设备进行噪声叠加，然后评价各噪声源通过噪声衰减模式计算对不同预测点的噪声贡献值，再将各自预测点的噪声贡献值叠加即得到本项目对各预测点的噪声贡献值，并进行达标分析。本评价按钻井过程各阶段产生的噪声分别对评价范围内的各敏感目标的影响进行预测。</w:t>
            </w:r>
          </w:p>
          <w:p w14:paraId="7BCDE59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2）噪声预测</w:t>
            </w:r>
          </w:p>
          <w:p w14:paraId="4B05F0E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①声源描述</w:t>
            </w:r>
          </w:p>
          <w:p w14:paraId="2611610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声环境影响预测，一般采用声源的倍频带声功率级、A声功率级或靠近声源某一位置的倍频带声压级、A声级来预测计算距声源不同距离的声级。</w:t>
            </w:r>
          </w:p>
          <w:p w14:paraId="10A66C3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②室外声源在预测点产生的声级计算</w:t>
            </w:r>
          </w:p>
          <w:p w14:paraId="3076C17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按照无指向性点声源几何发散衰减进行计算：</w:t>
            </w:r>
          </w:p>
          <w:p w14:paraId="3E0F52D5">
            <w:pPr>
              <w:keepNext w:val="0"/>
              <w:keepLines w:val="0"/>
              <w:suppressLineNumbers w:val="0"/>
              <w:spacing w:before="0" w:beforeAutospacing="0" w:after="0" w:afterAutospacing="0" w:line="360" w:lineRule="auto"/>
              <w:ind w:left="0" w:right="0" w:firstLine="105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14"/>
                <w:szCs w:val="22"/>
              </w:rPr>
              <w:object>
                <v:shape id="_x0000_i1036" o:spt="75" type="#_x0000_t75" style="height:21.6pt;width:144pt;" o:ole="t" filled="f" o:preferrelative="t" stroked="f" coordsize="21600,21600">
                  <v:path/>
                  <v:fill on="f" focussize="0,0"/>
                  <v:stroke on="f"/>
                  <v:imagedata r:id="rId37" o:title=""/>
                  <o:lock v:ext="edit" aspectratio="t"/>
                  <w10:wrap type="none"/>
                  <w10:anchorlock/>
                </v:shape>
                <o:OLEObject Type="Embed" ProgID="Equation.DSMT4" ShapeID="_x0000_i1036" DrawAspect="Content" ObjectID="_1468075736" r:id="rId44">
                  <o:LockedField>false</o:LockedField>
                </o:OLEObject>
              </w:object>
            </w:r>
          </w:p>
          <w:p w14:paraId="5E33C5C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）—预测点处声压级，dB；</w:t>
            </w:r>
          </w:p>
          <w:p w14:paraId="70F76E88">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i/>
                <w:color w:val="auto"/>
                <w:sz w:val="24"/>
                <w:vertAlign w:val="subscript"/>
              </w:rPr>
              <w:t>0</w:t>
            </w:r>
            <w:r>
              <w:rPr>
                <w:rFonts w:hint="default" w:ascii="Times New Roman" w:hAnsi="Times New Roman" w:cs="Times New Roman"/>
                <w:bCs/>
                <w:color w:val="auto"/>
                <w:sz w:val="24"/>
              </w:rPr>
              <w:t>）—参考位置</w:t>
            </w: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处的声压级，dB；</w:t>
            </w:r>
          </w:p>
          <w:p w14:paraId="772A9334">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—预测点距声源的距离，m；</w:t>
            </w:r>
          </w:p>
          <w:p w14:paraId="4C98FADE">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—参考位置距声源的距离，m。</w:t>
            </w:r>
          </w:p>
          <w:p w14:paraId="734BEF4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③噪声计算</w:t>
            </w:r>
          </w:p>
          <w:p w14:paraId="2BC66FD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设第</w:t>
            </w:r>
            <w:r>
              <w:rPr>
                <w:rFonts w:hint="default" w:ascii="Times New Roman" w:hAnsi="Times New Roman" w:cs="Times New Roman"/>
                <w:bCs/>
                <w:i/>
                <w:color w:val="auto"/>
                <w:sz w:val="24"/>
              </w:rPr>
              <w:t>i</w:t>
            </w:r>
            <w:r>
              <w:rPr>
                <w:rFonts w:hint="default" w:ascii="Times New Roman" w:hAnsi="Times New Roman" w:cs="Times New Roman"/>
                <w:bCs/>
                <w:color w:val="auto"/>
                <w:sz w:val="24"/>
              </w:rPr>
              <w:t>个室外声源在预测点产生的A声级为</w:t>
            </w:r>
            <w:r>
              <w:rPr>
                <w:rFonts w:hint="default" w:ascii="Times New Roman" w:hAnsi="Times New Roman" w:cs="Times New Roman"/>
                <w:bCs/>
                <w:i/>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，第</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个等效室外声源在预测点产生的A声级为</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j</w:t>
            </w:r>
            <w:r>
              <w:rPr>
                <w:rFonts w:hint="default" w:ascii="Times New Roman" w:hAnsi="Times New Roman" w:cs="Times New Roman"/>
                <w:bCs/>
                <w:color w:val="auto"/>
                <w:sz w:val="24"/>
              </w:rPr>
              <w:t>，则拟建工程声源对预测点产生的贡献值（</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）为：</w:t>
            </w:r>
          </w:p>
          <w:p w14:paraId="7C87BC89">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34"/>
                <w:sz w:val="24"/>
              </w:rPr>
              <w:object>
                <v:shape id="_x0000_i1037" o:spt="75" type="#_x0000_t75" style="height:43.2pt;width:208.8pt;" o:ole="t" filled="f" o:preferrelative="t" stroked="f" coordsize="21600,21600">
                  <v:path/>
                  <v:fill on="f" focussize="0,0"/>
                  <v:stroke on="f"/>
                  <v:imagedata r:id="rId39" o:title=""/>
                  <o:lock v:ext="edit" aspectratio="t"/>
                  <w10:wrap type="none"/>
                  <w10:anchorlock/>
                </v:shape>
                <o:OLEObject Type="Embed" ProgID="Equation.DSMT4" ShapeID="_x0000_i1037" DrawAspect="Content" ObjectID="_1468075737" r:id="rId45">
                  <o:LockedField>false</o:LockedField>
                </o:OLEObject>
              </w:object>
            </w:r>
          </w:p>
          <w:p w14:paraId="23016A8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—建设项目声源在预测点产生的噪声贡献值，dB；</w:t>
            </w:r>
          </w:p>
          <w:p w14:paraId="4ACC2274">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T</w:t>
            </w:r>
            <w:r>
              <w:rPr>
                <w:rFonts w:hint="default" w:ascii="Times New Roman" w:hAnsi="Times New Roman" w:cs="Times New Roman"/>
                <w:bCs/>
                <w:color w:val="auto"/>
                <w:sz w:val="24"/>
              </w:rPr>
              <w:t>—用于计算等效声级的时间，s；</w:t>
            </w:r>
          </w:p>
          <w:p w14:paraId="333ED261">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N</w:t>
            </w:r>
            <w:r>
              <w:rPr>
                <w:rFonts w:hint="default" w:ascii="Times New Roman" w:hAnsi="Times New Roman" w:cs="Times New Roman"/>
                <w:bCs/>
                <w:color w:val="auto"/>
                <w:sz w:val="24"/>
              </w:rPr>
              <w:t>—室外声源个数；</w:t>
            </w:r>
          </w:p>
          <w:p w14:paraId="21DE30A6">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i</w:t>
            </w:r>
            <w:r>
              <w:rPr>
                <w:rFonts w:hint="default" w:ascii="Times New Roman" w:hAnsi="Times New Roman" w:cs="Times New Roman"/>
                <w:bCs/>
                <w:color w:val="auto"/>
                <w:sz w:val="24"/>
              </w:rPr>
              <w:t>声源工作时间，s；</w:t>
            </w:r>
          </w:p>
          <w:p w14:paraId="4CACFF76">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M</w:t>
            </w:r>
            <w:r>
              <w:rPr>
                <w:rFonts w:hint="default" w:ascii="Times New Roman" w:hAnsi="Times New Roman" w:cs="Times New Roman"/>
                <w:bCs/>
                <w:color w:val="auto"/>
                <w:sz w:val="24"/>
              </w:rPr>
              <w:t>—等效室外声源个数；</w:t>
            </w:r>
          </w:p>
          <w:p w14:paraId="013A07F7">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声源工作时间，s。</w:t>
            </w:r>
          </w:p>
          <w:p w14:paraId="47E878B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④预测值计算</w:t>
            </w:r>
          </w:p>
          <w:p w14:paraId="27A7AD0B">
            <w:pPr>
              <w:keepNext w:val="0"/>
              <w:keepLines w:val="0"/>
              <w:suppressLineNumbers w:val="0"/>
              <w:spacing w:before="0" w:beforeAutospacing="0" w:after="0" w:afterAutospacing="0" w:line="360" w:lineRule="auto"/>
              <w:ind w:left="0" w:right="0" w:firstLine="1050" w:firstLineChars="500"/>
              <w:jc w:val="left"/>
              <w:rPr>
                <w:rFonts w:hint="default" w:ascii="Times New Roman" w:hAnsi="Times New Roman" w:cs="Times New Roman"/>
                <w:color w:val="auto"/>
                <w:sz w:val="24"/>
              </w:rPr>
            </w:pPr>
            <w:r>
              <w:rPr>
                <w:rFonts w:hint="default" w:ascii="Times New Roman" w:hAnsi="Times New Roman" w:cs="Times New Roman"/>
                <w:color w:val="auto"/>
                <w:position w:val="-14"/>
                <w:szCs w:val="22"/>
              </w:rPr>
              <w:object>
                <v:shape id="_x0000_i1038" o:spt="75" type="#_x0000_t75" style="height:21.6pt;width:136.8pt;" o:ole="t" filled="f" o:preferrelative="t" stroked="f" coordsize="21600,21600">
                  <v:path/>
                  <v:fill on="f" focussize="0,0"/>
                  <v:stroke on="f"/>
                  <v:imagedata r:id="rId41" o:title=""/>
                  <o:lock v:ext="edit" aspectratio="t"/>
                  <w10:wrap type="none"/>
                  <w10:anchorlock/>
                </v:shape>
                <o:OLEObject Type="Embed" ProgID="Equation.DSMT4" ShapeID="_x0000_i1038" DrawAspect="Content" ObjectID="_1468075738" r:id="rId46">
                  <o:LockedField>false</o:LockedField>
                </o:OLEObject>
              </w:object>
            </w:r>
          </w:p>
          <w:p w14:paraId="1A9806D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式中，</w:t>
            </w: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w:t>
            </w:r>
            <w:r>
              <w:rPr>
                <w:rFonts w:hint="default" w:ascii="Times New Roman" w:hAnsi="Times New Roman" w:cs="Times New Roman"/>
                <w:color w:val="auto"/>
                <w:sz w:val="24"/>
              </w:rPr>
              <w:t>—预测点的噪声预测值，dB；</w:t>
            </w:r>
          </w:p>
          <w:p w14:paraId="6424784B">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color w:val="auto"/>
                <w:sz w:val="24"/>
              </w:rPr>
            </w:pP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eqb</w:t>
            </w:r>
            <w:r>
              <w:rPr>
                <w:rFonts w:hint="default" w:ascii="Times New Roman" w:hAnsi="Times New Roman" w:cs="Times New Roman"/>
                <w:color w:val="auto"/>
                <w:sz w:val="24"/>
              </w:rPr>
              <w:t>—预测点的背景值，dB。</w:t>
            </w:r>
          </w:p>
          <w:p w14:paraId="2847386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3）钻井噪声影响范围计算</w:t>
            </w:r>
          </w:p>
          <w:p w14:paraId="7ECF04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根据前述的预测方法和预测模式，对钻井过程中各种设备噪声进行计算，得到不同距离下</w:t>
            </w:r>
            <w:r>
              <w:rPr>
                <w:rFonts w:hint="eastAsia" w:cs="Times New Roman"/>
                <w:bCs/>
                <w:color w:val="auto"/>
                <w:sz w:val="24"/>
                <w:lang w:eastAsia="zh-CN"/>
              </w:rPr>
              <w:t>（</w:t>
            </w:r>
            <w:r>
              <w:rPr>
                <w:rFonts w:hint="eastAsia" w:cs="Times New Roman"/>
                <w:bCs/>
                <w:color w:val="auto"/>
                <w:sz w:val="24"/>
                <w:lang w:val="en-US" w:eastAsia="zh-CN"/>
              </w:rPr>
              <w:t>仅考虑</w:t>
            </w:r>
            <w:r>
              <w:rPr>
                <w:rFonts w:hint="default" w:ascii="Times New Roman" w:hAnsi="Times New Roman" w:cs="Times New Roman"/>
                <w:bCs/>
                <w:color w:val="auto"/>
                <w:sz w:val="24"/>
              </w:rPr>
              <w:t>几何发散衰减</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的噪声级，如下表所示。</w:t>
            </w:r>
          </w:p>
          <w:p w14:paraId="4BE0612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 xml:space="preserve">主要声源不同距离处的噪声级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rPr>
              <w:t>dB（A）</w:t>
            </w:r>
          </w:p>
          <w:tbl>
            <w:tblPr>
              <w:tblStyle w:val="23"/>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9"/>
              <w:gridCol w:w="588"/>
              <w:gridCol w:w="636"/>
              <w:gridCol w:w="655"/>
              <w:gridCol w:w="678"/>
              <w:gridCol w:w="702"/>
              <w:gridCol w:w="714"/>
              <w:gridCol w:w="718"/>
              <w:gridCol w:w="782"/>
              <w:gridCol w:w="810"/>
              <w:gridCol w:w="726"/>
            </w:tblGrid>
            <w:tr w14:paraId="44BB3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1CAE95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25F89D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Times New Roman"/>
                      <w:b/>
                      <w:color w:val="auto"/>
                      <w:szCs w:val="20"/>
                      <w:lang w:val="en-US" w:eastAsia="zh-CN"/>
                    </w:rPr>
                    <w:t>5</w:t>
                  </w:r>
                  <w:r>
                    <w:rPr>
                      <w:rFonts w:hint="default" w:ascii="Times New Roman" w:hAnsi="Times New Roman" w:cs="Times New Roman"/>
                      <w:b/>
                      <w:color w:val="auto"/>
                      <w:szCs w:val="20"/>
                    </w:rPr>
                    <w:t>m</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2804BC1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10m</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21FD6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20m</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636AA00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40m</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729A3F6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60m</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4555D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80m</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DC659A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100m</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C0F27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150m</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11E53AB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200m</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D6E91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400m</w:t>
                  </w:r>
                </w:p>
              </w:tc>
            </w:tr>
            <w:tr w14:paraId="50538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2A22899E">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旋挖机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18919D6">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80</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371D2A9D">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74</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BE1A149">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68</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31539025">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62</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16F2ABB">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58</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1F71F0EF">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56</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6BA965A">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54</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12B1A6F">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50</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3CBB7924">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48</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76E643">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color w:val="auto"/>
                      <w:kern w:val="0"/>
                      <w:lang w:val="en-US" w:eastAsia="zh-CN"/>
                    </w:rPr>
                  </w:pPr>
                  <w:r>
                    <w:rPr>
                      <w:rFonts w:hint="eastAsia" w:ascii="Times New Roman" w:hAnsi="Times New Roman" w:eastAsia="Times New Roman" w:cs="Times New Roman"/>
                      <w:color w:val="auto"/>
                      <w:kern w:val="0"/>
                      <w:lang w:val="en-US" w:eastAsia="zh-CN"/>
                    </w:rPr>
                    <w:t>42</w:t>
                  </w:r>
                </w:p>
              </w:tc>
            </w:tr>
            <w:tr w14:paraId="35FEC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022B1">
                  <w:pPr>
                    <w:pStyle w:val="55"/>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kern w:val="0"/>
                    </w:rPr>
                    <w:t>钻机</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D7144">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95</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5810F">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D5D42">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43B66">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07EA2">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7025">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C5E11">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EE16A">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552C0">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3E431">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57</w:t>
                  </w:r>
                </w:p>
              </w:tc>
            </w:tr>
            <w:tr w14:paraId="4E4E4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6DB1238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钻井泵</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C0E59D4">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49D7BF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5DAD93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30C31CE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CF72D7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2B45696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FF7ECF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1D1DBA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349CF37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AEBEF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47</w:t>
                  </w:r>
                </w:p>
              </w:tc>
            </w:tr>
            <w:tr w14:paraId="02077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1FEE2FA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振动筛</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E69BE7F">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446E22D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E12BDD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6A19A2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696AB97B">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065514A">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EC8CE1A">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4D9B7E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E8E92B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9AE99C">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47</w:t>
                  </w:r>
                </w:p>
              </w:tc>
            </w:tr>
            <w:tr w14:paraId="4220D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59AB11C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离心机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F292FFD">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29DE6B9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DF3ED4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08F20FB3">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3EB967F7">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F19A07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2FA6A47">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81F2DDA">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6E3619C">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E58280">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47</w:t>
                  </w:r>
                </w:p>
              </w:tc>
            </w:tr>
            <w:tr w14:paraId="75239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3238A50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空压机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349ACC5">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22B5DB3">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7EFB0E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0134CFCB">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0ED6871F">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79C62F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F290A7B">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8EBA49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55FA3C3B">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1939C33">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48E98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0CFF2E6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增压机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99C38C1">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F958E9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5D9848E">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4EB8FD9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51724F9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28B0CD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B9AFF5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11FBCC1">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7FC12EF">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6A8248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1CDA9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7DDCA59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柴油发电机组</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9D70CE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t>1</w:t>
                  </w:r>
                  <w:r>
                    <w:rPr>
                      <w:rFonts w:hint="eastAsia" w:ascii="Times New Roman" w:hAnsi="Times New Roman" w:eastAsia="宋体" w:cs="Times New Roman"/>
                      <w:color w:val="auto"/>
                      <w:kern w:val="0"/>
                      <w:lang w:val="en-US" w:eastAsia="zh-CN"/>
                    </w:rPr>
                    <w:t>0</w:t>
                  </w:r>
                  <w:r>
                    <w:rPr>
                      <w:rFonts w:hint="default" w:ascii="Times New Roman" w:hAnsi="Times New Roman" w:eastAsia="宋体" w:cs="Times New Roman"/>
                      <w:color w:val="auto"/>
                      <w:kern w:val="0"/>
                      <w:lang w:val="en-US" w:eastAsia="zh-CN"/>
                    </w:rPr>
                    <w:t>0</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64051A4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94</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9D1B90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88</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54E45CCF">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82</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F960569">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78</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6CC31CD">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76</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665A409">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74</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2AA14D3">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70</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660B459D">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68</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53DBB1">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62</w:t>
                  </w:r>
                </w:p>
              </w:tc>
            </w:tr>
            <w:tr w14:paraId="4F239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2A0B48A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蒸汽锅炉</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AA75F7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70</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55A6FE8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64</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47B495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58</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3C2771B">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52</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40640B09">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48</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257DF465">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46</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E12573E">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44</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5B1F24B5">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40</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5F249531">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38</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CB1E6D1">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32</w:t>
                  </w:r>
                </w:p>
              </w:tc>
            </w:tr>
            <w:tr w14:paraId="0E95E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019B065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测试放喷</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FFEEE10">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15584EB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AABC5A3">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6A784FBA">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7F16A7F1">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9ABB07F">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A58B449">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CD0C60">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4AB5A4EC">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5FC6F7">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6E6F8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08712DC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事故放喷</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53CF345">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395E3A0">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7E01AF9">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2CCC4D7E">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293D9C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975869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A30EFB7">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558081F">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72ECDE5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925251">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02A5A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35A472E5">
                  <w:pPr>
                    <w:pStyle w:val="55"/>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eastAsia="宋体" w:cs="Times New Roman"/>
                      <w:color w:val="auto"/>
                      <w:kern w:val="0"/>
                    </w:rPr>
                    <w:t>压裂泵车</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78280D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42FA8F17">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BB37716">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731CAC7">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040191AA">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0ABE9C4">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4C41823">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AA7186B">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59980C6F">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41376F">
                  <w:pPr>
                    <w:pStyle w:val="55"/>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57</w:t>
                  </w:r>
                </w:p>
              </w:tc>
            </w:tr>
          </w:tbl>
          <w:p w14:paraId="7390AEF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4）钻井作业场界噪声预测</w:t>
            </w:r>
          </w:p>
          <w:p w14:paraId="2B12CF1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eastAsia" w:ascii="Times New Roman" w:hAnsi="Times New Roman" w:eastAsia="宋体" w:cs="Times New Roman"/>
                <w:bCs/>
                <w:color w:val="auto"/>
                <w:sz w:val="24"/>
                <w:lang w:val="en-US" w:eastAsia="zh-CN"/>
              </w:rPr>
              <w:t>本次评价采用环安科技专业噪声预测软件进行场界预测，预测时在考虑了几何发散衰减（距离衰减）、地形高差、建筑遮挡、大气吸收等各方面因素后，得到</w:t>
            </w:r>
            <w:r>
              <w:rPr>
                <w:rFonts w:hint="default" w:ascii="Times New Roman" w:hAnsi="Times New Roman" w:cs="Times New Roman"/>
                <w:bCs/>
                <w:color w:val="auto"/>
                <w:sz w:val="24"/>
              </w:rPr>
              <w:t>不同钻井阶段场界噪声预测结果见下表。</w:t>
            </w:r>
          </w:p>
          <w:p w14:paraId="3C8BD96B">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不同阶段场界噪声预测值</w:t>
            </w:r>
          </w:p>
          <w:tbl>
            <w:tblPr>
              <w:tblStyle w:val="23"/>
              <w:tblW w:w="486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4"/>
              <w:gridCol w:w="1478"/>
              <w:gridCol w:w="684"/>
              <w:gridCol w:w="731"/>
              <w:gridCol w:w="648"/>
              <w:gridCol w:w="695"/>
              <w:gridCol w:w="657"/>
              <w:gridCol w:w="638"/>
              <w:gridCol w:w="657"/>
              <w:gridCol w:w="820"/>
            </w:tblGrid>
            <w:tr w14:paraId="62D9C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1EB387A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钻井</w:t>
                  </w:r>
                </w:p>
                <w:p w14:paraId="21CB959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阶段</w:t>
                  </w:r>
                </w:p>
              </w:tc>
              <w:tc>
                <w:tcPr>
                  <w:tcW w:w="896" w:type="pct"/>
                  <w:vMerge w:val="restart"/>
                  <w:noWrap w:val="0"/>
                  <w:vAlign w:val="center"/>
                </w:tcPr>
                <w:p w14:paraId="6D9EA77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预测点</w:t>
                  </w:r>
                </w:p>
              </w:tc>
              <w:tc>
                <w:tcPr>
                  <w:tcW w:w="858" w:type="pct"/>
                  <w:gridSpan w:val="2"/>
                  <w:noWrap w:val="0"/>
                  <w:vAlign w:val="center"/>
                </w:tcPr>
                <w:p w14:paraId="4A9C069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噪声标准</w:t>
                  </w:r>
                </w:p>
                <w:p w14:paraId="5B82733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814" w:type="pct"/>
                  <w:gridSpan w:val="2"/>
                  <w:noWrap w:val="0"/>
                  <w:vAlign w:val="center"/>
                </w:tcPr>
                <w:p w14:paraId="1BB8618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噪声贡献值</w:t>
                  </w:r>
                </w:p>
                <w:p w14:paraId="2B75DD5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785" w:type="pct"/>
                  <w:gridSpan w:val="2"/>
                  <w:noWrap w:val="0"/>
                  <w:vAlign w:val="center"/>
                </w:tcPr>
                <w:p w14:paraId="2F108B3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噪声预测值</w:t>
                  </w:r>
                </w:p>
                <w:p w14:paraId="2736DF3B">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896" w:type="pct"/>
                  <w:gridSpan w:val="2"/>
                  <w:noWrap w:val="0"/>
                  <w:vAlign w:val="center"/>
                </w:tcPr>
                <w:p w14:paraId="7399458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超标和达标</w:t>
                  </w:r>
                </w:p>
                <w:p w14:paraId="4818229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情况</w:t>
                  </w:r>
                </w:p>
              </w:tc>
            </w:tr>
            <w:tr w14:paraId="36F09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57D8B9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p>
              </w:tc>
              <w:tc>
                <w:tcPr>
                  <w:tcW w:w="896" w:type="pct"/>
                  <w:vMerge w:val="continue"/>
                  <w:noWrap w:val="0"/>
                  <w:vAlign w:val="center"/>
                </w:tcPr>
                <w:p w14:paraId="733B38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p>
              </w:tc>
              <w:tc>
                <w:tcPr>
                  <w:tcW w:w="414" w:type="pct"/>
                  <w:noWrap w:val="0"/>
                  <w:vAlign w:val="center"/>
                </w:tcPr>
                <w:p w14:paraId="567E23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43" w:type="pct"/>
                  <w:noWrap w:val="0"/>
                  <w:vAlign w:val="center"/>
                </w:tcPr>
                <w:p w14:paraId="18D9B45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3" w:type="pct"/>
                  <w:noWrap w:val="0"/>
                  <w:vAlign w:val="center"/>
                </w:tcPr>
                <w:p w14:paraId="0189832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21" w:type="pct"/>
                  <w:noWrap w:val="0"/>
                  <w:vAlign w:val="center"/>
                </w:tcPr>
                <w:p w14:paraId="6B6806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8" w:type="pct"/>
                  <w:noWrap w:val="0"/>
                  <w:vAlign w:val="center"/>
                </w:tcPr>
                <w:p w14:paraId="60B0370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387" w:type="pct"/>
                  <w:noWrap w:val="0"/>
                  <w:vAlign w:val="center"/>
                </w:tcPr>
                <w:p w14:paraId="37B9EA4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8" w:type="pct"/>
                  <w:noWrap w:val="0"/>
                  <w:vAlign w:val="center"/>
                </w:tcPr>
                <w:p w14:paraId="3CB8961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97" w:type="pct"/>
                  <w:noWrap w:val="0"/>
                  <w:vAlign w:val="center"/>
                </w:tcPr>
                <w:p w14:paraId="426A329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r>
            <w:tr w14:paraId="60F34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688F8C7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电网供电旋挖机钻孔作业</w:t>
                  </w:r>
                </w:p>
              </w:tc>
              <w:tc>
                <w:tcPr>
                  <w:tcW w:w="896" w:type="pct"/>
                  <w:shd w:val="clear" w:color="auto" w:fill="auto"/>
                  <w:noWrap w:val="0"/>
                  <w:vAlign w:val="center"/>
                </w:tcPr>
                <w:p w14:paraId="09758E5D">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hint="eastAsia"/>
                      <w:color w:val="auto"/>
                    </w:rPr>
                    <w:t>场界</w:t>
                  </w:r>
                  <w:r>
                    <w:rPr>
                      <w:rFonts w:hint="eastAsia" w:eastAsia="宋体"/>
                      <w:color w:val="auto"/>
                      <w:lang w:val="en-US" w:eastAsia="zh-CN"/>
                    </w:rPr>
                    <w:t>东侧</w:t>
                  </w:r>
                </w:p>
              </w:tc>
              <w:tc>
                <w:tcPr>
                  <w:tcW w:w="414" w:type="pct"/>
                  <w:vMerge w:val="restart"/>
                  <w:noWrap w:val="0"/>
                  <w:vAlign w:val="center"/>
                </w:tcPr>
                <w:p w14:paraId="1C60B51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70</w:t>
                  </w:r>
                </w:p>
              </w:tc>
              <w:tc>
                <w:tcPr>
                  <w:tcW w:w="443" w:type="pct"/>
                  <w:vMerge w:val="restart"/>
                  <w:noWrap w:val="0"/>
                  <w:vAlign w:val="center"/>
                </w:tcPr>
                <w:p w14:paraId="3A5DFE5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55</w:t>
                  </w:r>
                </w:p>
              </w:tc>
              <w:tc>
                <w:tcPr>
                  <w:tcW w:w="393" w:type="pct"/>
                  <w:noWrap w:val="0"/>
                  <w:vAlign w:val="center"/>
                </w:tcPr>
                <w:p w14:paraId="6D5D4485">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58.4</w:t>
                  </w:r>
                </w:p>
              </w:tc>
              <w:tc>
                <w:tcPr>
                  <w:tcW w:w="421" w:type="pct"/>
                  <w:noWrap w:val="0"/>
                  <w:vAlign w:val="center"/>
                </w:tcPr>
                <w:p w14:paraId="734EEC6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58.4</w:t>
                  </w:r>
                </w:p>
              </w:tc>
              <w:tc>
                <w:tcPr>
                  <w:tcW w:w="398" w:type="pct"/>
                  <w:noWrap w:val="0"/>
                  <w:vAlign w:val="center"/>
                </w:tcPr>
                <w:p w14:paraId="3FB74E4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58.4</w:t>
                  </w:r>
                </w:p>
              </w:tc>
              <w:tc>
                <w:tcPr>
                  <w:tcW w:w="387" w:type="pct"/>
                  <w:noWrap w:val="0"/>
                  <w:vAlign w:val="center"/>
                </w:tcPr>
                <w:p w14:paraId="5AB1949E">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58.4</w:t>
                  </w:r>
                </w:p>
              </w:tc>
              <w:tc>
                <w:tcPr>
                  <w:tcW w:w="398" w:type="pct"/>
                  <w:noWrap w:val="0"/>
                  <w:vAlign w:val="center"/>
                </w:tcPr>
                <w:p w14:paraId="12D9960E">
                  <w:pPr>
                    <w:keepNext w:val="0"/>
                    <w:keepLines w:val="0"/>
                    <w:suppressLineNumbers w:val="0"/>
                    <w:spacing w:before="0" w:beforeAutospacing="0" w:after="0" w:afterAutospacing="0"/>
                    <w:ind w:left="0" w:right="0"/>
                    <w:jc w:val="center"/>
                    <w:rPr>
                      <w:rFonts w:hint="default" w:cs="Times New Roman"/>
                      <w:color w:val="auto"/>
                      <w:lang w:val="en-US" w:eastAsia="zh-CN"/>
                    </w:rPr>
                  </w:pPr>
                  <w:r>
                    <w:rPr>
                      <w:rFonts w:hint="eastAsia" w:cs="Times New Roman"/>
                      <w:color w:val="auto"/>
                      <w:lang w:val="en-US" w:eastAsia="zh-CN"/>
                    </w:rPr>
                    <w:t>达标</w:t>
                  </w:r>
                </w:p>
              </w:tc>
              <w:tc>
                <w:tcPr>
                  <w:tcW w:w="497" w:type="pct"/>
                  <w:noWrap w:val="0"/>
                  <w:vAlign w:val="center"/>
                </w:tcPr>
                <w:p w14:paraId="0C74FB8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eastAsia" w:cs="Times New Roman"/>
                      <w:color w:val="auto"/>
                      <w:lang w:val="en-US" w:eastAsia="zh-CN"/>
                    </w:rPr>
                    <w:t>超标</w:t>
                  </w:r>
                </w:p>
              </w:tc>
            </w:tr>
            <w:tr w14:paraId="7CF61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4745B49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01B90E70">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610E03BE">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1D7570A0">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471E550F">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58.6</w:t>
                  </w:r>
                </w:p>
              </w:tc>
              <w:tc>
                <w:tcPr>
                  <w:tcW w:w="421" w:type="pct"/>
                  <w:noWrap w:val="0"/>
                  <w:vAlign w:val="center"/>
                </w:tcPr>
                <w:p w14:paraId="1ADB8A6F">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58.6</w:t>
                  </w:r>
                </w:p>
              </w:tc>
              <w:tc>
                <w:tcPr>
                  <w:tcW w:w="398" w:type="pct"/>
                  <w:noWrap w:val="0"/>
                  <w:vAlign w:val="center"/>
                </w:tcPr>
                <w:p w14:paraId="0142D470">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58.6</w:t>
                  </w:r>
                </w:p>
              </w:tc>
              <w:tc>
                <w:tcPr>
                  <w:tcW w:w="387" w:type="pct"/>
                  <w:noWrap w:val="0"/>
                  <w:vAlign w:val="center"/>
                </w:tcPr>
                <w:p w14:paraId="55BB4849">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58.6</w:t>
                  </w:r>
                </w:p>
              </w:tc>
              <w:tc>
                <w:tcPr>
                  <w:tcW w:w="398" w:type="pct"/>
                  <w:noWrap w:val="0"/>
                  <w:vAlign w:val="center"/>
                </w:tcPr>
                <w:p w14:paraId="787AB7CE">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达标</w:t>
                  </w:r>
                </w:p>
              </w:tc>
              <w:tc>
                <w:tcPr>
                  <w:tcW w:w="497" w:type="pct"/>
                  <w:noWrap w:val="0"/>
                  <w:vAlign w:val="center"/>
                </w:tcPr>
                <w:p w14:paraId="33D6FDC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746B4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E0F9170">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0AFAF9B1">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2585CA82">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02B38CDC">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65B7864A">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68.9</w:t>
                  </w:r>
                </w:p>
              </w:tc>
              <w:tc>
                <w:tcPr>
                  <w:tcW w:w="421" w:type="pct"/>
                  <w:noWrap w:val="0"/>
                  <w:vAlign w:val="center"/>
                </w:tcPr>
                <w:p w14:paraId="7A02B401">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68.9</w:t>
                  </w:r>
                </w:p>
              </w:tc>
              <w:tc>
                <w:tcPr>
                  <w:tcW w:w="398" w:type="pct"/>
                  <w:noWrap w:val="0"/>
                  <w:vAlign w:val="center"/>
                </w:tcPr>
                <w:p w14:paraId="396D6F1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68.9</w:t>
                  </w:r>
                </w:p>
              </w:tc>
              <w:tc>
                <w:tcPr>
                  <w:tcW w:w="387" w:type="pct"/>
                  <w:noWrap w:val="0"/>
                  <w:vAlign w:val="center"/>
                </w:tcPr>
                <w:p w14:paraId="7E1B41E1">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68.9</w:t>
                  </w:r>
                </w:p>
              </w:tc>
              <w:tc>
                <w:tcPr>
                  <w:tcW w:w="398" w:type="pct"/>
                  <w:noWrap w:val="0"/>
                  <w:vAlign w:val="center"/>
                </w:tcPr>
                <w:p w14:paraId="6686FF67">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达标</w:t>
                  </w:r>
                </w:p>
              </w:tc>
              <w:tc>
                <w:tcPr>
                  <w:tcW w:w="497" w:type="pct"/>
                  <w:noWrap w:val="0"/>
                  <w:vAlign w:val="center"/>
                </w:tcPr>
                <w:p w14:paraId="6A0A30E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7DAF5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0B81F1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07187C77">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661ADF11">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558B4111">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shd w:val="clear" w:color="auto" w:fill="auto"/>
                  <w:noWrap w:val="0"/>
                  <w:vAlign w:val="center"/>
                </w:tcPr>
                <w:p w14:paraId="39BC975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65.8</w:t>
                  </w:r>
                </w:p>
              </w:tc>
              <w:tc>
                <w:tcPr>
                  <w:tcW w:w="421" w:type="pct"/>
                  <w:shd w:val="clear" w:color="auto" w:fill="auto"/>
                  <w:noWrap w:val="0"/>
                  <w:vAlign w:val="center"/>
                </w:tcPr>
                <w:p w14:paraId="0F92E76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65.8</w:t>
                  </w:r>
                </w:p>
              </w:tc>
              <w:tc>
                <w:tcPr>
                  <w:tcW w:w="398" w:type="pct"/>
                  <w:shd w:val="clear" w:color="auto" w:fill="auto"/>
                  <w:noWrap w:val="0"/>
                  <w:vAlign w:val="center"/>
                </w:tcPr>
                <w:p w14:paraId="4093BE6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65.8</w:t>
                  </w:r>
                </w:p>
              </w:tc>
              <w:tc>
                <w:tcPr>
                  <w:tcW w:w="387" w:type="pct"/>
                  <w:shd w:val="clear" w:color="auto" w:fill="auto"/>
                  <w:noWrap w:val="0"/>
                  <w:vAlign w:val="center"/>
                </w:tcPr>
                <w:p w14:paraId="65742DC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65.8</w:t>
                  </w:r>
                </w:p>
              </w:tc>
              <w:tc>
                <w:tcPr>
                  <w:tcW w:w="398" w:type="pct"/>
                  <w:shd w:val="clear" w:color="auto" w:fill="auto"/>
                  <w:noWrap w:val="0"/>
                  <w:vAlign w:val="center"/>
                </w:tcPr>
                <w:p w14:paraId="125AED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达标</w:t>
                  </w:r>
                </w:p>
              </w:tc>
              <w:tc>
                <w:tcPr>
                  <w:tcW w:w="497" w:type="pct"/>
                  <w:shd w:val="clear" w:color="auto" w:fill="auto"/>
                  <w:noWrap w:val="0"/>
                  <w:vAlign w:val="center"/>
                </w:tcPr>
                <w:p w14:paraId="16790F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超标</w:t>
                  </w:r>
                </w:p>
              </w:tc>
            </w:tr>
            <w:tr w14:paraId="5FE9B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4138111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柴油发电机供电旋挖机钻孔作业</w:t>
                  </w:r>
                </w:p>
              </w:tc>
              <w:tc>
                <w:tcPr>
                  <w:tcW w:w="896" w:type="pct"/>
                  <w:shd w:val="clear" w:color="auto" w:fill="auto"/>
                  <w:noWrap w:val="0"/>
                  <w:vAlign w:val="center"/>
                </w:tcPr>
                <w:p w14:paraId="50536A3F">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4112D071">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23FB1074">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5B093C18">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65.4</w:t>
                  </w:r>
                </w:p>
              </w:tc>
              <w:tc>
                <w:tcPr>
                  <w:tcW w:w="421" w:type="pct"/>
                  <w:noWrap w:val="0"/>
                  <w:vAlign w:val="center"/>
                </w:tcPr>
                <w:p w14:paraId="2B5BEA1E">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65.4</w:t>
                  </w:r>
                </w:p>
              </w:tc>
              <w:tc>
                <w:tcPr>
                  <w:tcW w:w="398" w:type="pct"/>
                  <w:noWrap w:val="0"/>
                  <w:vAlign w:val="center"/>
                </w:tcPr>
                <w:p w14:paraId="6A7F9954">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65.4</w:t>
                  </w:r>
                </w:p>
              </w:tc>
              <w:tc>
                <w:tcPr>
                  <w:tcW w:w="387" w:type="pct"/>
                  <w:noWrap w:val="0"/>
                  <w:vAlign w:val="center"/>
                </w:tcPr>
                <w:p w14:paraId="37193A24">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65.4</w:t>
                  </w:r>
                </w:p>
              </w:tc>
              <w:tc>
                <w:tcPr>
                  <w:tcW w:w="398" w:type="pct"/>
                  <w:noWrap w:val="0"/>
                  <w:vAlign w:val="center"/>
                </w:tcPr>
                <w:p w14:paraId="3ABC4353">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达标</w:t>
                  </w:r>
                </w:p>
              </w:tc>
              <w:tc>
                <w:tcPr>
                  <w:tcW w:w="497" w:type="pct"/>
                  <w:noWrap w:val="0"/>
                  <w:vAlign w:val="center"/>
                </w:tcPr>
                <w:p w14:paraId="3B0B54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782A6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414E0C3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152CAA0F">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5CB496A0">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0E50C499">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6E1F64F0">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63.9</w:t>
                  </w:r>
                </w:p>
              </w:tc>
              <w:tc>
                <w:tcPr>
                  <w:tcW w:w="421" w:type="pct"/>
                  <w:noWrap w:val="0"/>
                  <w:vAlign w:val="center"/>
                </w:tcPr>
                <w:p w14:paraId="3265D5B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63.9</w:t>
                  </w:r>
                </w:p>
              </w:tc>
              <w:tc>
                <w:tcPr>
                  <w:tcW w:w="398" w:type="pct"/>
                  <w:noWrap w:val="0"/>
                  <w:vAlign w:val="center"/>
                </w:tcPr>
                <w:p w14:paraId="29776CBB">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63.9</w:t>
                  </w:r>
                </w:p>
              </w:tc>
              <w:tc>
                <w:tcPr>
                  <w:tcW w:w="387" w:type="pct"/>
                  <w:noWrap w:val="0"/>
                  <w:vAlign w:val="center"/>
                </w:tcPr>
                <w:p w14:paraId="11B4C998">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63.9</w:t>
                  </w:r>
                </w:p>
              </w:tc>
              <w:tc>
                <w:tcPr>
                  <w:tcW w:w="398" w:type="pct"/>
                  <w:noWrap w:val="0"/>
                  <w:vAlign w:val="center"/>
                </w:tcPr>
                <w:p w14:paraId="689F0169">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达标</w:t>
                  </w:r>
                </w:p>
              </w:tc>
              <w:tc>
                <w:tcPr>
                  <w:tcW w:w="497" w:type="pct"/>
                  <w:noWrap w:val="0"/>
                  <w:vAlign w:val="center"/>
                </w:tcPr>
                <w:p w14:paraId="31A0F01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19449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829316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72B66018">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5593739E">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406F1E2E">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276987F2">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74.2</w:t>
                  </w:r>
                </w:p>
              </w:tc>
              <w:tc>
                <w:tcPr>
                  <w:tcW w:w="421" w:type="pct"/>
                  <w:noWrap w:val="0"/>
                  <w:vAlign w:val="center"/>
                </w:tcPr>
                <w:p w14:paraId="07EEE3B8">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74.2</w:t>
                  </w:r>
                </w:p>
              </w:tc>
              <w:tc>
                <w:tcPr>
                  <w:tcW w:w="398" w:type="pct"/>
                  <w:noWrap w:val="0"/>
                  <w:vAlign w:val="center"/>
                </w:tcPr>
                <w:p w14:paraId="486FBBA5">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74.2</w:t>
                  </w:r>
                </w:p>
              </w:tc>
              <w:tc>
                <w:tcPr>
                  <w:tcW w:w="387" w:type="pct"/>
                  <w:noWrap w:val="0"/>
                  <w:vAlign w:val="center"/>
                </w:tcPr>
                <w:p w14:paraId="791D32AD">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74.2</w:t>
                  </w:r>
                </w:p>
              </w:tc>
              <w:tc>
                <w:tcPr>
                  <w:tcW w:w="398" w:type="pct"/>
                  <w:noWrap w:val="0"/>
                  <w:vAlign w:val="center"/>
                </w:tcPr>
                <w:p w14:paraId="259A4AFD">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超标</w:t>
                  </w:r>
                </w:p>
              </w:tc>
              <w:tc>
                <w:tcPr>
                  <w:tcW w:w="497" w:type="pct"/>
                  <w:noWrap w:val="0"/>
                  <w:vAlign w:val="center"/>
                </w:tcPr>
                <w:p w14:paraId="1723AA0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78A58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04529F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shd w:val="clear" w:color="auto" w:fill="auto"/>
                  <w:noWrap w:val="0"/>
                  <w:vAlign w:val="center"/>
                </w:tcPr>
                <w:p w14:paraId="0CD8F13D">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593A0419">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7D782D63">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1118B874">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78.0</w:t>
                  </w:r>
                </w:p>
              </w:tc>
              <w:tc>
                <w:tcPr>
                  <w:tcW w:w="421" w:type="pct"/>
                  <w:noWrap w:val="0"/>
                  <w:vAlign w:val="center"/>
                </w:tcPr>
                <w:p w14:paraId="3D65BBA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78.0</w:t>
                  </w:r>
                </w:p>
              </w:tc>
              <w:tc>
                <w:tcPr>
                  <w:tcW w:w="398" w:type="pct"/>
                  <w:noWrap w:val="0"/>
                  <w:vAlign w:val="center"/>
                </w:tcPr>
                <w:p w14:paraId="23126CCB">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78.0</w:t>
                  </w:r>
                </w:p>
              </w:tc>
              <w:tc>
                <w:tcPr>
                  <w:tcW w:w="387" w:type="pct"/>
                  <w:noWrap w:val="0"/>
                  <w:vAlign w:val="center"/>
                </w:tcPr>
                <w:p w14:paraId="20F04C75">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78.0</w:t>
                  </w:r>
                </w:p>
              </w:tc>
              <w:tc>
                <w:tcPr>
                  <w:tcW w:w="398" w:type="pct"/>
                  <w:noWrap w:val="0"/>
                  <w:vAlign w:val="center"/>
                </w:tcPr>
                <w:p w14:paraId="4DDB2C5F">
                  <w:pPr>
                    <w:keepNext w:val="0"/>
                    <w:keepLines w:val="0"/>
                    <w:suppressLineNumbers w:val="0"/>
                    <w:spacing w:before="0" w:beforeAutospacing="0" w:after="0" w:afterAutospacing="0"/>
                    <w:ind w:left="0" w:leftChars="0" w:right="0" w:rightChars="0"/>
                    <w:jc w:val="center"/>
                    <w:rPr>
                      <w:rFonts w:hint="eastAsia" w:cs="Times New Roman"/>
                      <w:color w:val="auto"/>
                      <w:lang w:val="en-US" w:eastAsia="zh-CN"/>
                    </w:rPr>
                  </w:pPr>
                  <w:r>
                    <w:rPr>
                      <w:rFonts w:hint="eastAsia" w:cs="Times New Roman"/>
                      <w:color w:val="auto"/>
                      <w:lang w:val="en-US" w:eastAsia="zh-CN"/>
                    </w:rPr>
                    <w:t>超标</w:t>
                  </w:r>
                </w:p>
              </w:tc>
              <w:tc>
                <w:tcPr>
                  <w:tcW w:w="497" w:type="pct"/>
                  <w:noWrap w:val="0"/>
                  <w:vAlign w:val="center"/>
                </w:tcPr>
                <w:p w14:paraId="13A40B1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cs="Times New Roman"/>
                      <w:color w:val="auto"/>
                      <w:lang w:val="en-US" w:eastAsia="zh-CN"/>
                    </w:rPr>
                    <w:t>超标</w:t>
                  </w:r>
                </w:p>
              </w:tc>
            </w:tr>
            <w:tr w14:paraId="19E57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40314CB8">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电网</w:t>
                  </w:r>
                  <w:r>
                    <w:rPr>
                      <w:rFonts w:hint="eastAsia" w:ascii="Times New Roman" w:hAnsi="Times New Roman" w:eastAsia="宋体" w:cs="Times New Roman"/>
                      <w:color w:val="auto"/>
                      <w:lang w:val="en-US" w:eastAsia="zh-CN"/>
                    </w:rPr>
                    <w:t>供电钻机</w:t>
                  </w:r>
                  <w:r>
                    <w:rPr>
                      <w:rFonts w:ascii="Times New Roman" w:hAnsi="Times New Roman" w:eastAsia="宋体" w:cs="Times New Roman"/>
                      <w:color w:val="auto"/>
                    </w:rPr>
                    <w:t>钻井</w:t>
                  </w:r>
                  <w:r>
                    <w:rPr>
                      <w:rFonts w:hint="eastAsia" w:ascii="Times New Roman" w:hAnsi="Times New Roman" w:eastAsia="宋体" w:cs="Times New Roman"/>
                      <w:color w:val="auto"/>
                      <w:lang w:val="en-US" w:eastAsia="zh-CN"/>
                    </w:rPr>
                    <w:t>作业</w:t>
                  </w:r>
                </w:p>
              </w:tc>
              <w:tc>
                <w:tcPr>
                  <w:tcW w:w="896" w:type="pct"/>
                  <w:noWrap w:val="0"/>
                  <w:vAlign w:val="center"/>
                </w:tcPr>
                <w:p w14:paraId="42F87DBC">
                  <w:pPr>
                    <w:pStyle w:val="55"/>
                    <w:keepNext w:val="0"/>
                    <w:keepLines w:val="0"/>
                    <w:suppressLineNumbers w:val="0"/>
                    <w:spacing w:before="0" w:beforeAutospacing="0" w:after="0" w:afterAutospacing="0"/>
                    <w:ind w:left="0" w:right="0"/>
                    <w:rPr>
                      <w:rFonts w:hint="eastAsia"/>
                      <w:color w:val="auto"/>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3E782E99">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6EB6D661">
                  <w:pPr>
                    <w:pStyle w:val="55"/>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shd w:val="clear" w:color="auto" w:fill="auto"/>
                  <w:noWrap w:val="0"/>
                  <w:vAlign w:val="center"/>
                </w:tcPr>
                <w:p w14:paraId="0B6A177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72.0</w:t>
                  </w:r>
                </w:p>
              </w:tc>
              <w:tc>
                <w:tcPr>
                  <w:tcW w:w="421" w:type="pct"/>
                  <w:shd w:val="clear" w:color="auto" w:fill="auto"/>
                  <w:noWrap w:val="0"/>
                  <w:vAlign w:val="center"/>
                </w:tcPr>
                <w:p w14:paraId="70C3FC6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72.0</w:t>
                  </w:r>
                </w:p>
              </w:tc>
              <w:tc>
                <w:tcPr>
                  <w:tcW w:w="398" w:type="pct"/>
                  <w:shd w:val="clear" w:color="auto" w:fill="auto"/>
                  <w:noWrap w:val="0"/>
                  <w:vAlign w:val="center"/>
                </w:tcPr>
                <w:p w14:paraId="20BF2CA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72.0</w:t>
                  </w:r>
                </w:p>
              </w:tc>
              <w:tc>
                <w:tcPr>
                  <w:tcW w:w="387" w:type="pct"/>
                  <w:shd w:val="clear" w:color="auto" w:fill="auto"/>
                  <w:noWrap w:val="0"/>
                  <w:vAlign w:val="center"/>
                </w:tcPr>
                <w:p w14:paraId="6B5435A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72.0</w:t>
                  </w:r>
                </w:p>
              </w:tc>
              <w:tc>
                <w:tcPr>
                  <w:tcW w:w="398" w:type="pct"/>
                  <w:shd w:val="clear" w:color="auto" w:fill="auto"/>
                  <w:noWrap w:val="0"/>
                  <w:vAlign w:val="center"/>
                </w:tcPr>
                <w:p w14:paraId="52C7121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超标</w:t>
                  </w:r>
                </w:p>
              </w:tc>
              <w:tc>
                <w:tcPr>
                  <w:tcW w:w="497" w:type="pct"/>
                  <w:shd w:val="clear" w:color="auto" w:fill="auto"/>
                  <w:noWrap w:val="0"/>
                  <w:vAlign w:val="center"/>
                </w:tcPr>
                <w:p w14:paraId="572CF6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超标</w:t>
                  </w:r>
                </w:p>
              </w:tc>
            </w:tr>
            <w:tr w14:paraId="6CCDE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06DC1F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E2AA91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14F7C2B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2C6FA9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41578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64.4</w:t>
                  </w:r>
                </w:p>
              </w:tc>
              <w:tc>
                <w:tcPr>
                  <w:tcW w:w="421" w:type="pct"/>
                  <w:noWrap w:val="0"/>
                  <w:vAlign w:val="center"/>
                </w:tcPr>
                <w:p w14:paraId="476F7A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64.4</w:t>
                  </w:r>
                </w:p>
              </w:tc>
              <w:tc>
                <w:tcPr>
                  <w:tcW w:w="398" w:type="pct"/>
                  <w:noWrap w:val="0"/>
                  <w:vAlign w:val="center"/>
                </w:tcPr>
                <w:p w14:paraId="6535FA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64.4</w:t>
                  </w:r>
                </w:p>
              </w:tc>
              <w:tc>
                <w:tcPr>
                  <w:tcW w:w="387" w:type="pct"/>
                  <w:noWrap w:val="0"/>
                  <w:vAlign w:val="center"/>
                </w:tcPr>
                <w:p w14:paraId="540EBF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64.4</w:t>
                  </w:r>
                </w:p>
              </w:tc>
              <w:tc>
                <w:tcPr>
                  <w:tcW w:w="398" w:type="pct"/>
                  <w:noWrap w:val="0"/>
                  <w:vAlign w:val="center"/>
                </w:tcPr>
                <w:p w14:paraId="0BD29DE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59E7D2C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170A6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BA4576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6F29B0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28A646D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7CE967E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F5B92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75.5</w:t>
                  </w:r>
                </w:p>
              </w:tc>
              <w:tc>
                <w:tcPr>
                  <w:tcW w:w="421" w:type="pct"/>
                  <w:noWrap w:val="0"/>
                  <w:vAlign w:val="center"/>
                </w:tcPr>
                <w:p w14:paraId="7A5BA2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75.5</w:t>
                  </w:r>
                </w:p>
              </w:tc>
              <w:tc>
                <w:tcPr>
                  <w:tcW w:w="398" w:type="pct"/>
                  <w:noWrap w:val="0"/>
                  <w:vAlign w:val="center"/>
                </w:tcPr>
                <w:p w14:paraId="5944B9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75.5</w:t>
                  </w:r>
                </w:p>
              </w:tc>
              <w:tc>
                <w:tcPr>
                  <w:tcW w:w="387" w:type="pct"/>
                  <w:noWrap w:val="0"/>
                  <w:vAlign w:val="center"/>
                </w:tcPr>
                <w:p w14:paraId="58FC22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75.5</w:t>
                  </w:r>
                </w:p>
              </w:tc>
              <w:tc>
                <w:tcPr>
                  <w:tcW w:w="398" w:type="pct"/>
                  <w:noWrap w:val="0"/>
                  <w:vAlign w:val="center"/>
                </w:tcPr>
                <w:p w14:paraId="0FF67ED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超标</w:t>
                  </w:r>
                </w:p>
              </w:tc>
              <w:tc>
                <w:tcPr>
                  <w:tcW w:w="497" w:type="pct"/>
                  <w:noWrap w:val="0"/>
                  <w:vAlign w:val="center"/>
                </w:tcPr>
                <w:p w14:paraId="51A36CA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3BD10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8885E7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4E77DF6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201F168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29708D1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59997B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70.3</w:t>
                  </w:r>
                </w:p>
              </w:tc>
              <w:tc>
                <w:tcPr>
                  <w:tcW w:w="421" w:type="pct"/>
                  <w:noWrap w:val="0"/>
                  <w:vAlign w:val="center"/>
                </w:tcPr>
                <w:p w14:paraId="5B344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70.3</w:t>
                  </w:r>
                </w:p>
              </w:tc>
              <w:tc>
                <w:tcPr>
                  <w:tcW w:w="398" w:type="pct"/>
                  <w:noWrap w:val="0"/>
                  <w:vAlign w:val="center"/>
                </w:tcPr>
                <w:p w14:paraId="2162D5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70.3</w:t>
                  </w:r>
                </w:p>
              </w:tc>
              <w:tc>
                <w:tcPr>
                  <w:tcW w:w="387" w:type="pct"/>
                  <w:noWrap w:val="0"/>
                  <w:vAlign w:val="center"/>
                </w:tcPr>
                <w:p w14:paraId="3E1BE4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70.3</w:t>
                  </w:r>
                </w:p>
              </w:tc>
              <w:tc>
                <w:tcPr>
                  <w:tcW w:w="398" w:type="pct"/>
                  <w:noWrap w:val="0"/>
                  <w:vAlign w:val="center"/>
                </w:tcPr>
                <w:p w14:paraId="09280E9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超标</w:t>
                  </w:r>
                </w:p>
              </w:tc>
              <w:tc>
                <w:tcPr>
                  <w:tcW w:w="497" w:type="pct"/>
                  <w:noWrap w:val="0"/>
                  <w:vAlign w:val="center"/>
                </w:tcPr>
                <w:p w14:paraId="7AC6013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超标</w:t>
                  </w:r>
                </w:p>
              </w:tc>
            </w:tr>
            <w:tr w14:paraId="0C8E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35325A93">
                  <w:pPr>
                    <w:pStyle w:val="55"/>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ascii="Times New Roman" w:hAnsi="Times New Roman" w:eastAsia="宋体" w:cs="Times New Roman"/>
                      <w:color w:val="auto"/>
                    </w:rPr>
                    <w:t>柴油发电机</w:t>
                  </w:r>
                  <w:r>
                    <w:rPr>
                      <w:rFonts w:hint="eastAsia" w:ascii="Times New Roman" w:hAnsi="Times New Roman" w:eastAsia="宋体" w:cs="Times New Roman"/>
                      <w:color w:val="auto"/>
                      <w:lang w:val="en-US" w:eastAsia="zh-CN"/>
                    </w:rPr>
                    <w:t>供电钻机钻井作业</w:t>
                  </w:r>
                </w:p>
              </w:tc>
              <w:tc>
                <w:tcPr>
                  <w:tcW w:w="896" w:type="pct"/>
                  <w:noWrap w:val="0"/>
                  <w:vAlign w:val="center"/>
                </w:tcPr>
                <w:p w14:paraId="6D07784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7BD702BF">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9012C5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742ECD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2.7</w:t>
                  </w:r>
                </w:p>
              </w:tc>
              <w:tc>
                <w:tcPr>
                  <w:tcW w:w="421" w:type="pct"/>
                  <w:noWrap w:val="0"/>
                  <w:vAlign w:val="center"/>
                </w:tcPr>
                <w:p w14:paraId="59033C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2.7</w:t>
                  </w:r>
                </w:p>
              </w:tc>
              <w:tc>
                <w:tcPr>
                  <w:tcW w:w="398" w:type="pct"/>
                  <w:noWrap w:val="0"/>
                  <w:vAlign w:val="center"/>
                </w:tcPr>
                <w:p w14:paraId="27922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2.7</w:t>
                  </w:r>
                </w:p>
              </w:tc>
              <w:tc>
                <w:tcPr>
                  <w:tcW w:w="387" w:type="pct"/>
                  <w:noWrap w:val="0"/>
                  <w:vAlign w:val="center"/>
                </w:tcPr>
                <w:p w14:paraId="0E764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2.7</w:t>
                  </w:r>
                </w:p>
              </w:tc>
              <w:tc>
                <w:tcPr>
                  <w:tcW w:w="398" w:type="pct"/>
                  <w:noWrap w:val="0"/>
                  <w:vAlign w:val="center"/>
                </w:tcPr>
                <w:p w14:paraId="278EF9E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超标</w:t>
                  </w:r>
                </w:p>
              </w:tc>
              <w:tc>
                <w:tcPr>
                  <w:tcW w:w="497" w:type="pct"/>
                  <w:noWrap w:val="0"/>
                  <w:vAlign w:val="center"/>
                </w:tcPr>
                <w:p w14:paraId="06F898A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7788C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5878754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D1FA8B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2559826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1E1BA5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0CD9D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66.5</w:t>
                  </w:r>
                </w:p>
              </w:tc>
              <w:tc>
                <w:tcPr>
                  <w:tcW w:w="421" w:type="pct"/>
                  <w:noWrap w:val="0"/>
                  <w:vAlign w:val="center"/>
                </w:tcPr>
                <w:p w14:paraId="0EBC76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66.5</w:t>
                  </w:r>
                </w:p>
              </w:tc>
              <w:tc>
                <w:tcPr>
                  <w:tcW w:w="398" w:type="pct"/>
                  <w:noWrap w:val="0"/>
                  <w:vAlign w:val="center"/>
                </w:tcPr>
                <w:p w14:paraId="66CC3B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66.5</w:t>
                  </w:r>
                </w:p>
              </w:tc>
              <w:tc>
                <w:tcPr>
                  <w:tcW w:w="387" w:type="pct"/>
                  <w:noWrap w:val="0"/>
                  <w:vAlign w:val="center"/>
                </w:tcPr>
                <w:p w14:paraId="44B79D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66.5</w:t>
                  </w:r>
                </w:p>
              </w:tc>
              <w:tc>
                <w:tcPr>
                  <w:tcW w:w="398" w:type="pct"/>
                  <w:noWrap w:val="0"/>
                  <w:vAlign w:val="center"/>
                </w:tcPr>
                <w:p w14:paraId="0B97E25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rPr>
                    <w:t>达</w:t>
                  </w:r>
                  <w:r>
                    <w:rPr>
                      <w:rFonts w:hint="default" w:ascii="Times New Roman" w:hAnsi="Times New Roman" w:cs="Times New Roman"/>
                      <w:color w:val="auto"/>
                    </w:rPr>
                    <w:t>标</w:t>
                  </w:r>
                </w:p>
              </w:tc>
              <w:tc>
                <w:tcPr>
                  <w:tcW w:w="497" w:type="pct"/>
                  <w:noWrap w:val="0"/>
                  <w:vAlign w:val="center"/>
                </w:tcPr>
                <w:p w14:paraId="4DAB204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01298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B2AF3A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218591F1">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708845E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75A10F2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ECF5C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7.3</w:t>
                  </w:r>
                </w:p>
              </w:tc>
              <w:tc>
                <w:tcPr>
                  <w:tcW w:w="421" w:type="pct"/>
                  <w:noWrap w:val="0"/>
                  <w:vAlign w:val="center"/>
                </w:tcPr>
                <w:p w14:paraId="44138F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7.3</w:t>
                  </w:r>
                </w:p>
              </w:tc>
              <w:tc>
                <w:tcPr>
                  <w:tcW w:w="398" w:type="pct"/>
                  <w:noWrap w:val="0"/>
                  <w:vAlign w:val="center"/>
                </w:tcPr>
                <w:p w14:paraId="754202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7.3</w:t>
                  </w:r>
                </w:p>
              </w:tc>
              <w:tc>
                <w:tcPr>
                  <w:tcW w:w="387" w:type="pct"/>
                  <w:noWrap w:val="0"/>
                  <w:vAlign w:val="center"/>
                </w:tcPr>
                <w:p w14:paraId="35FCA7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7</w:t>
                  </w:r>
                  <w:r>
                    <w:rPr>
                      <w:rFonts w:hint="eastAsia" w:cs="Times New Roman"/>
                      <w:color w:val="auto"/>
                      <w:lang w:val="en-US" w:eastAsia="zh-CN"/>
                    </w:rPr>
                    <w:t>7.3</w:t>
                  </w:r>
                </w:p>
              </w:tc>
              <w:tc>
                <w:tcPr>
                  <w:tcW w:w="398" w:type="pct"/>
                  <w:noWrap w:val="0"/>
                  <w:vAlign w:val="center"/>
                </w:tcPr>
                <w:p w14:paraId="0044788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超标</w:t>
                  </w:r>
                </w:p>
              </w:tc>
              <w:tc>
                <w:tcPr>
                  <w:tcW w:w="497" w:type="pct"/>
                  <w:noWrap w:val="0"/>
                  <w:vAlign w:val="center"/>
                </w:tcPr>
                <w:p w14:paraId="398FB02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2C97A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18238D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529CB572">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109E31B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53ACB60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442D64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78.4</w:t>
                  </w:r>
                </w:p>
              </w:tc>
              <w:tc>
                <w:tcPr>
                  <w:tcW w:w="421" w:type="pct"/>
                  <w:noWrap w:val="0"/>
                  <w:vAlign w:val="center"/>
                </w:tcPr>
                <w:p w14:paraId="2256E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78.4</w:t>
                  </w:r>
                </w:p>
              </w:tc>
              <w:tc>
                <w:tcPr>
                  <w:tcW w:w="398" w:type="pct"/>
                  <w:noWrap w:val="0"/>
                  <w:vAlign w:val="center"/>
                </w:tcPr>
                <w:p w14:paraId="08A93B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78.4</w:t>
                  </w:r>
                </w:p>
              </w:tc>
              <w:tc>
                <w:tcPr>
                  <w:tcW w:w="387" w:type="pct"/>
                  <w:noWrap w:val="0"/>
                  <w:vAlign w:val="center"/>
                </w:tcPr>
                <w:p w14:paraId="33EC11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78.4</w:t>
                  </w:r>
                </w:p>
              </w:tc>
              <w:tc>
                <w:tcPr>
                  <w:tcW w:w="398" w:type="pct"/>
                  <w:noWrap w:val="0"/>
                  <w:vAlign w:val="center"/>
                </w:tcPr>
                <w:p w14:paraId="2DC9349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cs="Times New Roman"/>
                      <w:color w:val="auto"/>
                      <w:lang w:val="en-US" w:eastAsia="zh-CN"/>
                    </w:rPr>
                    <w:t>超标</w:t>
                  </w:r>
                </w:p>
              </w:tc>
              <w:tc>
                <w:tcPr>
                  <w:tcW w:w="497" w:type="pct"/>
                  <w:noWrap w:val="0"/>
                  <w:vAlign w:val="center"/>
                </w:tcPr>
                <w:p w14:paraId="1EA0FBD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0AB2D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7EBD26C4">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压裂</w:t>
                  </w:r>
                  <w:r>
                    <w:rPr>
                      <w:rFonts w:ascii="Times New Roman" w:hAnsi="Times New Roman" w:eastAsia="宋体" w:cs="Times New Roman"/>
                      <w:color w:val="auto"/>
                    </w:rPr>
                    <w:t>作业</w:t>
                  </w:r>
                </w:p>
                <w:p w14:paraId="0396B33A">
                  <w:pPr>
                    <w:pStyle w:val="55"/>
                    <w:keepNext w:val="0"/>
                    <w:keepLines w:val="0"/>
                    <w:suppressLineNumbers w:val="0"/>
                    <w:spacing w:before="0" w:beforeAutospacing="0" w:after="0" w:afterAutospacing="0"/>
                    <w:ind w:left="0" w:right="0"/>
                    <w:rPr>
                      <w:rFonts w:hint="eastAsia" w:eastAsia="宋体"/>
                      <w:color w:val="auto"/>
                    </w:rPr>
                  </w:pPr>
                  <w:r>
                    <w:rPr>
                      <w:rFonts w:hint="eastAsia" w:ascii="Times New Roman" w:hAnsi="Times New Roman" w:eastAsia="宋体" w:cs="Times New Roman"/>
                      <w:color w:val="auto"/>
                    </w:rPr>
                    <w:t>（夜间不作业）</w:t>
                  </w:r>
                </w:p>
              </w:tc>
              <w:tc>
                <w:tcPr>
                  <w:tcW w:w="896" w:type="pct"/>
                  <w:noWrap w:val="0"/>
                  <w:vAlign w:val="center"/>
                </w:tcPr>
                <w:p w14:paraId="2FC3F517">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5F61831F">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109E135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7F2C3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kern w:val="0"/>
                      <w:szCs w:val="21"/>
                      <w:lang w:val="en-US" w:eastAsia="zh-CN" w:bidi="ar"/>
                    </w:rPr>
                    <w:t>7</w:t>
                  </w:r>
                  <w:r>
                    <w:rPr>
                      <w:rFonts w:hint="eastAsia" w:cs="Times New Roman"/>
                      <w:color w:val="auto"/>
                      <w:kern w:val="0"/>
                      <w:szCs w:val="21"/>
                      <w:lang w:val="en-US" w:eastAsia="zh-CN" w:bidi="ar"/>
                    </w:rPr>
                    <w:t>7.3</w:t>
                  </w:r>
                </w:p>
              </w:tc>
              <w:tc>
                <w:tcPr>
                  <w:tcW w:w="421" w:type="pct"/>
                  <w:noWrap w:val="0"/>
                  <w:vAlign w:val="center"/>
                </w:tcPr>
                <w:p w14:paraId="08F6E4F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0B48D1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val="en-US" w:eastAsia="zh-CN" w:bidi="ar"/>
                    </w:rPr>
                    <w:t>7</w:t>
                  </w:r>
                  <w:r>
                    <w:rPr>
                      <w:rFonts w:hint="eastAsia" w:cs="Times New Roman"/>
                      <w:color w:val="auto"/>
                      <w:kern w:val="0"/>
                      <w:szCs w:val="21"/>
                      <w:lang w:val="en-US" w:eastAsia="zh-CN" w:bidi="ar"/>
                    </w:rPr>
                    <w:t>7.3</w:t>
                  </w:r>
                </w:p>
              </w:tc>
              <w:tc>
                <w:tcPr>
                  <w:tcW w:w="387" w:type="pct"/>
                  <w:noWrap w:val="0"/>
                  <w:vAlign w:val="center"/>
                </w:tcPr>
                <w:p w14:paraId="176D60F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2BE59D17">
                  <w:pPr>
                    <w:pStyle w:val="55"/>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超标</w:t>
                  </w:r>
                </w:p>
              </w:tc>
              <w:tc>
                <w:tcPr>
                  <w:tcW w:w="497" w:type="pct"/>
                  <w:noWrap w:val="0"/>
                  <w:vAlign w:val="center"/>
                </w:tcPr>
                <w:p w14:paraId="0067ADC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eastAsia" w:ascii="Times New Roman" w:hAnsi="Times New Roman" w:cs="Times New Roman"/>
                      <w:color w:val="auto"/>
                      <w:kern w:val="0"/>
                      <w:szCs w:val="21"/>
                      <w:lang w:bidi="ar"/>
                    </w:rPr>
                    <w:t>/</w:t>
                  </w:r>
                </w:p>
              </w:tc>
            </w:tr>
            <w:tr w14:paraId="406BB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0E92FF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FB4CDC4">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0D46BDE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92EC95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A90B7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70.7</w:t>
                  </w:r>
                </w:p>
              </w:tc>
              <w:tc>
                <w:tcPr>
                  <w:tcW w:w="421" w:type="pct"/>
                  <w:noWrap w:val="0"/>
                  <w:vAlign w:val="center"/>
                </w:tcPr>
                <w:p w14:paraId="147B7F7A">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1E6E49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70.7</w:t>
                  </w:r>
                </w:p>
              </w:tc>
              <w:tc>
                <w:tcPr>
                  <w:tcW w:w="387" w:type="pct"/>
                  <w:noWrap w:val="0"/>
                  <w:vAlign w:val="center"/>
                </w:tcPr>
                <w:p w14:paraId="6D7D9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7A711CE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超标</w:t>
                  </w:r>
                </w:p>
              </w:tc>
              <w:tc>
                <w:tcPr>
                  <w:tcW w:w="497" w:type="pct"/>
                  <w:noWrap w:val="0"/>
                  <w:vAlign w:val="center"/>
                </w:tcPr>
                <w:p w14:paraId="52ED03B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67148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1B6B798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571BB36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775B2046">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010B3A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37E430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w:t>
                  </w:r>
                  <w:r>
                    <w:rPr>
                      <w:rFonts w:hint="eastAsia" w:cs="Times New Roman"/>
                      <w:color w:val="auto"/>
                      <w:lang w:val="en-US" w:eastAsia="zh-CN"/>
                    </w:rPr>
                    <w:t>3.5</w:t>
                  </w:r>
                </w:p>
              </w:tc>
              <w:tc>
                <w:tcPr>
                  <w:tcW w:w="421" w:type="pct"/>
                  <w:noWrap w:val="0"/>
                  <w:vAlign w:val="center"/>
                </w:tcPr>
                <w:p w14:paraId="39E1A10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05FD4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ascii="Times New Roman" w:hAnsi="Times New Roman" w:eastAsia="宋体" w:cs="Times New Roman"/>
                      <w:color w:val="auto"/>
                      <w:lang w:val="en-US" w:eastAsia="zh-CN"/>
                    </w:rPr>
                    <w:t>8</w:t>
                  </w:r>
                  <w:r>
                    <w:rPr>
                      <w:rFonts w:hint="eastAsia" w:cs="Times New Roman"/>
                      <w:color w:val="auto"/>
                      <w:lang w:val="en-US" w:eastAsia="zh-CN"/>
                    </w:rPr>
                    <w:t>3.5</w:t>
                  </w:r>
                </w:p>
              </w:tc>
              <w:tc>
                <w:tcPr>
                  <w:tcW w:w="387" w:type="pct"/>
                  <w:noWrap w:val="0"/>
                  <w:vAlign w:val="center"/>
                </w:tcPr>
                <w:p w14:paraId="0244704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0C3913E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超</w:t>
                  </w:r>
                  <w:r>
                    <w:rPr>
                      <w:rFonts w:ascii="Times New Roman" w:hAnsi="Times New Roman" w:eastAsia="宋体" w:cs="Times New Roman"/>
                      <w:color w:val="auto"/>
                    </w:rPr>
                    <w:t>标</w:t>
                  </w:r>
                </w:p>
              </w:tc>
              <w:tc>
                <w:tcPr>
                  <w:tcW w:w="497" w:type="pct"/>
                  <w:noWrap w:val="0"/>
                  <w:vAlign w:val="center"/>
                </w:tcPr>
                <w:p w14:paraId="06C5221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7CAAD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4DF8B6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4BBF95E2">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5813BEA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67BC01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693DB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63.7</w:t>
                  </w:r>
                </w:p>
              </w:tc>
              <w:tc>
                <w:tcPr>
                  <w:tcW w:w="421" w:type="pct"/>
                  <w:noWrap w:val="0"/>
                  <w:vAlign w:val="center"/>
                </w:tcPr>
                <w:p w14:paraId="0879342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5D031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63.7</w:t>
                  </w:r>
                </w:p>
              </w:tc>
              <w:tc>
                <w:tcPr>
                  <w:tcW w:w="387" w:type="pct"/>
                  <w:noWrap w:val="0"/>
                  <w:vAlign w:val="center"/>
                </w:tcPr>
                <w:p w14:paraId="47546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7B3EC1B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达标</w:t>
                  </w:r>
                </w:p>
              </w:tc>
              <w:tc>
                <w:tcPr>
                  <w:tcW w:w="497" w:type="pct"/>
                  <w:noWrap w:val="0"/>
                  <w:vAlign w:val="center"/>
                </w:tcPr>
                <w:p w14:paraId="13C01CD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48CA8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1ED5969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放喷</w:t>
                  </w:r>
                  <w:r>
                    <w:rPr>
                      <w:rFonts w:ascii="Times New Roman" w:hAnsi="Times New Roman" w:eastAsia="宋体" w:cs="Times New Roman"/>
                      <w:color w:val="auto"/>
                    </w:rPr>
                    <w:t>作业</w:t>
                  </w:r>
                </w:p>
                <w:p w14:paraId="41BAD23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（夜间不作业）</w:t>
                  </w:r>
                </w:p>
              </w:tc>
              <w:tc>
                <w:tcPr>
                  <w:tcW w:w="896" w:type="pct"/>
                  <w:noWrap w:val="0"/>
                  <w:vAlign w:val="center"/>
                </w:tcPr>
                <w:p w14:paraId="709827CC">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68151BB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98147C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419081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kern w:val="0"/>
                      <w:szCs w:val="21"/>
                      <w:lang w:val="en-US" w:eastAsia="zh-CN" w:bidi="ar"/>
                    </w:rPr>
                    <w:t>70.5</w:t>
                  </w:r>
                </w:p>
              </w:tc>
              <w:tc>
                <w:tcPr>
                  <w:tcW w:w="421" w:type="pct"/>
                  <w:noWrap w:val="0"/>
                  <w:vAlign w:val="center"/>
                </w:tcPr>
                <w:p w14:paraId="4DCBF33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529F0A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lang w:val="en-US"/>
                    </w:rPr>
                  </w:pPr>
                  <w:r>
                    <w:rPr>
                      <w:rFonts w:hint="eastAsia" w:cs="Times New Roman"/>
                      <w:color w:val="auto"/>
                      <w:kern w:val="0"/>
                      <w:szCs w:val="21"/>
                      <w:lang w:val="en-US" w:eastAsia="zh-CN" w:bidi="ar"/>
                    </w:rPr>
                    <w:t>70.5</w:t>
                  </w:r>
                </w:p>
              </w:tc>
              <w:tc>
                <w:tcPr>
                  <w:tcW w:w="387" w:type="pct"/>
                  <w:noWrap w:val="0"/>
                  <w:vAlign w:val="center"/>
                </w:tcPr>
                <w:p w14:paraId="6EB79B1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5535DEA0">
                  <w:pPr>
                    <w:pStyle w:val="55"/>
                    <w:keepNext w:val="0"/>
                    <w:keepLines w:val="0"/>
                    <w:suppressLineNumbers w:val="0"/>
                    <w:spacing w:before="0" w:beforeAutospacing="0" w:after="0" w:afterAutospacing="0"/>
                    <w:ind w:left="0" w:right="0" w:firstLine="0" w:firstLineChars="0"/>
                    <w:rPr>
                      <w:color w:val="auto"/>
                    </w:rPr>
                  </w:pPr>
                  <w:r>
                    <w:rPr>
                      <w:rFonts w:hint="eastAsia" w:ascii="Times New Roman" w:hAnsi="Times New Roman" w:eastAsia="宋体" w:cs="Times New Roman"/>
                      <w:color w:val="auto"/>
                      <w:lang w:val="en-US" w:eastAsia="zh-CN"/>
                    </w:rPr>
                    <w:t>超标</w:t>
                  </w:r>
                </w:p>
              </w:tc>
              <w:tc>
                <w:tcPr>
                  <w:tcW w:w="497" w:type="pct"/>
                  <w:noWrap w:val="0"/>
                  <w:vAlign w:val="center"/>
                </w:tcPr>
                <w:p w14:paraId="0A8F977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40938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17C34DAF">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BA90806">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48F3039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5C8D742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60B351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59.2</w:t>
                  </w:r>
                </w:p>
              </w:tc>
              <w:tc>
                <w:tcPr>
                  <w:tcW w:w="421" w:type="pct"/>
                  <w:noWrap w:val="0"/>
                  <w:vAlign w:val="center"/>
                </w:tcPr>
                <w:p w14:paraId="04A6DF5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703CF6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59.2</w:t>
                  </w:r>
                </w:p>
              </w:tc>
              <w:tc>
                <w:tcPr>
                  <w:tcW w:w="387" w:type="pct"/>
                  <w:noWrap w:val="0"/>
                  <w:vAlign w:val="center"/>
                </w:tcPr>
                <w:p w14:paraId="156A1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3F30E73F">
                  <w:pPr>
                    <w:pStyle w:val="55"/>
                    <w:keepNext w:val="0"/>
                    <w:keepLines w:val="0"/>
                    <w:suppressLineNumbers w:val="0"/>
                    <w:spacing w:before="0" w:beforeAutospacing="0" w:after="0" w:afterAutospacing="0"/>
                    <w:ind w:left="0" w:right="0" w:firstLine="0" w:firstLineChars="0"/>
                    <w:rPr>
                      <w:color w:val="auto"/>
                    </w:rPr>
                  </w:pPr>
                  <w:r>
                    <w:rPr>
                      <w:rFonts w:ascii="Times New Roman" w:hAnsi="Times New Roman" w:eastAsia="宋体" w:cs="Times New Roman"/>
                      <w:color w:val="auto"/>
                    </w:rPr>
                    <w:t>达标</w:t>
                  </w:r>
                </w:p>
              </w:tc>
              <w:tc>
                <w:tcPr>
                  <w:tcW w:w="497" w:type="pct"/>
                  <w:noWrap w:val="0"/>
                  <w:vAlign w:val="center"/>
                </w:tcPr>
                <w:p w14:paraId="7A9440E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28C8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D6FD66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B6D9840">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2700959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16538F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92402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51.5</w:t>
                  </w:r>
                </w:p>
              </w:tc>
              <w:tc>
                <w:tcPr>
                  <w:tcW w:w="421" w:type="pct"/>
                  <w:noWrap w:val="0"/>
                  <w:vAlign w:val="center"/>
                </w:tcPr>
                <w:p w14:paraId="299673E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43960C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51.5</w:t>
                  </w:r>
                </w:p>
              </w:tc>
              <w:tc>
                <w:tcPr>
                  <w:tcW w:w="387" w:type="pct"/>
                  <w:noWrap w:val="0"/>
                  <w:vAlign w:val="center"/>
                </w:tcPr>
                <w:p w14:paraId="107C835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56160BE4">
                  <w:pPr>
                    <w:pStyle w:val="55"/>
                    <w:keepNext w:val="0"/>
                    <w:keepLines w:val="0"/>
                    <w:suppressLineNumbers w:val="0"/>
                    <w:spacing w:before="0" w:beforeAutospacing="0" w:after="0" w:afterAutospacing="0"/>
                    <w:ind w:left="0" w:right="0" w:firstLine="0" w:firstLineChars="0"/>
                    <w:rPr>
                      <w:color w:val="auto"/>
                    </w:rPr>
                  </w:pPr>
                  <w:r>
                    <w:rPr>
                      <w:rFonts w:ascii="Times New Roman" w:hAnsi="Times New Roman" w:eastAsia="宋体" w:cs="Times New Roman"/>
                      <w:color w:val="auto"/>
                    </w:rPr>
                    <w:t>达标</w:t>
                  </w:r>
                </w:p>
              </w:tc>
              <w:tc>
                <w:tcPr>
                  <w:tcW w:w="497" w:type="pct"/>
                  <w:noWrap w:val="0"/>
                  <w:vAlign w:val="center"/>
                </w:tcPr>
                <w:p w14:paraId="75924B6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20745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086045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20CF890D">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4D1AA38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E8B38A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93C4F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65.1</w:t>
                  </w:r>
                </w:p>
              </w:tc>
              <w:tc>
                <w:tcPr>
                  <w:tcW w:w="421" w:type="pct"/>
                  <w:noWrap w:val="0"/>
                  <w:vAlign w:val="center"/>
                </w:tcPr>
                <w:p w14:paraId="4BF107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6F3A74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65.1</w:t>
                  </w:r>
                </w:p>
              </w:tc>
              <w:tc>
                <w:tcPr>
                  <w:tcW w:w="387" w:type="pct"/>
                  <w:noWrap w:val="0"/>
                  <w:vAlign w:val="center"/>
                </w:tcPr>
                <w:p w14:paraId="2345D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08B8875F">
                  <w:pPr>
                    <w:pStyle w:val="55"/>
                    <w:keepNext w:val="0"/>
                    <w:keepLines w:val="0"/>
                    <w:suppressLineNumbers w:val="0"/>
                    <w:spacing w:before="0" w:beforeAutospacing="0" w:after="0" w:afterAutospacing="0"/>
                    <w:ind w:left="0" w:right="0" w:firstLine="0" w:firstLineChars="0"/>
                    <w:rPr>
                      <w:color w:val="auto"/>
                    </w:rPr>
                  </w:pPr>
                  <w:r>
                    <w:rPr>
                      <w:rFonts w:hint="eastAsia" w:ascii="Times New Roman" w:hAnsi="Times New Roman" w:eastAsia="宋体" w:cs="Times New Roman"/>
                      <w:color w:val="auto"/>
                      <w:lang w:val="en-US" w:eastAsia="zh-CN"/>
                    </w:rPr>
                    <w:t>达标</w:t>
                  </w:r>
                </w:p>
              </w:tc>
              <w:tc>
                <w:tcPr>
                  <w:tcW w:w="497" w:type="pct"/>
                  <w:noWrap w:val="0"/>
                  <w:vAlign w:val="center"/>
                </w:tcPr>
                <w:p w14:paraId="75118DD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29151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337F5CF4">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锅炉保温放喷作业（夜间不作业）</w:t>
                  </w:r>
                </w:p>
              </w:tc>
              <w:tc>
                <w:tcPr>
                  <w:tcW w:w="896" w:type="pct"/>
                  <w:shd w:val="clear" w:color="auto" w:fill="auto"/>
                  <w:noWrap w:val="0"/>
                  <w:vAlign w:val="center"/>
                </w:tcPr>
                <w:p w14:paraId="17F223AC">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w:t>
                  </w:r>
                  <w:r>
                    <w:rPr>
                      <w:rFonts w:hint="eastAsia" w:eastAsia="宋体"/>
                      <w:color w:val="auto"/>
                      <w:lang w:val="en-US" w:eastAsia="zh-CN"/>
                    </w:rPr>
                    <w:t>东侧</w:t>
                  </w:r>
                </w:p>
              </w:tc>
              <w:tc>
                <w:tcPr>
                  <w:tcW w:w="414" w:type="pct"/>
                  <w:vMerge w:val="continue"/>
                  <w:noWrap w:val="0"/>
                  <w:vAlign w:val="center"/>
                </w:tcPr>
                <w:p w14:paraId="1AE1DCB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86B559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CC5C7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70.5</w:t>
                  </w:r>
                </w:p>
              </w:tc>
              <w:tc>
                <w:tcPr>
                  <w:tcW w:w="421" w:type="pct"/>
                  <w:shd w:val="clear" w:color="auto" w:fill="auto"/>
                  <w:noWrap w:val="0"/>
                  <w:vAlign w:val="center"/>
                </w:tcPr>
                <w:p w14:paraId="6A4146A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19788B0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70.5</w:t>
                  </w:r>
                </w:p>
              </w:tc>
              <w:tc>
                <w:tcPr>
                  <w:tcW w:w="387" w:type="pct"/>
                  <w:shd w:val="clear" w:color="auto" w:fill="auto"/>
                  <w:noWrap w:val="0"/>
                  <w:vAlign w:val="center"/>
                </w:tcPr>
                <w:p w14:paraId="39E5217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0FFA3B54">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hint="eastAsia" w:ascii="Times New Roman" w:hAnsi="Times New Roman" w:eastAsia="宋体" w:cs="Times New Roman"/>
                      <w:color w:val="auto"/>
                      <w:lang w:val="en-US" w:eastAsia="zh-CN"/>
                    </w:rPr>
                    <w:t>超标</w:t>
                  </w:r>
                </w:p>
              </w:tc>
              <w:tc>
                <w:tcPr>
                  <w:tcW w:w="497" w:type="pct"/>
                  <w:shd w:val="clear" w:color="auto" w:fill="auto"/>
                  <w:noWrap w:val="0"/>
                  <w:vAlign w:val="center"/>
                </w:tcPr>
                <w:p w14:paraId="2D44508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r>
            <w:tr w14:paraId="3EBC6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13C1D60B">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p>
              </w:tc>
              <w:tc>
                <w:tcPr>
                  <w:tcW w:w="896" w:type="pct"/>
                  <w:shd w:val="clear" w:color="auto" w:fill="auto"/>
                  <w:noWrap w:val="0"/>
                  <w:vAlign w:val="center"/>
                </w:tcPr>
                <w:p w14:paraId="3EAAF9F8">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场界南</w:t>
                  </w:r>
                  <w:r>
                    <w:rPr>
                      <w:rFonts w:ascii="Times New Roman" w:hAnsi="Times New Roman" w:eastAsia="宋体" w:cs="Times New Roman"/>
                      <w:color w:val="auto"/>
                    </w:rPr>
                    <w:t>侧</w:t>
                  </w:r>
                </w:p>
              </w:tc>
              <w:tc>
                <w:tcPr>
                  <w:tcW w:w="414" w:type="pct"/>
                  <w:vMerge w:val="continue"/>
                  <w:noWrap w:val="0"/>
                  <w:vAlign w:val="center"/>
                </w:tcPr>
                <w:p w14:paraId="3C40B41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7AF72A7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0AE59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59.2</w:t>
                  </w:r>
                </w:p>
              </w:tc>
              <w:tc>
                <w:tcPr>
                  <w:tcW w:w="421" w:type="pct"/>
                  <w:shd w:val="clear" w:color="auto" w:fill="auto"/>
                  <w:noWrap w:val="0"/>
                  <w:vAlign w:val="center"/>
                </w:tcPr>
                <w:p w14:paraId="127656F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7EE8612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59.2</w:t>
                  </w:r>
                </w:p>
              </w:tc>
              <w:tc>
                <w:tcPr>
                  <w:tcW w:w="387" w:type="pct"/>
                  <w:shd w:val="clear" w:color="auto" w:fill="auto"/>
                  <w:noWrap w:val="0"/>
                  <w:vAlign w:val="center"/>
                </w:tcPr>
                <w:p w14:paraId="56FDE5B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0FE3D911">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ascii="Times New Roman" w:hAnsi="Times New Roman" w:eastAsia="宋体" w:cs="Times New Roman"/>
                      <w:color w:val="auto"/>
                    </w:rPr>
                    <w:t>达标</w:t>
                  </w:r>
                </w:p>
              </w:tc>
              <w:tc>
                <w:tcPr>
                  <w:tcW w:w="497" w:type="pct"/>
                  <w:shd w:val="clear" w:color="auto" w:fill="auto"/>
                  <w:noWrap w:val="0"/>
                  <w:vAlign w:val="center"/>
                </w:tcPr>
                <w:p w14:paraId="565E502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r>
            <w:tr w14:paraId="5AA89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4A95384E">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p>
              </w:tc>
              <w:tc>
                <w:tcPr>
                  <w:tcW w:w="896" w:type="pct"/>
                  <w:shd w:val="clear" w:color="auto" w:fill="auto"/>
                  <w:noWrap w:val="0"/>
                  <w:vAlign w:val="center"/>
                </w:tcPr>
                <w:p w14:paraId="4A55870F">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rPr>
                    <w:t>场界</w:t>
                  </w:r>
                  <w:r>
                    <w:rPr>
                      <w:rFonts w:hint="eastAsia" w:ascii="Times New Roman" w:hAnsi="Times New Roman" w:eastAsia="宋体" w:cs="Times New Roman"/>
                      <w:color w:val="auto"/>
                    </w:rPr>
                    <w:t>西</w:t>
                  </w:r>
                  <w:r>
                    <w:rPr>
                      <w:rFonts w:ascii="Times New Roman" w:hAnsi="Times New Roman" w:eastAsia="宋体" w:cs="Times New Roman"/>
                      <w:color w:val="auto"/>
                    </w:rPr>
                    <w:t>侧</w:t>
                  </w:r>
                </w:p>
              </w:tc>
              <w:tc>
                <w:tcPr>
                  <w:tcW w:w="414" w:type="pct"/>
                  <w:vMerge w:val="continue"/>
                  <w:noWrap w:val="0"/>
                  <w:vAlign w:val="center"/>
                </w:tcPr>
                <w:p w14:paraId="6B5AD945">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1BAFEAC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7BF69E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51.8</w:t>
                  </w:r>
                </w:p>
              </w:tc>
              <w:tc>
                <w:tcPr>
                  <w:tcW w:w="421" w:type="pct"/>
                  <w:shd w:val="clear" w:color="auto" w:fill="auto"/>
                  <w:noWrap w:val="0"/>
                  <w:vAlign w:val="center"/>
                </w:tcPr>
                <w:p w14:paraId="0C7E2D2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16FED7D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51.8</w:t>
                  </w:r>
                </w:p>
              </w:tc>
              <w:tc>
                <w:tcPr>
                  <w:tcW w:w="387" w:type="pct"/>
                  <w:shd w:val="clear" w:color="auto" w:fill="auto"/>
                  <w:noWrap w:val="0"/>
                  <w:vAlign w:val="center"/>
                </w:tcPr>
                <w:p w14:paraId="586802B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07CEAAA2">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ascii="Times New Roman" w:hAnsi="Times New Roman" w:eastAsia="宋体" w:cs="Times New Roman"/>
                      <w:color w:val="auto"/>
                    </w:rPr>
                    <w:t>达标</w:t>
                  </w:r>
                </w:p>
              </w:tc>
              <w:tc>
                <w:tcPr>
                  <w:tcW w:w="497" w:type="pct"/>
                  <w:shd w:val="clear" w:color="auto" w:fill="auto"/>
                  <w:noWrap w:val="0"/>
                  <w:vAlign w:val="center"/>
                </w:tcPr>
                <w:p w14:paraId="731C9BB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r>
            <w:tr w14:paraId="15269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E76F515">
                  <w:pPr>
                    <w:pStyle w:val="55"/>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p>
              </w:tc>
              <w:tc>
                <w:tcPr>
                  <w:tcW w:w="896" w:type="pct"/>
                  <w:shd w:val="clear" w:color="auto" w:fill="auto"/>
                  <w:noWrap w:val="0"/>
                  <w:vAlign w:val="center"/>
                </w:tcPr>
                <w:p w14:paraId="71DCAD16">
                  <w:pPr>
                    <w:pStyle w:val="55"/>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北侧</w:t>
                  </w:r>
                </w:p>
              </w:tc>
              <w:tc>
                <w:tcPr>
                  <w:tcW w:w="414" w:type="pct"/>
                  <w:vMerge w:val="continue"/>
                  <w:noWrap w:val="0"/>
                  <w:vAlign w:val="center"/>
                </w:tcPr>
                <w:p w14:paraId="0EB5F0FA">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1EBE418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EE85F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65.1</w:t>
                  </w:r>
                </w:p>
              </w:tc>
              <w:tc>
                <w:tcPr>
                  <w:tcW w:w="421" w:type="pct"/>
                  <w:shd w:val="clear" w:color="auto" w:fill="auto"/>
                  <w:noWrap w:val="0"/>
                  <w:vAlign w:val="center"/>
                </w:tcPr>
                <w:p w14:paraId="62B3FD0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75B61F4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65.1</w:t>
                  </w:r>
                </w:p>
              </w:tc>
              <w:tc>
                <w:tcPr>
                  <w:tcW w:w="387" w:type="pct"/>
                  <w:shd w:val="clear" w:color="auto" w:fill="auto"/>
                  <w:noWrap w:val="0"/>
                  <w:vAlign w:val="center"/>
                </w:tcPr>
                <w:p w14:paraId="1600EAE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7B84CC39">
                  <w:pPr>
                    <w:pStyle w:val="55"/>
                    <w:keepNext w:val="0"/>
                    <w:keepLines w:val="0"/>
                    <w:suppressLineNumbers w:val="0"/>
                    <w:spacing w:before="0" w:beforeAutospacing="0" w:after="0" w:afterAutospacing="0"/>
                    <w:ind w:left="0" w:leftChars="0" w:right="0" w:rightChars="0" w:firstLine="0" w:firstLineChars="0"/>
                    <w:rPr>
                      <w:rFonts w:hint="eastAsia" w:ascii="华文仿宋" w:hAnsi="华文仿宋" w:eastAsia="Times New Roman" w:cs="Courier New"/>
                      <w:b w:val="0"/>
                      <w:color w:val="auto"/>
                      <w:kern w:val="2"/>
                      <w:sz w:val="21"/>
                      <w:szCs w:val="21"/>
                      <w:lang w:val="en-US" w:eastAsia="zh-CN" w:bidi="ar-SA"/>
                    </w:rPr>
                  </w:pPr>
                  <w:r>
                    <w:rPr>
                      <w:rFonts w:hint="eastAsia" w:ascii="Times New Roman" w:hAnsi="Times New Roman" w:eastAsia="宋体" w:cs="Times New Roman"/>
                      <w:color w:val="auto"/>
                      <w:lang w:val="en-US" w:eastAsia="zh-CN"/>
                    </w:rPr>
                    <w:t>达标</w:t>
                  </w:r>
                </w:p>
              </w:tc>
              <w:tc>
                <w:tcPr>
                  <w:tcW w:w="497" w:type="pct"/>
                  <w:shd w:val="clear" w:color="auto" w:fill="auto"/>
                  <w:noWrap w:val="0"/>
                  <w:vAlign w:val="center"/>
                </w:tcPr>
                <w:p w14:paraId="4E466EB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0"/>
                      <w:szCs w:val="21"/>
                      <w:lang w:bidi="ar"/>
                    </w:rPr>
                    <w:t>/</w:t>
                  </w:r>
                </w:p>
              </w:tc>
            </w:tr>
          </w:tbl>
          <w:p w14:paraId="7BC90D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4）钻井作业场界噪声预测</w:t>
            </w:r>
          </w:p>
          <w:p w14:paraId="7B98B9E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不同钻井阶段噪声预测</w:t>
            </w:r>
            <w:r>
              <w:rPr>
                <w:rFonts w:hint="eastAsia" w:ascii="Times New Roman" w:hAnsi="Times New Roman" w:cs="Times New Roman"/>
                <w:bCs/>
                <w:color w:val="auto"/>
                <w:sz w:val="24"/>
              </w:rPr>
              <w:t>等声值线图</w:t>
            </w:r>
            <w:r>
              <w:rPr>
                <w:rFonts w:hint="eastAsia" w:ascii="Times New Roman" w:hAnsi="Times New Roman" w:cs="Times New Roman"/>
                <w:bCs/>
                <w:color w:val="auto"/>
                <w:sz w:val="24"/>
                <w:lang w:val="en-US" w:eastAsia="zh-CN"/>
              </w:rPr>
              <w:t>如</w:t>
            </w:r>
            <w:r>
              <w:rPr>
                <w:rFonts w:hint="eastAsia" w:ascii="Times New Roman" w:hAnsi="Times New Roman" w:cs="Times New Roman"/>
                <w:bCs/>
                <w:color w:val="auto"/>
                <w:sz w:val="24"/>
              </w:rPr>
              <w:t>下所示</w:t>
            </w:r>
            <w:r>
              <w:rPr>
                <w:rFonts w:hint="default" w:ascii="Times New Roman" w:hAnsi="Times New Roman" w:cs="Times New Roman"/>
                <w:bCs/>
                <w:color w:val="auto"/>
                <w:sz w:val="24"/>
              </w:rPr>
              <w:t>。</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52"/>
              <w:gridCol w:w="4327"/>
            </w:tblGrid>
            <w:tr w14:paraId="7ECA5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41660BD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drawing>
                      <wp:inline distT="0" distB="0" distL="114300" distR="114300">
                        <wp:extent cx="2498090" cy="1989455"/>
                        <wp:effectExtent l="0" t="0" r="11430" b="825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47"/>
                                <a:stretch>
                                  <a:fillRect/>
                                </a:stretch>
                              </pic:blipFill>
                              <pic:spPr>
                                <a:xfrm>
                                  <a:off x="0" y="0"/>
                                  <a:ext cx="2498090" cy="1989455"/>
                                </a:xfrm>
                                <a:prstGeom prst="rect">
                                  <a:avLst/>
                                </a:prstGeom>
                                <a:noFill/>
                                <a:ln>
                                  <a:noFill/>
                                </a:ln>
                              </pic:spPr>
                            </pic:pic>
                          </a:graphicData>
                        </a:graphic>
                      </wp:inline>
                    </w:drawing>
                  </w:r>
                </w:p>
              </w:tc>
              <w:tc>
                <w:tcPr>
                  <w:tcW w:w="2551" w:type="pct"/>
                  <w:noWrap w:val="0"/>
                  <w:vAlign w:val="center"/>
                </w:tcPr>
                <w:p w14:paraId="7307388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drawing>
                      <wp:inline distT="0" distB="0" distL="114300" distR="114300">
                        <wp:extent cx="2602230" cy="1997075"/>
                        <wp:effectExtent l="0" t="0" r="6350" b="635"/>
                        <wp:docPr id="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6"/>
                                <pic:cNvPicPr>
                                  <a:picLocks noChangeAspect="1"/>
                                </pic:cNvPicPr>
                              </pic:nvPicPr>
                              <pic:blipFill>
                                <a:blip r:embed="rId48"/>
                                <a:stretch>
                                  <a:fillRect/>
                                </a:stretch>
                              </pic:blipFill>
                              <pic:spPr>
                                <a:xfrm>
                                  <a:off x="0" y="0"/>
                                  <a:ext cx="2602230" cy="1997075"/>
                                </a:xfrm>
                                <a:prstGeom prst="rect">
                                  <a:avLst/>
                                </a:prstGeom>
                                <a:noFill/>
                                <a:ln>
                                  <a:noFill/>
                                </a:ln>
                              </pic:spPr>
                            </pic:pic>
                          </a:graphicData>
                        </a:graphic>
                      </wp:inline>
                    </w:drawing>
                  </w:r>
                </w:p>
              </w:tc>
            </w:tr>
            <w:tr w14:paraId="6FF8A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1770F45C">
                  <w:pPr>
                    <w:pStyle w:val="55"/>
                    <w:keepNext w:val="0"/>
                    <w:keepLines w:val="0"/>
                    <w:suppressLineNumbers w:val="0"/>
                    <w:spacing w:before="0" w:beforeAutospacing="0" w:after="0" w:afterAutospacing="0"/>
                    <w:ind w:left="0" w:right="0"/>
                    <w:outlineLvl w:val="9"/>
                    <w:rPr>
                      <w:color w:val="auto"/>
                    </w:rPr>
                  </w:pPr>
                  <w:r>
                    <w:rPr>
                      <w:rFonts w:hint="eastAsia" w:ascii="Times New Roman" w:hAnsi="Times New Roman" w:eastAsia="宋体" w:cs="Times New Roman"/>
                      <w:color w:val="auto"/>
                      <w:lang w:val="en-US" w:eastAsia="zh-CN"/>
                    </w:rPr>
                    <w:t>电网供电旋挖机钻孔作业</w:t>
                  </w:r>
                </w:p>
              </w:tc>
              <w:tc>
                <w:tcPr>
                  <w:tcW w:w="2551" w:type="pct"/>
                  <w:noWrap w:val="0"/>
                  <w:vAlign w:val="center"/>
                </w:tcPr>
                <w:p w14:paraId="4E4F3232">
                  <w:pPr>
                    <w:pStyle w:val="55"/>
                    <w:keepNext w:val="0"/>
                    <w:keepLines w:val="0"/>
                    <w:suppressLineNumbers w:val="0"/>
                    <w:spacing w:before="0" w:beforeAutospacing="0" w:after="0" w:afterAutospacing="0"/>
                    <w:ind w:left="0" w:right="0"/>
                    <w:outlineLvl w:val="9"/>
                    <w:rPr>
                      <w:color w:val="auto"/>
                    </w:rPr>
                  </w:pPr>
                  <w:r>
                    <w:rPr>
                      <w:rFonts w:hint="eastAsia" w:ascii="Times New Roman" w:hAnsi="Times New Roman" w:eastAsia="宋体" w:cs="Times New Roman"/>
                      <w:color w:val="auto"/>
                      <w:lang w:val="en-US" w:eastAsia="zh-CN"/>
                    </w:rPr>
                    <w:t>柴油发电机供电旋挖机钻孔作业</w:t>
                  </w:r>
                </w:p>
              </w:tc>
            </w:tr>
            <w:tr w14:paraId="06CE4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306F288A">
                  <w:pPr>
                    <w:pStyle w:val="55"/>
                    <w:keepNext w:val="0"/>
                    <w:keepLines w:val="0"/>
                    <w:suppressLineNumbers w:val="0"/>
                    <w:spacing w:before="0" w:beforeAutospacing="0" w:after="0" w:afterAutospacing="0"/>
                    <w:ind w:left="0" w:right="0"/>
                    <w:outlineLvl w:val="9"/>
                    <w:rPr>
                      <w:color w:val="auto"/>
                    </w:rPr>
                  </w:pPr>
                  <w:r>
                    <w:rPr>
                      <w:color w:val="auto"/>
                    </w:rPr>
                    <w:drawing>
                      <wp:inline distT="0" distB="0" distL="114300" distR="114300">
                        <wp:extent cx="2496185" cy="1853565"/>
                        <wp:effectExtent l="0" t="0" r="13335" b="12065"/>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pic:cNvPicPr>
                              </pic:nvPicPr>
                              <pic:blipFill>
                                <a:blip r:embed="rId49"/>
                                <a:stretch>
                                  <a:fillRect/>
                                </a:stretch>
                              </pic:blipFill>
                              <pic:spPr>
                                <a:xfrm>
                                  <a:off x="0" y="0"/>
                                  <a:ext cx="2496185" cy="1853565"/>
                                </a:xfrm>
                                <a:prstGeom prst="rect">
                                  <a:avLst/>
                                </a:prstGeom>
                                <a:noFill/>
                                <a:ln>
                                  <a:noFill/>
                                </a:ln>
                              </pic:spPr>
                            </pic:pic>
                          </a:graphicData>
                        </a:graphic>
                      </wp:inline>
                    </w:drawing>
                  </w:r>
                </w:p>
              </w:tc>
              <w:tc>
                <w:tcPr>
                  <w:tcW w:w="2551" w:type="pct"/>
                  <w:noWrap w:val="0"/>
                  <w:vAlign w:val="center"/>
                </w:tcPr>
                <w:p w14:paraId="68175A4D">
                  <w:pPr>
                    <w:pStyle w:val="55"/>
                    <w:keepNext w:val="0"/>
                    <w:keepLines w:val="0"/>
                    <w:suppressLineNumbers w:val="0"/>
                    <w:spacing w:before="0" w:beforeAutospacing="0" w:after="0" w:afterAutospacing="0"/>
                    <w:ind w:left="0" w:right="0"/>
                    <w:outlineLvl w:val="9"/>
                    <w:rPr>
                      <w:color w:val="auto"/>
                    </w:rPr>
                  </w:pPr>
                  <w:r>
                    <w:rPr>
                      <w:color w:val="auto"/>
                    </w:rPr>
                    <w:drawing>
                      <wp:inline distT="0" distB="0" distL="114300" distR="114300">
                        <wp:extent cx="2494915" cy="1899285"/>
                        <wp:effectExtent l="0" t="0" r="14605" b="15875"/>
                        <wp:docPr id="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pic:cNvPicPr>
                                  <a:picLocks noChangeAspect="1"/>
                                </pic:cNvPicPr>
                              </pic:nvPicPr>
                              <pic:blipFill>
                                <a:blip r:embed="rId50"/>
                                <a:stretch>
                                  <a:fillRect/>
                                </a:stretch>
                              </pic:blipFill>
                              <pic:spPr>
                                <a:xfrm>
                                  <a:off x="0" y="0"/>
                                  <a:ext cx="2494915" cy="1899285"/>
                                </a:xfrm>
                                <a:prstGeom prst="rect">
                                  <a:avLst/>
                                </a:prstGeom>
                                <a:noFill/>
                                <a:ln>
                                  <a:noFill/>
                                </a:ln>
                              </pic:spPr>
                            </pic:pic>
                          </a:graphicData>
                        </a:graphic>
                      </wp:inline>
                    </w:drawing>
                  </w:r>
                </w:p>
              </w:tc>
            </w:tr>
            <w:tr w14:paraId="39093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00843B1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电网</w:t>
                  </w:r>
                  <w:r>
                    <w:rPr>
                      <w:rFonts w:hint="eastAsia" w:ascii="Times New Roman" w:hAnsi="Times New Roman" w:eastAsia="宋体" w:cs="Times New Roman"/>
                      <w:color w:val="auto"/>
                      <w:lang w:val="en-US" w:eastAsia="zh-CN"/>
                    </w:rPr>
                    <w:t>供电钻机</w:t>
                  </w:r>
                  <w:r>
                    <w:rPr>
                      <w:rFonts w:ascii="Times New Roman" w:hAnsi="Times New Roman" w:eastAsia="宋体" w:cs="Times New Roman"/>
                      <w:color w:val="auto"/>
                    </w:rPr>
                    <w:t>钻井作业</w:t>
                  </w:r>
                </w:p>
              </w:tc>
              <w:tc>
                <w:tcPr>
                  <w:tcW w:w="2551" w:type="pct"/>
                  <w:noWrap w:val="0"/>
                  <w:vAlign w:val="center"/>
                </w:tcPr>
                <w:p w14:paraId="5147CBA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柴油发电机</w:t>
                  </w:r>
                  <w:r>
                    <w:rPr>
                      <w:rFonts w:hint="eastAsia" w:ascii="Times New Roman" w:hAnsi="Times New Roman" w:eastAsia="宋体" w:cs="Times New Roman"/>
                      <w:color w:val="auto"/>
                      <w:lang w:val="en-US" w:eastAsia="zh-CN"/>
                    </w:rPr>
                    <w:t>供电钻机</w:t>
                  </w:r>
                  <w:r>
                    <w:rPr>
                      <w:rFonts w:ascii="Times New Roman" w:hAnsi="Times New Roman" w:eastAsia="宋体" w:cs="Times New Roman"/>
                      <w:color w:val="auto"/>
                    </w:rPr>
                    <w:t>钻井作业</w:t>
                  </w:r>
                </w:p>
              </w:tc>
            </w:tr>
            <w:tr w14:paraId="455D2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5DE9FD2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color w:val="auto"/>
                    </w:rPr>
                    <w:drawing>
                      <wp:inline distT="0" distB="0" distL="114300" distR="114300">
                        <wp:extent cx="2498725" cy="1978660"/>
                        <wp:effectExtent l="0" t="0" r="10795" b="254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51"/>
                                <a:stretch>
                                  <a:fillRect/>
                                </a:stretch>
                              </pic:blipFill>
                              <pic:spPr>
                                <a:xfrm>
                                  <a:off x="0" y="0"/>
                                  <a:ext cx="2498725" cy="1978660"/>
                                </a:xfrm>
                                <a:prstGeom prst="rect">
                                  <a:avLst/>
                                </a:prstGeom>
                                <a:noFill/>
                                <a:ln>
                                  <a:noFill/>
                                </a:ln>
                              </pic:spPr>
                            </pic:pic>
                          </a:graphicData>
                        </a:graphic>
                      </wp:inline>
                    </w:drawing>
                  </w:r>
                </w:p>
              </w:tc>
              <w:tc>
                <w:tcPr>
                  <w:tcW w:w="2551" w:type="pct"/>
                  <w:noWrap w:val="0"/>
                  <w:vAlign w:val="center"/>
                </w:tcPr>
                <w:p w14:paraId="105AB6BC">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color w:val="auto"/>
                    </w:rPr>
                    <w:drawing>
                      <wp:inline distT="0" distB="0" distL="114300" distR="114300">
                        <wp:extent cx="2572385" cy="2001520"/>
                        <wp:effectExtent l="0" t="0" r="3175" b="1270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52"/>
                                <a:stretch>
                                  <a:fillRect/>
                                </a:stretch>
                              </pic:blipFill>
                              <pic:spPr>
                                <a:xfrm>
                                  <a:off x="0" y="0"/>
                                  <a:ext cx="2572385" cy="2001520"/>
                                </a:xfrm>
                                <a:prstGeom prst="rect">
                                  <a:avLst/>
                                </a:prstGeom>
                                <a:noFill/>
                                <a:ln>
                                  <a:noFill/>
                                </a:ln>
                              </pic:spPr>
                            </pic:pic>
                          </a:graphicData>
                        </a:graphic>
                      </wp:inline>
                    </w:drawing>
                  </w:r>
                </w:p>
              </w:tc>
            </w:tr>
            <w:tr w14:paraId="1AA56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38B8949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压裂</w:t>
                  </w:r>
                  <w:r>
                    <w:rPr>
                      <w:rFonts w:ascii="Times New Roman" w:hAnsi="Times New Roman" w:eastAsia="宋体" w:cs="Times New Roman"/>
                      <w:color w:val="auto"/>
                    </w:rPr>
                    <w:t>作业</w:t>
                  </w:r>
                </w:p>
              </w:tc>
              <w:tc>
                <w:tcPr>
                  <w:tcW w:w="2551" w:type="pct"/>
                  <w:noWrap w:val="0"/>
                  <w:vAlign w:val="center"/>
                </w:tcPr>
                <w:p w14:paraId="39A1786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放喷</w:t>
                  </w:r>
                  <w:r>
                    <w:rPr>
                      <w:rFonts w:ascii="Times New Roman" w:hAnsi="Times New Roman" w:eastAsia="宋体" w:cs="Times New Roman"/>
                      <w:color w:val="auto"/>
                    </w:rPr>
                    <w:t>作业</w:t>
                  </w:r>
                </w:p>
              </w:tc>
            </w:tr>
            <w:tr w14:paraId="71F1C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635A73A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color w:val="auto"/>
                    </w:rPr>
                    <w:drawing>
                      <wp:inline distT="0" distB="0" distL="114300" distR="114300">
                        <wp:extent cx="2498090" cy="2004060"/>
                        <wp:effectExtent l="0" t="0" r="11430" b="10160"/>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pic:cNvPicPr>
                                  <a:picLocks noChangeAspect="1"/>
                                </pic:cNvPicPr>
                              </pic:nvPicPr>
                              <pic:blipFill>
                                <a:blip r:embed="rId53"/>
                                <a:stretch>
                                  <a:fillRect/>
                                </a:stretch>
                              </pic:blipFill>
                              <pic:spPr>
                                <a:xfrm>
                                  <a:off x="0" y="0"/>
                                  <a:ext cx="2498090" cy="2004060"/>
                                </a:xfrm>
                                <a:prstGeom prst="rect">
                                  <a:avLst/>
                                </a:prstGeom>
                                <a:noFill/>
                                <a:ln>
                                  <a:noFill/>
                                </a:ln>
                              </pic:spPr>
                            </pic:pic>
                          </a:graphicData>
                        </a:graphic>
                      </wp:inline>
                    </w:drawing>
                  </w:r>
                </w:p>
              </w:tc>
              <w:tc>
                <w:tcPr>
                  <w:tcW w:w="2551" w:type="pct"/>
                  <w:noWrap w:val="0"/>
                  <w:vAlign w:val="center"/>
                </w:tcPr>
                <w:p w14:paraId="632FED9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r w14:paraId="1FF9D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7F345032">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锅炉保温放喷作业</w:t>
                  </w:r>
                </w:p>
              </w:tc>
              <w:tc>
                <w:tcPr>
                  <w:tcW w:w="2551" w:type="pct"/>
                  <w:noWrap w:val="0"/>
                  <w:vAlign w:val="center"/>
                </w:tcPr>
                <w:p w14:paraId="45CAA1A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bl>
          <w:p w14:paraId="570D0419">
            <w:pPr>
              <w:keepNext w:val="0"/>
              <w:keepLines w:val="0"/>
              <w:numPr>
                <w:ilvl w:val="0"/>
                <w:numId w:val="16"/>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szCs w:val="21"/>
              </w:rPr>
            </w:pPr>
            <w:r>
              <w:rPr>
                <w:rFonts w:hint="default" w:ascii="Times New Roman" w:hAnsi="Times New Roman" w:cs="Times New Roman"/>
                <w:b/>
                <w:color w:val="auto"/>
              </w:rPr>
              <w:t>不同钻井阶段噪声等声值线图</w:t>
            </w:r>
          </w:p>
          <w:p w14:paraId="21E69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rPr>
              <w:t>钻井过程中噪声主要来源于正常生产过程中的备用柴油发电机、钻井液循环系统和清洁生产操作区内的液泵、振动筛等</w:t>
            </w:r>
            <w:r>
              <w:rPr>
                <w:rFonts w:hint="eastAsia" w:ascii="Times New Roman" w:hAnsi="Times New Roman" w:eastAsia="宋体" w:cs="Times New Roman"/>
                <w:bCs/>
                <w:color w:val="auto"/>
                <w:sz w:val="24"/>
                <w:highlight w:val="none"/>
              </w:rPr>
              <w:t>（备用柴油发电机</w:t>
            </w:r>
            <w:r>
              <w:rPr>
                <w:rFonts w:hint="eastAsia" w:ascii="Times New Roman" w:hAnsi="Times New Roman" w:eastAsia="宋体" w:cs="Times New Roman"/>
                <w:bCs/>
                <w:color w:val="auto"/>
                <w:sz w:val="24"/>
                <w:highlight w:val="none"/>
                <w:lang w:val="en-US" w:eastAsia="zh-CN"/>
              </w:rPr>
              <w:t>作为停电时应急使用</w:t>
            </w:r>
            <w:r>
              <w:rPr>
                <w:rFonts w:hint="eastAsia" w:ascii="Times New Roman" w:hAnsi="Times New Roman" w:eastAsia="宋体" w:cs="Times New Roman"/>
                <w:bCs/>
                <w:color w:val="auto"/>
                <w:sz w:val="24"/>
                <w:highlight w:val="none"/>
              </w:rPr>
              <w:t>）</w:t>
            </w:r>
            <w:r>
              <w:rPr>
                <w:rFonts w:hint="default" w:ascii="Times New Roman" w:hAnsi="Times New Roman" w:eastAsia="宋体" w:cs="Times New Roman"/>
                <w:bCs/>
                <w:color w:val="auto"/>
                <w:sz w:val="24"/>
                <w:highlight w:val="none"/>
              </w:rPr>
              <w:t>。从预测结果可知</w:t>
            </w:r>
            <w:r>
              <w:rPr>
                <w:rFonts w:hint="eastAsia" w:ascii="Times New Roman" w:hAnsi="Times New Roman" w:eastAsia="宋体" w:cs="Times New Roman"/>
                <w:bCs/>
                <w:color w:val="auto"/>
                <w:sz w:val="24"/>
                <w:highlight w:val="none"/>
                <w:lang w:eastAsia="zh-CN"/>
              </w:rPr>
              <w:t>：</w:t>
            </w:r>
            <w:r>
              <w:rPr>
                <w:rFonts w:hint="eastAsia" w:cs="Times New Roman"/>
                <w:bCs/>
                <w:color w:val="auto"/>
                <w:sz w:val="24"/>
                <w:highlight w:val="none"/>
                <w:lang w:val="en-US" w:eastAsia="zh-CN"/>
              </w:rPr>
              <w:t>电网供电旋挖机钻孔作业期间昼间厂界达标，柴油发电机供电旋挖机钻孔作业期间昼间东侧、南侧厂界达标，电网供电钻机钻井作业期间昼间南侧厂界达标，柴油发电机供电钻机钻井作业期间昼间南侧厂界达标，压裂作业期间</w:t>
            </w:r>
            <w:r>
              <w:rPr>
                <w:rFonts w:hint="eastAsia" w:ascii="Times New Roman" w:hAnsi="Times New Roman" w:eastAsia="宋体" w:cs="Times New Roman"/>
                <w:bCs/>
                <w:color w:val="auto"/>
                <w:sz w:val="24"/>
                <w:highlight w:val="none"/>
                <w:lang w:val="en-US" w:eastAsia="zh-CN"/>
              </w:rPr>
              <w:t>（夜间不作业）</w:t>
            </w:r>
            <w:r>
              <w:rPr>
                <w:rFonts w:hint="eastAsia" w:cs="Times New Roman"/>
                <w:bCs/>
                <w:color w:val="auto"/>
                <w:sz w:val="24"/>
                <w:highlight w:val="none"/>
                <w:lang w:val="en-US" w:eastAsia="zh-CN"/>
              </w:rPr>
              <w:t>昼间北侧厂界达标，放喷作业期间</w:t>
            </w:r>
            <w:r>
              <w:rPr>
                <w:rFonts w:hint="eastAsia" w:ascii="Times New Roman" w:hAnsi="Times New Roman" w:eastAsia="宋体" w:cs="Times New Roman"/>
                <w:bCs/>
                <w:color w:val="auto"/>
                <w:sz w:val="24"/>
                <w:highlight w:val="none"/>
                <w:lang w:val="en-US" w:eastAsia="zh-CN"/>
              </w:rPr>
              <w:t>（夜间不作业）</w:t>
            </w:r>
            <w:r>
              <w:rPr>
                <w:rFonts w:hint="eastAsia" w:cs="Times New Roman"/>
                <w:bCs/>
                <w:color w:val="auto"/>
                <w:sz w:val="24"/>
                <w:highlight w:val="none"/>
                <w:lang w:val="en-US" w:eastAsia="zh-CN"/>
              </w:rPr>
              <w:t>昼间南侧、西侧、北侧厂界达标。</w:t>
            </w:r>
            <w:r>
              <w:rPr>
                <w:rFonts w:hint="eastAsia" w:ascii="Times New Roman" w:hAnsi="Times New Roman" w:eastAsia="宋体" w:cs="Times New Roman"/>
                <w:bCs/>
                <w:color w:val="auto"/>
                <w:sz w:val="24"/>
                <w:highlight w:val="none"/>
                <w:lang w:val="en-US" w:eastAsia="zh-CN"/>
              </w:rPr>
              <w:t>其余各作业期间各时间段场界均存在不同程度的超标情况。</w:t>
            </w:r>
          </w:p>
          <w:p w14:paraId="22779FB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5）声环境保护目标噪声预测</w:t>
            </w:r>
          </w:p>
          <w:p w14:paraId="46EB89F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根据项目外环境调查情况，受噪声影响的保护目标</w:t>
            </w:r>
            <w:r>
              <w:rPr>
                <w:rFonts w:hint="eastAsia" w:ascii="Times New Roman" w:hAnsi="Times New Roman" w:cs="Times New Roman"/>
                <w:bCs/>
                <w:color w:val="auto"/>
                <w:sz w:val="24"/>
                <w:lang w:val="en-US" w:eastAsia="zh-CN"/>
              </w:rPr>
              <w:t>为项目</w:t>
            </w:r>
            <w:r>
              <w:rPr>
                <w:rFonts w:hint="eastAsia" w:cs="Times New Roman"/>
                <w:bCs/>
                <w:color w:val="auto"/>
                <w:sz w:val="24"/>
                <w:lang w:val="en-US" w:eastAsia="zh-CN"/>
              </w:rPr>
              <w:t>场</w:t>
            </w:r>
            <w:r>
              <w:rPr>
                <w:rFonts w:hint="eastAsia" w:ascii="Times New Roman" w:hAnsi="Times New Roman" w:cs="Times New Roman"/>
                <w:bCs/>
                <w:color w:val="auto"/>
                <w:sz w:val="24"/>
                <w:lang w:val="en-US" w:eastAsia="zh-CN"/>
              </w:rPr>
              <w:t>界</w:t>
            </w:r>
            <w:r>
              <w:rPr>
                <w:rFonts w:hint="eastAsia" w:cs="Times New Roman"/>
                <w:bCs/>
                <w:color w:val="auto"/>
                <w:sz w:val="24"/>
                <w:lang w:val="en-US" w:eastAsia="zh-CN"/>
              </w:rPr>
              <w:t>周边</w:t>
            </w:r>
            <w:r>
              <w:rPr>
                <w:rFonts w:hint="eastAsia" w:ascii="Times New Roman" w:hAnsi="Times New Roman" w:cs="Times New Roman"/>
                <w:bCs/>
                <w:color w:val="auto"/>
                <w:sz w:val="24"/>
                <w:lang w:val="en-US" w:eastAsia="zh-CN"/>
              </w:rPr>
              <w:t>分布的农户</w:t>
            </w:r>
            <w:r>
              <w:rPr>
                <w:rFonts w:hint="eastAsia" w:cs="Times New Roman"/>
                <w:bCs/>
                <w:color w:val="auto"/>
                <w:sz w:val="24"/>
                <w:lang w:val="en-US" w:eastAsia="zh-CN"/>
              </w:rPr>
              <w:t>。</w:t>
            </w:r>
            <w:r>
              <w:rPr>
                <w:rFonts w:hint="eastAsia" w:ascii="Times New Roman" w:hAnsi="Times New Roman" w:eastAsia="宋体" w:cs="Times New Roman"/>
                <w:bCs/>
                <w:color w:val="auto"/>
                <w:sz w:val="24"/>
                <w:lang w:val="en-US" w:eastAsia="zh-CN"/>
              </w:rPr>
              <w:t>本次评价采用环安科技专业噪声预测软件进行保护目标预测，预测时在考虑了几何发散衰减（距离衰减）、地形高差、建筑遮挡、大气吸收等各方面因素后，得到各保护目标最近点处的贡献值</w:t>
            </w:r>
            <w:r>
              <w:rPr>
                <w:rFonts w:hint="eastAsia" w:ascii="Times New Roman" w:hAnsi="Times New Roman" w:cs="Times New Roman"/>
                <w:bCs/>
                <w:color w:val="auto"/>
                <w:sz w:val="24"/>
                <w:lang w:val="en-US" w:eastAsia="zh-CN"/>
              </w:rPr>
              <w:t>进行</w:t>
            </w:r>
            <w:r>
              <w:rPr>
                <w:rFonts w:hint="eastAsia" w:ascii="Times New Roman" w:hAnsi="Times New Roman" w:cs="Times New Roman"/>
                <w:bCs/>
                <w:color w:val="auto"/>
                <w:sz w:val="24"/>
              </w:rPr>
              <w:t>分析</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对不同阶段声环境保护目标进行预测，</w:t>
            </w:r>
            <w:r>
              <w:rPr>
                <w:rFonts w:hint="eastAsia" w:ascii="Times New Roman" w:hAnsi="Times New Roman" w:cs="Times New Roman"/>
                <w:bCs/>
                <w:color w:val="auto"/>
                <w:sz w:val="24"/>
                <w:lang w:val="en-US" w:eastAsia="zh-CN"/>
              </w:rPr>
              <w:t>因项目所在区域为农村环境，声环境类似，本次评价取现状监测</w:t>
            </w:r>
            <w:r>
              <w:rPr>
                <w:rFonts w:hint="eastAsia" w:cs="Times New Roman"/>
                <w:bCs/>
                <w:color w:val="auto"/>
                <w:sz w:val="24"/>
                <w:lang w:val="en-US" w:eastAsia="zh-CN"/>
              </w:rPr>
              <w:t>均值</w:t>
            </w:r>
            <w:r>
              <w:rPr>
                <w:rFonts w:hint="eastAsia" w:ascii="Times New Roman" w:hAnsi="Times New Roman" w:cs="Times New Roman"/>
                <w:bCs/>
                <w:color w:val="auto"/>
                <w:sz w:val="24"/>
                <w:lang w:val="en-US" w:eastAsia="zh-CN"/>
              </w:rPr>
              <w:t>作为各敏感点位的现状值进行预测，</w:t>
            </w:r>
            <w:r>
              <w:rPr>
                <w:rFonts w:hint="default" w:ascii="Times New Roman" w:hAnsi="Times New Roman" w:cs="Times New Roman"/>
                <w:bCs/>
                <w:color w:val="auto"/>
                <w:sz w:val="24"/>
              </w:rPr>
              <w:t>各声环境保护目标预测结果及达标分析如下表所示。</w:t>
            </w:r>
          </w:p>
          <w:p w14:paraId="1549CCCE">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电网供电旋挖机钻孔</w:t>
            </w:r>
            <w:r>
              <w:rPr>
                <w:rFonts w:hint="eastAsia" w:ascii="Times New Roman" w:hAnsi="Times New Roman" w:eastAsia="宋体" w:cs="Times New Roman"/>
                <w:b/>
                <w:color w:val="auto"/>
              </w:rPr>
              <w:t>作业噪声对保护目标的影响预测</w:t>
            </w:r>
            <w:r>
              <w:rPr>
                <w:rFonts w:hint="eastAsia" w:ascii="Times New Roman" w:hAnsi="Times New Roman" w:eastAsia="宋体" w:cs="Times New Roman"/>
                <w:b/>
                <w:color w:val="auto"/>
                <w:lang w:val="en-US" w:eastAsia="zh-CN"/>
              </w:rPr>
              <w:t xml:space="preserve">    单位：dB（A）</w:t>
            </w:r>
          </w:p>
          <w:tbl>
            <w:tblPr>
              <w:tblStyle w:val="23"/>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481"/>
              <w:gridCol w:w="504"/>
              <w:gridCol w:w="503"/>
              <w:gridCol w:w="506"/>
              <w:gridCol w:w="479"/>
              <w:gridCol w:w="487"/>
              <w:gridCol w:w="622"/>
              <w:gridCol w:w="622"/>
              <w:gridCol w:w="621"/>
              <w:gridCol w:w="622"/>
              <w:gridCol w:w="595"/>
              <w:gridCol w:w="600"/>
              <w:gridCol w:w="481"/>
              <w:gridCol w:w="481"/>
            </w:tblGrid>
            <w:tr w14:paraId="7BA1C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562527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577" w:type="pct"/>
                  <w:gridSpan w:val="2"/>
                  <w:tcBorders>
                    <w:top w:val="single" w:color="000000" w:sz="4" w:space="0"/>
                    <w:left w:val="single" w:color="000000" w:sz="4" w:space="0"/>
                    <w:bottom w:val="single" w:color="000000" w:sz="4" w:space="0"/>
                    <w:right w:val="single" w:color="000000" w:sz="4" w:space="0"/>
                  </w:tcBorders>
                  <w:noWrap w:val="0"/>
                  <w:vAlign w:val="center"/>
                </w:tcPr>
                <w:p w14:paraId="206555F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C570EF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591" w:type="pct"/>
                  <w:gridSpan w:val="2"/>
                  <w:tcBorders>
                    <w:top w:val="single" w:color="000000" w:sz="4" w:space="0"/>
                    <w:left w:val="single" w:color="000000" w:sz="4" w:space="0"/>
                    <w:bottom w:val="single" w:color="000000" w:sz="4" w:space="0"/>
                    <w:right w:val="single" w:color="000000" w:sz="4" w:space="0"/>
                  </w:tcBorders>
                  <w:noWrap w:val="0"/>
                  <w:vAlign w:val="center"/>
                </w:tcPr>
                <w:p w14:paraId="45BF212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600E2F6C">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566" w:type="pct"/>
                  <w:gridSpan w:val="2"/>
                  <w:tcBorders>
                    <w:top w:val="single" w:color="000000" w:sz="4" w:space="0"/>
                    <w:left w:val="single" w:color="000000" w:sz="4" w:space="0"/>
                    <w:bottom w:val="single" w:color="000000" w:sz="4" w:space="0"/>
                    <w:right w:val="single" w:color="000000" w:sz="4" w:space="0"/>
                  </w:tcBorders>
                  <w:noWrap w:val="0"/>
                  <w:vAlign w:val="center"/>
                </w:tcPr>
                <w:p w14:paraId="68DAD03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52A7DB7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7908AD7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7C03DDA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728" w:type="pct"/>
                  <w:gridSpan w:val="2"/>
                  <w:tcBorders>
                    <w:top w:val="single" w:color="000000" w:sz="4" w:space="0"/>
                    <w:left w:val="single" w:color="000000" w:sz="4" w:space="0"/>
                    <w:bottom w:val="single" w:color="000000" w:sz="4" w:space="0"/>
                    <w:right w:val="single" w:color="000000" w:sz="4" w:space="0"/>
                  </w:tcBorders>
                  <w:noWrap w:val="0"/>
                  <w:vAlign w:val="center"/>
                </w:tcPr>
                <w:p w14:paraId="3016087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F702FC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700" w:type="pct"/>
                  <w:gridSpan w:val="2"/>
                  <w:tcBorders>
                    <w:top w:val="single" w:color="000000" w:sz="4" w:space="0"/>
                    <w:left w:val="single" w:color="000000" w:sz="4" w:space="0"/>
                    <w:bottom w:val="single" w:color="000000" w:sz="4" w:space="0"/>
                    <w:right w:val="single" w:color="000000" w:sz="4" w:space="0"/>
                  </w:tcBorders>
                  <w:noWrap w:val="0"/>
                  <w:vAlign w:val="center"/>
                </w:tcPr>
                <w:p w14:paraId="44A99A9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564" w:type="pct"/>
                  <w:gridSpan w:val="2"/>
                  <w:tcBorders>
                    <w:top w:val="single" w:color="000000" w:sz="4" w:space="0"/>
                    <w:left w:val="single" w:color="000000" w:sz="4" w:space="0"/>
                    <w:bottom w:val="single" w:color="000000" w:sz="4" w:space="0"/>
                    <w:right w:val="single" w:color="000000" w:sz="4" w:space="0"/>
                  </w:tcBorders>
                  <w:noWrap w:val="0"/>
                  <w:vAlign w:val="center"/>
                </w:tcPr>
                <w:p w14:paraId="3375ABB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75F08C0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11154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901E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8AC914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C45464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49B2EDC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D47B22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3D41B12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FDE265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821E03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6E18D7E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8DB26D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22CBE2E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2A3C94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5D57674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F512B5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44064FF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14:paraId="3831CFB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14:paraId="1C80BB3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2A471B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7BC3D2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3D764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1DBD7FA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rPr>
                  </w:pPr>
                  <w:r>
                    <w:rPr>
                      <w:rFonts w:hint="eastAsia" w:cs="Times New Roman"/>
                      <w:color w:val="auto"/>
                      <w:kern w:val="0"/>
                      <w:szCs w:val="21"/>
                      <w:lang w:val="en-US" w:eastAsia="zh-CN" w:bidi="ar"/>
                    </w:rPr>
                    <w:t>柿子院散居农户</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67C4E31">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11992DD8">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546804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506E864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32095F5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E0D1AE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C68E6C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43.6</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03B8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43.6</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DF409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53.5</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117D4EE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46.3</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2DE7F0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6C662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3.3</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2F5D90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5CA25F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r>
            <w:tr w14:paraId="4D7A1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F5E70A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辽叶塆散居农户</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4F08C97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rPr>
                  </w:pPr>
                  <w:r>
                    <w:rPr>
                      <w:rFonts w:hint="eastAsia" w:cs="Times New Roman"/>
                      <w:color w:val="auto"/>
                      <w:lang w:val="en-US" w:eastAsia="zh-CN"/>
                    </w:rPr>
                    <w:t>54</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7238754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rPr>
                  </w:pPr>
                  <w:r>
                    <w:rPr>
                      <w:rFonts w:hint="eastAsia" w:cs="Times New Roman"/>
                      <w:color w:val="auto"/>
                      <w:lang w:val="en-US" w:eastAsia="zh-CN"/>
                    </w:rPr>
                    <w:t>43</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3EA20DED">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rPr>
                  </w:pPr>
                  <w:r>
                    <w:rPr>
                      <w:rFonts w:hint="eastAsia" w:cs="Times New Roman"/>
                      <w:color w:val="auto"/>
                      <w:lang w:val="en-US" w:eastAsia="zh-CN"/>
                    </w:rPr>
                    <w:t>54</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3734D72E">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13A184A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9A95538">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CB207B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60.0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383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60.0</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00549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61.0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2C3470D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60.1</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041215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7.0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D4078C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17.1</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F2D80E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w:t>
                  </w:r>
                  <w:r>
                    <w:rPr>
                      <w:rFonts w:hint="eastAsia" w:ascii="Times New Roman" w:hAnsi="Times New Roman" w:eastAsia="宋体" w:cs="Times New Roman"/>
                      <w:bCs/>
                      <w:color w:val="auto"/>
                      <w:szCs w:val="21"/>
                    </w:rPr>
                    <w:t>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2C0A50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超标</w:t>
                  </w:r>
                </w:p>
              </w:tc>
            </w:tr>
            <w:tr w14:paraId="0183A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04497AC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2C01D3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9AEAA4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3</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7923AB5B">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1679FA2">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488A0D29">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681A06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1D7DE22">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38.2</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3A9C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38.2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5A1A8D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53.1</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0335A8C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44.2</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6BD1743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C7D6A5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1.2</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14C6ED3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达标</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7F414F7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达标</w:t>
                  </w:r>
                </w:p>
              </w:tc>
            </w:tr>
            <w:tr w14:paraId="20659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33F91CF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2957EC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0536B0D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6BA9B025">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36048CAC">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66E208B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297B48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FAF2A5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33.9</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097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33.9</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4942A9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53.1</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5645A2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42.6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2EB69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F8BB3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71CF23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2C0039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达标</w:t>
                  </w:r>
                </w:p>
              </w:tc>
            </w:tr>
            <w:tr w14:paraId="7A012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71E55BA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val="en-US" w:eastAsia="zh-CN"/>
                    </w:rPr>
                  </w:pPr>
                  <w:r>
                    <w:rPr>
                      <w:rFonts w:hint="eastAsia" w:cs="Times New Roman"/>
                      <w:color w:val="auto"/>
                      <w:kern w:val="0"/>
                      <w:szCs w:val="21"/>
                      <w:lang w:val="en-US" w:eastAsia="zh-CN" w:bidi="ar"/>
                    </w:rPr>
                    <w:t>松垭子农户聚居区</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F5E963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A85E3C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380A535A">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18D15F2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2F01994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8EAB8A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4621B3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50.3</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8912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50.3</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04AACF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54.9</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49FB22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50.9</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41A377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3C8D6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8.9</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A93305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DE6FBD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超标</w:t>
                  </w:r>
                </w:p>
              </w:tc>
            </w:tr>
            <w:tr w14:paraId="42D4B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1A3B365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庙垭口农户聚居区</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924BE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53</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57003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43</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7E9778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53</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73CF08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3014F1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AE09E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C99F47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44.4</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17C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44.4</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3F4BD9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53.6</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54086A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46.8</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BE2E2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DC0AE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3.8</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6D4BAC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229BB4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r>
          </w:tbl>
          <w:p w14:paraId="3526215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柴油发电机供电旋挖机钻孔</w:t>
            </w:r>
            <w:r>
              <w:rPr>
                <w:rFonts w:hint="eastAsia" w:ascii="Times New Roman" w:hAnsi="Times New Roman" w:eastAsia="宋体" w:cs="Times New Roman"/>
                <w:b/>
                <w:color w:val="auto"/>
              </w:rPr>
              <w:t>作业噪声对保护目标的影响预测</w:t>
            </w:r>
            <w:r>
              <w:rPr>
                <w:rFonts w:hint="eastAsia" w:ascii="Times New Roman" w:hAnsi="Times New Roman" w:eastAsia="宋体" w:cs="Times New Roman"/>
                <w:b/>
                <w:color w:val="auto"/>
                <w:lang w:val="en-US" w:eastAsia="zh-CN"/>
              </w:rPr>
              <w:t xml:space="preserve">    单位：dB（A）</w:t>
            </w:r>
          </w:p>
          <w:tbl>
            <w:tblPr>
              <w:tblStyle w:val="23"/>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481"/>
              <w:gridCol w:w="504"/>
              <w:gridCol w:w="503"/>
              <w:gridCol w:w="506"/>
              <w:gridCol w:w="479"/>
              <w:gridCol w:w="487"/>
              <w:gridCol w:w="622"/>
              <w:gridCol w:w="622"/>
              <w:gridCol w:w="621"/>
              <w:gridCol w:w="622"/>
              <w:gridCol w:w="595"/>
              <w:gridCol w:w="600"/>
              <w:gridCol w:w="481"/>
              <w:gridCol w:w="481"/>
            </w:tblGrid>
            <w:tr w14:paraId="01BA8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2983AD4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577" w:type="pct"/>
                  <w:gridSpan w:val="2"/>
                  <w:tcBorders>
                    <w:top w:val="single" w:color="000000" w:sz="4" w:space="0"/>
                    <w:left w:val="single" w:color="000000" w:sz="4" w:space="0"/>
                    <w:bottom w:val="single" w:color="000000" w:sz="4" w:space="0"/>
                    <w:right w:val="single" w:color="000000" w:sz="4" w:space="0"/>
                  </w:tcBorders>
                  <w:noWrap w:val="0"/>
                  <w:vAlign w:val="center"/>
                </w:tcPr>
                <w:p w14:paraId="1F85A70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63C6FA2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591" w:type="pct"/>
                  <w:gridSpan w:val="2"/>
                  <w:tcBorders>
                    <w:top w:val="single" w:color="000000" w:sz="4" w:space="0"/>
                    <w:left w:val="single" w:color="000000" w:sz="4" w:space="0"/>
                    <w:bottom w:val="single" w:color="000000" w:sz="4" w:space="0"/>
                    <w:right w:val="single" w:color="000000" w:sz="4" w:space="0"/>
                  </w:tcBorders>
                  <w:noWrap w:val="0"/>
                  <w:vAlign w:val="center"/>
                </w:tcPr>
                <w:p w14:paraId="0CF7B48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5C43A8D5">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566" w:type="pct"/>
                  <w:gridSpan w:val="2"/>
                  <w:tcBorders>
                    <w:top w:val="single" w:color="000000" w:sz="4" w:space="0"/>
                    <w:left w:val="single" w:color="000000" w:sz="4" w:space="0"/>
                    <w:bottom w:val="single" w:color="000000" w:sz="4" w:space="0"/>
                    <w:right w:val="single" w:color="000000" w:sz="4" w:space="0"/>
                  </w:tcBorders>
                  <w:noWrap w:val="0"/>
                  <w:vAlign w:val="center"/>
                </w:tcPr>
                <w:p w14:paraId="4543C13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64764A6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2C4EF3F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2B66595">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728" w:type="pct"/>
                  <w:gridSpan w:val="2"/>
                  <w:tcBorders>
                    <w:top w:val="single" w:color="000000" w:sz="4" w:space="0"/>
                    <w:left w:val="single" w:color="000000" w:sz="4" w:space="0"/>
                    <w:bottom w:val="single" w:color="000000" w:sz="4" w:space="0"/>
                    <w:right w:val="single" w:color="000000" w:sz="4" w:space="0"/>
                  </w:tcBorders>
                  <w:noWrap w:val="0"/>
                  <w:vAlign w:val="center"/>
                </w:tcPr>
                <w:p w14:paraId="5108C93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B23400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700" w:type="pct"/>
                  <w:gridSpan w:val="2"/>
                  <w:tcBorders>
                    <w:top w:val="single" w:color="000000" w:sz="4" w:space="0"/>
                    <w:left w:val="single" w:color="000000" w:sz="4" w:space="0"/>
                    <w:bottom w:val="single" w:color="000000" w:sz="4" w:space="0"/>
                    <w:right w:val="single" w:color="000000" w:sz="4" w:space="0"/>
                  </w:tcBorders>
                  <w:noWrap w:val="0"/>
                  <w:vAlign w:val="center"/>
                </w:tcPr>
                <w:p w14:paraId="16A7A3D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564" w:type="pct"/>
                  <w:gridSpan w:val="2"/>
                  <w:tcBorders>
                    <w:top w:val="single" w:color="000000" w:sz="4" w:space="0"/>
                    <w:left w:val="single" w:color="000000" w:sz="4" w:space="0"/>
                    <w:bottom w:val="single" w:color="000000" w:sz="4" w:space="0"/>
                    <w:right w:val="single" w:color="000000" w:sz="4" w:space="0"/>
                  </w:tcBorders>
                  <w:noWrap w:val="0"/>
                  <w:vAlign w:val="center"/>
                </w:tcPr>
                <w:p w14:paraId="13B0161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4D1ABD5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577F2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22042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85337F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4822C2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4FCB615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53259D2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6406BF5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B300EF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8970E5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6F2E756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B22226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439D85C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2622CB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5F012EC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E79A90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01D1805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14:paraId="7D7EE84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14:paraId="0ADC457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DAE766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52CDB8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7B923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4016120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rPr>
                  </w:pPr>
                  <w:r>
                    <w:rPr>
                      <w:rFonts w:hint="eastAsia" w:cs="Times New Roman"/>
                      <w:color w:val="auto"/>
                      <w:kern w:val="0"/>
                      <w:szCs w:val="21"/>
                      <w:lang w:val="en-US" w:eastAsia="zh-CN" w:bidi="ar"/>
                    </w:rPr>
                    <w:t>柿子院散居农户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054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4A4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A39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554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710EE9D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93AA37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4C1A5E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54.0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B3F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54.0</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6130F6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56.5</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35ED8C2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54.3</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7CB0EF5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838B9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11.3</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301F3F5">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488442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超标</w:t>
                  </w:r>
                </w:p>
              </w:tc>
            </w:tr>
            <w:tr w14:paraId="37586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B12CD7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辽叶塆散居农户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796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9DE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2B3C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BC7E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725D0179">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E08F75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6D6A3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65.7</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963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65.7</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F1E02A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66.0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4FF1ECA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65.7</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3FF393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12.0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8380F4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22.7</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A6C674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w:t>
                  </w:r>
                  <w:r>
                    <w:rPr>
                      <w:rFonts w:hint="eastAsia" w:ascii="Times New Roman" w:hAnsi="Times New Roman" w:eastAsia="宋体" w:cs="Times New Roman"/>
                      <w:bCs/>
                      <w:color w:val="auto"/>
                      <w:szCs w:val="21"/>
                    </w:rPr>
                    <w:t>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794BDE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超标</w:t>
                  </w:r>
                </w:p>
              </w:tc>
            </w:tr>
            <w:tr w14:paraId="0BE80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4CFE47F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B8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AFC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F14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1F78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05F64289">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A9BB51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27708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47.4</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E96D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47.4</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803059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54.1</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028DA3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48.7</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6734F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1.1</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666B6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5.7</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4986E9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3BF59C5">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达标</w:t>
                  </w:r>
                </w:p>
              </w:tc>
            </w:tr>
            <w:tr w14:paraId="302CF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8E6083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eastAsia="zh-CN"/>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D2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99A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A22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D873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AE81D31">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F792B5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47B03B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43.0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C3A0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43.0</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46D6FA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53.4</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203BD03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45.5</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C6632D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B8405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3.5</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D7F762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B6348A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达标</w:t>
                  </w:r>
                </w:p>
              </w:tc>
            </w:tr>
            <w:tr w14:paraId="70EE3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3058BAD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lang w:val="en-US" w:eastAsia="zh-CN"/>
                    </w:rPr>
                  </w:pPr>
                  <w:r>
                    <w:rPr>
                      <w:rFonts w:hint="eastAsia" w:cs="Times New Roman"/>
                      <w:color w:val="auto"/>
                      <w:kern w:val="0"/>
                      <w:szCs w:val="21"/>
                      <w:lang w:val="en-US" w:eastAsia="zh-CN" w:bidi="ar"/>
                    </w:rPr>
                    <w:t>松垭子农户聚居区</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5297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55D4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6C58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841E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0102B8B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A2C860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AED01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59.5</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C565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59.5</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6DEBE7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60.4</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69F477A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59.6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03E23D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7.4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6A0531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17.6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A64E1A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超标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E74A99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超标</w:t>
                  </w:r>
                </w:p>
              </w:tc>
            </w:tr>
            <w:tr w14:paraId="48ED6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38E181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庙垭口农户聚居区</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C418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EEA1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BED5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C58E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7E990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603BFE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534791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53.9</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4AFF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53.9</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8E8D9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56.5</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7BDE0C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54.2</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98731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B13F6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11.2</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E2412C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53BD2A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超标</w:t>
                  </w:r>
                </w:p>
              </w:tc>
            </w:tr>
          </w:tbl>
          <w:p w14:paraId="3799DFCE">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电网供电</w:t>
            </w:r>
            <w:r>
              <w:rPr>
                <w:rFonts w:hint="eastAsia" w:cs="Times New Roman"/>
                <w:b/>
                <w:color w:val="auto"/>
                <w:lang w:val="en-US" w:eastAsia="zh-CN"/>
              </w:rPr>
              <w:t>钻机</w:t>
            </w:r>
            <w:r>
              <w:rPr>
                <w:rFonts w:hint="eastAsia" w:ascii="Times New Roman" w:hAnsi="Times New Roman" w:eastAsia="宋体" w:cs="Times New Roman"/>
                <w:b/>
                <w:color w:val="auto"/>
              </w:rPr>
              <w:t>钻井作业噪声对保护目标的影响预测</w:t>
            </w:r>
            <w:r>
              <w:rPr>
                <w:rFonts w:hint="eastAsia" w:ascii="Times New Roman" w:hAnsi="Times New Roman" w:eastAsia="宋体" w:cs="Times New Roman"/>
                <w:b/>
                <w:color w:val="auto"/>
                <w:lang w:val="en-US" w:eastAsia="zh-CN"/>
              </w:rPr>
              <w:t xml:space="preserve">    单位：dB（A）</w:t>
            </w:r>
          </w:p>
          <w:tbl>
            <w:tblPr>
              <w:tblStyle w:val="23"/>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481"/>
              <w:gridCol w:w="504"/>
              <w:gridCol w:w="503"/>
              <w:gridCol w:w="506"/>
              <w:gridCol w:w="479"/>
              <w:gridCol w:w="487"/>
              <w:gridCol w:w="622"/>
              <w:gridCol w:w="622"/>
              <w:gridCol w:w="621"/>
              <w:gridCol w:w="622"/>
              <w:gridCol w:w="595"/>
              <w:gridCol w:w="600"/>
              <w:gridCol w:w="481"/>
              <w:gridCol w:w="481"/>
            </w:tblGrid>
            <w:tr w14:paraId="1103D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871EC6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577" w:type="pct"/>
                  <w:gridSpan w:val="2"/>
                  <w:tcBorders>
                    <w:top w:val="single" w:color="000000" w:sz="4" w:space="0"/>
                    <w:left w:val="single" w:color="000000" w:sz="4" w:space="0"/>
                    <w:bottom w:val="single" w:color="000000" w:sz="4" w:space="0"/>
                    <w:right w:val="single" w:color="000000" w:sz="4" w:space="0"/>
                  </w:tcBorders>
                  <w:noWrap w:val="0"/>
                  <w:vAlign w:val="center"/>
                </w:tcPr>
                <w:p w14:paraId="06F1A41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1973A08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591" w:type="pct"/>
                  <w:gridSpan w:val="2"/>
                  <w:tcBorders>
                    <w:top w:val="single" w:color="000000" w:sz="4" w:space="0"/>
                    <w:left w:val="single" w:color="000000" w:sz="4" w:space="0"/>
                    <w:bottom w:val="single" w:color="000000" w:sz="4" w:space="0"/>
                    <w:right w:val="single" w:color="000000" w:sz="4" w:space="0"/>
                  </w:tcBorders>
                  <w:noWrap w:val="0"/>
                  <w:vAlign w:val="center"/>
                </w:tcPr>
                <w:p w14:paraId="03A8B6A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7544A2A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566" w:type="pct"/>
                  <w:gridSpan w:val="2"/>
                  <w:tcBorders>
                    <w:top w:val="single" w:color="000000" w:sz="4" w:space="0"/>
                    <w:left w:val="single" w:color="000000" w:sz="4" w:space="0"/>
                    <w:bottom w:val="single" w:color="000000" w:sz="4" w:space="0"/>
                    <w:right w:val="single" w:color="000000" w:sz="4" w:space="0"/>
                  </w:tcBorders>
                  <w:noWrap w:val="0"/>
                  <w:vAlign w:val="center"/>
                </w:tcPr>
                <w:p w14:paraId="4A10F07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1B90C5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7AC72F5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52E73E2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728" w:type="pct"/>
                  <w:gridSpan w:val="2"/>
                  <w:tcBorders>
                    <w:top w:val="single" w:color="000000" w:sz="4" w:space="0"/>
                    <w:left w:val="single" w:color="000000" w:sz="4" w:space="0"/>
                    <w:bottom w:val="single" w:color="000000" w:sz="4" w:space="0"/>
                    <w:right w:val="single" w:color="000000" w:sz="4" w:space="0"/>
                  </w:tcBorders>
                  <w:noWrap w:val="0"/>
                  <w:vAlign w:val="center"/>
                </w:tcPr>
                <w:p w14:paraId="791E795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7E42EB8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700" w:type="pct"/>
                  <w:gridSpan w:val="2"/>
                  <w:tcBorders>
                    <w:top w:val="single" w:color="000000" w:sz="4" w:space="0"/>
                    <w:left w:val="single" w:color="000000" w:sz="4" w:space="0"/>
                    <w:bottom w:val="single" w:color="000000" w:sz="4" w:space="0"/>
                    <w:right w:val="single" w:color="000000" w:sz="4" w:space="0"/>
                  </w:tcBorders>
                  <w:noWrap w:val="0"/>
                  <w:vAlign w:val="center"/>
                </w:tcPr>
                <w:p w14:paraId="46CB19E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564" w:type="pct"/>
                  <w:gridSpan w:val="2"/>
                  <w:tcBorders>
                    <w:top w:val="single" w:color="000000" w:sz="4" w:space="0"/>
                    <w:left w:val="single" w:color="000000" w:sz="4" w:space="0"/>
                    <w:bottom w:val="single" w:color="000000" w:sz="4" w:space="0"/>
                    <w:right w:val="single" w:color="000000" w:sz="4" w:space="0"/>
                  </w:tcBorders>
                  <w:noWrap w:val="0"/>
                  <w:vAlign w:val="center"/>
                </w:tcPr>
                <w:p w14:paraId="6DF39F4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0349B0E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2D8AD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FF2D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530D4C9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759199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4465E40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50004FF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9EAAB1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BF2B25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2C2604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297A99E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4C9C40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5902C70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926BF9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63FC549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0C484F9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4DE397E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14:paraId="6076D68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14:paraId="7B508AD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980C5E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00F58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5272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12C4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柿子院散居农户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F5F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1AA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A52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19C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4A4EFCF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E021B9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77973F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57.8</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5DE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57.8</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1403B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59.0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6FA21A8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57.9</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337A306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6.0</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9BEE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14.9</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E9602C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7A7755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超标</w:t>
                  </w:r>
                </w:p>
              </w:tc>
            </w:tr>
            <w:tr w14:paraId="28998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8AF8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辽叶塆散居农户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471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CD5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549D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6B18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6D450F7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F919EA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4D053D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66.2</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D18D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66.2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6729E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66.5</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7707464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66.2</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6F83E2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12.5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0C74F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23.2</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C48DBE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w:t>
                  </w:r>
                  <w:r>
                    <w:rPr>
                      <w:rFonts w:hint="eastAsia" w:ascii="Times New Roman" w:hAnsi="Times New Roman" w:eastAsia="宋体" w:cs="Times New Roman"/>
                      <w:bCs/>
                      <w:color w:val="auto"/>
                      <w:szCs w:val="21"/>
                    </w:rPr>
                    <w:t>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BA741C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超标</w:t>
                  </w:r>
                </w:p>
              </w:tc>
            </w:tr>
            <w:tr w14:paraId="7343A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BFF4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53C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01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2FF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84C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437AC7E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858885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44ED0BF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46.6</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D23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46.6</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1E5E6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53.9</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2E9865C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48.2</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4DF6071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B5DBE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5.2</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234CF6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4A45CD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达标</w:t>
                  </w:r>
                </w:p>
              </w:tc>
            </w:tr>
            <w:tr w14:paraId="21DA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2D6E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77A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547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578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44BF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208BFAF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2AA44F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33AA22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40.0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9ED4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40.0</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7F77B69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53.2</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55B266F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44.1</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6487D7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C4D9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2.1</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7BE0D3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42E750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lang w:val="en-US" w:eastAsia="zh-CN"/>
                    </w:rPr>
                    <w:t>达标</w:t>
                  </w:r>
                </w:p>
              </w:tc>
            </w:tr>
            <w:tr w14:paraId="26B7E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1EB4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松垭子农户聚居区</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EC1D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CCD1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7C5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41C3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02E90A3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AF76A6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5B8B69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57.5</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3ADF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57.5</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64AE95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58.8</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3050F68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57.6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3E0796D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5.8</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C97663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15.6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27AE16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CED280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rPr>
                  </w:pPr>
                  <w:r>
                    <w:rPr>
                      <w:rFonts w:hint="eastAsia" w:cs="Times New Roman"/>
                      <w:bCs/>
                      <w:color w:val="auto"/>
                      <w:szCs w:val="21"/>
                      <w:lang w:val="en-US" w:eastAsia="zh-CN"/>
                    </w:rPr>
                    <w:t>超标</w:t>
                  </w:r>
                </w:p>
              </w:tc>
            </w:tr>
            <w:tr w14:paraId="647F4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0DE7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28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2C2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65AF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4F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2953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7B8C8D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2F74F5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7F7D72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53.6</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D8FA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53.6</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4AD366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56.3</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4072A8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54.0</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3386BE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3.3</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DAC0F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11.0</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994DDB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45DF55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超标</w:t>
                  </w:r>
                </w:p>
              </w:tc>
            </w:tr>
          </w:tbl>
          <w:p w14:paraId="0FEE68F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柴油发电机</w:t>
            </w:r>
            <w:r>
              <w:rPr>
                <w:rFonts w:hint="eastAsia" w:ascii="Times New Roman" w:hAnsi="Times New Roman" w:eastAsia="宋体" w:cs="Times New Roman"/>
                <w:b/>
                <w:color w:val="auto"/>
                <w:lang w:val="en-US" w:eastAsia="zh-CN"/>
              </w:rPr>
              <w:t>供电</w:t>
            </w:r>
            <w:r>
              <w:rPr>
                <w:rFonts w:hint="eastAsia" w:cs="Times New Roman"/>
                <w:b/>
                <w:color w:val="auto"/>
                <w:lang w:val="en-US" w:eastAsia="zh-CN"/>
              </w:rPr>
              <w:t>钻机</w:t>
            </w:r>
            <w:r>
              <w:rPr>
                <w:rFonts w:hint="eastAsia" w:ascii="Times New Roman" w:hAnsi="Times New Roman" w:eastAsia="宋体" w:cs="Times New Roman"/>
                <w:b/>
                <w:color w:val="auto"/>
              </w:rPr>
              <w:t>钻井作业噪声对保护目标的影响预测</w:t>
            </w:r>
            <w:r>
              <w:rPr>
                <w:rFonts w:hint="eastAsia" w:ascii="Times New Roman" w:hAnsi="Times New Roman" w:eastAsia="宋体" w:cs="Times New Roman"/>
                <w:b/>
                <w:color w:val="auto"/>
                <w:lang w:val="en-US" w:eastAsia="zh-CN"/>
              </w:rPr>
              <w:t xml:space="preserve">    单位：dB（A）</w:t>
            </w:r>
          </w:p>
          <w:tbl>
            <w:tblPr>
              <w:tblStyle w:val="23"/>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0"/>
              <w:gridCol w:w="500"/>
              <w:gridCol w:w="508"/>
              <w:gridCol w:w="500"/>
              <w:gridCol w:w="503"/>
              <w:gridCol w:w="499"/>
              <w:gridCol w:w="509"/>
              <w:gridCol w:w="614"/>
              <w:gridCol w:w="618"/>
              <w:gridCol w:w="614"/>
              <w:gridCol w:w="618"/>
              <w:gridCol w:w="589"/>
              <w:gridCol w:w="588"/>
              <w:gridCol w:w="416"/>
              <w:gridCol w:w="485"/>
            </w:tblGrid>
            <w:tr w14:paraId="78833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0406F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749F144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0681608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1003" w:type="dxa"/>
                  <w:gridSpan w:val="2"/>
                  <w:tcBorders>
                    <w:top w:val="single" w:color="000000" w:sz="4" w:space="0"/>
                    <w:left w:val="single" w:color="000000" w:sz="4" w:space="0"/>
                    <w:bottom w:val="single" w:color="000000" w:sz="4" w:space="0"/>
                    <w:right w:val="single" w:color="000000" w:sz="4" w:space="0"/>
                  </w:tcBorders>
                  <w:noWrap w:val="0"/>
                  <w:vAlign w:val="center"/>
                </w:tcPr>
                <w:p w14:paraId="7577B1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D3E0A23">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6A4A99C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3F08663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1D28865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554CDB0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28826B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6EA238C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1177" w:type="dxa"/>
                  <w:gridSpan w:val="2"/>
                  <w:tcBorders>
                    <w:top w:val="single" w:color="000000" w:sz="4" w:space="0"/>
                    <w:left w:val="single" w:color="000000" w:sz="4" w:space="0"/>
                    <w:bottom w:val="single" w:color="000000" w:sz="4" w:space="0"/>
                    <w:right w:val="single" w:color="000000" w:sz="4" w:space="0"/>
                  </w:tcBorders>
                  <w:noWrap w:val="0"/>
                  <w:vAlign w:val="center"/>
                </w:tcPr>
                <w:p w14:paraId="754D1A5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901" w:type="dxa"/>
                  <w:gridSpan w:val="2"/>
                  <w:tcBorders>
                    <w:top w:val="single" w:color="000000" w:sz="4" w:space="0"/>
                    <w:left w:val="single" w:color="000000" w:sz="4" w:space="0"/>
                    <w:bottom w:val="single" w:color="000000" w:sz="4" w:space="0"/>
                    <w:right w:val="single" w:color="000000" w:sz="4" w:space="0"/>
                  </w:tcBorders>
                  <w:noWrap w:val="0"/>
                  <w:vAlign w:val="center"/>
                </w:tcPr>
                <w:p w14:paraId="2C50915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11860A7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58B3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F66D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C3FB62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BDDABC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2AF8A6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C9740F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77668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55ACBF8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29AE6F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37E7D15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417C6B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30FD84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99C182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7A1DBEB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9E3E4D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3795332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354F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66D691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565BB2C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F51B7E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16182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DD3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柿子院散居农户</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675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F5B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757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946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E5D4B48">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3DBF235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555872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59.2</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25B892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59.2</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2103C3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60.1</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61B88C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59.3</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7EA5BE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7.1</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73BD5D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16.3</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5A7849C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lang w:val="en-US" w:eastAsia="zh-CN"/>
                    </w:rPr>
                    <w:t>超</w:t>
                  </w:r>
                  <w:r>
                    <w:rPr>
                      <w:rFonts w:hint="default" w:ascii="Times New Roman" w:hAnsi="Times New Roman" w:cs="Times New Roman"/>
                      <w:bCs/>
                      <w:color w:val="auto"/>
                      <w:szCs w:val="21"/>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0846D38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超</w:t>
                  </w:r>
                  <w:r>
                    <w:rPr>
                      <w:rFonts w:hint="default" w:ascii="Times New Roman" w:hAnsi="Times New Roman" w:cs="Times New Roman"/>
                      <w:bCs/>
                      <w:color w:val="auto"/>
                      <w:szCs w:val="21"/>
                    </w:rPr>
                    <w:t>标</w:t>
                  </w:r>
                </w:p>
              </w:tc>
            </w:tr>
            <w:tr w14:paraId="33F60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CBD1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辽叶塆散居农户</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8D8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1BB9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6B5E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702A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45241EAD">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1203464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FDF62F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68.4</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77DE58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68.4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C11BEC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68.6</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04DB79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68.4</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90B52D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14.6</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303068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25.4</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E2E0169">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lang w:val="en-US" w:eastAsia="zh-CN"/>
                    </w:rPr>
                    <w:t>超</w:t>
                  </w:r>
                  <w:r>
                    <w:rPr>
                      <w:rFonts w:hint="default" w:ascii="Times New Roman" w:hAnsi="Times New Roman" w:cs="Times New Roman"/>
                      <w:bCs/>
                      <w:color w:val="auto"/>
                      <w:szCs w:val="21"/>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E53BB16">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超</w:t>
                  </w:r>
                  <w:r>
                    <w:rPr>
                      <w:rFonts w:hint="default" w:ascii="Times New Roman" w:hAnsi="Times New Roman" w:cs="Times New Roman"/>
                      <w:bCs/>
                      <w:color w:val="auto"/>
                      <w:szCs w:val="21"/>
                    </w:rPr>
                    <w:t>标</w:t>
                  </w:r>
                </w:p>
              </w:tc>
            </w:tr>
            <w:tr w14:paraId="3DC3E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66D9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2034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BD72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4F55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6C05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6BD48B8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6F1FD19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120B825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49.7</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BE891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49.7</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49002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54.7</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D516B6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50.5</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DBBAD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1.7</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9FCEC1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7.5</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4E7DAAB">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7E29938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cs="Times New Roman"/>
                      <w:bCs/>
                      <w:color w:val="auto"/>
                      <w:szCs w:val="21"/>
                      <w:lang w:val="en-US" w:eastAsia="zh-CN"/>
                    </w:rPr>
                    <w:t>超</w:t>
                  </w:r>
                  <w:r>
                    <w:rPr>
                      <w:rFonts w:hint="eastAsia" w:ascii="Times New Roman" w:hAnsi="Times New Roman" w:cs="Times New Roman"/>
                      <w:bCs/>
                      <w:color w:val="auto"/>
                      <w:szCs w:val="21"/>
                      <w:lang w:val="en-US" w:eastAsia="zh-CN"/>
                    </w:rPr>
                    <w:t>标</w:t>
                  </w:r>
                </w:p>
              </w:tc>
            </w:tr>
            <w:tr w14:paraId="78CB3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EDA7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3DCA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8144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CA6B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D154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08239AD9">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063205B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53C55C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44.4</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0ED23F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44.4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CDA724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53.6</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AFAEDB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46.4</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F8F2B7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0.6</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65EA442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4.4</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040341F">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49A7C40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lang w:val="en-US" w:eastAsia="zh-CN"/>
                    </w:rPr>
                    <w:t>达标</w:t>
                  </w:r>
                </w:p>
              </w:tc>
            </w:tr>
            <w:tr w14:paraId="34CCA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8D9E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松垭子农户聚居区</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FF9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5BBB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607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0D3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7B0B42B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3BAB1F0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7260B3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61.3</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256CE0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61.3</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F2A1A9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61.9</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329038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61.4</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39EDF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8.9</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EDD9EA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19.4</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0548A14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超</w:t>
                  </w:r>
                  <w:r>
                    <w:rPr>
                      <w:rFonts w:hint="default" w:ascii="Times New Roman" w:hAnsi="Times New Roman" w:cs="Times New Roman"/>
                      <w:bCs/>
                      <w:color w:val="auto"/>
                      <w:szCs w:val="21"/>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22AA4B9B">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cs="Times New Roman"/>
                      <w:bCs/>
                      <w:color w:val="auto"/>
                      <w:szCs w:val="21"/>
                      <w:lang w:val="en-US" w:eastAsia="zh-CN"/>
                    </w:rPr>
                    <w:t>超</w:t>
                  </w:r>
                  <w:r>
                    <w:rPr>
                      <w:rFonts w:hint="default" w:ascii="Times New Roman" w:hAnsi="Times New Roman" w:cs="Times New Roman"/>
                      <w:bCs/>
                      <w:color w:val="auto"/>
                      <w:szCs w:val="21"/>
                    </w:rPr>
                    <w:t>标</w:t>
                  </w:r>
                </w:p>
              </w:tc>
            </w:tr>
            <w:tr w14:paraId="2FFFF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BA4A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A4F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D7E9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BE2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7EA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57D674E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2FF7A02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24F7DD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56.5</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777AD4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56.5</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B1220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58.1</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2F68A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56.7</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438D7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5.1</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08B62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13.7</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383EC45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054D8B2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超标</w:t>
                  </w:r>
                </w:p>
              </w:tc>
            </w:tr>
          </w:tbl>
          <w:p w14:paraId="29877362">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压裂</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3"/>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0"/>
              <w:gridCol w:w="501"/>
              <w:gridCol w:w="517"/>
              <w:gridCol w:w="508"/>
              <w:gridCol w:w="513"/>
              <w:gridCol w:w="508"/>
              <w:gridCol w:w="515"/>
              <w:gridCol w:w="618"/>
              <w:gridCol w:w="522"/>
              <w:gridCol w:w="660"/>
              <w:gridCol w:w="664"/>
              <w:gridCol w:w="584"/>
              <w:gridCol w:w="439"/>
              <w:gridCol w:w="505"/>
              <w:gridCol w:w="497"/>
            </w:tblGrid>
            <w:tr w14:paraId="590F1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F6F5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1018" w:type="dxa"/>
                  <w:gridSpan w:val="2"/>
                  <w:tcBorders>
                    <w:top w:val="single" w:color="000000" w:sz="4" w:space="0"/>
                    <w:left w:val="single" w:color="000000" w:sz="4" w:space="0"/>
                    <w:bottom w:val="single" w:color="000000" w:sz="4" w:space="0"/>
                    <w:right w:val="single" w:color="000000" w:sz="4" w:space="0"/>
                  </w:tcBorders>
                  <w:noWrap w:val="0"/>
                  <w:vAlign w:val="center"/>
                </w:tcPr>
                <w:p w14:paraId="2F08D6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398651DB">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1021" w:type="dxa"/>
                  <w:gridSpan w:val="2"/>
                  <w:tcBorders>
                    <w:top w:val="single" w:color="000000" w:sz="4" w:space="0"/>
                    <w:left w:val="single" w:color="000000" w:sz="4" w:space="0"/>
                    <w:bottom w:val="single" w:color="000000" w:sz="4" w:space="0"/>
                    <w:right w:val="single" w:color="000000" w:sz="4" w:space="0"/>
                  </w:tcBorders>
                  <w:noWrap w:val="0"/>
                  <w:vAlign w:val="center"/>
                </w:tcPr>
                <w:p w14:paraId="1367C1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39739923">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1023" w:type="dxa"/>
                  <w:gridSpan w:val="2"/>
                  <w:tcBorders>
                    <w:top w:val="single" w:color="000000" w:sz="4" w:space="0"/>
                    <w:left w:val="single" w:color="000000" w:sz="4" w:space="0"/>
                    <w:bottom w:val="single" w:color="000000" w:sz="4" w:space="0"/>
                    <w:right w:val="single" w:color="000000" w:sz="4" w:space="0"/>
                  </w:tcBorders>
                  <w:noWrap w:val="0"/>
                  <w:vAlign w:val="center"/>
                </w:tcPr>
                <w:p w14:paraId="57185FA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548DFDA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14:paraId="0AD2022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3523C7B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1324" w:type="dxa"/>
                  <w:gridSpan w:val="2"/>
                  <w:tcBorders>
                    <w:top w:val="single" w:color="000000" w:sz="4" w:space="0"/>
                    <w:left w:val="single" w:color="000000" w:sz="4" w:space="0"/>
                    <w:bottom w:val="single" w:color="000000" w:sz="4" w:space="0"/>
                    <w:right w:val="single" w:color="000000" w:sz="4" w:space="0"/>
                  </w:tcBorders>
                  <w:noWrap w:val="0"/>
                  <w:vAlign w:val="center"/>
                </w:tcPr>
                <w:p w14:paraId="201A913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6648276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1023" w:type="dxa"/>
                  <w:gridSpan w:val="2"/>
                  <w:tcBorders>
                    <w:top w:val="single" w:color="000000" w:sz="4" w:space="0"/>
                    <w:left w:val="single" w:color="000000" w:sz="4" w:space="0"/>
                    <w:bottom w:val="single" w:color="000000" w:sz="4" w:space="0"/>
                    <w:right w:val="single" w:color="000000" w:sz="4" w:space="0"/>
                  </w:tcBorders>
                  <w:noWrap w:val="0"/>
                  <w:vAlign w:val="center"/>
                </w:tcPr>
                <w:p w14:paraId="3939CDE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1002" w:type="dxa"/>
                  <w:gridSpan w:val="2"/>
                  <w:tcBorders>
                    <w:top w:val="single" w:color="000000" w:sz="4" w:space="0"/>
                    <w:left w:val="single" w:color="000000" w:sz="4" w:space="0"/>
                    <w:bottom w:val="single" w:color="000000" w:sz="4" w:space="0"/>
                    <w:right w:val="single" w:color="000000" w:sz="4" w:space="0"/>
                  </w:tcBorders>
                  <w:noWrap w:val="0"/>
                  <w:vAlign w:val="center"/>
                </w:tcPr>
                <w:p w14:paraId="23D81A2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31A15AF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555A0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F83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7B5E356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6B3A4D6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50ECA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13" w:type="dxa"/>
                  <w:tcBorders>
                    <w:top w:val="single" w:color="000000" w:sz="4" w:space="0"/>
                    <w:left w:val="single" w:color="000000" w:sz="4" w:space="0"/>
                    <w:bottom w:val="single" w:color="000000" w:sz="4" w:space="0"/>
                    <w:right w:val="single" w:color="000000" w:sz="4" w:space="0"/>
                  </w:tcBorders>
                  <w:noWrap w:val="0"/>
                  <w:vAlign w:val="center"/>
                </w:tcPr>
                <w:p w14:paraId="5F33D45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1818004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431F6F3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27968AD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22" w:type="dxa"/>
                  <w:tcBorders>
                    <w:top w:val="single" w:color="000000" w:sz="4" w:space="0"/>
                    <w:left w:val="single" w:color="000000" w:sz="4" w:space="0"/>
                    <w:bottom w:val="single" w:color="000000" w:sz="4" w:space="0"/>
                    <w:right w:val="single" w:color="000000" w:sz="4" w:space="0"/>
                  </w:tcBorders>
                  <w:noWrap w:val="0"/>
                  <w:vAlign w:val="center"/>
                </w:tcPr>
                <w:p w14:paraId="0B83DDF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193A83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493AE84B">
                  <w:pPr>
                    <w:keepNext w:val="0"/>
                    <w:keepLines w:val="0"/>
                    <w:suppressLineNumbers w:val="0"/>
                    <w:spacing w:before="0" w:beforeAutospacing="0" w:after="0" w:afterAutospacing="0"/>
                    <w:ind w:left="0" w:right="0"/>
                    <w:jc w:val="center"/>
                    <w:rPr>
                      <w:rFonts w:hint="eastAsia" w:ascii="Times New Roman" w:hAnsi="Times New Roman" w:cs="Times New Roman"/>
                      <w:b/>
                      <w:color w:val="auto"/>
                      <w:szCs w:val="21"/>
                    </w:rPr>
                  </w:pPr>
                  <w:r>
                    <w:rPr>
                      <w:rFonts w:hint="default" w:ascii="Times New Roman" w:hAnsi="Times New Roman" w:cs="Times New Roman"/>
                      <w:b/>
                      <w:color w:val="auto"/>
                      <w:szCs w:val="21"/>
                    </w:rPr>
                    <w:t>夜间</w:t>
                  </w:r>
                </w:p>
              </w:tc>
              <w:tc>
                <w:tcPr>
                  <w:tcW w:w="584" w:type="dxa"/>
                  <w:tcBorders>
                    <w:top w:val="single" w:color="000000" w:sz="4" w:space="0"/>
                    <w:left w:val="single" w:color="000000" w:sz="4" w:space="0"/>
                    <w:bottom w:val="single" w:color="000000" w:sz="4" w:space="0"/>
                    <w:right w:val="single" w:color="000000" w:sz="4" w:space="0"/>
                  </w:tcBorders>
                  <w:noWrap w:val="0"/>
                  <w:vAlign w:val="center"/>
                </w:tcPr>
                <w:p w14:paraId="62BB85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2B4609A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69C448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0C82963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728BE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8A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柿子院散居农户</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86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AF1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506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53B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43BBF5C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73DA3F2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72EB2BD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56.4</w:t>
                  </w:r>
                </w:p>
              </w:tc>
              <w:tc>
                <w:tcPr>
                  <w:tcW w:w="522" w:type="dxa"/>
                  <w:tcBorders>
                    <w:top w:val="single" w:color="000000" w:sz="4" w:space="0"/>
                    <w:left w:val="single" w:color="000000" w:sz="4" w:space="0"/>
                    <w:bottom w:val="single" w:color="000000" w:sz="4" w:space="0"/>
                    <w:right w:val="single" w:color="000000" w:sz="4" w:space="0"/>
                  </w:tcBorders>
                  <w:noWrap w:val="0"/>
                  <w:vAlign w:val="center"/>
                </w:tcPr>
                <w:p w14:paraId="142F36A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5E9862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58.0</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34C66C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584" w:type="dxa"/>
                  <w:tcBorders>
                    <w:top w:val="single" w:color="000000" w:sz="4" w:space="0"/>
                    <w:left w:val="single" w:color="000000" w:sz="4" w:space="0"/>
                    <w:bottom w:val="single" w:color="000000" w:sz="4" w:space="0"/>
                    <w:right w:val="single" w:color="000000" w:sz="4" w:space="0"/>
                  </w:tcBorders>
                  <w:noWrap w:val="0"/>
                  <w:vAlign w:val="center"/>
                </w:tcPr>
                <w:p w14:paraId="34021B8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5.0</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447AE41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F1C186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cs="Times New Roman"/>
                      <w:bCs/>
                      <w:color w:val="auto"/>
                      <w:szCs w:val="21"/>
                      <w:lang w:val="en-US" w:eastAsia="zh-CN"/>
                    </w:rPr>
                    <w:t>达标</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4FAB3D9D">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18BCF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shd w:val="clear" w:color="auto" w:fill="auto"/>
                  <w:noWrap w:val="0"/>
                  <w:vAlign w:val="center"/>
                </w:tcPr>
                <w:p w14:paraId="338A871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辽叶塆散居农户</w:t>
                  </w:r>
                </w:p>
              </w:tc>
              <w:tc>
                <w:tcPr>
                  <w:tcW w:w="501" w:type="dxa"/>
                  <w:shd w:val="clear" w:color="auto" w:fill="auto"/>
                  <w:noWrap w:val="0"/>
                  <w:vAlign w:val="center"/>
                </w:tcPr>
                <w:p w14:paraId="460FB1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17" w:type="dxa"/>
                  <w:shd w:val="clear" w:color="auto" w:fill="auto"/>
                  <w:noWrap w:val="0"/>
                  <w:vAlign w:val="center"/>
                </w:tcPr>
                <w:p w14:paraId="0EDD28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508" w:type="dxa"/>
                  <w:shd w:val="clear" w:color="auto" w:fill="auto"/>
                  <w:noWrap w:val="0"/>
                  <w:vAlign w:val="center"/>
                </w:tcPr>
                <w:p w14:paraId="48AE3A8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13" w:type="dxa"/>
                  <w:shd w:val="clear" w:color="auto" w:fill="auto"/>
                  <w:noWrap w:val="0"/>
                  <w:vAlign w:val="center"/>
                </w:tcPr>
                <w:p w14:paraId="1F97D2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508" w:type="dxa"/>
                  <w:noWrap w:val="0"/>
                  <w:vAlign w:val="center"/>
                </w:tcPr>
                <w:p w14:paraId="2523052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15" w:type="dxa"/>
                  <w:noWrap w:val="0"/>
                  <w:vAlign w:val="center"/>
                </w:tcPr>
                <w:p w14:paraId="71B38A8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8" w:type="dxa"/>
                  <w:noWrap w:val="0"/>
                  <w:vAlign w:val="center"/>
                </w:tcPr>
                <w:p w14:paraId="3E94672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72.9</w:t>
                  </w:r>
                </w:p>
              </w:tc>
              <w:tc>
                <w:tcPr>
                  <w:tcW w:w="522" w:type="dxa"/>
                  <w:noWrap w:val="0"/>
                  <w:vAlign w:val="center"/>
                </w:tcPr>
                <w:p w14:paraId="2B06E92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60" w:type="dxa"/>
                  <w:noWrap w:val="0"/>
                  <w:vAlign w:val="center"/>
                </w:tcPr>
                <w:p w14:paraId="49FA72F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73.0</w:t>
                  </w:r>
                </w:p>
              </w:tc>
              <w:tc>
                <w:tcPr>
                  <w:tcW w:w="664" w:type="dxa"/>
                  <w:noWrap w:val="0"/>
                  <w:vAlign w:val="center"/>
                </w:tcPr>
                <w:p w14:paraId="6DD58A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584" w:type="dxa"/>
                  <w:noWrap w:val="0"/>
                  <w:vAlign w:val="center"/>
                </w:tcPr>
                <w:p w14:paraId="5732659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19.0</w:t>
                  </w:r>
                </w:p>
              </w:tc>
              <w:tc>
                <w:tcPr>
                  <w:tcW w:w="439" w:type="dxa"/>
                  <w:noWrap w:val="0"/>
                  <w:vAlign w:val="center"/>
                </w:tcPr>
                <w:p w14:paraId="3B131AC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noWrap w:val="0"/>
                  <w:vAlign w:val="center"/>
                </w:tcPr>
                <w:p w14:paraId="6CE0E9C9">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lang w:val="en-US" w:eastAsia="zh-CN"/>
                    </w:rPr>
                    <w:t>超</w:t>
                  </w:r>
                  <w:r>
                    <w:rPr>
                      <w:rFonts w:hint="default" w:ascii="Times New Roman" w:hAnsi="Times New Roman" w:cs="Times New Roman"/>
                      <w:bCs/>
                      <w:color w:val="auto"/>
                      <w:szCs w:val="21"/>
                    </w:rPr>
                    <w:t>标</w:t>
                  </w:r>
                </w:p>
              </w:tc>
              <w:tc>
                <w:tcPr>
                  <w:tcW w:w="497" w:type="dxa"/>
                  <w:noWrap w:val="0"/>
                  <w:vAlign w:val="center"/>
                </w:tcPr>
                <w:p w14:paraId="1052BDAD">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48522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shd w:val="clear" w:color="auto" w:fill="auto"/>
                  <w:noWrap w:val="0"/>
                  <w:vAlign w:val="center"/>
                </w:tcPr>
                <w:p w14:paraId="5EB508A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501" w:type="dxa"/>
                  <w:shd w:val="clear" w:color="auto" w:fill="auto"/>
                  <w:noWrap w:val="0"/>
                  <w:vAlign w:val="center"/>
                </w:tcPr>
                <w:p w14:paraId="7BD103E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7" w:type="dxa"/>
                  <w:shd w:val="clear" w:color="auto" w:fill="auto"/>
                  <w:noWrap w:val="0"/>
                  <w:vAlign w:val="center"/>
                </w:tcPr>
                <w:p w14:paraId="48C2CF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8" w:type="dxa"/>
                  <w:shd w:val="clear" w:color="auto" w:fill="auto"/>
                  <w:noWrap w:val="0"/>
                  <w:vAlign w:val="center"/>
                </w:tcPr>
                <w:p w14:paraId="095277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3" w:type="dxa"/>
                  <w:shd w:val="clear" w:color="auto" w:fill="auto"/>
                  <w:noWrap w:val="0"/>
                  <w:vAlign w:val="center"/>
                </w:tcPr>
                <w:p w14:paraId="0296CB9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508" w:type="dxa"/>
                  <w:noWrap w:val="0"/>
                  <w:vAlign w:val="center"/>
                </w:tcPr>
                <w:p w14:paraId="08868A1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15" w:type="dxa"/>
                  <w:noWrap w:val="0"/>
                  <w:vAlign w:val="center"/>
                </w:tcPr>
                <w:p w14:paraId="3164D24C">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8" w:type="dxa"/>
                  <w:noWrap w:val="0"/>
                  <w:vAlign w:val="center"/>
                </w:tcPr>
                <w:p w14:paraId="677EE32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49.5</w:t>
                  </w:r>
                </w:p>
              </w:tc>
              <w:tc>
                <w:tcPr>
                  <w:tcW w:w="522" w:type="dxa"/>
                  <w:noWrap w:val="0"/>
                  <w:vAlign w:val="center"/>
                </w:tcPr>
                <w:p w14:paraId="6E82847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60" w:type="dxa"/>
                  <w:noWrap w:val="0"/>
                  <w:vAlign w:val="center"/>
                </w:tcPr>
                <w:p w14:paraId="2E6028A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54.6</w:t>
                  </w:r>
                </w:p>
              </w:tc>
              <w:tc>
                <w:tcPr>
                  <w:tcW w:w="664" w:type="dxa"/>
                  <w:noWrap w:val="0"/>
                  <w:vAlign w:val="center"/>
                </w:tcPr>
                <w:p w14:paraId="524AAD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584" w:type="dxa"/>
                  <w:noWrap w:val="0"/>
                  <w:vAlign w:val="center"/>
                </w:tcPr>
                <w:p w14:paraId="6ADF644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1.6</w:t>
                  </w:r>
                </w:p>
              </w:tc>
              <w:tc>
                <w:tcPr>
                  <w:tcW w:w="439" w:type="dxa"/>
                  <w:noWrap w:val="0"/>
                  <w:vAlign w:val="center"/>
                </w:tcPr>
                <w:p w14:paraId="6911389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noWrap w:val="0"/>
                  <w:vAlign w:val="center"/>
                </w:tcPr>
                <w:p w14:paraId="5759BFF0">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7" w:type="dxa"/>
                  <w:noWrap w:val="0"/>
                  <w:vAlign w:val="center"/>
                </w:tcPr>
                <w:p w14:paraId="5AF718D2">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59D7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shd w:val="clear" w:color="auto" w:fill="auto"/>
                  <w:noWrap w:val="0"/>
                  <w:vAlign w:val="center"/>
                </w:tcPr>
                <w:p w14:paraId="27273D3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501" w:type="dxa"/>
                  <w:shd w:val="clear" w:color="auto" w:fill="auto"/>
                  <w:noWrap w:val="0"/>
                  <w:vAlign w:val="center"/>
                </w:tcPr>
                <w:p w14:paraId="1BBE6AA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7" w:type="dxa"/>
                  <w:shd w:val="clear" w:color="auto" w:fill="auto"/>
                  <w:noWrap w:val="0"/>
                  <w:vAlign w:val="center"/>
                </w:tcPr>
                <w:p w14:paraId="0356D4F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8" w:type="dxa"/>
                  <w:shd w:val="clear" w:color="auto" w:fill="auto"/>
                  <w:noWrap w:val="0"/>
                  <w:vAlign w:val="center"/>
                </w:tcPr>
                <w:p w14:paraId="0CD85F5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3" w:type="dxa"/>
                  <w:shd w:val="clear" w:color="auto" w:fill="auto"/>
                  <w:noWrap w:val="0"/>
                  <w:vAlign w:val="center"/>
                </w:tcPr>
                <w:p w14:paraId="0DA8E89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8" w:type="dxa"/>
                  <w:noWrap w:val="0"/>
                  <w:vAlign w:val="center"/>
                </w:tcPr>
                <w:p w14:paraId="72EF2D9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15" w:type="dxa"/>
                  <w:noWrap w:val="0"/>
                  <w:vAlign w:val="center"/>
                </w:tcPr>
                <w:p w14:paraId="3D7D742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18" w:type="dxa"/>
                  <w:noWrap w:val="0"/>
                  <w:vAlign w:val="center"/>
                </w:tcPr>
                <w:p w14:paraId="7EBA133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44.2</w:t>
                  </w:r>
                </w:p>
              </w:tc>
              <w:tc>
                <w:tcPr>
                  <w:tcW w:w="522" w:type="dxa"/>
                  <w:noWrap w:val="0"/>
                  <w:vAlign w:val="center"/>
                </w:tcPr>
                <w:p w14:paraId="3A1BFC5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60" w:type="dxa"/>
                  <w:noWrap w:val="0"/>
                  <w:vAlign w:val="center"/>
                </w:tcPr>
                <w:p w14:paraId="5C4FBCB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53.5</w:t>
                  </w:r>
                </w:p>
              </w:tc>
              <w:tc>
                <w:tcPr>
                  <w:tcW w:w="664" w:type="dxa"/>
                  <w:noWrap w:val="0"/>
                  <w:vAlign w:val="center"/>
                </w:tcPr>
                <w:p w14:paraId="5BC6FC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584" w:type="dxa"/>
                  <w:noWrap w:val="0"/>
                  <w:vAlign w:val="center"/>
                </w:tcPr>
                <w:p w14:paraId="28AC428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0.5</w:t>
                  </w:r>
                </w:p>
              </w:tc>
              <w:tc>
                <w:tcPr>
                  <w:tcW w:w="439" w:type="dxa"/>
                  <w:noWrap w:val="0"/>
                  <w:vAlign w:val="center"/>
                </w:tcPr>
                <w:p w14:paraId="5D3CE10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noWrap w:val="0"/>
                  <w:vAlign w:val="center"/>
                </w:tcPr>
                <w:p w14:paraId="714CC736">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7" w:type="dxa"/>
                  <w:noWrap w:val="0"/>
                  <w:vAlign w:val="center"/>
                </w:tcPr>
                <w:p w14:paraId="46DCEF0E">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2B9D0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shd w:val="clear" w:color="auto" w:fill="auto"/>
                  <w:noWrap w:val="0"/>
                  <w:vAlign w:val="center"/>
                </w:tcPr>
                <w:p w14:paraId="2429C78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松垭子农户聚居区</w:t>
                  </w:r>
                </w:p>
              </w:tc>
              <w:tc>
                <w:tcPr>
                  <w:tcW w:w="501" w:type="dxa"/>
                  <w:shd w:val="clear" w:color="auto" w:fill="auto"/>
                  <w:noWrap w:val="0"/>
                  <w:vAlign w:val="center"/>
                </w:tcPr>
                <w:p w14:paraId="333EFD2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7" w:type="dxa"/>
                  <w:shd w:val="clear" w:color="auto" w:fill="auto"/>
                  <w:noWrap w:val="0"/>
                  <w:vAlign w:val="center"/>
                </w:tcPr>
                <w:p w14:paraId="6F517DD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8" w:type="dxa"/>
                  <w:shd w:val="clear" w:color="auto" w:fill="auto"/>
                  <w:noWrap w:val="0"/>
                  <w:vAlign w:val="center"/>
                </w:tcPr>
                <w:p w14:paraId="3186470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13" w:type="dxa"/>
                  <w:shd w:val="clear" w:color="auto" w:fill="auto"/>
                  <w:noWrap w:val="0"/>
                  <w:vAlign w:val="center"/>
                </w:tcPr>
                <w:p w14:paraId="0053A79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508" w:type="dxa"/>
                  <w:noWrap w:val="0"/>
                  <w:vAlign w:val="center"/>
                </w:tcPr>
                <w:p w14:paraId="2BFDDB4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60</w:t>
                  </w:r>
                </w:p>
              </w:tc>
              <w:tc>
                <w:tcPr>
                  <w:tcW w:w="515" w:type="dxa"/>
                  <w:noWrap w:val="0"/>
                  <w:vAlign w:val="center"/>
                </w:tcPr>
                <w:p w14:paraId="38AB2E0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50</w:t>
                  </w:r>
                </w:p>
              </w:tc>
              <w:tc>
                <w:tcPr>
                  <w:tcW w:w="618" w:type="dxa"/>
                  <w:noWrap w:val="0"/>
                  <w:vAlign w:val="center"/>
                </w:tcPr>
                <w:p w14:paraId="5679E9C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58.6</w:t>
                  </w:r>
                </w:p>
              </w:tc>
              <w:tc>
                <w:tcPr>
                  <w:tcW w:w="522" w:type="dxa"/>
                  <w:noWrap w:val="0"/>
                  <w:vAlign w:val="center"/>
                </w:tcPr>
                <w:p w14:paraId="16A633B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60" w:type="dxa"/>
                  <w:noWrap w:val="0"/>
                  <w:vAlign w:val="center"/>
                </w:tcPr>
                <w:p w14:paraId="5A2F5E5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59.7</w:t>
                  </w:r>
                </w:p>
              </w:tc>
              <w:tc>
                <w:tcPr>
                  <w:tcW w:w="664" w:type="dxa"/>
                  <w:noWrap w:val="0"/>
                  <w:vAlign w:val="center"/>
                </w:tcPr>
                <w:p w14:paraId="377176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584" w:type="dxa"/>
                  <w:noWrap w:val="0"/>
                  <w:vAlign w:val="center"/>
                </w:tcPr>
                <w:p w14:paraId="05C4D325">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6.7</w:t>
                  </w:r>
                </w:p>
              </w:tc>
              <w:tc>
                <w:tcPr>
                  <w:tcW w:w="439" w:type="dxa"/>
                  <w:noWrap w:val="0"/>
                  <w:vAlign w:val="center"/>
                </w:tcPr>
                <w:p w14:paraId="743EE2F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noWrap w:val="0"/>
                  <w:vAlign w:val="center"/>
                </w:tcPr>
                <w:p w14:paraId="3E904A1B">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7" w:type="dxa"/>
                  <w:noWrap w:val="0"/>
                  <w:vAlign w:val="center"/>
                </w:tcPr>
                <w:p w14:paraId="177A56B4">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29BB5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shd w:val="clear" w:color="auto" w:fill="auto"/>
                  <w:noWrap w:val="0"/>
                  <w:vAlign w:val="center"/>
                </w:tcPr>
                <w:p w14:paraId="5014CC6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501" w:type="dxa"/>
                  <w:shd w:val="clear" w:color="auto" w:fill="auto"/>
                  <w:noWrap w:val="0"/>
                  <w:vAlign w:val="center"/>
                </w:tcPr>
                <w:p w14:paraId="0B51E3A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17" w:type="dxa"/>
                  <w:shd w:val="clear" w:color="auto" w:fill="auto"/>
                  <w:noWrap w:val="0"/>
                  <w:vAlign w:val="center"/>
                </w:tcPr>
                <w:p w14:paraId="6447C21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508" w:type="dxa"/>
                  <w:shd w:val="clear" w:color="auto" w:fill="auto"/>
                  <w:noWrap w:val="0"/>
                  <w:vAlign w:val="center"/>
                </w:tcPr>
                <w:p w14:paraId="58FEE56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13" w:type="dxa"/>
                  <w:shd w:val="clear" w:color="auto" w:fill="auto"/>
                  <w:noWrap w:val="0"/>
                  <w:vAlign w:val="center"/>
                </w:tcPr>
                <w:p w14:paraId="2845F34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508" w:type="dxa"/>
                  <w:noWrap w:val="0"/>
                  <w:vAlign w:val="center"/>
                </w:tcPr>
                <w:p w14:paraId="718B4FE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default" w:ascii="Times New Roman" w:hAnsi="Times New Roman" w:cs="Times New Roman"/>
                      <w:bCs/>
                      <w:color w:val="auto"/>
                      <w:szCs w:val="21"/>
                    </w:rPr>
                    <w:t>60</w:t>
                  </w:r>
                </w:p>
              </w:tc>
              <w:tc>
                <w:tcPr>
                  <w:tcW w:w="515" w:type="dxa"/>
                  <w:noWrap w:val="0"/>
                  <w:vAlign w:val="center"/>
                </w:tcPr>
                <w:p w14:paraId="2BA3BF9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default" w:ascii="Times New Roman" w:hAnsi="Times New Roman" w:cs="Times New Roman"/>
                      <w:bCs/>
                      <w:color w:val="auto"/>
                      <w:szCs w:val="21"/>
                    </w:rPr>
                    <w:t>50</w:t>
                  </w:r>
                </w:p>
              </w:tc>
              <w:tc>
                <w:tcPr>
                  <w:tcW w:w="618" w:type="dxa"/>
                  <w:noWrap w:val="0"/>
                  <w:vAlign w:val="center"/>
                </w:tcPr>
                <w:p w14:paraId="7D40199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55.4</w:t>
                  </w:r>
                </w:p>
              </w:tc>
              <w:tc>
                <w:tcPr>
                  <w:tcW w:w="522" w:type="dxa"/>
                  <w:noWrap w:val="0"/>
                  <w:vAlign w:val="center"/>
                </w:tcPr>
                <w:p w14:paraId="17D5728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w:t>
                  </w:r>
                </w:p>
              </w:tc>
              <w:tc>
                <w:tcPr>
                  <w:tcW w:w="660" w:type="dxa"/>
                  <w:noWrap w:val="0"/>
                  <w:vAlign w:val="center"/>
                </w:tcPr>
                <w:p w14:paraId="410255F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57.4</w:t>
                  </w:r>
                </w:p>
              </w:tc>
              <w:tc>
                <w:tcPr>
                  <w:tcW w:w="664" w:type="dxa"/>
                  <w:noWrap w:val="0"/>
                  <w:vAlign w:val="center"/>
                </w:tcPr>
                <w:p w14:paraId="73BF0D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584" w:type="dxa"/>
                  <w:noWrap w:val="0"/>
                  <w:vAlign w:val="center"/>
                </w:tcPr>
                <w:p w14:paraId="5913562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4.4</w:t>
                  </w:r>
                </w:p>
              </w:tc>
              <w:tc>
                <w:tcPr>
                  <w:tcW w:w="439" w:type="dxa"/>
                  <w:noWrap w:val="0"/>
                  <w:vAlign w:val="center"/>
                </w:tcPr>
                <w:p w14:paraId="205FC9F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05" w:type="dxa"/>
                  <w:noWrap w:val="0"/>
                  <w:vAlign w:val="center"/>
                </w:tcPr>
                <w:p w14:paraId="279B7CA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497" w:type="dxa"/>
                  <w:noWrap w:val="0"/>
                  <w:vAlign w:val="center"/>
                </w:tcPr>
                <w:p w14:paraId="2DE790A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r>
          </w:tbl>
          <w:p w14:paraId="36CB76B7">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放喷</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7"/>
              <w:gridCol w:w="492"/>
              <w:gridCol w:w="503"/>
              <w:gridCol w:w="498"/>
              <w:gridCol w:w="499"/>
              <w:gridCol w:w="499"/>
              <w:gridCol w:w="501"/>
              <w:gridCol w:w="656"/>
              <w:gridCol w:w="657"/>
              <w:gridCol w:w="604"/>
              <w:gridCol w:w="614"/>
              <w:gridCol w:w="491"/>
              <w:gridCol w:w="563"/>
              <w:gridCol w:w="491"/>
              <w:gridCol w:w="490"/>
            </w:tblGrid>
            <w:tr w14:paraId="3BE40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900E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995" w:type="dxa"/>
                  <w:gridSpan w:val="2"/>
                  <w:tcBorders>
                    <w:top w:val="single" w:color="000000" w:sz="4" w:space="0"/>
                    <w:left w:val="single" w:color="000000" w:sz="4" w:space="0"/>
                    <w:bottom w:val="single" w:color="000000" w:sz="4" w:space="0"/>
                    <w:right w:val="single" w:color="000000" w:sz="4" w:space="0"/>
                  </w:tcBorders>
                  <w:noWrap w:val="0"/>
                  <w:vAlign w:val="center"/>
                </w:tcPr>
                <w:p w14:paraId="34B06FD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1BEDAED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997" w:type="dxa"/>
                  <w:gridSpan w:val="2"/>
                  <w:tcBorders>
                    <w:top w:val="single" w:color="000000" w:sz="4" w:space="0"/>
                    <w:left w:val="single" w:color="000000" w:sz="4" w:space="0"/>
                    <w:bottom w:val="single" w:color="000000" w:sz="4" w:space="0"/>
                    <w:right w:val="single" w:color="000000" w:sz="4" w:space="0"/>
                  </w:tcBorders>
                  <w:noWrap w:val="0"/>
                  <w:vAlign w:val="center"/>
                </w:tcPr>
                <w:p w14:paraId="47D44F8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283E555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1000" w:type="dxa"/>
                  <w:gridSpan w:val="2"/>
                  <w:tcBorders>
                    <w:top w:val="single" w:color="000000" w:sz="4" w:space="0"/>
                    <w:left w:val="single" w:color="000000" w:sz="4" w:space="0"/>
                    <w:bottom w:val="single" w:color="000000" w:sz="4" w:space="0"/>
                    <w:right w:val="single" w:color="000000" w:sz="4" w:space="0"/>
                  </w:tcBorders>
                  <w:noWrap w:val="0"/>
                  <w:vAlign w:val="center"/>
                </w:tcPr>
                <w:p w14:paraId="1B297C8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1EBEADC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277434E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00ABEFD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1218" w:type="dxa"/>
                  <w:gridSpan w:val="2"/>
                  <w:tcBorders>
                    <w:top w:val="single" w:color="000000" w:sz="4" w:space="0"/>
                    <w:left w:val="single" w:color="000000" w:sz="4" w:space="0"/>
                    <w:bottom w:val="single" w:color="000000" w:sz="4" w:space="0"/>
                    <w:right w:val="single" w:color="000000" w:sz="4" w:space="0"/>
                  </w:tcBorders>
                  <w:noWrap w:val="0"/>
                  <w:vAlign w:val="center"/>
                </w:tcPr>
                <w:p w14:paraId="02F57A3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2B17C73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1054" w:type="dxa"/>
                  <w:gridSpan w:val="2"/>
                  <w:tcBorders>
                    <w:top w:val="single" w:color="000000" w:sz="4" w:space="0"/>
                    <w:left w:val="single" w:color="000000" w:sz="4" w:space="0"/>
                    <w:bottom w:val="single" w:color="000000" w:sz="4" w:space="0"/>
                    <w:right w:val="single" w:color="000000" w:sz="4" w:space="0"/>
                  </w:tcBorders>
                  <w:noWrap w:val="0"/>
                  <w:vAlign w:val="center"/>
                </w:tcPr>
                <w:p w14:paraId="114ECEC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0E61CFE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3145AD3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3990A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D43B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6A64363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9F3ECC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8" w:type="dxa"/>
                  <w:tcBorders>
                    <w:top w:val="single" w:color="000000" w:sz="4" w:space="0"/>
                    <w:left w:val="single" w:color="000000" w:sz="4" w:space="0"/>
                    <w:bottom w:val="single" w:color="000000" w:sz="4" w:space="0"/>
                    <w:right w:val="single" w:color="000000" w:sz="4" w:space="0"/>
                  </w:tcBorders>
                  <w:noWrap w:val="0"/>
                  <w:vAlign w:val="center"/>
                </w:tcPr>
                <w:p w14:paraId="10DA113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F8A520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2763E90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5F5D184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6B6AB7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4A2B4DA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891987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17CBEC4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B9E2DB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10FFBCC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8C5F16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7E52A88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7DFB8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28FAD1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D9D1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01C2433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0C3F3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90D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柿子院散居农户</w:t>
                  </w:r>
                </w:p>
              </w:tc>
              <w:tc>
                <w:tcPr>
                  <w:tcW w:w="4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605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937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605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A0E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559AF69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4208006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92086A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46.4</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EC70F4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55D409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53.9</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C0B4C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DA7503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0.9</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A12706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781255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7E65D5E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75D25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0CBE9C0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辽叶塆散居农户</w:t>
                  </w:r>
                </w:p>
              </w:tc>
              <w:tc>
                <w:tcPr>
                  <w:tcW w:w="492" w:type="dxa"/>
                  <w:shd w:val="clear" w:color="auto" w:fill="auto"/>
                  <w:noWrap w:val="0"/>
                  <w:vAlign w:val="center"/>
                </w:tcPr>
                <w:p w14:paraId="664AC1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03" w:type="dxa"/>
                  <w:shd w:val="clear" w:color="auto" w:fill="auto"/>
                  <w:noWrap w:val="0"/>
                  <w:vAlign w:val="center"/>
                </w:tcPr>
                <w:p w14:paraId="239F1DF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498" w:type="dxa"/>
                  <w:shd w:val="clear" w:color="auto" w:fill="auto"/>
                  <w:noWrap w:val="0"/>
                  <w:vAlign w:val="center"/>
                </w:tcPr>
                <w:p w14:paraId="432A9FA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499" w:type="dxa"/>
                  <w:shd w:val="clear" w:color="auto" w:fill="auto"/>
                  <w:noWrap w:val="0"/>
                  <w:vAlign w:val="center"/>
                </w:tcPr>
                <w:p w14:paraId="3E6B277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499" w:type="dxa"/>
                  <w:noWrap w:val="0"/>
                  <w:vAlign w:val="center"/>
                </w:tcPr>
                <w:p w14:paraId="7A658EF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05208579">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559A715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53.0</w:t>
                  </w:r>
                </w:p>
              </w:tc>
              <w:tc>
                <w:tcPr>
                  <w:tcW w:w="657" w:type="dxa"/>
                  <w:noWrap w:val="0"/>
                  <w:vAlign w:val="center"/>
                </w:tcPr>
                <w:p w14:paraId="1711E88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6A3BB5C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56.5</w:t>
                  </w:r>
                </w:p>
              </w:tc>
              <w:tc>
                <w:tcPr>
                  <w:tcW w:w="614" w:type="dxa"/>
                  <w:noWrap w:val="0"/>
                  <w:vAlign w:val="center"/>
                </w:tcPr>
                <w:p w14:paraId="33D93D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491" w:type="dxa"/>
                  <w:noWrap w:val="0"/>
                  <w:vAlign w:val="center"/>
                </w:tcPr>
                <w:p w14:paraId="2523464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2.5</w:t>
                  </w:r>
                </w:p>
              </w:tc>
              <w:tc>
                <w:tcPr>
                  <w:tcW w:w="563" w:type="dxa"/>
                  <w:noWrap w:val="0"/>
                  <w:vAlign w:val="center"/>
                </w:tcPr>
                <w:p w14:paraId="50C4F84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018A5018">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5FC25402">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48E3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2DE5C48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492" w:type="dxa"/>
                  <w:shd w:val="clear" w:color="auto" w:fill="auto"/>
                  <w:noWrap w:val="0"/>
                  <w:vAlign w:val="center"/>
                </w:tcPr>
                <w:p w14:paraId="4129F2B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3D8169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8" w:type="dxa"/>
                  <w:shd w:val="clear" w:color="auto" w:fill="auto"/>
                  <w:noWrap w:val="0"/>
                  <w:vAlign w:val="center"/>
                </w:tcPr>
                <w:p w14:paraId="200CAC8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07B8E7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noWrap w:val="0"/>
                  <w:vAlign w:val="center"/>
                </w:tcPr>
                <w:p w14:paraId="0DAAB67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3CEF63D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17A524D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34.0</w:t>
                  </w:r>
                </w:p>
              </w:tc>
              <w:tc>
                <w:tcPr>
                  <w:tcW w:w="657" w:type="dxa"/>
                  <w:noWrap w:val="0"/>
                  <w:vAlign w:val="center"/>
                </w:tcPr>
                <w:p w14:paraId="49A2D16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5F5A596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53.1</w:t>
                  </w:r>
                </w:p>
              </w:tc>
              <w:tc>
                <w:tcPr>
                  <w:tcW w:w="614" w:type="dxa"/>
                  <w:noWrap w:val="0"/>
                  <w:vAlign w:val="center"/>
                </w:tcPr>
                <w:p w14:paraId="764E1C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491" w:type="dxa"/>
                  <w:noWrap w:val="0"/>
                  <w:vAlign w:val="center"/>
                </w:tcPr>
                <w:p w14:paraId="7143C76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0.1</w:t>
                  </w:r>
                </w:p>
              </w:tc>
              <w:tc>
                <w:tcPr>
                  <w:tcW w:w="563" w:type="dxa"/>
                  <w:noWrap w:val="0"/>
                  <w:vAlign w:val="center"/>
                </w:tcPr>
                <w:p w14:paraId="5E0132C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w:t>
                  </w:r>
                </w:p>
              </w:tc>
              <w:tc>
                <w:tcPr>
                  <w:tcW w:w="491" w:type="dxa"/>
                  <w:noWrap w:val="0"/>
                  <w:vAlign w:val="center"/>
                </w:tcPr>
                <w:p w14:paraId="463FD1BD">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0F8E8D1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3F341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47EC54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492" w:type="dxa"/>
                  <w:shd w:val="clear" w:color="auto" w:fill="auto"/>
                  <w:noWrap w:val="0"/>
                  <w:vAlign w:val="center"/>
                </w:tcPr>
                <w:p w14:paraId="4F27B0F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3331457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8" w:type="dxa"/>
                  <w:shd w:val="clear" w:color="auto" w:fill="auto"/>
                  <w:noWrap w:val="0"/>
                  <w:vAlign w:val="center"/>
                </w:tcPr>
                <w:p w14:paraId="01B5C8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755C30B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noWrap w:val="0"/>
                  <w:vAlign w:val="center"/>
                </w:tcPr>
                <w:p w14:paraId="52ACDBA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11041E6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24C806B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31.9</w:t>
                  </w:r>
                </w:p>
              </w:tc>
              <w:tc>
                <w:tcPr>
                  <w:tcW w:w="657" w:type="dxa"/>
                  <w:noWrap w:val="0"/>
                  <w:vAlign w:val="center"/>
                </w:tcPr>
                <w:p w14:paraId="3D14EBD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4DE19A8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53.0</w:t>
                  </w:r>
                </w:p>
              </w:tc>
              <w:tc>
                <w:tcPr>
                  <w:tcW w:w="614" w:type="dxa"/>
                  <w:noWrap w:val="0"/>
                  <w:vAlign w:val="center"/>
                </w:tcPr>
                <w:p w14:paraId="4E90C1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491" w:type="dxa"/>
                  <w:noWrap w:val="0"/>
                  <w:vAlign w:val="center"/>
                </w:tcPr>
                <w:p w14:paraId="7455686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563" w:type="dxa"/>
                  <w:noWrap w:val="0"/>
                  <w:vAlign w:val="center"/>
                </w:tcPr>
                <w:p w14:paraId="5F4D555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0</w:t>
                  </w:r>
                </w:p>
              </w:tc>
              <w:tc>
                <w:tcPr>
                  <w:tcW w:w="491" w:type="dxa"/>
                  <w:noWrap w:val="0"/>
                  <w:vAlign w:val="center"/>
                </w:tcPr>
                <w:p w14:paraId="02769787">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1BC67D28">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41776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585B25B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松垭子农户聚居区</w:t>
                  </w:r>
                </w:p>
              </w:tc>
              <w:tc>
                <w:tcPr>
                  <w:tcW w:w="492" w:type="dxa"/>
                  <w:shd w:val="clear" w:color="auto" w:fill="auto"/>
                  <w:noWrap w:val="0"/>
                  <w:vAlign w:val="center"/>
                </w:tcPr>
                <w:p w14:paraId="5743253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7809DBD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8" w:type="dxa"/>
                  <w:shd w:val="clear" w:color="auto" w:fill="auto"/>
                  <w:noWrap w:val="0"/>
                  <w:vAlign w:val="center"/>
                </w:tcPr>
                <w:p w14:paraId="0D53888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1B12153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noWrap w:val="0"/>
                  <w:vAlign w:val="center"/>
                </w:tcPr>
                <w:p w14:paraId="1CC7CFC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60</w:t>
                  </w:r>
                </w:p>
              </w:tc>
              <w:tc>
                <w:tcPr>
                  <w:tcW w:w="501" w:type="dxa"/>
                  <w:noWrap w:val="0"/>
                  <w:vAlign w:val="center"/>
                </w:tcPr>
                <w:p w14:paraId="795D36F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50</w:t>
                  </w:r>
                </w:p>
              </w:tc>
              <w:tc>
                <w:tcPr>
                  <w:tcW w:w="656" w:type="dxa"/>
                  <w:noWrap w:val="0"/>
                  <w:vAlign w:val="center"/>
                </w:tcPr>
                <w:p w14:paraId="760F8B8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55.7</w:t>
                  </w:r>
                </w:p>
              </w:tc>
              <w:tc>
                <w:tcPr>
                  <w:tcW w:w="657" w:type="dxa"/>
                  <w:noWrap w:val="0"/>
                  <w:vAlign w:val="center"/>
                </w:tcPr>
                <w:p w14:paraId="382BCF6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70B5FC7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57.6</w:t>
                  </w:r>
                </w:p>
              </w:tc>
              <w:tc>
                <w:tcPr>
                  <w:tcW w:w="614" w:type="dxa"/>
                  <w:noWrap w:val="0"/>
                  <w:vAlign w:val="center"/>
                </w:tcPr>
                <w:p w14:paraId="2CB876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491" w:type="dxa"/>
                  <w:noWrap w:val="0"/>
                  <w:vAlign w:val="center"/>
                </w:tcPr>
                <w:p w14:paraId="6491FB0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4.6</w:t>
                  </w:r>
                </w:p>
              </w:tc>
              <w:tc>
                <w:tcPr>
                  <w:tcW w:w="563" w:type="dxa"/>
                  <w:noWrap w:val="0"/>
                  <w:vAlign w:val="center"/>
                </w:tcPr>
                <w:p w14:paraId="432DEB5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256A8BDA">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318F6C95">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337EE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4B922FA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492" w:type="dxa"/>
                  <w:shd w:val="clear" w:color="auto" w:fill="auto"/>
                  <w:noWrap w:val="0"/>
                  <w:vAlign w:val="center"/>
                </w:tcPr>
                <w:p w14:paraId="28E6DCE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03" w:type="dxa"/>
                  <w:shd w:val="clear" w:color="auto" w:fill="auto"/>
                  <w:noWrap w:val="0"/>
                  <w:vAlign w:val="center"/>
                </w:tcPr>
                <w:p w14:paraId="196E37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498" w:type="dxa"/>
                  <w:shd w:val="clear" w:color="auto" w:fill="auto"/>
                  <w:noWrap w:val="0"/>
                  <w:vAlign w:val="center"/>
                </w:tcPr>
                <w:p w14:paraId="5930F52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499" w:type="dxa"/>
                  <w:shd w:val="clear" w:color="auto" w:fill="auto"/>
                  <w:noWrap w:val="0"/>
                  <w:vAlign w:val="center"/>
                </w:tcPr>
                <w:p w14:paraId="747404A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499" w:type="dxa"/>
                  <w:noWrap w:val="0"/>
                  <w:vAlign w:val="center"/>
                </w:tcPr>
                <w:p w14:paraId="4D6E0D2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60</w:t>
                  </w:r>
                </w:p>
              </w:tc>
              <w:tc>
                <w:tcPr>
                  <w:tcW w:w="501" w:type="dxa"/>
                  <w:noWrap w:val="0"/>
                  <w:vAlign w:val="center"/>
                </w:tcPr>
                <w:p w14:paraId="00C1B6C1">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50</w:t>
                  </w:r>
                </w:p>
              </w:tc>
              <w:tc>
                <w:tcPr>
                  <w:tcW w:w="656" w:type="dxa"/>
                  <w:noWrap w:val="0"/>
                  <w:vAlign w:val="center"/>
                </w:tcPr>
                <w:p w14:paraId="7846D54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48.7</w:t>
                  </w:r>
                </w:p>
              </w:tc>
              <w:tc>
                <w:tcPr>
                  <w:tcW w:w="657" w:type="dxa"/>
                  <w:noWrap w:val="0"/>
                  <w:vAlign w:val="center"/>
                </w:tcPr>
                <w:p w14:paraId="49E0CF1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w:t>
                  </w:r>
                </w:p>
              </w:tc>
              <w:tc>
                <w:tcPr>
                  <w:tcW w:w="604" w:type="dxa"/>
                  <w:noWrap w:val="0"/>
                  <w:vAlign w:val="center"/>
                </w:tcPr>
                <w:p w14:paraId="43860AB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54.4</w:t>
                  </w:r>
                </w:p>
              </w:tc>
              <w:tc>
                <w:tcPr>
                  <w:tcW w:w="614" w:type="dxa"/>
                  <w:noWrap w:val="0"/>
                  <w:vAlign w:val="center"/>
                </w:tcPr>
                <w:p w14:paraId="4B0910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491" w:type="dxa"/>
                  <w:noWrap w:val="0"/>
                  <w:vAlign w:val="center"/>
                </w:tcPr>
                <w:p w14:paraId="55CD043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1.4</w:t>
                  </w:r>
                </w:p>
              </w:tc>
              <w:tc>
                <w:tcPr>
                  <w:tcW w:w="563" w:type="dxa"/>
                  <w:noWrap w:val="0"/>
                  <w:vAlign w:val="center"/>
                </w:tcPr>
                <w:p w14:paraId="1569436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171ECAB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490" w:type="dxa"/>
                  <w:noWrap w:val="0"/>
                  <w:vAlign w:val="center"/>
                </w:tcPr>
                <w:p w14:paraId="7C4A6155">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r>
          </w:tbl>
          <w:p w14:paraId="51D85DB5">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锅炉保温放喷</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7"/>
              <w:gridCol w:w="492"/>
              <w:gridCol w:w="503"/>
              <w:gridCol w:w="498"/>
              <w:gridCol w:w="499"/>
              <w:gridCol w:w="499"/>
              <w:gridCol w:w="501"/>
              <w:gridCol w:w="656"/>
              <w:gridCol w:w="657"/>
              <w:gridCol w:w="604"/>
              <w:gridCol w:w="614"/>
              <w:gridCol w:w="491"/>
              <w:gridCol w:w="563"/>
              <w:gridCol w:w="491"/>
              <w:gridCol w:w="490"/>
            </w:tblGrid>
            <w:tr w14:paraId="27F30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FD74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保护目标名称</w:t>
                  </w:r>
                </w:p>
              </w:tc>
              <w:tc>
                <w:tcPr>
                  <w:tcW w:w="995" w:type="dxa"/>
                  <w:gridSpan w:val="2"/>
                  <w:tcBorders>
                    <w:top w:val="single" w:color="000000" w:sz="4" w:space="0"/>
                    <w:left w:val="single" w:color="000000" w:sz="4" w:space="0"/>
                    <w:bottom w:val="single" w:color="000000" w:sz="4" w:space="0"/>
                    <w:right w:val="single" w:color="000000" w:sz="4" w:space="0"/>
                  </w:tcBorders>
                  <w:noWrap w:val="0"/>
                  <w:vAlign w:val="center"/>
                </w:tcPr>
                <w:p w14:paraId="5D4DAA0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10B969A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背景值</w:t>
                  </w:r>
                </w:p>
              </w:tc>
              <w:tc>
                <w:tcPr>
                  <w:tcW w:w="997" w:type="dxa"/>
                  <w:gridSpan w:val="2"/>
                  <w:tcBorders>
                    <w:top w:val="single" w:color="000000" w:sz="4" w:space="0"/>
                    <w:left w:val="single" w:color="000000" w:sz="4" w:space="0"/>
                    <w:bottom w:val="single" w:color="000000" w:sz="4" w:space="0"/>
                    <w:right w:val="single" w:color="000000" w:sz="4" w:space="0"/>
                  </w:tcBorders>
                  <w:noWrap w:val="0"/>
                  <w:vAlign w:val="center"/>
                </w:tcPr>
                <w:p w14:paraId="7CE1923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1099AFA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现状值</w:t>
                  </w:r>
                </w:p>
              </w:tc>
              <w:tc>
                <w:tcPr>
                  <w:tcW w:w="1000" w:type="dxa"/>
                  <w:gridSpan w:val="2"/>
                  <w:tcBorders>
                    <w:top w:val="single" w:color="000000" w:sz="4" w:space="0"/>
                    <w:left w:val="single" w:color="000000" w:sz="4" w:space="0"/>
                    <w:bottom w:val="single" w:color="000000" w:sz="4" w:space="0"/>
                    <w:right w:val="single" w:color="000000" w:sz="4" w:space="0"/>
                  </w:tcBorders>
                  <w:noWrap w:val="0"/>
                  <w:vAlign w:val="center"/>
                </w:tcPr>
                <w:p w14:paraId="400134B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431FCE4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标准</w:t>
                  </w:r>
                </w:p>
              </w:tc>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471F5E7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2A29EFC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贡献值</w:t>
                  </w:r>
                </w:p>
              </w:tc>
              <w:tc>
                <w:tcPr>
                  <w:tcW w:w="1218" w:type="dxa"/>
                  <w:gridSpan w:val="2"/>
                  <w:tcBorders>
                    <w:top w:val="single" w:color="000000" w:sz="4" w:space="0"/>
                    <w:left w:val="single" w:color="000000" w:sz="4" w:space="0"/>
                    <w:bottom w:val="single" w:color="000000" w:sz="4" w:space="0"/>
                    <w:right w:val="single" w:color="000000" w:sz="4" w:space="0"/>
                  </w:tcBorders>
                  <w:noWrap w:val="0"/>
                  <w:vAlign w:val="center"/>
                </w:tcPr>
                <w:p w14:paraId="4002C83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噪声</w:t>
                  </w:r>
                </w:p>
                <w:p w14:paraId="037632D1">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预测值</w:t>
                  </w:r>
                </w:p>
              </w:tc>
              <w:tc>
                <w:tcPr>
                  <w:tcW w:w="1054" w:type="dxa"/>
                  <w:gridSpan w:val="2"/>
                  <w:tcBorders>
                    <w:top w:val="single" w:color="000000" w:sz="4" w:space="0"/>
                    <w:left w:val="single" w:color="000000" w:sz="4" w:space="0"/>
                    <w:bottom w:val="single" w:color="000000" w:sz="4" w:space="0"/>
                    <w:right w:val="single" w:color="000000" w:sz="4" w:space="0"/>
                  </w:tcBorders>
                  <w:noWrap w:val="0"/>
                  <w:vAlign w:val="center"/>
                </w:tcPr>
                <w:p w14:paraId="6AE922D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lang w:eastAsia="zh-CN"/>
                    </w:rPr>
                  </w:pPr>
                  <w:r>
                    <w:rPr>
                      <w:rFonts w:hint="default" w:ascii="Times New Roman" w:hAnsi="Times New Roman" w:cs="Times New Roman"/>
                      <w:b/>
                      <w:color w:val="auto"/>
                      <w:szCs w:val="21"/>
                    </w:rPr>
                    <w:t>较现状增量</w:t>
                  </w:r>
                </w:p>
              </w:tc>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AC8961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达标</w:t>
                  </w:r>
                </w:p>
                <w:p w14:paraId="6F64C38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情况</w:t>
                  </w:r>
                </w:p>
              </w:tc>
            </w:tr>
            <w:tr w14:paraId="23F7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75B6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39C695B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52C8C2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8" w:type="dxa"/>
                  <w:tcBorders>
                    <w:top w:val="single" w:color="000000" w:sz="4" w:space="0"/>
                    <w:left w:val="single" w:color="000000" w:sz="4" w:space="0"/>
                    <w:bottom w:val="single" w:color="000000" w:sz="4" w:space="0"/>
                    <w:right w:val="single" w:color="000000" w:sz="4" w:space="0"/>
                  </w:tcBorders>
                  <w:noWrap w:val="0"/>
                  <w:vAlign w:val="center"/>
                </w:tcPr>
                <w:p w14:paraId="6EA0799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2557167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49E7A4C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38AD7BD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DBE138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12C3DB8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F67498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5FF44AB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3B99D5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w:t>
                  </w:r>
                </w:p>
                <w:p w14:paraId="1D4DB3F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69EF5A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w:t>
                  </w:r>
                </w:p>
                <w:p w14:paraId="19E0ECE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604494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61976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1C92C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昼间</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56BCB9C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夜间</w:t>
                  </w:r>
                </w:p>
              </w:tc>
            </w:tr>
            <w:tr w14:paraId="7B20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692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柿子院散居农户</w:t>
                  </w:r>
                </w:p>
              </w:tc>
              <w:tc>
                <w:tcPr>
                  <w:tcW w:w="4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639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8EB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375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1B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6B876D6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6A8D58B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C86D3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46.5</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53B411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AA654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53.9</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D77BF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4E7DA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0.9</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83310D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537019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7CEB71C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4D5B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30045F2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辽叶塆散居农户</w:t>
                  </w:r>
                </w:p>
              </w:tc>
              <w:tc>
                <w:tcPr>
                  <w:tcW w:w="492" w:type="dxa"/>
                  <w:shd w:val="clear" w:color="auto" w:fill="auto"/>
                  <w:noWrap w:val="0"/>
                  <w:vAlign w:val="center"/>
                </w:tcPr>
                <w:p w14:paraId="5B386E0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503" w:type="dxa"/>
                  <w:shd w:val="clear" w:color="auto" w:fill="auto"/>
                  <w:noWrap w:val="0"/>
                  <w:vAlign w:val="center"/>
                </w:tcPr>
                <w:p w14:paraId="13A624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498" w:type="dxa"/>
                  <w:shd w:val="clear" w:color="auto" w:fill="auto"/>
                  <w:noWrap w:val="0"/>
                  <w:vAlign w:val="center"/>
                </w:tcPr>
                <w:p w14:paraId="4A9FF34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54</w:t>
                  </w:r>
                </w:p>
              </w:tc>
              <w:tc>
                <w:tcPr>
                  <w:tcW w:w="499" w:type="dxa"/>
                  <w:shd w:val="clear" w:color="auto" w:fill="auto"/>
                  <w:noWrap w:val="0"/>
                  <w:vAlign w:val="center"/>
                </w:tcPr>
                <w:p w14:paraId="708032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lang w:val="en-US" w:eastAsia="zh-CN"/>
                    </w:rPr>
                    <w:t>43</w:t>
                  </w:r>
                </w:p>
              </w:tc>
              <w:tc>
                <w:tcPr>
                  <w:tcW w:w="499" w:type="dxa"/>
                  <w:noWrap w:val="0"/>
                  <w:vAlign w:val="center"/>
                </w:tcPr>
                <w:p w14:paraId="0B3072DC">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13DDD3F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3BC137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53.0</w:t>
                  </w:r>
                </w:p>
              </w:tc>
              <w:tc>
                <w:tcPr>
                  <w:tcW w:w="657" w:type="dxa"/>
                  <w:noWrap w:val="0"/>
                  <w:vAlign w:val="center"/>
                </w:tcPr>
                <w:p w14:paraId="4C97B8D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26328A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56.5</w:t>
                  </w:r>
                </w:p>
              </w:tc>
              <w:tc>
                <w:tcPr>
                  <w:tcW w:w="614" w:type="dxa"/>
                  <w:noWrap w:val="0"/>
                  <w:vAlign w:val="center"/>
                </w:tcPr>
                <w:p w14:paraId="1A7823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491" w:type="dxa"/>
                  <w:noWrap w:val="0"/>
                  <w:vAlign w:val="center"/>
                </w:tcPr>
                <w:p w14:paraId="7AC927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2.5</w:t>
                  </w:r>
                </w:p>
              </w:tc>
              <w:tc>
                <w:tcPr>
                  <w:tcW w:w="563" w:type="dxa"/>
                  <w:noWrap w:val="0"/>
                  <w:vAlign w:val="center"/>
                </w:tcPr>
                <w:p w14:paraId="361AEE3E">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21FB6EB7">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6CA633A4">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59045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3B1E926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马家梁散居</w:t>
                  </w:r>
                  <w:r>
                    <w:rPr>
                      <w:rFonts w:hint="eastAsia" w:ascii="Times New Roman" w:hAnsi="Times New Roman" w:cs="Times New Roman"/>
                      <w:color w:val="auto"/>
                      <w:kern w:val="0"/>
                      <w:szCs w:val="21"/>
                      <w:lang w:val="en-US" w:eastAsia="zh-CN" w:bidi="ar"/>
                    </w:rPr>
                    <w:t>农户</w:t>
                  </w:r>
                </w:p>
              </w:tc>
              <w:tc>
                <w:tcPr>
                  <w:tcW w:w="492" w:type="dxa"/>
                  <w:shd w:val="clear" w:color="auto" w:fill="auto"/>
                  <w:noWrap w:val="0"/>
                  <w:vAlign w:val="center"/>
                </w:tcPr>
                <w:p w14:paraId="654406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579802D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8" w:type="dxa"/>
                  <w:shd w:val="clear" w:color="auto" w:fill="auto"/>
                  <w:noWrap w:val="0"/>
                  <w:vAlign w:val="center"/>
                </w:tcPr>
                <w:p w14:paraId="546E2A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355945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3</w:t>
                  </w:r>
                </w:p>
              </w:tc>
              <w:tc>
                <w:tcPr>
                  <w:tcW w:w="499" w:type="dxa"/>
                  <w:noWrap w:val="0"/>
                  <w:vAlign w:val="center"/>
                </w:tcPr>
                <w:p w14:paraId="362DD24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5BE8760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4E0E07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34.0</w:t>
                  </w:r>
                </w:p>
              </w:tc>
              <w:tc>
                <w:tcPr>
                  <w:tcW w:w="657" w:type="dxa"/>
                  <w:noWrap w:val="0"/>
                  <w:vAlign w:val="center"/>
                </w:tcPr>
                <w:p w14:paraId="6DF2CAC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75A401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53.1</w:t>
                  </w:r>
                </w:p>
              </w:tc>
              <w:tc>
                <w:tcPr>
                  <w:tcW w:w="614" w:type="dxa"/>
                  <w:noWrap w:val="0"/>
                  <w:vAlign w:val="center"/>
                </w:tcPr>
                <w:p w14:paraId="4F9ECB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3.0</w:t>
                  </w:r>
                </w:p>
              </w:tc>
              <w:tc>
                <w:tcPr>
                  <w:tcW w:w="491" w:type="dxa"/>
                  <w:noWrap w:val="0"/>
                  <w:vAlign w:val="center"/>
                </w:tcPr>
                <w:p w14:paraId="750E57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0.1</w:t>
                  </w:r>
                </w:p>
              </w:tc>
              <w:tc>
                <w:tcPr>
                  <w:tcW w:w="563" w:type="dxa"/>
                  <w:noWrap w:val="0"/>
                  <w:vAlign w:val="center"/>
                </w:tcPr>
                <w:p w14:paraId="500DA0B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00F4FB69">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41BB44D4">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5D36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4B0D7D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村子坝散居</w:t>
                  </w:r>
                  <w:r>
                    <w:rPr>
                      <w:rFonts w:hint="eastAsia" w:ascii="Times New Roman" w:hAnsi="Times New Roman" w:cs="Times New Roman"/>
                      <w:color w:val="auto"/>
                      <w:kern w:val="0"/>
                      <w:szCs w:val="21"/>
                      <w:lang w:val="en-US" w:eastAsia="zh-CN" w:bidi="ar"/>
                    </w:rPr>
                    <w:t>农户</w:t>
                  </w:r>
                </w:p>
              </w:tc>
              <w:tc>
                <w:tcPr>
                  <w:tcW w:w="492" w:type="dxa"/>
                  <w:shd w:val="clear" w:color="auto" w:fill="auto"/>
                  <w:noWrap w:val="0"/>
                  <w:vAlign w:val="center"/>
                </w:tcPr>
                <w:p w14:paraId="31D4E00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2D407C7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8" w:type="dxa"/>
                  <w:shd w:val="clear" w:color="auto" w:fill="auto"/>
                  <w:noWrap w:val="0"/>
                  <w:vAlign w:val="center"/>
                </w:tcPr>
                <w:p w14:paraId="16350E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4F22592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noWrap w:val="0"/>
                  <w:vAlign w:val="center"/>
                </w:tcPr>
                <w:p w14:paraId="195A7AD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60</w:t>
                  </w:r>
                </w:p>
              </w:tc>
              <w:tc>
                <w:tcPr>
                  <w:tcW w:w="501" w:type="dxa"/>
                  <w:noWrap w:val="0"/>
                  <w:vAlign w:val="center"/>
                </w:tcPr>
                <w:p w14:paraId="52ABE42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rPr>
                  </w:pPr>
                  <w:r>
                    <w:rPr>
                      <w:rFonts w:hint="default" w:ascii="Times New Roman" w:hAnsi="Times New Roman" w:cs="Times New Roman"/>
                      <w:bCs/>
                      <w:color w:val="auto"/>
                      <w:szCs w:val="21"/>
                    </w:rPr>
                    <w:t>50</w:t>
                  </w:r>
                </w:p>
              </w:tc>
              <w:tc>
                <w:tcPr>
                  <w:tcW w:w="656" w:type="dxa"/>
                  <w:noWrap w:val="0"/>
                  <w:vAlign w:val="center"/>
                </w:tcPr>
                <w:p w14:paraId="5F9D82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31.9</w:t>
                  </w:r>
                </w:p>
              </w:tc>
              <w:tc>
                <w:tcPr>
                  <w:tcW w:w="657" w:type="dxa"/>
                  <w:noWrap w:val="0"/>
                  <w:vAlign w:val="center"/>
                </w:tcPr>
                <w:p w14:paraId="414975E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491217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53.0</w:t>
                  </w:r>
                </w:p>
              </w:tc>
              <w:tc>
                <w:tcPr>
                  <w:tcW w:w="614" w:type="dxa"/>
                  <w:noWrap w:val="0"/>
                  <w:vAlign w:val="center"/>
                </w:tcPr>
                <w:p w14:paraId="789C54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491" w:type="dxa"/>
                  <w:noWrap w:val="0"/>
                  <w:vAlign w:val="center"/>
                </w:tcPr>
                <w:p w14:paraId="0210FA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0</w:t>
                  </w:r>
                </w:p>
              </w:tc>
              <w:tc>
                <w:tcPr>
                  <w:tcW w:w="563" w:type="dxa"/>
                  <w:noWrap w:val="0"/>
                  <w:vAlign w:val="center"/>
                </w:tcPr>
                <w:p w14:paraId="2C38791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2C765D50">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415A907C">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765AA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743FCB3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s="Times New Roman"/>
                      <w:color w:val="auto"/>
                      <w:kern w:val="0"/>
                      <w:szCs w:val="21"/>
                      <w:lang w:val="en-US" w:eastAsia="zh-CN" w:bidi="ar"/>
                    </w:rPr>
                    <w:t>松垭子农户聚居区</w:t>
                  </w:r>
                </w:p>
              </w:tc>
              <w:tc>
                <w:tcPr>
                  <w:tcW w:w="492" w:type="dxa"/>
                  <w:shd w:val="clear" w:color="auto" w:fill="auto"/>
                  <w:noWrap w:val="0"/>
                  <w:vAlign w:val="center"/>
                </w:tcPr>
                <w:p w14:paraId="416E908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503" w:type="dxa"/>
                  <w:shd w:val="clear" w:color="auto" w:fill="auto"/>
                  <w:noWrap w:val="0"/>
                  <w:vAlign w:val="center"/>
                </w:tcPr>
                <w:p w14:paraId="791B8B3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8" w:type="dxa"/>
                  <w:shd w:val="clear" w:color="auto" w:fill="auto"/>
                  <w:noWrap w:val="0"/>
                  <w:vAlign w:val="center"/>
                </w:tcPr>
                <w:p w14:paraId="5A2B61D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5</w:t>
                  </w:r>
                  <w:r>
                    <w:rPr>
                      <w:rFonts w:hint="eastAsia" w:cs="Times New Roman"/>
                      <w:color w:val="auto"/>
                      <w:lang w:val="en-US" w:eastAsia="zh-CN"/>
                    </w:rPr>
                    <w:t>3</w:t>
                  </w:r>
                </w:p>
              </w:tc>
              <w:tc>
                <w:tcPr>
                  <w:tcW w:w="499" w:type="dxa"/>
                  <w:shd w:val="clear" w:color="auto" w:fill="auto"/>
                  <w:noWrap w:val="0"/>
                  <w:vAlign w:val="center"/>
                </w:tcPr>
                <w:p w14:paraId="7091066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rPr>
                    <w:t>4</w:t>
                  </w:r>
                  <w:r>
                    <w:rPr>
                      <w:rFonts w:hint="eastAsia" w:cs="Times New Roman"/>
                      <w:color w:val="auto"/>
                      <w:lang w:val="en-US" w:eastAsia="zh-CN"/>
                    </w:rPr>
                    <w:t>2</w:t>
                  </w:r>
                </w:p>
              </w:tc>
              <w:tc>
                <w:tcPr>
                  <w:tcW w:w="499" w:type="dxa"/>
                  <w:noWrap w:val="0"/>
                  <w:vAlign w:val="center"/>
                </w:tcPr>
                <w:p w14:paraId="1CC60D2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60</w:t>
                  </w:r>
                </w:p>
              </w:tc>
              <w:tc>
                <w:tcPr>
                  <w:tcW w:w="501" w:type="dxa"/>
                  <w:noWrap w:val="0"/>
                  <w:vAlign w:val="center"/>
                </w:tcPr>
                <w:p w14:paraId="60CA5FD4">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rPr>
                    <w:t>50</w:t>
                  </w:r>
                </w:p>
              </w:tc>
              <w:tc>
                <w:tcPr>
                  <w:tcW w:w="656" w:type="dxa"/>
                  <w:noWrap w:val="0"/>
                  <w:vAlign w:val="center"/>
                </w:tcPr>
                <w:p w14:paraId="246886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55.7</w:t>
                  </w:r>
                </w:p>
              </w:tc>
              <w:tc>
                <w:tcPr>
                  <w:tcW w:w="657" w:type="dxa"/>
                  <w:noWrap w:val="0"/>
                  <w:vAlign w:val="center"/>
                </w:tcPr>
                <w:p w14:paraId="59AF436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49B7FD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57.6</w:t>
                  </w:r>
                </w:p>
              </w:tc>
              <w:tc>
                <w:tcPr>
                  <w:tcW w:w="614" w:type="dxa"/>
                  <w:noWrap w:val="0"/>
                  <w:vAlign w:val="center"/>
                </w:tcPr>
                <w:p w14:paraId="4E58CB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ascii="Times New Roman" w:hAnsi="Times New Roman" w:cs="Times New Roman"/>
                      <w:color w:val="auto"/>
                    </w:rPr>
                    <w:t>4</w:t>
                  </w:r>
                  <w:r>
                    <w:rPr>
                      <w:rFonts w:hint="eastAsia" w:cs="Times New Roman"/>
                      <w:color w:val="auto"/>
                      <w:lang w:val="en-US" w:eastAsia="zh-CN"/>
                    </w:rPr>
                    <w:t>2.0</w:t>
                  </w:r>
                </w:p>
              </w:tc>
              <w:tc>
                <w:tcPr>
                  <w:tcW w:w="491" w:type="dxa"/>
                  <w:noWrap w:val="0"/>
                  <w:vAlign w:val="center"/>
                </w:tcPr>
                <w:p w14:paraId="47EF7B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4.6</w:t>
                  </w:r>
                </w:p>
              </w:tc>
              <w:tc>
                <w:tcPr>
                  <w:tcW w:w="563" w:type="dxa"/>
                  <w:noWrap w:val="0"/>
                  <w:vAlign w:val="center"/>
                </w:tcPr>
                <w:p w14:paraId="528ED89A">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0</w:t>
                  </w:r>
                </w:p>
              </w:tc>
              <w:tc>
                <w:tcPr>
                  <w:tcW w:w="491" w:type="dxa"/>
                  <w:noWrap w:val="0"/>
                  <w:vAlign w:val="center"/>
                </w:tcPr>
                <w:p w14:paraId="217FE71E">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c>
                <w:tcPr>
                  <w:tcW w:w="490" w:type="dxa"/>
                  <w:noWrap w:val="0"/>
                  <w:vAlign w:val="center"/>
                </w:tcPr>
                <w:p w14:paraId="0AB6C16F">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rPr>
                  </w:pPr>
                  <w:r>
                    <w:rPr>
                      <w:rFonts w:hint="eastAsia" w:ascii="Times New Roman" w:hAnsi="Times New Roman" w:cs="Times New Roman"/>
                      <w:bCs/>
                      <w:color w:val="auto"/>
                      <w:szCs w:val="21"/>
                    </w:rPr>
                    <w:t>达</w:t>
                  </w:r>
                  <w:r>
                    <w:rPr>
                      <w:rFonts w:hint="default" w:ascii="Times New Roman" w:hAnsi="Times New Roman" w:cs="Times New Roman"/>
                      <w:bCs/>
                      <w:color w:val="auto"/>
                      <w:szCs w:val="21"/>
                    </w:rPr>
                    <w:t>标</w:t>
                  </w:r>
                </w:p>
              </w:tc>
            </w:tr>
            <w:tr w14:paraId="06F2E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2B556CE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庙垭口农户聚居区</w:t>
                  </w:r>
                </w:p>
              </w:tc>
              <w:tc>
                <w:tcPr>
                  <w:tcW w:w="492" w:type="dxa"/>
                  <w:shd w:val="clear" w:color="auto" w:fill="auto"/>
                  <w:noWrap w:val="0"/>
                  <w:vAlign w:val="center"/>
                </w:tcPr>
                <w:p w14:paraId="4E1823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503" w:type="dxa"/>
                  <w:shd w:val="clear" w:color="auto" w:fill="auto"/>
                  <w:noWrap w:val="0"/>
                  <w:vAlign w:val="center"/>
                </w:tcPr>
                <w:p w14:paraId="72C22CE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498" w:type="dxa"/>
                  <w:shd w:val="clear" w:color="auto" w:fill="auto"/>
                  <w:noWrap w:val="0"/>
                  <w:vAlign w:val="center"/>
                </w:tcPr>
                <w:p w14:paraId="7DC4D2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53</w:t>
                  </w:r>
                </w:p>
              </w:tc>
              <w:tc>
                <w:tcPr>
                  <w:tcW w:w="499" w:type="dxa"/>
                  <w:shd w:val="clear" w:color="auto" w:fill="auto"/>
                  <w:noWrap w:val="0"/>
                  <w:vAlign w:val="center"/>
                </w:tcPr>
                <w:p w14:paraId="3C194C3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43</w:t>
                  </w:r>
                </w:p>
              </w:tc>
              <w:tc>
                <w:tcPr>
                  <w:tcW w:w="499" w:type="dxa"/>
                  <w:noWrap w:val="0"/>
                  <w:vAlign w:val="center"/>
                </w:tcPr>
                <w:p w14:paraId="168F1BD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60</w:t>
                  </w:r>
                </w:p>
              </w:tc>
              <w:tc>
                <w:tcPr>
                  <w:tcW w:w="501" w:type="dxa"/>
                  <w:noWrap w:val="0"/>
                  <w:vAlign w:val="center"/>
                </w:tcPr>
                <w:p w14:paraId="4C90265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rPr>
                  </w:pPr>
                  <w:r>
                    <w:rPr>
                      <w:rFonts w:hint="eastAsia" w:ascii="Times New Roman" w:hAnsi="Times New Roman" w:eastAsia="宋体" w:cs="Times New Roman"/>
                      <w:bCs/>
                      <w:color w:val="auto"/>
                      <w:szCs w:val="21"/>
                    </w:rPr>
                    <w:t>50</w:t>
                  </w:r>
                </w:p>
              </w:tc>
              <w:tc>
                <w:tcPr>
                  <w:tcW w:w="656" w:type="dxa"/>
                  <w:noWrap w:val="0"/>
                  <w:vAlign w:val="center"/>
                </w:tcPr>
                <w:p w14:paraId="3712118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48.7</w:t>
                  </w:r>
                </w:p>
              </w:tc>
              <w:tc>
                <w:tcPr>
                  <w:tcW w:w="657" w:type="dxa"/>
                  <w:noWrap w:val="0"/>
                  <w:vAlign w:val="center"/>
                </w:tcPr>
                <w:p w14:paraId="0502EC9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c>
                <w:tcPr>
                  <w:tcW w:w="604" w:type="dxa"/>
                  <w:noWrap w:val="0"/>
                  <w:vAlign w:val="center"/>
                </w:tcPr>
                <w:p w14:paraId="43057D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54.4</w:t>
                  </w:r>
                </w:p>
              </w:tc>
              <w:tc>
                <w:tcPr>
                  <w:tcW w:w="614" w:type="dxa"/>
                  <w:noWrap w:val="0"/>
                  <w:vAlign w:val="center"/>
                </w:tcPr>
                <w:p w14:paraId="6E73D7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lang w:val="en-US" w:eastAsia="zh-CN"/>
                    </w:rPr>
                  </w:pPr>
                  <w:r>
                    <w:rPr>
                      <w:rFonts w:hint="eastAsia" w:cs="Times New Roman"/>
                      <w:color w:val="auto"/>
                      <w:lang w:val="en-US" w:eastAsia="zh-CN"/>
                    </w:rPr>
                    <w:t>43.0</w:t>
                  </w:r>
                </w:p>
              </w:tc>
              <w:tc>
                <w:tcPr>
                  <w:tcW w:w="491" w:type="dxa"/>
                  <w:noWrap w:val="0"/>
                  <w:vAlign w:val="center"/>
                </w:tcPr>
                <w:p w14:paraId="70756A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1.4</w:t>
                  </w:r>
                </w:p>
              </w:tc>
              <w:tc>
                <w:tcPr>
                  <w:tcW w:w="563" w:type="dxa"/>
                  <w:noWrap w:val="0"/>
                  <w:vAlign w:val="center"/>
                </w:tcPr>
                <w:p w14:paraId="3EA2780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0</w:t>
                  </w:r>
                </w:p>
              </w:tc>
              <w:tc>
                <w:tcPr>
                  <w:tcW w:w="491" w:type="dxa"/>
                  <w:noWrap w:val="0"/>
                  <w:vAlign w:val="center"/>
                </w:tcPr>
                <w:p w14:paraId="54265DC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c>
                <w:tcPr>
                  <w:tcW w:w="490" w:type="dxa"/>
                  <w:noWrap w:val="0"/>
                  <w:vAlign w:val="center"/>
                </w:tcPr>
                <w:p w14:paraId="2613061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达标</w:t>
                  </w:r>
                </w:p>
              </w:tc>
            </w:tr>
          </w:tbl>
          <w:p w14:paraId="25FCD1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6）</w:t>
            </w:r>
            <w:r>
              <w:rPr>
                <w:rFonts w:hint="default" w:ascii="Times New Roman" w:hAnsi="Times New Roman" w:cs="Times New Roman"/>
                <w:bCs/>
                <w:color w:val="auto"/>
                <w:sz w:val="24"/>
              </w:rPr>
              <w:t>噪声影响分析</w:t>
            </w:r>
          </w:p>
          <w:p w14:paraId="56CBEFC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A.钻井噪声</w:t>
            </w:r>
          </w:p>
          <w:p w14:paraId="4D6F0A8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根据预测结果，</w:t>
            </w:r>
            <w:r>
              <w:rPr>
                <w:rFonts w:hint="eastAsia" w:cs="Times New Roman"/>
                <w:bCs/>
                <w:color w:val="auto"/>
                <w:sz w:val="24"/>
                <w:lang w:val="en-US" w:eastAsia="zh-CN"/>
              </w:rPr>
              <w:t>旋挖机钻孔、钻机</w:t>
            </w:r>
            <w:r>
              <w:rPr>
                <w:rFonts w:hint="eastAsia" w:ascii="Times New Roman" w:hAnsi="Times New Roman" w:cs="Times New Roman"/>
                <w:bCs/>
                <w:color w:val="auto"/>
                <w:sz w:val="24"/>
              </w:rPr>
              <w:t>钻井作业</w:t>
            </w:r>
            <w:r>
              <w:rPr>
                <w:rFonts w:hint="eastAsia" w:ascii="Times New Roman" w:hAnsi="Times New Roman" w:cs="Times New Roman"/>
                <w:bCs/>
                <w:color w:val="auto"/>
                <w:sz w:val="24"/>
                <w:lang w:val="en-US" w:eastAsia="zh-CN"/>
              </w:rPr>
              <w:t>期间</w:t>
            </w:r>
            <w:r>
              <w:rPr>
                <w:rFonts w:hint="eastAsia" w:cs="Times New Roman"/>
                <w:bCs/>
                <w:color w:val="auto"/>
                <w:sz w:val="24"/>
                <w:lang w:val="en-US" w:eastAsia="zh-CN"/>
              </w:rPr>
              <w:t>柿子院散居农户（昼间、夜间）、辽叶塆散居农户（昼间、夜间）、马家梁散居农户（夜间）、松垭子农户聚居区（昼间、夜间）、庙垭口农户聚居区（夜间）</w:t>
            </w:r>
            <w:r>
              <w:rPr>
                <w:rFonts w:hint="eastAsia" w:ascii="Times New Roman" w:hAnsi="Times New Roman" w:cs="Times New Roman"/>
                <w:bCs/>
                <w:color w:val="auto"/>
                <w:sz w:val="24"/>
                <w:lang w:val="en-US" w:eastAsia="zh-CN"/>
              </w:rPr>
              <w:t>存在不同程度的超标。</w:t>
            </w:r>
          </w:p>
          <w:p w14:paraId="086580F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钻井过程为连续作业过程，目前钻井噪声处理难度较大，要减轻噪声影响，建设方首先应通过合理的井场设备分区布置。项目噪声源采取噪声防治措施，柴油发电机组布置于发电机房内，</w:t>
            </w:r>
            <w:r>
              <w:rPr>
                <w:rFonts w:hint="eastAsia" w:ascii="Times New Roman" w:hAnsi="Times New Roman" w:cs="Times New Roman"/>
                <w:bCs/>
                <w:color w:val="auto"/>
                <w:sz w:val="24"/>
                <w:lang w:val="en-US" w:eastAsia="zh-CN"/>
              </w:rPr>
              <w:t>选用低噪声设备</w:t>
            </w:r>
            <w:r>
              <w:rPr>
                <w:rFonts w:hint="default" w:ascii="Times New Roman" w:hAnsi="Times New Roman" w:cs="Times New Roman"/>
                <w:bCs/>
                <w:color w:val="auto"/>
                <w:sz w:val="24"/>
              </w:rPr>
              <w:t>，并对柴油发电机组设置减振基础等；泥浆泵、振动筛等设备可加衬弹性垫料以达到减噪目的；在管理和作业过程中平稳操作，避免特种作业时产生非正常的噪声等；对受影响的居民多采取沟通宣传和耐心解释等方式征得其支持谅解，</w:t>
            </w:r>
            <w:r>
              <w:rPr>
                <w:rFonts w:hint="eastAsia" w:ascii="Times New Roman" w:hAnsi="Times New Roman" w:cs="Times New Roman"/>
                <w:bCs/>
                <w:color w:val="auto"/>
                <w:sz w:val="24"/>
              </w:rPr>
              <w:t>必要时可采取临时撤离的措施来保证当地居民不受噪声影响。</w:t>
            </w:r>
          </w:p>
          <w:p w14:paraId="777F1D3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本次环评要求：采用当地电网供电，当电网不能满足施工条件或者停电时再采用柴油发电机供电。</w:t>
            </w:r>
          </w:p>
          <w:p w14:paraId="7BF524F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highlight w:val="none"/>
                <w:lang w:eastAsia="zh-CN"/>
              </w:rPr>
            </w:pPr>
            <w:r>
              <w:rPr>
                <w:rFonts w:hint="eastAsia" w:ascii="Times New Roman" w:hAnsi="Times New Roman" w:cs="Times New Roman"/>
                <w:bCs/>
                <w:color w:val="auto"/>
                <w:sz w:val="24"/>
                <w:highlight w:val="none"/>
                <w:lang w:val="en-US" w:eastAsia="zh-CN"/>
              </w:rPr>
              <w:t>B</w:t>
            </w:r>
            <w:r>
              <w:rPr>
                <w:rFonts w:hint="default" w:ascii="Times New Roman" w:hAnsi="Times New Roman" w:cs="Times New Roman"/>
                <w:bCs/>
                <w:color w:val="auto"/>
                <w:sz w:val="24"/>
                <w:highlight w:val="none"/>
              </w:rPr>
              <w:t>.压裂噪声</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夜间不作业</w:t>
            </w:r>
            <w:r>
              <w:rPr>
                <w:rFonts w:hint="eastAsia" w:ascii="Times New Roman" w:hAnsi="Times New Roman" w:cs="Times New Roman"/>
                <w:bCs/>
                <w:color w:val="auto"/>
                <w:sz w:val="24"/>
                <w:highlight w:val="none"/>
                <w:lang w:eastAsia="zh-CN"/>
              </w:rPr>
              <w:t>）</w:t>
            </w:r>
          </w:p>
          <w:p w14:paraId="5AA01EC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none"/>
              </w:rPr>
            </w:pPr>
            <w:r>
              <w:rPr>
                <w:rFonts w:hint="default" w:ascii="Times New Roman" w:hAnsi="Times New Roman" w:cs="Times New Roman"/>
                <w:bCs/>
                <w:color w:val="auto"/>
                <w:sz w:val="24"/>
                <w:highlight w:val="none"/>
              </w:rPr>
              <w:t>由压裂作业期间噪声预测可知，</w:t>
            </w:r>
            <w:r>
              <w:rPr>
                <w:rFonts w:hint="eastAsia" w:ascii="Times New Roman" w:hAnsi="Times New Roman" w:cs="Times New Roman"/>
                <w:bCs/>
                <w:color w:val="auto"/>
                <w:sz w:val="24"/>
                <w:highlight w:val="none"/>
                <w:lang w:val="en-US" w:eastAsia="zh-CN"/>
              </w:rPr>
              <w:t>压裂作业期间（夜间不作业）</w:t>
            </w:r>
            <w:r>
              <w:rPr>
                <w:rFonts w:hint="eastAsia" w:cs="Times New Roman"/>
                <w:bCs/>
                <w:color w:val="auto"/>
                <w:sz w:val="24"/>
                <w:highlight w:val="none"/>
                <w:lang w:val="en-US" w:eastAsia="zh-CN"/>
              </w:rPr>
              <w:t>辽叶塆散居农户</w:t>
            </w:r>
            <w:r>
              <w:rPr>
                <w:rFonts w:hint="eastAsia" w:ascii="Times New Roman" w:hAnsi="Times New Roman" w:cs="Times New Roman"/>
                <w:bCs/>
                <w:color w:val="auto"/>
                <w:sz w:val="24"/>
                <w:highlight w:val="none"/>
                <w:lang w:val="en-US" w:eastAsia="zh-CN"/>
              </w:rPr>
              <w:t>昼间存在超标</w:t>
            </w:r>
            <w:r>
              <w:rPr>
                <w:rFonts w:hint="eastAsia" w:cs="Times New Roman"/>
                <w:bCs/>
                <w:color w:val="auto"/>
                <w:sz w:val="24"/>
                <w:highlight w:val="none"/>
                <w:lang w:val="en-US" w:eastAsia="zh-CN"/>
              </w:rPr>
              <w:t>现象</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rPr>
              <w:t>项目压裂时间较短，</w:t>
            </w:r>
            <w:r>
              <w:rPr>
                <w:rFonts w:hint="eastAsia" w:ascii="Times New Roman" w:hAnsi="Times New Roman" w:cs="Times New Roman"/>
                <w:bCs/>
                <w:color w:val="auto"/>
                <w:sz w:val="24"/>
                <w:highlight w:val="none"/>
                <w:lang w:val="en-US" w:eastAsia="zh-CN"/>
              </w:rPr>
              <w:t>同时</w:t>
            </w:r>
            <w:r>
              <w:rPr>
                <w:rFonts w:hint="default" w:ascii="Times New Roman" w:hAnsi="Times New Roman" w:cs="Times New Roman"/>
                <w:bCs/>
                <w:color w:val="auto"/>
                <w:sz w:val="24"/>
                <w:highlight w:val="none"/>
              </w:rPr>
              <w:t>压裂作业通常在昼间进行，</w:t>
            </w:r>
            <w:r>
              <w:rPr>
                <w:rFonts w:hint="eastAsia" w:ascii="Times New Roman" w:hAnsi="Times New Roman" w:cs="Times New Roman"/>
                <w:bCs/>
                <w:color w:val="auto"/>
                <w:sz w:val="24"/>
                <w:highlight w:val="none"/>
                <w:lang w:val="en-US" w:eastAsia="zh-CN"/>
              </w:rPr>
              <w:t>夜间不作业</w:t>
            </w:r>
            <w:r>
              <w:rPr>
                <w:rFonts w:hint="default" w:ascii="Times New Roman" w:hAnsi="Times New Roman" w:cs="Times New Roman"/>
                <w:bCs/>
                <w:color w:val="auto"/>
                <w:sz w:val="24"/>
                <w:highlight w:val="none"/>
              </w:rPr>
              <w:t>。在压裂设备选型环节，优先考虑具备先进降噪技术、运行噪声低的设备</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优先采用</w:t>
            </w:r>
            <w:r>
              <w:rPr>
                <w:rFonts w:hint="eastAsia" w:ascii="Times New Roman" w:hAnsi="Times New Roman" w:cs="Times New Roman"/>
                <w:bCs/>
                <w:color w:val="auto"/>
                <w:sz w:val="24"/>
                <w:highlight w:val="none"/>
                <w:lang w:eastAsia="zh-CN"/>
              </w:rPr>
              <w:t>低噪声的压裂工艺</w:t>
            </w:r>
            <w:r>
              <w:rPr>
                <w:rFonts w:hint="default" w:ascii="Times New Roman" w:hAnsi="Times New Roman" w:eastAsia="宋体" w:cs="Times New Roman"/>
                <w:bCs/>
                <w:color w:val="auto"/>
                <w:sz w:val="24"/>
                <w:highlight w:val="none"/>
              </w:rPr>
              <w:t>。</w:t>
            </w:r>
          </w:p>
          <w:p w14:paraId="4C3CE41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none"/>
                <w:lang w:eastAsia="zh-CN"/>
              </w:rPr>
            </w:pPr>
            <w:r>
              <w:rPr>
                <w:rFonts w:hint="eastAsia" w:ascii="Times New Roman" w:hAnsi="Times New Roman" w:eastAsia="宋体" w:cs="Times New Roman"/>
                <w:bCs/>
                <w:color w:val="auto"/>
                <w:sz w:val="24"/>
                <w:highlight w:val="none"/>
                <w:lang w:eastAsia="zh-CN"/>
              </w:rPr>
              <w:t>本次环评要求：</w:t>
            </w:r>
            <w:r>
              <w:rPr>
                <w:rFonts w:hint="default" w:ascii="Times New Roman" w:hAnsi="Times New Roman" w:eastAsia="宋体" w:cs="Times New Roman"/>
                <w:bCs/>
                <w:color w:val="auto"/>
                <w:sz w:val="24"/>
                <w:highlight w:val="none"/>
                <w:lang w:eastAsia="zh-CN"/>
              </w:rPr>
              <w:t>压裂作业在昼间进行，对受影响的居民多采取沟通宣传和耐心解释等方式征得其支持谅解。</w:t>
            </w:r>
          </w:p>
          <w:p w14:paraId="741C9DC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eastAsia="zh-CN"/>
              </w:rPr>
            </w:pPr>
            <w:r>
              <w:rPr>
                <w:rFonts w:hint="eastAsia" w:ascii="Times New Roman" w:hAnsi="Times New Roman" w:cs="Times New Roman"/>
                <w:bCs/>
                <w:color w:val="auto"/>
                <w:sz w:val="24"/>
                <w:lang w:val="en-US" w:eastAsia="zh-CN"/>
              </w:rPr>
              <w:t>C</w:t>
            </w:r>
            <w:r>
              <w:rPr>
                <w:rFonts w:hint="default" w:ascii="Times New Roman" w:hAnsi="Times New Roman" w:cs="Times New Roman"/>
                <w:bCs/>
                <w:color w:val="auto"/>
                <w:sz w:val="24"/>
              </w:rPr>
              <w:t>.放喷噪声</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夜间不作业</w:t>
            </w:r>
            <w:r>
              <w:rPr>
                <w:rFonts w:hint="eastAsia" w:ascii="Times New Roman" w:hAnsi="Times New Roman" w:cs="Times New Roman"/>
                <w:bCs/>
                <w:color w:val="auto"/>
                <w:sz w:val="24"/>
                <w:lang w:eastAsia="zh-CN"/>
              </w:rPr>
              <w:t>）</w:t>
            </w:r>
          </w:p>
          <w:p w14:paraId="497A956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由放喷作业期间噪声预测可知，</w:t>
            </w:r>
            <w:r>
              <w:rPr>
                <w:rFonts w:hint="eastAsia" w:ascii="Times New Roman" w:hAnsi="Times New Roman" w:cs="Times New Roman"/>
                <w:bCs/>
                <w:color w:val="auto"/>
                <w:sz w:val="24"/>
                <w:lang w:val="en-US" w:eastAsia="zh-CN"/>
              </w:rPr>
              <w:t>放喷作业期间</w:t>
            </w:r>
            <w:r>
              <w:rPr>
                <w:rFonts w:hint="eastAsia" w:cs="Times New Roman"/>
                <w:bCs/>
                <w:color w:val="auto"/>
                <w:sz w:val="24"/>
                <w:lang w:val="en-US" w:eastAsia="zh-CN"/>
              </w:rPr>
              <w:t>（夜间不作业）</w:t>
            </w:r>
            <w:r>
              <w:rPr>
                <w:rFonts w:hint="eastAsia" w:ascii="Times New Roman" w:hAnsi="Times New Roman" w:cs="Times New Roman"/>
                <w:bCs/>
                <w:color w:val="auto"/>
                <w:sz w:val="24"/>
                <w:lang w:val="en-US" w:eastAsia="zh-CN"/>
              </w:rPr>
              <w:t>周边声环境敏感目标</w:t>
            </w:r>
            <w:r>
              <w:rPr>
                <w:rFonts w:hint="default" w:ascii="Times New Roman" w:hAnsi="Times New Roman" w:cs="Times New Roman"/>
                <w:bCs/>
                <w:color w:val="auto"/>
                <w:sz w:val="24"/>
              </w:rPr>
              <w:t>均达标。</w:t>
            </w:r>
            <w:r>
              <w:rPr>
                <w:rFonts w:hint="eastAsia" w:ascii="Times New Roman" w:hAnsi="Times New Roman" w:cs="Times New Roman"/>
                <w:bCs/>
                <w:color w:val="auto"/>
                <w:sz w:val="24"/>
                <w:lang w:val="en-US" w:eastAsia="zh-CN"/>
              </w:rPr>
              <w:t>同时</w:t>
            </w:r>
            <w:r>
              <w:rPr>
                <w:rFonts w:hint="default" w:ascii="Times New Roman" w:hAnsi="Times New Roman" w:cs="Times New Roman"/>
                <w:bCs/>
                <w:color w:val="auto"/>
                <w:sz w:val="24"/>
              </w:rPr>
              <w:t>本项目测试放喷时间较短，放喷作业在昼间进行，测试作业完毕影响即消除。</w:t>
            </w:r>
          </w:p>
          <w:p w14:paraId="624FA80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7）噪声环境影响小结</w:t>
            </w:r>
          </w:p>
          <w:p w14:paraId="13A4A36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lang w:val="en-US" w:eastAsia="zh-CN"/>
              </w:rPr>
              <w:t>项目</w:t>
            </w:r>
            <w:r>
              <w:rPr>
                <w:rFonts w:hint="default" w:ascii="Times New Roman" w:hAnsi="Times New Roman" w:cs="Times New Roman"/>
                <w:bCs/>
                <w:color w:val="auto"/>
                <w:sz w:val="24"/>
              </w:rPr>
              <w:t>噪声是在钻井作业、压裂作业和测试放喷期间产生的，对居民的影响是客观存在的，本环评建议建设单位采取以下措施：</w:t>
            </w:r>
          </w:p>
          <w:p w14:paraId="13E34B0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①在施工期间应加强施工管理，钻机、泥浆泵等设备应做好日常维护同时在操作时做到平稳操作，避免特种作业时产生非正常的噪声；</w:t>
            </w:r>
          </w:p>
          <w:p w14:paraId="3EE9CF6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②对受影响的居民多采取沟通宣传和耐心解释等方式，征得其支持谅解，必要时采取临时撤离（可租用当地民房、在噪声达标距离之外进行妥善安置）等措施解决噪声超标问题，确保噪声不扰民；</w:t>
            </w:r>
          </w:p>
          <w:p w14:paraId="23ADF0E1">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③泥浆泵、振动筛等设备可加衬弹性垫料以达到减噪目的；使用柴油机发电时柴油发电机组布置于发电机房内，采取</w:t>
            </w:r>
            <w:r>
              <w:rPr>
                <w:rFonts w:hint="eastAsia" w:ascii="Times New Roman" w:hAnsi="Times New Roman" w:cs="Times New Roman"/>
                <w:bCs/>
                <w:color w:val="auto"/>
                <w:sz w:val="24"/>
                <w:lang w:val="en-US" w:eastAsia="zh-CN"/>
              </w:rPr>
              <w:t>建筑</w:t>
            </w:r>
            <w:r>
              <w:rPr>
                <w:rFonts w:hint="eastAsia" w:ascii="Times New Roman" w:hAnsi="Times New Roman" w:cs="Times New Roman"/>
                <w:bCs/>
                <w:color w:val="auto"/>
                <w:sz w:val="24"/>
              </w:rPr>
              <w:t>隔声等降噪措施；</w:t>
            </w:r>
          </w:p>
          <w:p w14:paraId="06911B6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④</w:t>
            </w:r>
            <w:r>
              <w:rPr>
                <w:rFonts w:hint="eastAsia" w:ascii="Times New Roman" w:hAnsi="Times New Roman" w:eastAsia="宋体" w:cs="Times New Roman"/>
                <w:bCs/>
                <w:color w:val="auto"/>
                <w:sz w:val="24"/>
                <w:highlight w:val="none"/>
              </w:rPr>
              <w:t>建设单位应</w:t>
            </w:r>
            <w:r>
              <w:rPr>
                <w:rFonts w:hint="eastAsia" w:ascii="Times New Roman" w:hAnsi="Times New Roman" w:eastAsia="宋体" w:cs="Times New Roman"/>
                <w:bCs/>
                <w:color w:val="auto"/>
                <w:sz w:val="24"/>
                <w:highlight w:val="none"/>
                <w:lang w:val="en-US" w:eastAsia="zh-CN"/>
              </w:rPr>
              <w:t>合理规划运输车辆行驶路线，</w:t>
            </w:r>
            <w:r>
              <w:rPr>
                <w:rFonts w:hint="eastAsia" w:cs="Times New Roman"/>
                <w:bCs/>
                <w:color w:val="auto"/>
                <w:sz w:val="24"/>
                <w:highlight w:val="none"/>
                <w:lang w:val="en-US" w:eastAsia="zh-CN"/>
              </w:rPr>
              <w:t>途经</w:t>
            </w:r>
            <w:r>
              <w:rPr>
                <w:rFonts w:hint="eastAsia" w:ascii="Times New Roman" w:hAnsi="Times New Roman" w:eastAsia="宋体" w:cs="Times New Roman"/>
                <w:bCs/>
                <w:color w:val="auto"/>
                <w:sz w:val="24"/>
                <w:highlight w:val="none"/>
                <w:lang w:val="en-US" w:eastAsia="zh-CN"/>
              </w:rPr>
              <w:t>居民点等声环境保护目标时应采取减速慢行，少鸣措施；</w:t>
            </w:r>
          </w:p>
          <w:p w14:paraId="0A5E207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lang w:val="en-US" w:eastAsia="zh-CN"/>
              </w:rPr>
              <w:t>⑤</w:t>
            </w:r>
            <w:r>
              <w:rPr>
                <w:rFonts w:hint="eastAsia" w:ascii="Times New Roman" w:hAnsi="Times New Roman" w:cs="Times New Roman"/>
                <w:bCs/>
                <w:color w:val="auto"/>
                <w:sz w:val="24"/>
              </w:rPr>
              <w:t>在钻井工作期间，建设单位应在开钻前与当地村委会、居民提前沟通，做好宣传、解释及安抚工作，以取得农户谅解，避免环境纠纷及环保投诉。</w:t>
            </w:r>
          </w:p>
          <w:p w14:paraId="0E5D88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井场应采取积极有效的措施，有效减小项目施工对周边居民的影响。同时由于</w:t>
            </w:r>
            <w:r>
              <w:rPr>
                <w:rFonts w:hint="eastAsia" w:ascii="Times New Roman" w:hAnsi="Times New Roman" w:cs="Times New Roman"/>
                <w:bCs/>
                <w:color w:val="auto"/>
                <w:sz w:val="24"/>
                <w:lang w:val="en-US" w:eastAsia="zh-CN"/>
              </w:rPr>
              <w:t>本项目噪声</w:t>
            </w:r>
            <w:r>
              <w:rPr>
                <w:rFonts w:hint="eastAsia" w:ascii="Times New Roman" w:hAnsi="Times New Roman" w:cs="Times New Roman"/>
                <w:bCs/>
                <w:color w:val="auto"/>
                <w:sz w:val="24"/>
              </w:rPr>
              <w:t>属施工噪声，时间较短，随着工程的结束，本项目对周边环境造成的影响也会随之消失。</w:t>
            </w:r>
          </w:p>
          <w:p w14:paraId="1098013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六</w:t>
            </w:r>
            <w:r>
              <w:rPr>
                <w:rFonts w:hint="default" w:ascii="Times New Roman" w:hAnsi="Times New Roman" w:cs="Times New Roman"/>
                <w:b/>
                <w:bCs/>
                <w:color w:val="auto"/>
                <w:sz w:val="24"/>
              </w:rPr>
              <w:t>、土壤环境影响分析</w:t>
            </w:r>
          </w:p>
          <w:p w14:paraId="5CDB6600">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eastAsia="zh-CN"/>
              </w:rPr>
            </w:pPr>
            <w:r>
              <w:rPr>
                <w:rFonts w:hint="default" w:ascii="Times New Roman" w:hAnsi="Times New Roman" w:cs="Times New Roman"/>
                <w:color w:val="auto"/>
                <w:sz w:val="24"/>
              </w:rPr>
              <w:t>本项目</w:t>
            </w:r>
            <w:r>
              <w:rPr>
                <w:rFonts w:hint="eastAsia" w:ascii="Times New Roman" w:hAnsi="Times New Roman" w:cs="Times New Roman"/>
                <w:color w:val="auto"/>
                <w:sz w:val="24"/>
              </w:rPr>
              <w:t>占地全部为临时占地，项目占地类型为林地、耕地（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永久基本农田）、坑塘水面、农村宅</w:t>
            </w:r>
            <w:r>
              <w:rPr>
                <w:rFonts w:hint="eastAsia" w:ascii="Times New Roman" w:hAnsi="Times New Roman" w:cs="Times New Roman"/>
                <w:color w:val="auto"/>
                <w:sz w:val="24"/>
                <w:lang w:val="en-US" w:eastAsia="zh-CN"/>
              </w:rPr>
              <w:t>基地等，</w:t>
            </w:r>
            <w:r>
              <w:rPr>
                <w:rFonts w:hint="default" w:ascii="Times New Roman" w:hAnsi="Times New Roman" w:cs="Times New Roman"/>
                <w:color w:val="auto"/>
                <w:sz w:val="24"/>
              </w:rPr>
              <w:t>评价范围不涉及自然保护区、风景名胜区等生态敏感区，不在</w:t>
            </w:r>
            <w:r>
              <w:rPr>
                <w:rFonts w:hint="eastAsia" w:ascii="Times New Roman" w:hAnsi="Times New Roman" w:cs="Times New Roman"/>
                <w:color w:val="auto"/>
                <w:sz w:val="24"/>
              </w:rPr>
              <w:t>四川省</w:t>
            </w:r>
            <w:r>
              <w:rPr>
                <w:rFonts w:hint="default" w:ascii="Times New Roman" w:hAnsi="Times New Roman" w:cs="Times New Roman"/>
                <w:color w:val="auto"/>
                <w:sz w:val="24"/>
              </w:rPr>
              <w:t>生态保护红线范围内，也不涉及珍稀保护动植物和名木古树</w:t>
            </w:r>
            <w:r>
              <w:rPr>
                <w:rFonts w:hint="eastAsia" w:ascii="Times New Roman" w:hAnsi="Times New Roman" w:cs="Times New Roman"/>
                <w:color w:val="auto"/>
                <w:sz w:val="24"/>
                <w:lang w:val="en-US" w:eastAsia="zh-CN"/>
              </w:rPr>
              <w:t>。</w:t>
            </w:r>
            <w:r>
              <w:rPr>
                <w:rFonts w:hint="default" w:ascii="Times New Roman" w:hAnsi="Times New Roman" w:cs="Times New Roman"/>
                <w:bCs/>
                <w:color w:val="auto"/>
                <w:sz w:val="24"/>
              </w:rPr>
              <w:t>工程对土壤的影响主要</w:t>
            </w:r>
            <w:r>
              <w:rPr>
                <w:rFonts w:hint="eastAsia" w:ascii="Times New Roman" w:hAnsi="Times New Roman" w:cs="Times New Roman"/>
                <w:bCs/>
                <w:color w:val="auto"/>
                <w:sz w:val="24"/>
                <w:lang w:val="en-US" w:eastAsia="zh-CN"/>
              </w:rPr>
              <w:t>包括：</w:t>
            </w:r>
            <w:r>
              <w:rPr>
                <w:rFonts w:hint="default" w:ascii="Times New Roman" w:hAnsi="Times New Roman" w:cs="Times New Roman"/>
                <w:bCs/>
                <w:color w:val="auto"/>
                <w:sz w:val="24"/>
              </w:rPr>
              <w:t>工程建设期的开挖、回填行为对土壤结构的破坏；工程排放的污染物对土壤质地性状的影响</w:t>
            </w:r>
            <w:r>
              <w:rPr>
                <w:rFonts w:hint="eastAsia" w:ascii="Times New Roman" w:hAnsi="Times New Roman" w:cs="Times New Roman"/>
                <w:bCs/>
                <w:color w:val="auto"/>
                <w:sz w:val="24"/>
                <w:lang w:eastAsia="zh-CN"/>
              </w:rPr>
              <w:t>。</w:t>
            </w:r>
          </w:p>
          <w:p w14:paraId="0F49B2A8">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bCs w:val="0"/>
                <w:color w:val="auto"/>
                <w:sz w:val="24"/>
                <w:lang w:val="en-US" w:eastAsia="zh-CN"/>
              </w:rPr>
            </w:pPr>
            <w:r>
              <w:rPr>
                <w:rFonts w:hint="eastAsia" w:ascii="Times New Roman" w:hAnsi="Times New Roman" w:cs="Times New Roman"/>
                <w:b/>
                <w:bCs w:val="0"/>
                <w:color w:val="auto"/>
                <w:sz w:val="24"/>
                <w:lang w:val="en-US" w:eastAsia="zh-CN"/>
              </w:rPr>
              <w:t>1、对</w:t>
            </w:r>
            <w:r>
              <w:rPr>
                <w:rFonts w:hint="default" w:ascii="Times New Roman" w:hAnsi="Times New Roman" w:eastAsia="宋体" w:cs="Times New Roman"/>
                <w:b/>
                <w:bCs w:val="0"/>
                <w:color w:val="auto"/>
                <w:sz w:val="24"/>
              </w:rPr>
              <w:t>土壤结构</w:t>
            </w:r>
            <w:r>
              <w:rPr>
                <w:rFonts w:hint="eastAsia" w:ascii="Times New Roman" w:hAnsi="Times New Roman" w:eastAsia="宋体" w:cs="Times New Roman"/>
                <w:b/>
                <w:bCs w:val="0"/>
                <w:color w:val="auto"/>
                <w:sz w:val="24"/>
                <w:lang w:val="en-US" w:eastAsia="zh-CN"/>
              </w:rPr>
              <w:t>的影响</w:t>
            </w:r>
          </w:p>
          <w:p w14:paraId="4DEE38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钻前工程的场地平整、井场建设等活动，需要对土地进行开挖、填方等作业，这会直接破坏原有的土壤结构</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会破坏原有的土壤结构和层次，打乱土壤中盐分的自然分布。深层含盐量较高的土壤被翻至表层，而表层原本低盐、肥沃的土壤被扰动，导致表层土壤盐分含量升高。土壤的团粒结构被破坏后，土壤的孔隙度、通气性和透水性发生改变，影响土壤中水分和养分的运移以及植物根系的生长。在长期的钻井作业过程中，设备的碾压、人员的频繁走动等也会进一步压实土壤，阻碍水分和盐分的正常运移，盐分容易在表层积聚，加剧土壤盐渍化程度。</w:t>
            </w:r>
          </w:p>
          <w:p w14:paraId="0AF6835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eastAsia="宋体" w:cs="Times New Roman"/>
                <w:bCs/>
                <w:color w:val="auto"/>
                <w:sz w:val="24"/>
              </w:rPr>
              <w:t>在施工前，对土壤进行详细的盐分调查，制定合理的施工方案，尽量减少对土壤的扰动范围和深度。对开挖的土壤进行分层堆放，施工结束后按原层次回填，并在表层覆盖客土或有机肥，改善土壤结构，降低土壤盐分上升风险。在设备运行和人员活动频繁区域，铺设垫板，减少对土壤的压实和破坏，保障土壤中水分和盐分的正常运移。</w:t>
            </w:r>
          </w:p>
          <w:p w14:paraId="21C7B0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color w:val="auto"/>
                <w:sz w:val="24"/>
              </w:rPr>
              <w:t>项目</w:t>
            </w:r>
            <w:r>
              <w:rPr>
                <w:rFonts w:hint="default" w:ascii="Times New Roman" w:hAnsi="Times New Roman" w:cs="Times New Roman"/>
                <w:color w:val="auto"/>
                <w:sz w:val="24"/>
              </w:rPr>
              <w:t>将占用林地和耕地，</w:t>
            </w:r>
            <w:r>
              <w:rPr>
                <w:rFonts w:hint="default" w:ascii="Times New Roman" w:hAnsi="Times New Roman" w:cs="Times New Roman"/>
                <w:bCs/>
                <w:color w:val="auto"/>
                <w:sz w:val="24"/>
              </w:rPr>
              <w:t>对于临时性占地，在工程结束后2~3年耕作可恢复其原有使用功能，施工结束后，拆除临时设施，</w:t>
            </w:r>
            <w:r>
              <w:rPr>
                <w:rFonts w:hint="default" w:ascii="Times New Roman" w:hAnsi="Times New Roman" w:cs="Times New Roman"/>
                <w:color w:val="auto"/>
                <w:sz w:val="24"/>
              </w:rPr>
              <w:t>建设单位拟通过复耕来恢复或部分恢复原貌，耕地可恢复原貌</w:t>
            </w:r>
            <w:r>
              <w:rPr>
                <w:rFonts w:hint="default" w:ascii="Times New Roman" w:hAnsi="Times New Roman" w:cs="Times New Roman"/>
                <w:bCs/>
                <w:color w:val="auto"/>
                <w:sz w:val="24"/>
              </w:rPr>
              <w:t>。随着工程的结束，生态保护和临时占地的植被恢复措施的进行，有效的保护和恢复措施能保证工程对井场周边的土壤和植被的影响得到尽快</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恢复。</w:t>
            </w:r>
          </w:p>
          <w:p w14:paraId="0CAD572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bCs w:val="0"/>
                <w:color w:val="auto"/>
                <w:sz w:val="24"/>
                <w:lang w:val="en-US" w:eastAsia="zh-CN"/>
              </w:rPr>
            </w:pPr>
            <w:r>
              <w:rPr>
                <w:rFonts w:hint="eastAsia" w:ascii="Times New Roman" w:hAnsi="Times New Roman" w:cs="Times New Roman"/>
                <w:b/>
                <w:bCs w:val="0"/>
                <w:color w:val="auto"/>
                <w:sz w:val="24"/>
                <w:lang w:val="en-US" w:eastAsia="zh-CN"/>
              </w:rPr>
              <w:t>2、</w:t>
            </w:r>
            <w:r>
              <w:rPr>
                <w:rFonts w:hint="default" w:ascii="Times New Roman" w:hAnsi="Times New Roman" w:cs="Times New Roman"/>
                <w:b/>
                <w:bCs w:val="0"/>
                <w:color w:val="auto"/>
                <w:sz w:val="24"/>
              </w:rPr>
              <w:t>工程排放的污染物对土壤质地性状的影响</w:t>
            </w:r>
          </w:p>
          <w:p w14:paraId="2461673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钻井施工产生的废水通常含有较高的盐分，若废水储存设施防渗措施不到位，发生泄漏后，废水中的盐分会直接渗入土壤。若处理不当发生泄漏或违规排放，会通过地表径流或下渗进入周边耕地。当废水中的盐分在土壤中逐渐积累，超过土壤自身的调节能力时，会显著提升土壤溶液的渗透压。这会阻碍农作物根系正常吸水，导致植株出现生理干旱现象，生长发育受阻。同时，高盐环境还会破坏土壤团粒结构，使土壤板结，透气性和透水性变差，进一步恶化农作物的生长环境。长期受高盐废水影响，耕地会逐渐演变为盐渍化土壤，农作物产量大幅下降。</w:t>
            </w:r>
            <w:r>
              <w:rPr>
                <w:rFonts w:hint="eastAsia" w:ascii="Times New Roman" w:hAnsi="Times New Roman" w:eastAsia="宋体" w:cs="Times New Roman"/>
                <w:bCs/>
                <w:color w:val="auto"/>
                <w:sz w:val="24"/>
                <w:lang w:val="en-US" w:eastAsia="zh-CN"/>
              </w:rPr>
              <w:t>将</w:t>
            </w:r>
            <w:r>
              <w:rPr>
                <w:rFonts w:hint="default" w:ascii="Times New Roman" w:hAnsi="Times New Roman" w:eastAsia="宋体" w:cs="Times New Roman"/>
                <w:bCs/>
                <w:i w:val="0"/>
                <w:iCs w:val="0"/>
                <w:caps w:val="0"/>
                <w:color w:val="auto"/>
                <w:spacing w:val="0"/>
                <w:sz w:val="24"/>
                <w:szCs w:val="24"/>
                <w:shd w:val="clear" w:color="auto" w:fill="auto"/>
              </w:rPr>
              <w:t>对井场内废水进行严格的分类收集和处理，确保废水处理达标后再排放或回用</w:t>
            </w:r>
            <w:r>
              <w:rPr>
                <w:rFonts w:hint="default" w:ascii="Times New Roman" w:hAnsi="Times New Roman" w:eastAsia="宋体" w:cs="Times New Roman"/>
                <w:bCs/>
                <w:i w:val="0"/>
                <w:iCs w:val="0"/>
                <w:caps w:val="0"/>
                <w:color w:val="auto"/>
                <w:spacing w:val="0"/>
                <w:sz w:val="24"/>
                <w:szCs w:val="24"/>
                <w:shd w:val="clear" w:color="auto" w:fill="auto"/>
                <w:lang w:eastAsia="zh-CN"/>
              </w:rPr>
              <w:t>，</w:t>
            </w:r>
            <w:r>
              <w:rPr>
                <w:rFonts w:hint="default" w:ascii="Times New Roman" w:hAnsi="Times New Roman" w:eastAsia="宋体" w:cs="Times New Roman"/>
                <w:bCs/>
                <w:i w:val="0"/>
                <w:iCs w:val="0"/>
                <w:caps w:val="0"/>
                <w:color w:val="auto"/>
                <w:spacing w:val="0"/>
                <w:sz w:val="24"/>
                <w:szCs w:val="24"/>
                <w:shd w:val="clear" w:color="auto" w:fill="auto"/>
              </w:rPr>
              <w:t>加强对废水排放管道和储存设施的日常巡查和维护，防止泄漏事故发生</w:t>
            </w:r>
            <w:r>
              <w:rPr>
                <w:rFonts w:hint="eastAsia" w:ascii="Times New Roman" w:hAnsi="Times New Roman" w:eastAsia="宋体" w:cs="Times New Roman"/>
                <w:bCs/>
                <w:i w:val="0"/>
                <w:iCs w:val="0"/>
                <w:caps w:val="0"/>
                <w:color w:val="auto"/>
                <w:spacing w:val="0"/>
                <w:sz w:val="24"/>
                <w:szCs w:val="24"/>
                <w:shd w:val="clear" w:color="auto" w:fill="auto"/>
                <w:lang w:eastAsia="zh-CN"/>
              </w:rPr>
              <w:t>，</w:t>
            </w:r>
            <w:r>
              <w:rPr>
                <w:rFonts w:hint="eastAsia" w:ascii="Times New Roman" w:hAnsi="Times New Roman" w:eastAsia="宋体" w:cs="Times New Roman"/>
                <w:bCs/>
                <w:i w:val="0"/>
                <w:iCs w:val="0"/>
                <w:caps w:val="0"/>
                <w:color w:val="auto"/>
                <w:spacing w:val="0"/>
                <w:sz w:val="24"/>
                <w:szCs w:val="24"/>
                <w:shd w:val="clear" w:color="auto" w:fill="auto"/>
                <w:lang w:val="en-US" w:eastAsia="zh-CN"/>
              </w:rPr>
              <w:t>同时</w:t>
            </w:r>
            <w:r>
              <w:rPr>
                <w:rFonts w:hint="default" w:ascii="Times New Roman" w:hAnsi="Times New Roman" w:eastAsia="宋体" w:cs="Times New Roman"/>
                <w:bCs/>
                <w:i w:val="0"/>
                <w:iCs w:val="0"/>
                <w:caps w:val="0"/>
                <w:color w:val="auto"/>
                <w:spacing w:val="0"/>
                <w:sz w:val="24"/>
                <w:szCs w:val="24"/>
                <w:shd w:val="clear" w:color="auto" w:fill="auto"/>
              </w:rPr>
              <w:t>确保处理后废水的盐分含量符合排放标准。</w:t>
            </w:r>
          </w:p>
          <w:p w14:paraId="77493B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固体废物如废弃钻井液、岩屑等，在堆放过程中，经雨水淋溶，其中的盐分也会释放并进入土壤。特别是在干旱或半干旱地区，水分蒸发强烈，土壤中水分不断向上运移，会将深层盐分带到表层，进一步加重土壤盐渍化问题，严重影响井场及周边土壤的生态功能和后续土地利用。</w:t>
            </w:r>
            <w:r>
              <w:rPr>
                <w:rFonts w:hint="eastAsia" w:ascii="Times New Roman" w:hAnsi="Times New Roman" w:eastAsia="宋体" w:cs="Times New Roman"/>
                <w:bCs/>
                <w:color w:val="auto"/>
                <w:sz w:val="24"/>
                <w:lang w:val="en-US" w:eastAsia="zh-CN"/>
              </w:rPr>
              <w:t>将</w:t>
            </w:r>
            <w:r>
              <w:rPr>
                <w:rFonts w:hint="default" w:ascii="Times New Roman" w:hAnsi="Times New Roman" w:eastAsia="宋体" w:cs="Times New Roman"/>
                <w:bCs/>
                <w:i w:val="0"/>
                <w:iCs w:val="0"/>
                <w:caps w:val="0"/>
                <w:color w:val="auto"/>
                <w:spacing w:val="0"/>
                <w:sz w:val="24"/>
                <w:szCs w:val="24"/>
                <w:shd w:val="clear" w:color="auto" w:fill="auto"/>
              </w:rPr>
              <w:t>对固体废物实行分类储存和规范处置，设置专门的防雨、防渗储存场所，防止固体废物中的盐分等有害物质进入土壤。同时，建立土壤盐渍化预警机制，一旦发现土壤盐渍化趋势，及时采取土壤改良措施，如施用土壤调理剂、种植耐盐植物等，降低土壤盐渍化程度。</w:t>
            </w:r>
          </w:p>
          <w:p w14:paraId="38F8A61B">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eastAsia="zh-CN"/>
              </w:rPr>
            </w:pPr>
            <w:r>
              <w:rPr>
                <w:rFonts w:hint="eastAsia" w:ascii="Times New Roman" w:hAnsi="Times New Roman" w:cs="Times New Roman"/>
                <w:bCs/>
                <w:color w:val="auto"/>
                <w:sz w:val="24"/>
                <w:lang w:val="en-US" w:eastAsia="zh-CN"/>
              </w:rPr>
              <w:t>此</w:t>
            </w:r>
            <w:r>
              <w:rPr>
                <w:rFonts w:hint="eastAsia" w:ascii="Times New Roman" w:hAnsi="Times New Roman" w:eastAsia="宋体" w:cs="Times New Roman"/>
                <w:bCs/>
                <w:i w:val="0"/>
                <w:iCs w:val="0"/>
                <w:caps w:val="0"/>
                <w:color w:val="auto"/>
                <w:spacing w:val="0"/>
                <w:sz w:val="24"/>
                <w:szCs w:val="24"/>
                <w:shd w:val="clear" w:color="auto" w:fill="auto"/>
                <w:lang w:val="en-US" w:eastAsia="zh-CN"/>
              </w:rPr>
              <w:t>外，</w:t>
            </w:r>
            <w:r>
              <w:rPr>
                <w:rFonts w:hint="default" w:ascii="Times New Roman" w:hAnsi="Times New Roman" w:eastAsia="宋体" w:cs="Times New Roman"/>
                <w:bCs/>
                <w:i w:val="0"/>
                <w:iCs w:val="0"/>
                <w:caps w:val="0"/>
                <w:color w:val="auto"/>
                <w:spacing w:val="0"/>
                <w:sz w:val="24"/>
                <w:szCs w:val="24"/>
                <w:shd w:val="clear" w:color="auto" w:fill="auto"/>
              </w:rPr>
              <w:t>通过对</w:t>
            </w:r>
            <w:r>
              <w:rPr>
                <w:rFonts w:hint="default" w:ascii="Times New Roman" w:hAnsi="Times New Roman" w:eastAsia="宋体" w:cs="Times New Roman"/>
                <w:bCs/>
                <w:i w:val="0"/>
                <w:iCs w:val="0"/>
                <w:caps w:val="0"/>
                <w:color w:val="auto"/>
                <w:spacing w:val="0"/>
                <w:sz w:val="24"/>
                <w:szCs w:val="24"/>
                <w:shd w:val="clear" w:color="auto" w:fill="auto"/>
                <w:lang w:val="en-US" w:eastAsia="zh-CN"/>
              </w:rPr>
              <w:t>钻</w:t>
            </w:r>
            <w:r>
              <w:rPr>
                <w:rFonts w:hint="eastAsia" w:ascii="Times New Roman" w:hAnsi="Times New Roman" w:eastAsia="宋体" w:cs="Times New Roman"/>
                <w:bCs/>
                <w:i w:val="0"/>
                <w:iCs w:val="0"/>
                <w:caps w:val="0"/>
                <w:color w:val="auto"/>
                <w:spacing w:val="0"/>
                <w:sz w:val="24"/>
                <w:szCs w:val="24"/>
                <w:shd w:val="clear" w:color="auto" w:fill="auto"/>
                <w:lang w:val="en-US" w:eastAsia="zh-CN"/>
              </w:rPr>
              <w:t>井场后场的井架基础</w:t>
            </w:r>
            <w:r>
              <w:rPr>
                <w:rFonts w:hint="eastAsia" w:ascii="Times New Roman" w:hAnsi="Times New Roman" w:eastAsia="宋体" w:cs="Times New Roman"/>
                <w:bCs/>
                <w:i w:val="0"/>
                <w:iCs w:val="0"/>
                <w:caps w:val="0"/>
                <w:color w:val="auto"/>
                <w:spacing w:val="0"/>
                <w:sz w:val="24"/>
                <w:szCs w:val="24"/>
                <w:shd w:val="clear" w:color="auto" w:fill="auto"/>
              </w:rPr>
              <w:t>、泥浆泵基础</w:t>
            </w:r>
            <w:r>
              <w:rPr>
                <w:rFonts w:hint="eastAsia" w:ascii="Times New Roman" w:hAnsi="Times New Roman" w:eastAsia="宋体" w:cs="Times New Roman"/>
                <w:bCs/>
                <w:i w:val="0"/>
                <w:iCs w:val="0"/>
                <w:caps w:val="0"/>
                <w:color w:val="auto"/>
                <w:spacing w:val="0"/>
                <w:sz w:val="24"/>
                <w:szCs w:val="24"/>
                <w:shd w:val="clear" w:color="auto" w:fill="auto"/>
                <w:lang w:eastAsia="zh-CN"/>
              </w:rPr>
              <w:t>（</w:t>
            </w:r>
            <w:r>
              <w:rPr>
                <w:rFonts w:hint="eastAsia" w:ascii="Times New Roman" w:hAnsi="Times New Roman" w:eastAsia="宋体" w:cs="Times New Roman"/>
                <w:bCs/>
                <w:i w:val="0"/>
                <w:iCs w:val="0"/>
                <w:caps w:val="0"/>
                <w:color w:val="auto"/>
                <w:spacing w:val="0"/>
                <w:sz w:val="24"/>
                <w:szCs w:val="24"/>
                <w:shd w:val="clear" w:color="auto" w:fill="auto"/>
                <w:lang w:val="en-US" w:eastAsia="zh-CN"/>
              </w:rPr>
              <w:t>泵房基础</w:t>
            </w:r>
            <w:r>
              <w:rPr>
                <w:rFonts w:hint="eastAsia" w:ascii="Times New Roman" w:hAnsi="Times New Roman" w:eastAsia="宋体" w:cs="Times New Roman"/>
                <w:bCs/>
                <w:i w:val="0"/>
                <w:iCs w:val="0"/>
                <w:caps w:val="0"/>
                <w:color w:val="auto"/>
                <w:spacing w:val="0"/>
                <w:sz w:val="24"/>
                <w:szCs w:val="24"/>
                <w:shd w:val="clear" w:color="auto" w:fill="auto"/>
                <w:lang w:eastAsia="zh-CN"/>
              </w:rPr>
              <w:t>）</w:t>
            </w:r>
            <w:r>
              <w:rPr>
                <w:rFonts w:hint="eastAsia" w:ascii="Times New Roman" w:hAnsi="Times New Roman" w:eastAsia="宋体" w:cs="Times New Roman"/>
                <w:bCs/>
                <w:i w:val="0"/>
                <w:iCs w:val="0"/>
                <w:caps w:val="0"/>
                <w:color w:val="auto"/>
                <w:spacing w:val="0"/>
                <w:sz w:val="24"/>
                <w:szCs w:val="24"/>
                <w:shd w:val="clear" w:color="auto" w:fill="auto"/>
              </w:rPr>
              <w:t>、</w:t>
            </w:r>
            <w:r>
              <w:rPr>
                <w:rFonts w:hint="default" w:ascii="Times New Roman" w:hAnsi="Times New Roman" w:eastAsia="宋体" w:cs="Times New Roman"/>
                <w:bCs/>
                <w:i w:val="0"/>
                <w:iCs w:val="0"/>
                <w:caps w:val="0"/>
                <w:color w:val="auto"/>
                <w:spacing w:val="0"/>
                <w:sz w:val="24"/>
                <w:szCs w:val="24"/>
                <w:shd w:val="clear" w:color="auto" w:fill="auto"/>
              </w:rPr>
              <w:t>循环罐基础、储备罐基础（泥浆储备）、泥浆不落地基础（环保装置区）、机房基础（发电机房及高低压配电房基础）</w:t>
            </w:r>
            <w:r>
              <w:rPr>
                <w:rFonts w:hint="eastAsia" w:ascii="Times New Roman" w:hAnsi="Times New Roman" w:eastAsia="宋体" w:cs="Times New Roman"/>
                <w:bCs/>
                <w:i w:val="0"/>
                <w:iCs w:val="0"/>
                <w:caps w:val="0"/>
                <w:color w:val="auto"/>
                <w:spacing w:val="0"/>
                <w:sz w:val="24"/>
                <w:szCs w:val="24"/>
                <w:shd w:val="clear" w:color="auto" w:fill="auto"/>
                <w:lang w:val="en-US" w:eastAsia="zh-CN"/>
              </w:rPr>
              <w:t>、危废暂存间，井场外的油罐区、放喷池、污水池（多功能网格池组）、</w:t>
            </w:r>
            <w:r>
              <w:rPr>
                <w:rFonts w:hint="default" w:ascii="Times New Roman" w:hAnsi="Times New Roman" w:eastAsia="宋体" w:cs="Times New Roman"/>
                <w:color w:val="auto"/>
                <w:sz w:val="24"/>
                <w:szCs w:val="20"/>
                <w:lang w:val="en-US" w:eastAsia="zh-CN"/>
              </w:rPr>
              <w:t>危废暂存间</w:t>
            </w:r>
            <w:r>
              <w:rPr>
                <w:rFonts w:hint="eastAsia" w:ascii="Times New Roman" w:hAnsi="Times New Roman" w:eastAsia="宋体" w:cs="Times New Roman"/>
                <w:color w:val="auto"/>
                <w:sz w:val="24"/>
                <w:szCs w:val="20"/>
                <w:lang w:val="en-US" w:eastAsia="zh-CN"/>
              </w:rPr>
              <w:t>等</w:t>
            </w:r>
            <w:r>
              <w:rPr>
                <w:rFonts w:hint="default" w:ascii="Times New Roman" w:hAnsi="Times New Roman" w:eastAsia="宋体" w:cs="Times New Roman"/>
                <w:color w:val="auto"/>
                <w:kern w:val="0"/>
                <w:sz w:val="24"/>
                <w:szCs w:val="24"/>
              </w:rPr>
              <w:t>区域</w:t>
            </w:r>
            <w:r>
              <w:rPr>
                <w:rFonts w:hint="default" w:ascii="Times New Roman" w:hAnsi="Times New Roman" w:cs="Times New Roman"/>
                <w:color w:val="auto"/>
                <w:sz w:val="24"/>
                <w:szCs w:val="20"/>
              </w:rPr>
              <w:t>等</w:t>
            </w:r>
            <w:r>
              <w:rPr>
                <w:rFonts w:hint="default" w:ascii="Times New Roman" w:hAnsi="Times New Roman" w:cs="Times New Roman"/>
                <w:bCs/>
                <w:color w:val="auto"/>
                <w:sz w:val="24"/>
              </w:rPr>
              <w:t>产污单元</w:t>
            </w:r>
            <w:r>
              <w:rPr>
                <w:rFonts w:hint="default" w:ascii="Times New Roman" w:hAnsi="Times New Roman" w:cs="Times New Roman"/>
                <w:color w:val="auto"/>
                <w:sz w:val="24"/>
                <w:szCs w:val="20"/>
              </w:rPr>
              <w:t>区域采取重点防渗</w:t>
            </w:r>
            <w:r>
              <w:rPr>
                <w:rFonts w:hint="default" w:ascii="Times New Roman" w:hAnsi="Times New Roman" w:cs="Times New Roman"/>
                <w:bCs/>
                <w:color w:val="auto"/>
                <w:sz w:val="24"/>
              </w:rPr>
              <w:t>措施，钻井废水和钻井泥浆对土壤影响很小，散落的废水和钻井泥浆对井场内小部分区域的土壤产生较严重的破坏，但影响范围有限，可控制在井场范围内</w:t>
            </w:r>
            <w:r>
              <w:rPr>
                <w:rFonts w:hint="eastAsia" w:ascii="Times New Roman" w:hAnsi="Times New Roman" w:cs="Times New Roman"/>
                <w:bCs/>
                <w:color w:val="auto"/>
                <w:sz w:val="24"/>
                <w:lang w:eastAsia="zh-CN"/>
              </w:rPr>
              <w:t>。</w:t>
            </w:r>
          </w:p>
          <w:p w14:paraId="6ED39C2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因此，拟建项目在做好土壤环境保护措施后，正常情况下，对项目区及周边土壤环境影响较小，土壤中</w:t>
            </w:r>
            <w:r>
              <w:rPr>
                <w:rFonts w:hint="eastAsia" w:ascii="Times New Roman" w:hAnsi="Times New Roman" w:cs="Times New Roman"/>
                <w:bCs/>
                <w:color w:val="auto"/>
                <w:sz w:val="24"/>
                <w:lang w:eastAsia="zh-CN"/>
              </w:rPr>
              <w:t>各项</w:t>
            </w:r>
            <w:r>
              <w:rPr>
                <w:rFonts w:hint="default" w:ascii="Times New Roman" w:hAnsi="Times New Roman" w:cs="Times New Roman"/>
                <w:bCs/>
                <w:color w:val="auto"/>
                <w:sz w:val="24"/>
              </w:rPr>
              <w:t>指标均能满足《土壤环境质量建设用地土壤污染风险管控标准（试行）》（GB</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36600-2018）第二类用地筛选值</w:t>
            </w:r>
            <w:r>
              <w:rPr>
                <w:rFonts w:hint="default" w:ascii="Times New Roman" w:hAnsi="Times New Roman" w:cs="Times New Roman"/>
                <w:color w:val="auto"/>
                <w:sz w:val="24"/>
              </w:rPr>
              <w:t>要求</w:t>
            </w:r>
            <w:r>
              <w:rPr>
                <w:rFonts w:hint="eastAsia" w:ascii="Times New Roman" w:hAnsi="Times New Roman" w:cs="Times New Roman"/>
                <w:color w:val="auto"/>
                <w:sz w:val="24"/>
                <w:lang w:eastAsia="zh-CN"/>
              </w:rPr>
              <w:t>，</w:t>
            </w:r>
            <w:r>
              <w:rPr>
                <w:rFonts w:hint="default" w:ascii="Times New Roman" w:hAnsi="Times New Roman" w:cs="Times New Roman"/>
                <w:bCs/>
                <w:color w:val="auto"/>
                <w:sz w:val="24"/>
              </w:rPr>
              <w:t>对土壤环境的影响可接受。</w:t>
            </w:r>
          </w:p>
          <w:p w14:paraId="4109347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七</w:t>
            </w:r>
            <w:r>
              <w:rPr>
                <w:rFonts w:hint="default" w:ascii="Times New Roman" w:hAnsi="Times New Roman" w:cs="Times New Roman"/>
                <w:b/>
                <w:bCs/>
                <w:color w:val="auto"/>
                <w:sz w:val="24"/>
              </w:rPr>
              <w:t>、生态环境影响分析</w:t>
            </w:r>
          </w:p>
          <w:p w14:paraId="2C37E66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对生态环境的影响</w:t>
            </w:r>
          </w:p>
          <w:p w14:paraId="755A32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工程项目建设对生态环境的影响主要表现为项目占地使土地功能发生改变，导致粮食减产等。本项目均为临时占地，临时占地用地现状为农用地，现状调查时为种植</w:t>
            </w:r>
            <w:r>
              <w:rPr>
                <w:rFonts w:hint="eastAsia" w:cs="Times New Roman"/>
                <w:bCs/>
                <w:color w:val="auto"/>
                <w:kern w:val="0"/>
                <w:sz w:val="24"/>
                <w:lang w:val="en-US" w:eastAsia="zh-CN"/>
              </w:rPr>
              <w:t>连翘、</w:t>
            </w:r>
            <w:r>
              <w:rPr>
                <w:rFonts w:hint="default" w:ascii="Times New Roman" w:hAnsi="Times New Roman" w:cs="Times New Roman"/>
                <w:bCs/>
                <w:color w:val="auto"/>
                <w:kern w:val="0"/>
                <w:sz w:val="24"/>
              </w:rPr>
              <w:t>季节性蔬菜、</w:t>
            </w:r>
            <w:r>
              <w:rPr>
                <w:rFonts w:hint="eastAsia" w:cs="Times New Roman"/>
                <w:bCs/>
                <w:color w:val="auto"/>
                <w:kern w:val="0"/>
                <w:sz w:val="24"/>
                <w:lang w:val="en-US" w:eastAsia="zh-CN"/>
              </w:rPr>
              <w:t>玉米</w:t>
            </w:r>
            <w:r>
              <w:rPr>
                <w:rFonts w:hint="default" w:ascii="Times New Roman" w:hAnsi="Times New Roman" w:cs="Times New Roman"/>
                <w:bCs/>
                <w:color w:val="auto"/>
                <w:kern w:val="0"/>
                <w:sz w:val="24"/>
              </w:rPr>
              <w:t>的耕地，短期内改变土地利用性质，工程结束后即对临时占用的土地进行恢复，新增占用时间短，对当地土地资源的影响较小。对于工程的占地，建设方应按照国家相关法律法规办理土地征用手续。项目建设完毕后，在临时用地范围内进行恢复种植（通过经济补偿方式，一次性给予受损害方，由他们进行恢复种植），不会造成项目占用区域植被的减少，对生态环境影响较小。</w:t>
            </w:r>
          </w:p>
          <w:p w14:paraId="203C52D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kern w:val="0"/>
                <w:sz w:val="24"/>
              </w:rPr>
              <w:t>在清理井场和放喷池周围植被时，可能会临时破坏一定的植被，但破坏面积小，在钻井过程中只是清除地表较高易燃的植被，不会破坏植物根系，在钻井放喷结束后，</w:t>
            </w:r>
            <w:r>
              <w:rPr>
                <w:rFonts w:hint="default" w:ascii="Times New Roman" w:hAnsi="Times New Roman" w:cs="Times New Roman"/>
                <w:bCs/>
                <w:color w:val="auto"/>
                <w:sz w:val="24"/>
              </w:rPr>
              <w:t>即可较易</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实现生态恢复，对生态环境影响有限。</w:t>
            </w:r>
          </w:p>
          <w:p w14:paraId="776129BB">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对基本农田的影响分析</w:t>
            </w:r>
          </w:p>
          <w:p w14:paraId="58983D4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项目施工前对场地内的表土进行单独剥离，堆放。表土场</w:t>
            </w:r>
            <w:r>
              <w:rPr>
                <w:rFonts w:hint="default" w:ascii="Times New Roman" w:hAnsi="Times New Roman" w:cs="Times New Roman"/>
                <w:bCs/>
                <w:color w:val="auto"/>
                <w:sz w:val="24"/>
              </w:rPr>
              <w:t>四周设置草袋土挡墙，并夯压整形，顶部保持平缓坡度以利于排水，</w:t>
            </w:r>
            <w:r>
              <w:rPr>
                <w:rFonts w:hint="default" w:ascii="Times New Roman" w:hAnsi="Times New Roman" w:cs="Times New Roman"/>
                <w:bCs/>
                <w:color w:val="auto"/>
                <w:kern w:val="0"/>
                <w:sz w:val="24"/>
              </w:rPr>
              <w:t>表土场</w:t>
            </w:r>
            <w:r>
              <w:rPr>
                <w:rFonts w:hint="default" w:ascii="Times New Roman" w:hAnsi="Times New Roman" w:cs="Times New Roman"/>
                <w:bCs/>
                <w:color w:val="auto"/>
                <w:sz w:val="24"/>
              </w:rPr>
              <w:t>设置临时截、排水沟和沉沙池，土堆表面采用密目网进行临时苫盖，施工结束后用于临时占地的复耕复种表土，恢复临时占用耕地的生产力。项目用地结束后，对临时占地进行土地整治，按照基本农田的复垦要求对临时占用的基本农田实施土地复垦，恢复其使用功能。</w:t>
            </w:r>
            <w:r>
              <w:rPr>
                <w:rFonts w:hint="default" w:ascii="Times New Roman" w:hAnsi="Times New Roman" w:cs="Times New Roman"/>
                <w:bCs/>
                <w:color w:val="auto"/>
                <w:kern w:val="0"/>
                <w:sz w:val="24"/>
              </w:rPr>
              <w:t>采取措施后，工程项目占用基本农田面积较少，新增占地时间短，对基本农田的影响是可接受的。</w:t>
            </w:r>
          </w:p>
          <w:p w14:paraId="5D00570B">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eastAsia" w:ascii="Times New Roman" w:hAnsi="Times New Roman" w:cs="Times New Roman"/>
                <w:b/>
                <w:bCs w:val="0"/>
                <w:color w:val="auto"/>
                <w:sz w:val="24"/>
              </w:rPr>
              <w:t>3</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生态景观影响分析</w:t>
            </w:r>
          </w:p>
          <w:p w14:paraId="283F44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施工期对景观的主要影响是临时占地占用现有斑块，临时占地会因为地表植被不同程度的破坏，在短期内成为与原有生态景观不协调的“裸地”或“疮疤”斑块，对整体生态景观形成不和谐的视觉效果，造成一定的不利影响。评价区属于农村地区，临时占地现状为农用地，主要植被为农作物，以季节性蔬菜等生长植物为主，项目的建设对植被的破坏有限。评价区无景观资源分布，敏感度低，且临时占地时间短，易于恢复，在进行临时占地的植被恢复后，其不利影响就可以得到有效缓解甚至消除。</w:t>
            </w:r>
          </w:p>
          <w:p w14:paraId="4384248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eastAsia" w:ascii="Times New Roman" w:hAnsi="Times New Roman" w:cs="Times New Roman"/>
                <w:b/>
                <w:bCs w:val="0"/>
                <w:color w:val="auto"/>
                <w:sz w:val="24"/>
              </w:rPr>
              <w:t>4</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水土流失影响分析</w:t>
            </w:r>
          </w:p>
          <w:p w14:paraId="0D79EC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本工程水土流失主要可能发生在钻前施工期间，影响土壤环境的因素主要是井场建设、放喷池建设等，在此期间会对所征用土地上的植被进行清除。植被的清除使地表裸露，可能引起水土流失。同时，因开挖的土石方临时就近堆放，防护措施不当也会引起水土流失。项目通过采取修建排水沟、沉砂池，严格按要求进行施工等措施，有效控制了水土流失量。施工结束后，通过对施工迹地地表植被的恢复和耕作，水土流失将得到有效控制。</w:t>
            </w:r>
          </w:p>
          <w:p w14:paraId="5E2B3EA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在项目实施过程中应采取如下水土流失防治措施：</w:t>
            </w:r>
          </w:p>
          <w:p w14:paraId="449630B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①在施工过程中要合理安排施工进度，施工要避开雨季和大风天，土石方开挖尽量做到随挖随填，减少土石方</w:t>
            </w:r>
            <w:r>
              <w:rPr>
                <w:rFonts w:hint="eastAsia" w:ascii="Times New Roman" w:hAnsi="Times New Roman" w:cs="Times New Roman"/>
                <w:bCs/>
                <w:color w:val="auto"/>
                <w:kern w:val="0"/>
                <w:sz w:val="24"/>
                <w:lang w:eastAsia="zh-CN"/>
              </w:rPr>
              <w:t>在场内</w:t>
            </w:r>
            <w:r>
              <w:rPr>
                <w:rFonts w:hint="default" w:ascii="Times New Roman" w:hAnsi="Times New Roman" w:cs="Times New Roman"/>
                <w:bCs/>
                <w:color w:val="auto"/>
                <w:kern w:val="0"/>
                <w:sz w:val="24"/>
              </w:rPr>
              <w:t>的临时堆放，尽量不留疏松地面，减少风蚀导致的水土流失。</w:t>
            </w:r>
            <w:r>
              <w:rPr>
                <w:rFonts w:hint="default" w:ascii="Times New Roman" w:hAnsi="Times New Roman" w:cs="Times New Roman"/>
                <w:color w:val="auto"/>
                <w:sz w:val="24"/>
              </w:rPr>
              <w:t>施工现场采用防雨布、密目网等对现挖松散堆土及开挖裸露面进行临时苫盖，保证有效控制水土流失。</w:t>
            </w:r>
          </w:p>
          <w:p w14:paraId="538D0D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②划定施工作业范围和路线，不得随意扩大，按规定操作。严格控制和管理运输车辆及重型机械施工作业范围，尽可能减少对土壤和农作物的破坏以及由此引发的水土流失。</w:t>
            </w:r>
          </w:p>
          <w:p w14:paraId="2153AD7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总之，工程项目占地较小，新增占地时间短，对生态环境的影响是可接受的。通过采取经济补偿等措施后，对当地农民生活质量的影响是可接受的，对当地生态环境的影响是有限的。</w:t>
            </w:r>
          </w:p>
          <w:p w14:paraId="709CFC1D">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val="0"/>
                <w:color w:val="auto"/>
                <w:kern w:val="0"/>
                <w:sz w:val="24"/>
              </w:rPr>
            </w:pPr>
            <w:r>
              <w:rPr>
                <w:rFonts w:hint="eastAsia" w:ascii="Times New Roman" w:hAnsi="Times New Roman" w:cs="Times New Roman"/>
                <w:b/>
                <w:bCs w:val="0"/>
                <w:color w:val="auto"/>
                <w:kern w:val="0"/>
                <w:sz w:val="24"/>
              </w:rPr>
              <w:t>5</w:t>
            </w:r>
            <w:r>
              <w:rPr>
                <w:rFonts w:hint="eastAsia" w:ascii="Times New Roman" w:hAnsi="Times New Roman" w:cs="Times New Roman"/>
                <w:b/>
                <w:bCs w:val="0"/>
                <w:color w:val="auto"/>
                <w:kern w:val="0"/>
                <w:sz w:val="24"/>
                <w:lang w:eastAsia="zh-CN"/>
              </w:rPr>
              <w:t>、</w:t>
            </w:r>
            <w:r>
              <w:rPr>
                <w:rFonts w:hint="eastAsia" w:ascii="Times New Roman" w:hAnsi="Times New Roman" w:cs="Times New Roman"/>
                <w:b/>
                <w:bCs w:val="0"/>
                <w:color w:val="auto"/>
                <w:kern w:val="0"/>
                <w:sz w:val="24"/>
              </w:rPr>
              <w:t>测试放喷对生态环境的影响分析</w:t>
            </w:r>
          </w:p>
          <w:p w14:paraId="67950B6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钻井测试放喷对生态环境的影响主要是放喷产生的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热辐射对生态的影响。测试放喷天然气燃烧产生的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热辐射影响，可能灼伤放喷点周围20~50m范围的农作物。天然气测试放喷在专门的燃烧池中点火放喷，燃烧池是由三面</w:t>
            </w:r>
            <w:r>
              <w:rPr>
                <w:rFonts w:hint="eastAsia" w:ascii="Times New Roman" w:hAnsi="Times New Roman" w:cs="Times New Roman"/>
                <w:bCs/>
                <w:color w:val="auto"/>
                <w:kern w:val="0"/>
                <w:sz w:val="24"/>
                <w:lang w:val="en-US" w:eastAsia="zh-CN"/>
              </w:rPr>
              <w:t>3</w:t>
            </w:r>
            <w:r>
              <w:rPr>
                <w:rFonts w:hint="default" w:ascii="Times New Roman" w:hAnsi="Times New Roman" w:cs="Times New Roman"/>
                <w:bCs/>
                <w:color w:val="auto"/>
                <w:kern w:val="0"/>
                <w:sz w:val="24"/>
              </w:rPr>
              <w:t>.5m高的砖墙组成，采用燃烧池放喷，可以有效</w:t>
            </w:r>
            <w:r>
              <w:rPr>
                <w:rFonts w:hint="eastAsia" w:ascii="Times New Roman" w:hAnsi="Times New Roman" w:cs="Times New Roman"/>
                <w:bCs/>
                <w:color w:val="auto"/>
                <w:kern w:val="0"/>
                <w:sz w:val="24"/>
                <w:lang w:eastAsia="zh-CN"/>
              </w:rPr>
              <w:t>减少</w:t>
            </w:r>
            <w:r>
              <w:rPr>
                <w:rFonts w:hint="default" w:ascii="Times New Roman" w:hAnsi="Times New Roman" w:cs="Times New Roman"/>
                <w:bCs/>
                <w:color w:val="auto"/>
                <w:kern w:val="0"/>
                <w:sz w:val="24"/>
              </w:rPr>
              <w:t>放喷天然气燃烧产生的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热辐射对测试区周围的土壤和植被的灼伤。综上，总体放喷对生态环境影响小，测试放喷应对受损的农作物采取补偿措施，后期可逐步恢复。</w:t>
            </w:r>
          </w:p>
          <w:p w14:paraId="3301519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八</w:t>
            </w:r>
            <w:r>
              <w:rPr>
                <w:rFonts w:hint="default" w:ascii="Times New Roman" w:hAnsi="Times New Roman" w:cs="Times New Roman"/>
                <w:b/>
                <w:bCs/>
                <w:color w:val="auto"/>
                <w:sz w:val="24"/>
              </w:rPr>
              <w:t>、固体废弃物影响分析</w:t>
            </w:r>
          </w:p>
          <w:p w14:paraId="6B5DDA2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本项目钻井过程中产生的固废主要有</w:t>
            </w:r>
            <w:r>
              <w:rPr>
                <w:rFonts w:hint="eastAsia" w:ascii="Times New Roman" w:hAnsi="Times New Roman" w:cs="Times New Roman"/>
                <w:bCs/>
                <w:color w:val="auto"/>
                <w:sz w:val="24"/>
              </w:rPr>
              <w:t>钻井固废（钻井岩屑、废钻井泥浆）、沉淀污泥、废油、含油污染物、生活垃圾和废包装材料</w:t>
            </w:r>
            <w:r>
              <w:rPr>
                <w:rFonts w:hint="default" w:ascii="Times New Roman" w:hAnsi="Times New Roman" w:cs="Times New Roman"/>
                <w:bCs/>
                <w:color w:val="auto"/>
                <w:sz w:val="24"/>
              </w:rPr>
              <w:t>。</w:t>
            </w:r>
          </w:p>
          <w:p w14:paraId="29BD082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钻井固废（钻井岩屑和废钻井泥浆）</w:t>
            </w:r>
          </w:p>
          <w:p w14:paraId="570A10DD">
            <w:pPr>
              <w:keepNext w:val="0"/>
              <w:keepLines w:val="0"/>
              <w:suppressLineNumbers w:val="0"/>
              <w:spacing w:before="0" w:beforeAutospacing="0" w:after="0" w:afterAutospacing="0" w:line="360" w:lineRule="auto"/>
              <w:ind w:left="0" w:right="0" w:firstLine="482" w:firstLineChars="200"/>
              <w:jc w:val="left"/>
              <w:rPr>
                <w:rFonts w:hint="eastAsia" w:ascii="宋体" w:hAnsi="宋体" w:eastAsia="宋体" w:cs="Times New Roman"/>
                <w:bCs/>
                <w:color w:val="auto"/>
                <w:sz w:val="24"/>
                <w:highlight w:val="none"/>
                <w:lang w:eastAsia="zh-CN"/>
              </w:rPr>
            </w:pPr>
            <w:r>
              <w:rPr>
                <w:rFonts w:hint="eastAsia" w:ascii="宋体" w:hAnsi="宋体" w:cs="Times New Roman"/>
                <w:b/>
                <w:color w:val="auto"/>
                <w:sz w:val="24"/>
              </w:rPr>
              <w:t>判定依据：</w:t>
            </w:r>
            <w:r>
              <w:rPr>
                <w:rFonts w:hint="eastAsia" w:ascii="宋体" w:hAnsi="宋体" w:eastAsia="宋体" w:cs="Times New Roman"/>
                <w:bCs/>
                <w:color w:val="auto"/>
                <w:sz w:val="24"/>
                <w:highlight w:val="none"/>
              </w:rPr>
              <w:t>根据生态环境部</w:t>
            </w:r>
            <w:r>
              <w:rPr>
                <w:rFonts w:hint="eastAsia" w:ascii="Times New Roman" w:hAnsi="Times New Roman" w:cs="Times New Roman"/>
                <w:bCs/>
                <w:color w:val="auto"/>
                <w:sz w:val="24"/>
                <w:highlight w:val="none"/>
                <w:lang w:eastAsia="zh-CN"/>
              </w:rPr>
              <w:t>2026年1月9日</w:t>
            </w:r>
            <w:r>
              <w:rPr>
                <w:rFonts w:hint="eastAsia" w:ascii="宋体" w:hAnsi="宋体" w:eastAsia="宋体" w:cs="Times New Roman"/>
                <w:bCs/>
                <w:color w:val="auto"/>
                <w:sz w:val="24"/>
                <w:highlight w:val="none"/>
              </w:rPr>
              <w:t>印发的《危险废物排除管理清单（</w:t>
            </w:r>
            <w:r>
              <w:rPr>
                <w:rFonts w:hint="default" w:ascii="Times New Roman" w:hAnsi="Times New Roman" w:eastAsia="宋体" w:cs="Times New Roman"/>
                <w:bCs/>
                <w:color w:val="auto"/>
                <w:sz w:val="24"/>
                <w:highlight w:val="none"/>
              </w:rPr>
              <w:t>20</w:t>
            </w:r>
            <w:r>
              <w:rPr>
                <w:rFonts w:hint="eastAsia" w:ascii="Times New Roman" w:hAnsi="Times New Roman" w:cs="Times New Roman"/>
                <w:bCs/>
                <w:color w:val="auto"/>
                <w:sz w:val="24"/>
                <w:highlight w:val="none"/>
                <w:lang w:val="en-US" w:eastAsia="zh-CN"/>
              </w:rPr>
              <w:t>26</w:t>
            </w:r>
            <w:r>
              <w:rPr>
                <w:rFonts w:hint="eastAsia" w:ascii="宋体" w:hAnsi="宋体" w:eastAsia="宋体" w:cs="Times New Roman"/>
                <w:bCs/>
                <w:color w:val="auto"/>
                <w:sz w:val="24"/>
                <w:highlight w:val="none"/>
              </w:rPr>
              <w:t>年版）》</w:t>
            </w:r>
            <w:r>
              <w:rPr>
                <w:rFonts w:hint="eastAsia" w:ascii="宋体" w:hAnsi="宋体" w:cs="Times New Roman"/>
                <w:bCs/>
                <w:color w:val="auto"/>
                <w:sz w:val="24"/>
                <w:highlight w:val="none"/>
                <w:lang w:val="en-US" w:eastAsia="zh-CN"/>
              </w:rPr>
              <w:t>中：废弃水基钻井泥浆及岩屑，即</w:t>
            </w:r>
            <w:r>
              <w:rPr>
                <w:rFonts w:hint="eastAsia" w:ascii="宋体" w:hAnsi="宋体" w:eastAsia="宋体" w:cs="Times New Roman"/>
                <w:bCs/>
                <w:color w:val="auto"/>
                <w:sz w:val="24"/>
                <w:highlight w:val="none"/>
                <w:lang w:eastAsia="zh-CN"/>
              </w:rPr>
              <w:t>石油和天然气开采过程中，使用清水、聚合物钻井泥浆（未加入沥青类药剂和液体润滑剂类药剂）钻井时产生的废弃钻井泥浆和岩屑，或者使用聚合物、聚磺/磺化泥浆钻井时随钻破胶压滤系统产生的废弃钻井岩屑（压滤泥饼）</w:t>
            </w:r>
            <w:r>
              <w:rPr>
                <w:rFonts w:hint="eastAsia" w:ascii="宋体" w:hAnsi="宋体" w:cs="Times New Roman"/>
                <w:bCs/>
                <w:color w:val="auto"/>
                <w:sz w:val="24"/>
                <w:highlight w:val="none"/>
                <w:lang w:eastAsia="zh-CN"/>
              </w:rPr>
              <w:t>，</w:t>
            </w:r>
            <w:r>
              <w:rPr>
                <w:rFonts w:hint="eastAsia" w:ascii="宋体" w:hAnsi="宋体" w:cs="Times New Roman"/>
                <w:bCs/>
                <w:color w:val="auto"/>
                <w:sz w:val="24"/>
                <w:highlight w:val="none"/>
                <w:lang w:val="en-US" w:eastAsia="zh-CN"/>
              </w:rPr>
              <w:t>不属于危险废物</w:t>
            </w:r>
            <w:r>
              <w:rPr>
                <w:rFonts w:hint="eastAsia" w:ascii="宋体" w:hAnsi="宋体" w:eastAsia="宋体" w:cs="Times New Roman"/>
                <w:bCs/>
                <w:color w:val="auto"/>
                <w:sz w:val="24"/>
                <w:highlight w:val="none"/>
                <w:lang w:eastAsia="zh-CN"/>
              </w:rPr>
              <w:t>。</w:t>
            </w:r>
          </w:p>
          <w:p w14:paraId="630EBE34">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根据</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固体废物分类与代码目录</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（公告2024年第4号）</w:t>
            </w:r>
            <w:r>
              <w:rPr>
                <w:rFonts w:hint="eastAsia" w:ascii="宋体" w:hAnsi="宋体" w:cs="Times New Roman"/>
                <w:bCs/>
                <w:color w:val="auto"/>
                <w:sz w:val="24"/>
              </w:rPr>
              <w:t>，水基钻井岩屑和废钻井泥浆等均属于天然气开采过程中产生的工业固体废物，属于名录中的</w:t>
            </w:r>
            <w:r>
              <w:rPr>
                <w:rFonts w:hint="default" w:ascii="Times New Roman" w:hAnsi="Times New Roman" w:cs="Times New Roman"/>
                <w:bCs/>
                <w:color w:val="auto"/>
                <w:sz w:val="24"/>
              </w:rPr>
              <w:t>S</w:t>
            </w:r>
            <w:r>
              <w:rPr>
                <w:rFonts w:hint="default" w:ascii="Times New Roman" w:hAnsi="Times New Roman" w:cs="Times New Roman"/>
                <w:color w:val="auto"/>
                <w:sz w:val="24"/>
              </w:rPr>
              <w:t>W12</w:t>
            </w:r>
            <w:r>
              <w:rPr>
                <w:rFonts w:hint="eastAsia" w:ascii="宋体" w:hAnsi="宋体" w:cs="宋体"/>
                <w:color w:val="auto"/>
                <w:sz w:val="24"/>
              </w:rPr>
              <w:t>/</w:t>
            </w:r>
            <w:r>
              <w:rPr>
                <w:rFonts w:hint="eastAsia" w:ascii="Times New Roman" w:hAnsi="Times New Roman" w:cs="Times New Roman"/>
                <w:bCs/>
                <w:color w:val="auto"/>
                <w:sz w:val="24"/>
              </w:rPr>
              <w:t>072-001-S12</w:t>
            </w:r>
            <w:r>
              <w:rPr>
                <w:rFonts w:hint="eastAsia" w:ascii="宋体" w:hAnsi="宋体" w:cs="Times New Roman"/>
                <w:bCs/>
                <w:color w:val="auto"/>
                <w:sz w:val="24"/>
              </w:rPr>
              <w:t>工业固体废物。</w:t>
            </w:r>
          </w:p>
          <w:p w14:paraId="6555502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Cs/>
                <w:color w:val="auto"/>
                <w:sz w:val="24"/>
              </w:rPr>
            </w:pPr>
            <w:r>
              <w:rPr>
                <w:rFonts w:hint="eastAsia" w:ascii="Times New Roman" w:hAnsi="Times New Roman" w:cs="Times New Roman"/>
                <w:b/>
                <w:bCs/>
                <w:color w:val="auto"/>
                <w:sz w:val="24"/>
              </w:rPr>
              <w:t>①</w:t>
            </w:r>
            <w:r>
              <w:rPr>
                <w:rFonts w:hint="default" w:ascii="Times New Roman" w:hAnsi="Times New Roman" w:cs="Times New Roman"/>
                <w:b/>
                <w:bCs/>
                <w:color w:val="auto"/>
                <w:sz w:val="24"/>
              </w:rPr>
              <w:t>钻井岩屑：</w:t>
            </w:r>
            <w:r>
              <w:rPr>
                <w:rFonts w:hint="default" w:ascii="Times New Roman" w:hAnsi="Times New Roman" w:cs="Times New Roman"/>
                <w:bCs/>
                <w:color w:val="auto"/>
                <w:sz w:val="24"/>
              </w:rPr>
              <w:t>钻井岩屑量理论公式按照下式计算：</w:t>
            </w:r>
          </w:p>
          <w:p w14:paraId="7FAAF90E">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Cs/>
                <w:i/>
                <w:iCs/>
                <w:color w:val="auto"/>
                <w:sz w:val="24"/>
              </w:rPr>
            </w:pPr>
            <w:r>
              <w:rPr>
                <w:rFonts w:hint="default" w:ascii="Times New Roman" w:hAnsi="Times New Roman" w:cs="Times New Roman"/>
                <w:bCs/>
                <w:i/>
                <w:iCs/>
                <w:color w:val="auto"/>
                <w:sz w:val="24"/>
              </w:rPr>
              <w:t>W=πD²hd/4</w:t>
            </w:r>
          </w:p>
          <w:p w14:paraId="6D1A969F">
            <w:pPr>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sz w:val="24"/>
              </w:rPr>
            </w:pPr>
            <w:r>
              <w:rPr>
                <w:rFonts w:hint="default" w:ascii="Times New Roman" w:hAnsi="Times New Roman" w:cs="Times New Roman"/>
                <w:bCs/>
                <w:color w:val="auto"/>
                <w:sz w:val="24"/>
              </w:rPr>
              <w:t>其中，W</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井场岩屑产生量，t（从最不利角度，不考虑岩屑进入钻井泥浆的量）</w:t>
            </w:r>
          </w:p>
          <w:p w14:paraId="48EF70C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钻井直径，m</w:t>
            </w:r>
          </w:p>
          <w:p w14:paraId="7205E724">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h</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钻井深度，m</w:t>
            </w:r>
          </w:p>
          <w:p w14:paraId="6279055F">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岩石密度，t/m³</w:t>
            </w:r>
          </w:p>
          <w:p w14:paraId="38672B6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钻井岩屑产生量计算一览表</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lang w:val="en-US" w:eastAsia="zh-CN"/>
              </w:rPr>
              <w:t>干基</w:t>
            </w:r>
            <w:r>
              <w:rPr>
                <w:rFonts w:hint="eastAsia" w:ascii="Times New Roman" w:hAnsi="Times New Roman" w:eastAsia="宋体" w:cs="Times New Roman"/>
                <w:b/>
                <w:color w:val="auto"/>
                <w:lang w:eastAsia="zh-CN"/>
              </w:rPr>
              <w:t>）</w:t>
            </w:r>
          </w:p>
          <w:tbl>
            <w:tblPr>
              <w:tblStyle w:val="23"/>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8"/>
              <w:gridCol w:w="1790"/>
              <w:gridCol w:w="1456"/>
              <w:gridCol w:w="1224"/>
              <w:gridCol w:w="1810"/>
            </w:tblGrid>
            <w:tr w14:paraId="2556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tcBorders>
                    <w:tl2br w:val="single" w:color="auto" w:sz="4" w:space="0"/>
                  </w:tcBorders>
                  <w:noWrap w:val="0"/>
                  <w:vAlign w:val="center"/>
                </w:tcPr>
                <w:p w14:paraId="7277A3DC">
                  <w:pPr>
                    <w:pStyle w:val="55"/>
                    <w:keepNext w:val="0"/>
                    <w:keepLines w:val="0"/>
                    <w:suppressLineNumbers w:val="0"/>
                    <w:spacing w:before="0" w:beforeAutospacing="0" w:after="0" w:afterAutospacing="0"/>
                    <w:ind w:left="0" w:right="0"/>
                    <w:jc w:val="right"/>
                    <w:rPr>
                      <w:rFonts w:ascii="Times New Roman" w:hAnsi="Times New Roman" w:cs="Times New Roman"/>
                      <w:b/>
                      <w:bCs/>
                      <w:color w:val="auto"/>
                    </w:rPr>
                  </w:pPr>
                  <w:r>
                    <w:rPr>
                      <w:rFonts w:ascii="Times New Roman" w:hAnsi="Times New Roman" w:cs="Times New Roman"/>
                      <w:b/>
                      <w:bCs/>
                      <w:color w:val="auto"/>
                    </w:rPr>
                    <w:t>参数</w:t>
                  </w:r>
                </w:p>
                <w:p w14:paraId="747AFC50">
                  <w:pPr>
                    <w:pStyle w:val="55"/>
                    <w:keepNext w:val="0"/>
                    <w:keepLines w:val="0"/>
                    <w:suppressLineNumbers w:val="0"/>
                    <w:spacing w:before="0" w:beforeAutospacing="0" w:after="0" w:afterAutospacing="0"/>
                    <w:ind w:left="0" w:right="0"/>
                    <w:jc w:val="left"/>
                    <w:rPr>
                      <w:rFonts w:ascii="Times New Roman" w:hAnsi="Times New Roman" w:cs="Times New Roman"/>
                      <w:b/>
                      <w:bCs/>
                      <w:color w:val="auto"/>
                    </w:rPr>
                  </w:pPr>
                  <w:r>
                    <w:rPr>
                      <w:rFonts w:ascii="Times New Roman" w:hAnsi="Times New Roman" w:cs="Times New Roman"/>
                      <w:b/>
                      <w:bCs/>
                      <w:color w:val="auto"/>
                    </w:rPr>
                    <w:t>开钻次数</w:t>
                  </w:r>
                </w:p>
              </w:tc>
              <w:tc>
                <w:tcPr>
                  <w:tcW w:w="1056" w:type="pct"/>
                  <w:noWrap w:val="0"/>
                  <w:vAlign w:val="center"/>
                </w:tcPr>
                <w:p w14:paraId="0262A6AA">
                  <w:pPr>
                    <w:pStyle w:val="55"/>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岩屑产生量</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t</w:t>
                  </w:r>
                  <w:r>
                    <w:rPr>
                      <w:rFonts w:hint="eastAsia" w:ascii="Times New Roman" w:hAnsi="Times New Roman" w:eastAsia="宋体" w:cs="Times New Roman"/>
                      <w:b/>
                      <w:bCs/>
                      <w:color w:val="auto"/>
                      <w:lang w:eastAsia="zh-CN"/>
                    </w:rPr>
                    <w:t>）</w:t>
                  </w:r>
                </w:p>
              </w:tc>
              <w:tc>
                <w:tcPr>
                  <w:tcW w:w="859" w:type="pct"/>
                  <w:noWrap w:val="0"/>
                  <w:vAlign w:val="center"/>
                </w:tcPr>
                <w:p w14:paraId="5E471929">
                  <w:pPr>
                    <w:pStyle w:val="55"/>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井直径</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m</w:t>
                  </w:r>
                  <w:r>
                    <w:rPr>
                      <w:rFonts w:hint="eastAsia" w:ascii="Times New Roman" w:hAnsi="Times New Roman" w:eastAsia="宋体" w:cs="Times New Roman"/>
                      <w:b/>
                      <w:bCs/>
                      <w:color w:val="auto"/>
                      <w:lang w:eastAsia="zh-CN"/>
                    </w:rPr>
                    <w:t>）</w:t>
                  </w:r>
                </w:p>
              </w:tc>
              <w:tc>
                <w:tcPr>
                  <w:tcW w:w="722" w:type="pct"/>
                  <w:noWrap w:val="0"/>
                  <w:vAlign w:val="center"/>
                </w:tcPr>
                <w:p w14:paraId="79023F73">
                  <w:pPr>
                    <w:pStyle w:val="55"/>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井深</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m</w:t>
                  </w:r>
                  <w:r>
                    <w:rPr>
                      <w:rFonts w:hint="eastAsia" w:ascii="Times New Roman" w:hAnsi="Times New Roman" w:eastAsia="宋体" w:cs="Times New Roman"/>
                      <w:b/>
                      <w:bCs/>
                      <w:color w:val="auto"/>
                      <w:lang w:eastAsia="zh-CN"/>
                    </w:rPr>
                    <w:t>）</w:t>
                  </w:r>
                </w:p>
              </w:tc>
              <w:tc>
                <w:tcPr>
                  <w:tcW w:w="1068" w:type="pct"/>
                  <w:noWrap w:val="0"/>
                  <w:vAlign w:val="center"/>
                </w:tcPr>
                <w:p w14:paraId="36171955">
                  <w:pPr>
                    <w:pStyle w:val="55"/>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密度</w:t>
                  </w:r>
                  <w:r>
                    <w:rPr>
                      <w:rFonts w:hint="eastAsia" w:ascii="Times New Roman" w:hAnsi="Times New Roman" w:eastAsia="宋体" w:cs="Times New Roman"/>
                      <w:b/>
                      <w:bCs/>
                      <w:color w:val="auto"/>
                      <w:lang w:eastAsia="zh-CN"/>
                    </w:rPr>
                    <w:t>（</w:t>
                  </w:r>
                  <w:r>
                    <w:rPr>
                      <w:rFonts w:ascii="Times New Roman" w:hAnsi="Times New Roman" w:cs="Times New Roman"/>
                      <w:b/>
                      <w:bCs/>
                      <w:color w:val="auto"/>
                    </w:rPr>
                    <w:t>t/m³</w:t>
                  </w:r>
                  <w:r>
                    <w:rPr>
                      <w:rFonts w:hint="eastAsia" w:ascii="Times New Roman" w:hAnsi="Times New Roman" w:eastAsia="宋体" w:cs="Times New Roman"/>
                      <w:b/>
                      <w:bCs/>
                      <w:color w:val="auto"/>
                      <w:lang w:eastAsia="zh-CN"/>
                    </w:rPr>
                    <w:t>）</w:t>
                  </w:r>
                </w:p>
              </w:tc>
            </w:tr>
            <w:tr w14:paraId="118D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8BA132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导管</w:t>
                  </w:r>
                </w:p>
              </w:tc>
              <w:tc>
                <w:tcPr>
                  <w:tcW w:w="1056" w:type="pct"/>
                  <w:noWrap w:val="0"/>
                  <w:vAlign w:val="center"/>
                </w:tcPr>
                <w:p w14:paraId="59E2114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25.1</w:t>
                  </w:r>
                </w:p>
              </w:tc>
              <w:tc>
                <w:tcPr>
                  <w:tcW w:w="859" w:type="pct"/>
                  <w:noWrap w:val="0"/>
                  <w:vAlign w:val="center"/>
                </w:tcPr>
                <w:p w14:paraId="0D232C7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val="en-US" w:eastAsia="zh-CN" w:bidi="ar"/>
                    </w:rPr>
                    <w:t>0.56515</w:t>
                  </w:r>
                </w:p>
              </w:tc>
              <w:tc>
                <w:tcPr>
                  <w:tcW w:w="722" w:type="pct"/>
                  <w:noWrap w:val="0"/>
                  <w:vAlign w:val="center"/>
                </w:tcPr>
                <w:p w14:paraId="6B71E5E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5</w:t>
                  </w:r>
                  <w:r>
                    <w:rPr>
                      <w:rFonts w:hint="default" w:ascii="Times New Roman" w:hAnsi="Times New Roman" w:cs="Times New Roman"/>
                      <w:color w:val="auto"/>
                      <w:kern w:val="0"/>
                      <w:szCs w:val="21"/>
                      <w:lang w:bidi="ar"/>
                    </w:rPr>
                    <w:t>0</w:t>
                  </w:r>
                </w:p>
              </w:tc>
              <w:tc>
                <w:tcPr>
                  <w:tcW w:w="1068" w:type="pct"/>
                  <w:noWrap w:val="0"/>
                  <w:vAlign w:val="center"/>
                </w:tcPr>
                <w:p w14:paraId="6FB5D7E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2.</w:t>
                  </w:r>
                  <w:r>
                    <w:rPr>
                      <w:rFonts w:hint="eastAsia" w:ascii="Times New Roman" w:hAnsi="Times New Roman" w:cs="Times New Roman"/>
                      <w:color w:val="auto"/>
                      <w:kern w:val="0"/>
                      <w:szCs w:val="21"/>
                      <w:lang w:val="en-US" w:eastAsia="zh-CN" w:bidi="ar"/>
                    </w:rPr>
                    <w:t>0</w:t>
                  </w:r>
                </w:p>
              </w:tc>
            </w:tr>
            <w:tr w14:paraId="366F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2053527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一开</w:t>
                  </w:r>
                </w:p>
              </w:tc>
              <w:tc>
                <w:tcPr>
                  <w:tcW w:w="1056" w:type="pct"/>
                  <w:noWrap w:val="0"/>
                  <w:vAlign w:val="center"/>
                </w:tcPr>
                <w:p w14:paraId="7B2B164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310.5</w:t>
                  </w:r>
                </w:p>
              </w:tc>
              <w:tc>
                <w:tcPr>
                  <w:tcW w:w="859" w:type="pct"/>
                  <w:noWrap w:val="0"/>
                  <w:vAlign w:val="center"/>
                </w:tcPr>
                <w:p w14:paraId="527ACD8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0.4445</w:t>
                  </w:r>
                </w:p>
              </w:tc>
              <w:tc>
                <w:tcPr>
                  <w:tcW w:w="722" w:type="pct"/>
                  <w:noWrap w:val="0"/>
                  <w:vAlign w:val="center"/>
                </w:tcPr>
                <w:p w14:paraId="35C4957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val="en-US" w:bidi="ar"/>
                    </w:rPr>
                  </w:pPr>
                  <w:r>
                    <w:rPr>
                      <w:rFonts w:hint="eastAsia" w:cs="Times New Roman"/>
                      <w:color w:val="auto"/>
                      <w:kern w:val="0"/>
                      <w:szCs w:val="21"/>
                      <w:lang w:val="en-US" w:eastAsia="zh-CN" w:bidi="ar"/>
                    </w:rPr>
                    <w:t>1001</w:t>
                  </w:r>
                </w:p>
              </w:tc>
              <w:tc>
                <w:tcPr>
                  <w:tcW w:w="1068" w:type="pct"/>
                  <w:noWrap w:val="0"/>
                  <w:vAlign w:val="center"/>
                </w:tcPr>
                <w:p w14:paraId="73C29B2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2.</w:t>
                  </w:r>
                  <w:r>
                    <w:rPr>
                      <w:rFonts w:hint="eastAsia" w:ascii="Times New Roman" w:hAnsi="Times New Roman" w:cs="Times New Roman"/>
                      <w:color w:val="auto"/>
                      <w:kern w:val="0"/>
                      <w:szCs w:val="21"/>
                      <w:lang w:val="en-US" w:eastAsia="zh-CN" w:bidi="ar"/>
                    </w:rPr>
                    <w:t>0</w:t>
                  </w:r>
                </w:p>
              </w:tc>
            </w:tr>
            <w:tr w14:paraId="28EC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04C66ED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二开</w:t>
                  </w:r>
                </w:p>
              </w:tc>
              <w:tc>
                <w:tcPr>
                  <w:tcW w:w="1056" w:type="pct"/>
                  <w:noWrap w:val="0"/>
                  <w:vAlign w:val="center"/>
                </w:tcPr>
                <w:p w14:paraId="158B99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555.6</w:t>
                  </w:r>
                </w:p>
              </w:tc>
              <w:tc>
                <w:tcPr>
                  <w:tcW w:w="859" w:type="pct"/>
                  <w:noWrap w:val="0"/>
                  <w:vAlign w:val="center"/>
                </w:tcPr>
                <w:p w14:paraId="7BC2613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0.3112</w:t>
                  </w:r>
                </w:p>
              </w:tc>
              <w:tc>
                <w:tcPr>
                  <w:tcW w:w="722" w:type="pct"/>
                  <w:noWrap w:val="0"/>
                  <w:vAlign w:val="center"/>
                </w:tcPr>
                <w:p w14:paraId="152F041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val="en-US" w:bidi="ar"/>
                    </w:rPr>
                  </w:pPr>
                  <w:r>
                    <w:rPr>
                      <w:rFonts w:hint="eastAsia" w:cs="Times New Roman"/>
                      <w:color w:val="auto"/>
                      <w:kern w:val="0"/>
                      <w:szCs w:val="21"/>
                      <w:lang w:val="en-US" w:eastAsia="zh-CN" w:bidi="ar"/>
                    </w:rPr>
                    <w:t>2811</w:t>
                  </w:r>
                </w:p>
              </w:tc>
              <w:tc>
                <w:tcPr>
                  <w:tcW w:w="1068" w:type="pct"/>
                  <w:noWrap w:val="0"/>
                  <w:vAlign w:val="center"/>
                </w:tcPr>
                <w:p w14:paraId="0372A36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Cs w:val="21"/>
                      <w:lang w:eastAsia="zh-CN" w:bidi="ar"/>
                    </w:rPr>
                  </w:pPr>
                  <w:r>
                    <w:rPr>
                      <w:rFonts w:hint="default" w:ascii="Times New Roman" w:hAnsi="Times New Roman" w:cs="Times New Roman"/>
                      <w:color w:val="auto"/>
                      <w:kern w:val="0"/>
                      <w:szCs w:val="21"/>
                      <w:lang w:bidi="ar"/>
                    </w:rPr>
                    <w:t>2.</w:t>
                  </w:r>
                  <w:r>
                    <w:rPr>
                      <w:rFonts w:hint="eastAsia" w:ascii="Times New Roman" w:hAnsi="Times New Roman" w:cs="Times New Roman"/>
                      <w:color w:val="auto"/>
                      <w:kern w:val="0"/>
                      <w:szCs w:val="21"/>
                      <w:lang w:val="en-US" w:eastAsia="zh-CN" w:bidi="ar"/>
                    </w:rPr>
                    <w:t>6</w:t>
                  </w:r>
                </w:p>
              </w:tc>
            </w:tr>
            <w:tr w14:paraId="5C2A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373281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三开</w:t>
                  </w:r>
                </w:p>
              </w:tc>
              <w:tc>
                <w:tcPr>
                  <w:tcW w:w="1056" w:type="pct"/>
                  <w:noWrap w:val="0"/>
                  <w:vAlign w:val="center"/>
                </w:tcPr>
                <w:p w14:paraId="0EA39B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116.4</w:t>
                  </w:r>
                </w:p>
              </w:tc>
              <w:tc>
                <w:tcPr>
                  <w:tcW w:w="859" w:type="pct"/>
                  <w:noWrap w:val="0"/>
                  <w:vAlign w:val="center"/>
                </w:tcPr>
                <w:p w14:paraId="36083CE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0.2</w:t>
                  </w:r>
                  <w:r>
                    <w:rPr>
                      <w:rFonts w:hint="eastAsia" w:cs="Times New Roman"/>
                      <w:color w:val="auto"/>
                      <w:kern w:val="0"/>
                      <w:szCs w:val="21"/>
                      <w:lang w:val="en-US" w:eastAsia="zh-CN" w:bidi="ar"/>
                    </w:rPr>
                    <w:t>159</w:t>
                  </w:r>
                </w:p>
              </w:tc>
              <w:tc>
                <w:tcPr>
                  <w:tcW w:w="722" w:type="pct"/>
                  <w:noWrap w:val="0"/>
                  <w:vAlign w:val="center"/>
                </w:tcPr>
                <w:p w14:paraId="04255B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1136</w:t>
                  </w:r>
                </w:p>
              </w:tc>
              <w:tc>
                <w:tcPr>
                  <w:tcW w:w="1068" w:type="pct"/>
                  <w:noWrap w:val="0"/>
                  <w:vAlign w:val="center"/>
                </w:tcPr>
                <w:p w14:paraId="2323033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default" w:ascii="Times New Roman" w:hAnsi="Times New Roman" w:cs="Times New Roman"/>
                      <w:color w:val="auto"/>
                      <w:kern w:val="0"/>
                      <w:szCs w:val="21"/>
                      <w:lang w:bidi="ar"/>
                    </w:rPr>
                    <w:t>2.8</w:t>
                  </w:r>
                </w:p>
              </w:tc>
            </w:tr>
            <w:tr w14:paraId="10F7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BE53C1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kern w:val="0"/>
                      <w:szCs w:val="21"/>
                      <w:lang w:bidi="ar"/>
                    </w:rPr>
                  </w:pPr>
                  <w:r>
                    <w:rPr>
                      <w:rFonts w:hint="eastAsia" w:ascii="Times New Roman" w:hAnsi="Times New Roman" w:cs="Times New Roman"/>
                      <w:b w:val="0"/>
                      <w:bCs w:val="0"/>
                      <w:color w:val="auto"/>
                      <w:kern w:val="0"/>
                      <w:szCs w:val="21"/>
                      <w:lang w:bidi="ar"/>
                    </w:rPr>
                    <w:t>钻井岩屑合计</w:t>
                  </w:r>
                </w:p>
              </w:tc>
              <w:tc>
                <w:tcPr>
                  <w:tcW w:w="1056" w:type="pct"/>
                  <w:noWrap w:val="0"/>
                  <w:vAlign w:val="center"/>
                </w:tcPr>
                <w:p w14:paraId="70D9937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kern w:val="0"/>
                      <w:szCs w:val="21"/>
                      <w:lang w:bidi="ar"/>
                    </w:rPr>
                  </w:pPr>
                  <w:r>
                    <w:rPr>
                      <w:rFonts w:hint="eastAsia" w:ascii="Times New Roman" w:hAnsi="Times New Roman" w:cs="Times New Roman"/>
                      <w:b w:val="0"/>
                      <w:bCs w:val="0"/>
                      <w:color w:val="auto"/>
                      <w:kern w:val="0"/>
                      <w:szCs w:val="21"/>
                      <w:lang w:val="en-US" w:eastAsia="zh-CN" w:bidi="ar"/>
                    </w:rPr>
                    <w:t>1</w:t>
                  </w:r>
                  <w:r>
                    <w:rPr>
                      <w:rFonts w:hint="eastAsia" w:cs="Times New Roman"/>
                      <w:b w:val="0"/>
                      <w:bCs w:val="0"/>
                      <w:color w:val="auto"/>
                      <w:kern w:val="0"/>
                      <w:szCs w:val="21"/>
                      <w:lang w:val="en-US" w:eastAsia="zh-CN" w:bidi="ar"/>
                    </w:rPr>
                    <w:t>007.6</w:t>
                  </w:r>
                </w:p>
              </w:tc>
              <w:tc>
                <w:tcPr>
                  <w:tcW w:w="859" w:type="pct"/>
                  <w:noWrap w:val="0"/>
                  <w:vAlign w:val="center"/>
                </w:tcPr>
                <w:p w14:paraId="4FB22D7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bCs/>
                      <w:color w:val="auto"/>
                      <w:kern w:val="0"/>
                      <w:szCs w:val="21"/>
                      <w:lang w:bidi="ar"/>
                    </w:rPr>
                  </w:pPr>
                  <w:r>
                    <w:rPr>
                      <w:rFonts w:hint="eastAsia" w:ascii="Times New Roman" w:hAnsi="Times New Roman" w:cs="Times New Roman"/>
                      <w:b/>
                      <w:bCs/>
                      <w:color w:val="auto"/>
                      <w:kern w:val="0"/>
                      <w:szCs w:val="21"/>
                      <w:lang w:bidi="ar"/>
                    </w:rPr>
                    <w:t>/</w:t>
                  </w:r>
                </w:p>
              </w:tc>
              <w:tc>
                <w:tcPr>
                  <w:tcW w:w="722" w:type="pct"/>
                  <w:noWrap w:val="0"/>
                  <w:vAlign w:val="center"/>
                </w:tcPr>
                <w:p w14:paraId="097566B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1068" w:type="pct"/>
                  <w:noWrap w:val="0"/>
                  <w:vAlign w:val="center"/>
                </w:tcPr>
                <w:p w14:paraId="0562A43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r>
          </w:tbl>
          <w:p w14:paraId="49C4DC5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rPr>
              <w:t>根据计算，</w:t>
            </w:r>
            <w:r>
              <w:rPr>
                <w:rFonts w:hint="eastAsia" w:ascii="Times New Roman" w:hAnsi="Times New Roman" w:eastAsia="宋体" w:cs="Times New Roman"/>
                <w:bCs/>
                <w:color w:val="auto"/>
                <w:sz w:val="24"/>
                <w:lang w:val="en-US" w:eastAsia="zh-CN"/>
              </w:rPr>
              <w:t>本</w:t>
            </w:r>
            <w:r>
              <w:rPr>
                <w:rFonts w:hint="eastAsia" w:ascii="Times New Roman" w:hAnsi="Times New Roman" w:eastAsia="宋体" w:cs="Times New Roman"/>
                <w:bCs/>
                <w:color w:val="auto"/>
                <w:sz w:val="24"/>
              </w:rPr>
              <w:t>项目钻井岩屑产生量约</w:t>
            </w:r>
            <w:r>
              <w:rPr>
                <w:rFonts w:hint="eastAsia" w:ascii="Times New Roman" w:hAnsi="Times New Roman" w:eastAsia="宋体" w:cs="Times New Roman"/>
                <w:bCs/>
                <w:color w:val="auto"/>
                <w:sz w:val="24"/>
                <w:lang w:val="en-US" w:eastAsia="zh-CN"/>
              </w:rPr>
              <w:t>1</w:t>
            </w:r>
            <w:r>
              <w:rPr>
                <w:rFonts w:hint="eastAsia" w:cs="Times New Roman"/>
                <w:bCs/>
                <w:color w:val="auto"/>
                <w:sz w:val="24"/>
                <w:lang w:val="en-US" w:eastAsia="zh-CN"/>
              </w:rPr>
              <w:t>007.6</w:t>
            </w:r>
            <w:r>
              <w:rPr>
                <w:rFonts w:hint="eastAsia" w:ascii="Times New Roman" w:hAnsi="Times New Roman" w:eastAsia="宋体" w:cs="Times New Roman"/>
                <w:bCs/>
                <w:color w:val="auto"/>
                <w:sz w:val="24"/>
              </w:rPr>
              <w:t>t</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干基</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，项目采用钻井液循环工艺和泥浆不落地工艺，污染物随钻随处理。钻井固废</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钻井岩屑和废钻井泥浆</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以及沉淀污泥经过脱水后收集至岩屑接收罐</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因此，项目钻井岩屑产生量约为</w:t>
            </w:r>
            <w:r>
              <w:rPr>
                <w:rFonts w:hint="eastAsia" w:cs="Times New Roman"/>
                <w:bCs/>
                <w:color w:val="auto"/>
                <w:sz w:val="24"/>
                <w:lang w:val="en-US" w:eastAsia="zh-CN"/>
              </w:rPr>
              <w:t>2519</w:t>
            </w:r>
            <w:r>
              <w:rPr>
                <w:rFonts w:hint="eastAsia" w:ascii="Times New Roman" w:hAnsi="Times New Roman" w:eastAsia="宋体" w:cs="Times New Roman"/>
                <w:bCs/>
                <w:color w:val="auto"/>
                <w:sz w:val="24"/>
              </w:rPr>
              <w:t>t</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含水率低于60%</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，主要成分为页岩钻屑、水、黏土、加重材料、化学添加剂、无机盐等</w:t>
            </w:r>
            <w:r>
              <w:rPr>
                <w:rFonts w:hint="eastAsia" w:ascii="Times New Roman" w:hAnsi="Times New Roman" w:eastAsia="宋体" w:cs="Times New Roman"/>
                <w:bCs/>
                <w:color w:val="auto"/>
                <w:sz w:val="24"/>
                <w:lang w:eastAsia="zh-CN"/>
              </w:rPr>
              <w:t>。</w:t>
            </w:r>
          </w:p>
          <w:p w14:paraId="2F505A9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Cs/>
                <w:color w:val="auto"/>
                <w:sz w:val="24"/>
              </w:rPr>
            </w:pPr>
            <w:r>
              <w:rPr>
                <w:rFonts w:hint="eastAsia" w:ascii="Times New Roman" w:hAnsi="Times New Roman" w:cs="Times New Roman"/>
                <w:b/>
                <w:bCs/>
                <w:color w:val="auto"/>
                <w:sz w:val="24"/>
              </w:rPr>
              <w:t>②</w:t>
            </w:r>
            <w:r>
              <w:rPr>
                <w:rFonts w:hint="default" w:ascii="Times New Roman" w:hAnsi="Times New Roman" w:cs="Times New Roman"/>
                <w:b/>
                <w:bCs/>
                <w:color w:val="auto"/>
                <w:sz w:val="24"/>
              </w:rPr>
              <w:t>废钻井泥浆</w:t>
            </w:r>
            <w:r>
              <w:rPr>
                <w:rFonts w:hint="default" w:ascii="Times New Roman" w:hAnsi="Times New Roman" w:cs="Times New Roman"/>
                <w:bCs/>
                <w:color w:val="auto"/>
                <w:sz w:val="24"/>
              </w:rPr>
              <w:t>：为达到安全、快速钻井的目的，钻井泥浆常使用各类的钻井液添加剂。废钻井泥浆主要是由黏土、钻屑、加重材料、化学添加剂、无机盐等组成的多相稳定悬浮液，pH值较高。导致环境污染的有害成分为油类、盐类、杀菌剂、化学添加剂，高分子有机化合物经生物降解后产生的低分子有机化合物和碱性物质。本项目使用</w:t>
            </w:r>
            <w:r>
              <w:rPr>
                <w:rFonts w:hint="eastAsia" w:ascii="Times New Roman" w:hAnsi="Times New Roman" w:cs="Times New Roman"/>
                <w:bCs/>
                <w:color w:val="auto"/>
                <w:sz w:val="24"/>
              </w:rPr>
              <w:t>清水、</w:t>
            </w:r>
            <w:r>
              <w:rPr>
                <w:rFonts w:hint="default" w:ascii="Times New Roman" w:hAnsi="Times New Roman" w:cs="Times New Roman"/>
                <w:bCs/>
                <w:color w:val="auto"/>
                <w:sz w:val="24"/>
              </w:rPr>
              <w:t>水基钻井液，不含重金属。</w:t>
            </w:r>
          </w:p>
          <w:p w14:paraId="49389FF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钻井过程中产生的废钻井泥浆主要来源于以下情况：</w:t>
            </w:r>
          </w:p>
          <w:p w14:paraId="74805E7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a、被更换的不适于钻井工程和地质要求的钻井泥浆。</w:t>
            </w:r>
          </w:p>
          <w:p w14:paraId="5466A0A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b、在钻井过程中，因部分性能不合格而被排放的钻井泥浆。</w:t>
            </w:r>
          </w:p>
          <w:p w14:paraId="47B8985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c、完井时井筒内被清水替出的钻井泥浆。</w:t>
            </w:r>
          </w:p>
          <w:p w14:paraId="482DA32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d、由钻井泥浆循环系统跑、冒、滴、漏而排出的钻井泥浆。</w:t>
            </w:r>
          </w:p>
          <w:p w14:paraId="179DDD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e、钻屑与钻井液分离时，钻屑表面粘附的钻井液。</w:t>
            </w:r>
          </w:p>
          <w:p w14:paraId="592A909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泥浆量经验公式如下所示：</w:t>
            </w:r>
          </w:p>
          <w:p w14:paraId="65364CF7">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Cs/>
                <w:color w:val="auto"/>
                <w:sz w:val="24"/>
              </w:rPr>
            </w:pPr>
            <w:r>
              <w:rPr>
                <w:rFonts w:hint="default" w:ascii="Times New Roman" w:hAnsi="Times New Roman" w:cs="Times New Roman"/>
                <w:color w:val="auto"/>
                <w:position w:val="-10"/>
              </w:rPr>
              <w:object>
                <v:shape id="_x0000_i1039" o:spt="75" type="#_x0000_t75" style="height:18pt;width:192pt;" o:ole="t" filled="f" o:preferrelative="t" stroked="f" coordsize="21600,21600">
                  <v:path/>
                  <v:fill on="f" focussize="0,0"/>
                  <v:stroke on="f"/>
                  <v:imagedata r:id="rId55" o:title=""/>
                  <o:lock v:ext="edit" aspectratio="t"/>
                  <w10:wrap type="none"/>
                  <w10:anchorlock/>
                </v:shape>
                <o:OLEObject Type="Embed" ProgID="Equation.3" ShapeID="_x0000_i1039" DrawAspect="Content" ObjectID="_1468075739" r:id="rId54">
                  <o:LockedField>false</o:LockedField>
                </o:OLEObject>
              </w:object>
            </w:r>
          </w:p>
          <w:p w14:paraId="0E02C77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井的直径，m；</w:t>
            </w:r>
          </w:p>
          <w:p w14:paraId="57B31D7D">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eastAsia" w:ascii="Times New Roman" w:hAnsi="Times New Roman" w:cs="Times New Roman"/>
                <w:bCs/>
                <w:color w:val="auto"/>
                <w:sz w:val="24"/>
              </w:rPr>
              <w:t>H</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井深，m；</w:t>
            </w:r>
          </w:p>
          <w:p w14:paraId="70E223BB">
            <w:pPr>
              <w:keepNext w:val="0"/>
              <w:keepLines w:val="0"/>
              <w:suppressLineNumbers w:val="0"/>
              <w:spacing w:before="0" w:beforeAutospacing="0" w:after="0" w:afterAutospacing="0" w:line="360" w:lineRule="auto"/>
              <w:ind w:left="0" w:right="0" w:firstLine="1212" w:firstLineChars="505"/>
              <w:jc w:val="left"/>
              <w:rPr>
                <w:rFonts w:hint="default" w:ascii="Times New Roman" w:hAnsi="Times New Roman" w:cs="Times New Roman"/>
                <w:bCs/>
                <w:color w:val="auto"/>
                <w:sz w:val="24"/>
              </w:rPr>
            </w:pPr>
            <w:r>
              <w:rPr>
                <w:rFonts w:hint="default" w:ascii="Times New Roman" w:hAnsi="Times New Roman" w:cs="Times New Roman"/>
                <w:bCs/>
                <w:color w:val="auto"/>
                <w:sz w:val="24"/>
              </w:rPr>
              <w:t>V</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泥浆量，m³。</w:t>
            </w:r>
          </w:p>
          <w:p w14:paraId="429DA6E1">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钻井泥浆</w:t>
            </w:r>
            <w:r>
              <w:rPr>
                <w:rFonts w:hint="eastAsia" w:ascii="Times New Roman" w:hAnsi="Times New Roman" w:eastAsia="宋体" w:cs="Times New Roman"/>
                <w:b/>
                <w:color w:val="auto"/>
                <w:lang w:val="en-US" w:eastAsia="zh-CN"/>
              </w:rPr>
              <w:t>使用</w:t>
            </w:r>
            <w:r>
              <w:rPr>
                <w:rFonts w:hint="eastAsia" w:ascii="Times New Roman" w:hAnsi="Times New Roman" w:eastAsia="宋体" w:cs="Times New Roman"/>
                <w:b/>
                <w:color w:val="auto"/>
              </w:rPr>
              <w:t>量计算一览表</w:t>
            </w:r>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500"/>
              <w:gridCol w:w="1823"/>
              <w:gridCol w:w="1758"/>
            </w:tblGrid>
            <w:tr w14:paraId="1673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tcBorders>
                    <w:tl2br w:val="single" w:color="auto" w:sz="4" w:space="0"/>
                  </w:tcBorders>
                  <w:noWrap w:val="0"/>
                  <w:vAlign w:val="center"/>
                </w:tcPr>
                <w:p w14:paraId="57437873">
                  <w:pPr>
                    <w:keepNext w:val="0"/>
                    <w:keepLines w:val="0"/>
                    <w:suppressLineNumbers w:val="0"/>
                    <w:autoSpaceDE w:val="0"/>
                    <w:autoSpaceDN w:val="0"/>
                    <w:adjustRightInd w:val="0"/>
                    <w:spacing w:before="0" w:beforeAutospacing="0" w:after="0" w:afterAutospacing="0"/>
                    <w:ind w:left="0" w:right="0"/>
                    <w:jc w:val="right"/>
                    <w:textAlignment w:val="baseline"/>
                    <w:outlineLvl w:val="4"/>
                    <w:rPr>
                      <w:rFonts w:hint="default" w:ascii="Times New Roman" w:hAnsi="Times New Roman" w:cs="Times New Roman"/>
                      <w:b/>
                      <w:bCs/>
                      <w:color w:val="auto"/>
                      <w:szCs w:val="21"/>
                    </w:rPr>
                  </w:pPr>
                  <w:r>
                    <w:rPr>
                      <w:rFonts w:hint="default" w:ascii="Times New Roman" w:hAnsi="Times New Roman" w:cs="Times New Roman"/>
                      <w:b/>
                      <w:bCs/>
                      <w:color w:val="auto"/>
                      <w:szCs w:val="21"/>
                    </w:rPr>
                    <w:t>参数</w:t>
                  </w:r>
                </w:p>
                <w:p w14:paraId="280F1AB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cs="Times New Roman"/>
                      <w:b/>
                      <w:bCs/>
                      <w:color w:val="auto"/>
                      <w:szCs w:val="21"/>
                    </w:rPr>
                  </w:pPr>
                  <w:r>
                    <w:rPr>
                      <w:rFonts w:hint="default" w:ascii="Times New Roman" w:hAnsi="Times New Roman" w:cs="Times New Roman"/>
                      <w:b/>
                      <w:bCs/>
                      <w:color w:val="auto"/>
                      <w:szCs w:val="21"/>
                    </w:rPr>
                    <w:t>开钻次数</w:t>
                  </w:r>
                </w:p>
              </w:tc>
              <w:tc>
                <w:tcPr>
                  <w:tcW w:w="1474" w:type="pct"/>
                  <w:noWrap w:val="0"/>
                  <w:vAlign w:val="center"/>
                </w:tcPr>
                <w:p w14:paraId="4BCAC5F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泥浆</w:t>
                  </w:r>
                  <w:r>
                    <w:rPr>
                      <w:rFonts w:hint="eastAsia" w:ascii="Times New Roman" w:hAnsi="Times New Roman" w:cs="Times New Roman"/>
                      <w:b/>
                      <w:bCs/>
                      <w:color w:val="auto"/>
                      <w:szCs w:val="21"/>
                      <w:lang w:val="en-US" w:eastAsia="zh-CN"/>
                    </w:rPr>
                    <w:t>使用</w:t>
                  </w:r>
                  <w:r>
                    <w:rPr>
                      <w:rFonts w:hint="default" w:ascii="Times New Roman" w:hAnsi="Times New Roman" w:cs="Times New Roman"/>
                      <w:b/>
                      <w:bCs/>
                      <w:color w:val="auto"/>
                      <w:szCs w:val="21"/>
                    </w:rPr>
                    <w:t>量</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m³</w:t>
                  </w:r>
                  <w:r>
                    <w:rPr>
                      <w:rFonts w:hint="eastAsia" w:ascii="Times New Roman" w:hAnsi="Times New Roman" w:cs="Times New Roman"/>
                      <w:b/>
                      <w:bCs/>
                      <w:color w:val="auto"/>
                      <w:szCs w:val="21"/>
                      <w:lang w:eastAsia="zh-CN"/>
                    </w:rPr>
                    <w:t>）</w:t>
                  </w:r>
                </w:p>
              </w:tc>
              <w:tc>
                <w:tcPr>
                  <w:tcW w:w="1075" w:type="pct"/>
                  <w:noWrap w:val="0"/>
                  <w:vAlign w:val="center"/>
                </w:tcPr>
                <w:p w14:paraId="4640D27B">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钻井直径</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w:t>
                  </w:r>
                  <w:r>
                    <w:rPr>
                      <w:rFonts w:hint="eastAsia" w:ascii="Times New Roman" w:hAnsi="Times New Roman" w:cs="Times New Roman"/>
                      <w:b/>
                      <w:bCs/>
                      <w:color w:val="auto"/>
                      <w:szCs w:val="21"/>
                      <w:lang w:eastAsia="zh-CN"/>
                    </w:rPr>
                    <w:t>）</w:t>
                  </w:r>
                </w:p>
              </w:tc>
              <w:tc>
                <w:tcPr>
                  <w:tcW w:w="1037" w:type="pct"/>
                  <w:noWrap w:val="0"/>
                  <w:vAlign w:val="center"/>
                </w:tcPr>
                <w:p w14:paraId="3912AF36">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钻井深度</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w:t>
                  </w:r>
                  <w:r>
                    <w:rPr>
                      <w:rFonts w:hint="eastAsia" w:ascii="Times New Roman" w:hAnsi="Times New Roman" w:cs="Times New Roman"/>
                      <w:b/>
                      <w:bCs/>
                      <w:color w:val="auto"/>
                      <w:szCs w:val="21"/>
                      <w:lang w:eastAsia="zh-CN"/>
                    </w:rPr>
                    <w:t>）</w:t>
                  </w:r>
                </w:p>
              </w:tc>
            </w:tr>
            <w:tr w14:paraId="1AB6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06418D1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kern w:val="0"/>
                      <w:szCs w:val="21"/>
                      <w:highlight w:val="none"/>
                      <w:lang w:bidi="ar"/>
                    </w:rPr>
                    <w:t>导管</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清水</w:t>
                  </w:r>
                  <w:r>
                    <w:rPr>
                      <w:rFonts w:hint="eastAsia" w:cs="Times New Roman"/>
                      <w:color w:val="auto"/>
                      <w:kern w:val="0"/>
                      <w:szCs w:val="21"/>
                      <w:highlight w:val="none"/>
                      <w:lang w:eastAsia="zh-CN" w:bidi="ar"/>
                    </w:rPr>
                    <w:t>）</w:t>
                  </w:r>
                </w:p>
              </w:tc>
              <w:tc>
                <w:tcPr>
                  <w:tcW w:w="1474" w:type="pct"/>
                  <w:noWrap w:val="0"/>
                  <w:vAlign w:val="center"/>
                </w:tcPr>
                <w:p w14:paraId="4618F6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w:t>
                  </w:r>
                </w:p>
              </w:tc>
              <w:tc>
                <w:tcPr>
                  <w:tcW w:w="1075" w:type="pct"/>
                  <w:shd w:val="clear" w:color="auto" w:fill="auto"/>
                  <w:noWrap w:val="0"/>
                  <w:vAlign w:val="center"/>
                </w:tcPr>
                <w:p w14:paraId="065BF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bidi="ar"/>
                    </w:rPr>
                    <w:t>0.56515</w:t>
                  </w:r>
                </w:p>
              </w:tc>
              <w:tc>
                <w:tcPr>
                  <w:tcW w:w="1037" w:type="pct"/>
                  <w:shd w:val="clear" w:color="auto" w:fill="auto"/>
                  <w:noWrap w:val="0"/>
                  <w:vAlign w:val="center"/>
                </w:tcPr>
                <w:p w14:paraId="1D8F66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5</w:t>
                  </w:r>
                  <w:r>
                    <w:rPr>
                      <w:rFonts w:hint="default" w:ascii="Times New Roman" w:hAnsi="Times New Roman" w:cs="Times New Roman"/>
                      <w:color w:val="auto"/>
                      <w:kern w:val="0"/>
                      <w:szCs w:val="21"/>
                      <w:lang w:bidi="ar"/>
                    </w:rPr>
                    <w:t>0</w:t>
                  </w:r>
                </w:p>
              </w:tc>
            </w:tr>
            <w:tr w14:paraId="5429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51999EB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kern w:val="0"/>
                      <w:szCs w:val="21"/>
                      <w:highlight w:val="none"/>
                      <w:lang w:bidi="ar"/>
                    </w:rPr>
                    <w:t>一开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1474" w:type="pct"/>
                  <w:noWrap w:val="0"/>
                  <w:vAlign w:val="center"/>
                </w:tcPr>
                <w:p w14:paraId="3ABBFF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193.7</w:t>
                  </w:r>
                </w:p>
              </w:tc>
              <w:tc>
                <w:tcPr>
                  <w:tcW w:w="1075" w:type="pct"/>
                  <w:shd w:val="clear" w:color="auto" w:fill="auto"/>
                  <w:noWrap w:val="0"/>
                  <w:vAlign w:val="center"/>
                </w:tcPr>
                <w:p w14:paraId="378DC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Cs w:val="21"/>
                      <w:lang w:bidi="ar"/>
                    </w:rPr>
                    <w:t>0.4445</w:t>
                  </w:r>
                </w:p>
              </w:tc>
              <w:tc>
                <w:tcPr>
                  <w:tcW w:w="1037" w:type="pct"/>
                  <w:shd w:val="clear" w:color="auto" w:fill="auto"/>
                  <w:noWrap w:val="0"/>
                  <w:vAlign w:val="center"/>
                </w:tcPr>
                <w:p w14:paraId="42B84F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1001</w:t>
                  </w:r>
                </w:p>
              </w:tc>
            </w:tr>
            <w:tr w14:paraId="58C9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7EE981B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lang w:bidi="ar"/>
                    </w:rPr>
                    <w:t>二开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1474" w:type="pct"/>
                  <w:noWrap w:val="0"/>
                  <w:vAlign w:val="center"/>
                </w:tcPr>
                <w:p w14:paraId="7E611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288.0</w:t>
                  </w:r>
                </w:p>
              </w:tc>
              <w:tc>
                <w:tcPr>
                  <w:tcW w:w="1075" w:type="pct"/>
                  <w:shd w:val="clear" w:color="auto" w:fill="auto"/>
                  <w:noWrap w:val="0"/>
                  <w:vAlign w:val="center"/>
                </w:tcPr>
                <w:p w14:paraId="12222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cs="Times New Roman"/>
                      <w:color w:val="auto"/>
                      <w:kern w:val="0"/>
                      <w:szCs w:val="21"/>
                      <w:lang w:bidi="ar"/>
                    </w:rPr>
                    <w:t>0.3112</w:t>
                  </w:r>
                </w:p>
              </w:tc>
              <w:tc>
                <w:tcPr>
                  <w:tcW w:w="1037" w:type="pct"/>
                  <w:shd w:val="clear" w:color="auto" w:fill="auto"/>
                  <w:noWrap w:val="0"/>
                  <w:vAlign w:val="center"/>
                </w:tcPr>
                <w:p w14:paraId="3D6227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2811</w:t>
                  </w:r>
                </w:p>
              </w:tc>
            </w:tr>
            <w:tr w14:paraId="7C77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47AFC16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cs="Times New Roman"/>
                      <w:color w:val="auto"/>
                      <w:kern w:val="0"/>
                      <w:szCs w:val="21"/>
                      <w:lang w:bidi="ar"/>
                    </w:rPr>
                    <w:t>三开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1474" w:type="pct"/>
                  <w:noWrap w:val="0"/>
                  <w:vAlign w:val="center"/>
                </w:tcPr>
                <w:p w14:paraId="639232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141.7</w:t>
                  </w:r>
                </w:p>
              </w:tc>
              <w:tc>
                <w:tcPr>
                  <w:tcW w:w="1075" w:type="pct"/>
                  <w:shd w:val="clear" w:color="auto" w:fill="auto"/>
                  <w:noWrap w:val="0"/>
                  <w:vAlign w:val="center"/>
                </w:tcPr>
                <w:p w14:paraId="5C23D1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bidi="ar"/>
                    </w:rPr>
                    <w:t>0.2</w:t>
                  </w:r>
                  <w:r>
                    <w:rPr>
                      <w:rFonts w:hint="eastAsia" w:cs="Times New Roman"/>
                      <w:color w:val="auto"/>
                      <w:kern w:val="0"/>
                      <w:szCs w:val="21"/>
                      <w:lang w:val="en-US" w:eastAsia="zh-CN" w:bidi="ar"/>
                    </w:rPr>
                    <w:t>159</w:t>
                  </w:r>
                </w:p>
              </w:tc>
              <w:tc>
                <w:tcPr>
                  <w:tcW w:w="1037" w:type="pct"/>
                  <w:shd w:val="clear" w:color="auto" w:fill="auto"/>
                  <w:noWrap w:val="0"/>
                  <w:vAlign w:val="center"/>
                </w:tcPr>
                <w:p w14:paraId="7783D7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1136</w:t>
                  </w:r>
                </w:p>
              </w:tc>
            </w:tr>
            <w:tr w14:paraId="5866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0347299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kern w:val="0"/>
                      <w:szCs w:val="21"/>
                      <w:lang w:bidi="ar"/>
                    </w:rPr>
                  </w:pPr>
                  <w:r>
                    <w:rPr>
                      <w:rFonts w:hint="default" w:ascii="Times New Roman" w:hAnsi="Times New Roman" w:cs="Times New Roman"/>
                      <w:b w:val="0"/>
                      <w:bCs w:val="0"/>
                      <w:color w:val="auto"/>
                      <w:kern w:val="0"/>
                      <w:szCs w:val="21"/>
                      <w:lang w:bidi="ar"/>
                    </w:rPr>
                    <w:t>钻井泥浆</w:t>
                  </w:r>
                </w:p>
              </w:tc>
              <w:tc>
                <w:tcPr>
                  <w:tcW w:w="1474" w:type="pct"/>
                  <w:noWrap w:val="0"/>
                  <w:vAlign w:val="center"/>
                </w:tcPr>
                <w:p w14:paraId="5A7204C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rPr>
                  </w:pPr>
                  <w:r>
                    <w:rPr>
                      <w:rFonts w:hint="eastAsia" w:cs="Times New Roman"/>
                      <w:b w:val="0"/>
                      <w:bCs w:val="0"/>
                      <w:color w:val="auto"/>
                      <w:kern w:val="0"/>
                      <w:szCs w:val="21"/>
                      <w:lang w:val="en-US" w:eastAsia="zh-CN" w:bidi="ar"/>
                    </w:rPr>
                    <w:t>623.4</w:t>
                  </w:r>
                </w:p>
              </w:tc>
              <w:tc>
                <w:tcPr>
                  <w:tcW w:w="1075" w:type="pct"/>
                  <w:noWrap w:val="0"/>
                  <w:vAlign w:val="center"/>
                </w:tcPr>
                <w:p w14:paraId="7246DDB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eastAsia="华文仿宋" w:cs="Times New Roman"/>
                      <w:color w:val="auto"/>
                      <w:kern w:val="0"/>
                      <w:szCs w:val="21"/>
                      <w:lang w:bidi="ar"/>
                    </w:rPr>
                    <w:t>/</w:t>
                  </w:r>
                </w:p>
              </w:tc>
              <w:tc>
                <w:tcPr>
                  <w:tcW w:w="1037" w:type="pct"/>
                  <w:noWrap w:val="0"/>
                  <w:vAlign w:val="center"/>
                </w:tcPr>
                <w:p w14:paraId="51F3B29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eastAsia="华文仿宋" w:cs="Times New Roman"/>
                      <w:color w:val="auto"/>
                      <w:kern w:val="0"/>
                      <w:szCs w:val="21"/>
                      <w:lang w:bidi="ar"/>
                    </w:rPr>
                    <w:t>/</w:t>
                  </w:r>
                </w:p>
              </w:tc>
            </w:tr>
          </w:tbl>
          <w:p w14:paraId="5AB5508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根据上述公式计算得出，本工程</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使用</w:t>
            </w:r>
            <w:r>
              <w:rPr>
                <w:rFonts w:hint="default" w:ascii="Times New Roman" w:hAnsi="Times New Roman" w:cs="Times New Roman"/>
                <w:bCs/>
                <w:color w:val="auto"/>
                <w:sz w:val="24"/>
              </w:rPr>
              <w:t>量约</w:t>
            </w:r>
            <w:r>
              <w:rPr>
                <w:rFonts w:hint="eastAsia" w:cs="Times New Roman"/>
                <w:bCs/>
                <w:color w:val="auto"/>
                <w:sz w:val="24"/>
                <w:lang w:val="en-US" w:eastAsia="zh-CN"/>
              </w:rPr>
              <w:t>623.4</w:t>
            </w:r>
            <w:r>
              <w:rPr>
                <w:rFonts w:hint="default" w:ascii="Times New Roman" w:hAnsi="Times New Roman" w:cs="Times New Roman"/>
                <w:bCs/>
                <w:color w:val="auto"/>
                <w:sz w:val="24"/>
              </w:rPr>
              <w:t>m³。工程钻井过程中泥浆的回收利用率为95%，其余5%为废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rPr>
              <w:t>密度按1.8t/</w:t>
            </w:r>
            <w:r>
              <w:rPr>
                <w:rFonts w:hint="default" w:ascii="Times New Roman" w:hAnsi="Times New Roman" w:cs="Times New Roman"/>
                <w:bCs/>
                <w:color w:val="auto"/>
                <w:sz w:val="24"/>
              </w:rPr>
              <w:t>m³计算</w:t>
            </w:r>
            <w:r>
              <w:rPr>
                <w:rFonts w:hint="eastAsia" w:ascii="Times New Roman" w:hAnsi="Times New Roman" w:cs="Times New Roman"/>
                <w:bCs/>
                <w:color w:val="auto"/>
                <w:sz w:val="24"/>
              </w:rPr>
              <w:t>。</w:t>
            </w:r>
            <w:r>
              <w:rPr>
                <w:rFonts w:hint="default" w:ascii="Times New Roman" w:hAnsi="Times New Roman" w:cs="Times New Roman"/>
                <w:bCs/>
                <w:color w:val="auto"/>
                <w:sz w:val="24"/>
              </w:rPr>
              <w:t>则废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泥浆产生量为</w:t>
            </w:r>
            <w:r>
              <w:rPr>
                <w:rFonts w:hint="eastAsia" w:cs="Times New Roman"/>
                <w:bCs/>
                <w:color w:val="auto"/>
                <w:sz w:val="24"/>
                <w:lang w:val="en-US" w:eastAsia="zh-CN"/>
              </w:rPr>
              <w:t>31.17m</w:t>
            </w:r>
            <w:r>
              <w:rPr>
                <w:rFonts w:hint="eastAsia" w:cs="Times New Roman"/>
                <w:bCs/>
                <w:color w:val="auto"/>
                <w:sz w:val="24"/>
                <w:vertAlign w:val="superscript"/>
                <w:lang w:val="en-US" w:eastAsia="zh-CN"/>
              </w:rPr>
              <w:t>3</w:t>
            </w:r>
            <w:r>
              <w:rPr>
                <w:rFonts w:hint="eastAsia" w:cs="Times New Roman"/>
                <w:bCs/>
                <w:color w:val="auto"/>
                <w:sz w:val="24"/>
                <w:lang w:val="en-US" w:eastAsia="zh-CN"/>
              </w:rPr>
              <w:t>，56.1</w:t>
            </w:r>
            <w:r>
              <w:rPr>
                <w:rFonts w:hint="eastAsia" w:ascii="Times New Roman" w:hAnsi="Times New Roman" w:cs="Times New Roman"/>
                <w:bCs/>
                <w:color w:val="auto"/>
                <w:sz w:val="24"/>
              </w:rPr>
              <w:t>t</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废</w:t>
            </w:r>
            <w:r>
              <w:rPr>
                <w:rFonts w:hint="default" w:ascii="Times New Roman" w:hAnsi="Times New Roman" w:cs="Times New Roman"/>
                <w:bCs/>
                <w:color w:val="auto"/>
                <w:sz w:val="24"/>
              </w:rPr>
              <w:t>水基钻井</w:t>
            </w:r>
            <w:r>
              <w:rPr>
                <w:rFonts w:hint="eastAsia" w:ascii="Times New Roman" w:hAnsi="Times New Roman" w:cs="Times New Roman"/>
                <w:bCs/>
                <w:color w:val="auto"/>
                <w:sz w:val="24"/>
                <w:lang w:val="en-US" w:eastAsia="zh-CN"/>
              </w:rPr>
              <w:t>泥浆脱水后由</w:t>
            </w:r>
            <w:r>
              <w:rPr>
                <w:rFonts w:hint="default" w:ascii="Times New Roman" w:hAnsi="Times New Roman" w:cs="Times New Roman"/>
                <w:bCs/>
                <w:color w:val="auto"/>
                <w:sz w:val="24"/>
              </w:rPr>
              <w:t>岩屑接收罐</w:t>
            </w:r>
            <w:r>
              <w:rPr>
                <w:rFonts w:hint="eastAsia" w:ascii="Times New Roman" w:hAnsi="Times New Roman" w:cs="Times New Roman"/>
                <w:bCs/>
                <w:color w:val="auto"/>
                <w:sz w:val="24"/>
                <w:lang w:val="en-US" w:eastAsia="zh-CN"/>
              </w:rPr>
              <w:t>收集</w:t>
            </w:r>
            <w:r>
              <w:rPr>
                <w:rFonts w:hint="default" w:ascii="Times New Roman" w:hAnsi="Times New Roman" w:cs="Times New Roman"/>
                <w:bCs/>
                <w:color w:val="auto"/>
                <w:sz w:val="24"/>
              </w:rPr>
              <w:t>，</w:t>
            </w:r>
            <w:r>
              <w:rPr>
                <w:rFonts w:hint="eastAsia" w:cs="Times New Roman"/>
                <w:bCs/>
                <w:color w:val="auto"/>
                <w:sz w:val="24"/>
                <w:lang w:val="en-US" w:eastAsia="zh-CN"/>
              </w:rPr>
              <w:t>交由</w:t>
            </w:r>
            <w:r>
              <w:rPr>
                <w:rFonts w:hint="default" w:ascii="Times New Roman" w:hAnsi="Times New Roman" w:cs="Times New Roman"/>
                <w:bCs/>
                <w:color w:val="auto"/>
                <w:sz w:val="24"/>
              </w:rPr>
              <w:t>符合环保要求且有处理能力的砖厂、水泥厂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61D3947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cs="Times New Roman"/>
                <w:bCs/>
                <w:color w:val="auto"/>
                <w:kern w:val="0"/>
                <w:sz w:val="24"/>
              </w:rPr>
            </w:pPr>
            <w:r>
              <w:rPr>
                <w:rFonts w:hint="eastAsia" w:ascii="宋体" w:hAnsi="宋体" w:cs="宋体"/>
                <w:b/>
                <w:color w:val="auto"/>
                <w:sz w:val="24"/>
              </w:rPr>
              <w:t>③</w:t>
            </w:r>
            <w:r>
              <w:rPr>
                <w:rFonts w:hint="default" w:ascii="Times New Roman" w:hAnsi="Times New Roman" w:cs="Times New Roman"/>
                <w:b/>
                <w:color w:val="auto"/>
                <w:sz w:val="24"/>
              </w:rPr>
              <w:t>沉淀污泥</w:t>
            </w:r>
            <w:r>
              <w:rPr>
                <w:rFonts w:hint="default" w:ascii="Times New Roman" w:hAnsi="Times New Roman" w:cs="Times New Roman"/>
                <w:b/>
                <w:bCs/>
                <w:color w:val="auto"/>
                <w:sz w:val="24"/>
              </w:rPr>
              <w:t>：</w:t>
            </w:r>
            <w:r>
              <w:rPr>
                <w:rFonts w:hint="default" w:ascii="Times New Roman" w:hAnsi="Times New Roman" w:cs="Times New Roman"/>
                <w:bCs/>
                <w:color w:val="auto"/>
                <w:sz w:val="24"/>
              </w:rPr>
              <w:t>在</w:t>
            </w:r>
            <w:r>
              <w:rPr>
                <w:rFonts w:hint="eastAsia" w:cs="Times New Roman"/>
                <w:bCs/>
                <w:color w:val="auto"/>
                <w:sz w:val="24"/>
                <w:lang w:val="en-US" w:eastAsia="zh-CN"/>
              </w:rPr>
              <w:t>项目整个勘探过程中，井场内初期雨水、</w:t>
            </w:r>
            <w:r>
              <w:rPr>
                <w:rFonts w:hint="default" w:ascii="Times New Roman" w:hAnsi="Times New Roman" w:cs="Times New Roman"/>
                <w:bCs/>
                <w:color w:val="auto"/>
                <w:sz w:val="24"/>
              </w:rPr>
              <w:t>钻井废水、洗井废水</w:t>
            </w:r>
            <w:r>
              <w:rPr>
                <w:rFonts w:hint="eastAsia" w:cs="Times New Roman"/>
                <w:bCs/>
                <w:color w:val="auto"/>
                <w:sz w:val="24"/>
                <w:lang w:val="en-US" w:eastAsia="zh-CN"/>
              </w:rPr>
              <w:t>等均需</w:t>
            </w:r>
            <w:r>
              <w:rPr>
                <w:rFonts w:hint="eastAsia" w:ascii="Times New Roman" w:hAnsi="Times New Roman" w:cs="Times New Roman"/>
                <w:bCs/>
                <w:color w:val="auto"/>
                <w:sz w:val="24"/>
              </w:rPr>
              <w:t>进入</w:t>
            </w:r>
            <w:r>
              <w:rPr>
                <w:rFonts w:hint="eastAsia" w:ascii="Times New Roman" w:hAnsi="Times New Roman" w:cs="Times New Roman"/>
                <w:color w:val="auto"/>
                <w:sz w:val="24"/>
              </w:rPr>
              <w:t>污水池</w:t>
            </w:r>
            <w:r>
              <w:rPr>
                <w:rFonts w:hint="default" w:ascii="Times New Roman" w:hAnsi="Times New Roman" w:cs="Times New Roman"/>
                <w:bCs/>
                <w:color w:val="auto"/>
                <w:sz w:val="24"/>
              </w:rPr>
              <w:t>处理，</w:t>
            </w:r>
            <w:r>
              <w:rPr>
                <w:rFonts w:hint="eastAsia" w:cs="Times New Roman"/>
                <w:bCs/>
                <w:color w:val="auto"/>
                <w:sz w:val="24"/>
                <w:lang w:val="en-US" w:eastAsia="zh-CN"/>
              </w:rPr>
              <w:t>将</w:t>
            </w:r>
            <w:r>
              <w:rPr>
                <w:rFonts w:hint="default" w:ascii="Times New Roman" w:hAnsi="Times New Roman" w:cs="Times New Roman"/>
                <w:bCs/>
                <w:color w:val="auto"/>
                <w:sz w:val="24"/>
              </w:rPr>
              <w:t>产生沉淀污泥</w:t>
            </w:r>
            <w:r>
              <w:rPr>
                <w:rFonts w:hint="eastAsia" w:cs="Times New Roman"/>
                <w:bCs/>
                <w:color w:val="auto"/>
                <w:sz w:val="24"/>
                <w:lang w:eastAsia="zh-CN"/>
              </w:rPr>
              <w:t>，</w:t>
            </w:r>
            <w:r>
              <w:rPr>
                <w:rFonts w:hint="eastAsia" w:cs="Times New Roman"/>
                <w:bCs/>
                <w:color w:val="auto"/>
                <w:sz w:val="24"/>
                <w:lang w:val="en-US" w:eastAsia="zh-CN"/>
              </w:rPr>
              <w:t>类比建设单位同区域其他井场，沉淀池污泥产生量约60</w:t>
            </w:r>
            <w:r>
              <w:rPr>
                <w:rFonts w:hint="default" w:ascii="Times New Roman" w:hAnsi="Times New Roman" w:cs="Times New Roman"/>
                <w:bCs/>
                <w:color w:val="auto"/>
                <w:sz w:val="24"/>
              </w:rPr>
              <w:t>t。</w:t>
            </w:r>
          </w:p>
          <w:p w14:paraId="766803F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rPr>
              <w:t>钻井固废（钻井岩屑和废钻井泥浆）以及沉淀污泥经过脱水后（含水率低于60%）收集至岩屑接收罐，交由符合环保要求且有处理能力的砖厂、水泥厂等进行资源化利用</w:t>
            </w:r>
            <w:r>
              <w:rPr>
                <w:rFonts w:hint="default" w:ascii="Times New Roman" w:hAnsi="Times New Roman" w:cs="Times New Roman"/>
                <w:bCs/>
                <w:color w:val="auto"/>
                <w:sz w:val="24"/>
              </w:rPr>
              <w:t>。完钻后现场无遗留</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对环境的影响小，可接受。</w:t>
            </w:r>
          </w:p>
          <w:p w14:paraId="2CCADA8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eastAsia" w:ascii="Times New Roman" w:hAnsi="Times New Roman" w:cs="Times New Roman"/>
                <w:b/>
                <w:color w:val="auto"/>
                <w:sz w:val="24"/>
                <w:lang w:val="en-US" w:eastAsia="zh-CN"/>
              </w:rPr>
              <w:t>2、</w:t>
            </w:r>
            <w:r>
              <w:rPr>
                <w:rFonts w:hint="default" w:ascii="Times New Roman" w:hAnsi="Times New Roman" w:cs="Times New Roman"/>
                <w:b/>
                <w:bCs/>
                <w:color w:val="auto"/>
                <w:sz w:val="24"/>
              </w:rPr>
              <w:t>废</w:t>
            </w:r>
            <w:r>
              <w:rPr>
                <w:rFonts w:hint="eastAsia" w:ascii="Times New Roman" w:hAnsi="Times New Roman" w:cs="Times New Roman"/>
                <w:b/>
                <w:bCs/>
                <w:color w:val="auto"/>
                <w:sz w:val="24"/>
              </w:rPr>
              <w:t>包装材料</w:t>
            </w:r>
          </w:p>
          <w:p w14:paraId="4C4BBEE0">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lang w:eastAsia="zh-CN"/>
              </w:rPr>
            </w:pPr>
            <w:r>
              <w:rPr>
                <w:rFonts w:hint="eastAsia" w:cs="Times New Roman"/>
                <w:bCs/>
                <w:color w:val="auto"/>
                <w:sz w:val="24"/>
                <w:lang w:val="en-US" w:eastAsia="zh-CN"/>
              </w:rPr>
              <w:t>类比建设单位同区域其他井场，项目</w:t>
            </w:r>
            <w:r>
              <w:rPr>
                <w:rFonts w:hint="default" w:ascii="Times New Roman" w:hAnsi="Times New Roman" w:cs="Times New Roman"/>
                <w:bCs/>
                <w:color w:val="auto"/>
                <w:sz w:val="24"/>
              </w:rPr>
              <w:t>废包装材料产生量</w:t>
            </w:r>
            <w:r>
              <w:rPr>
                <w:rFonts w:hint="eastAsia" w:cs="Times New Roman"/>
                <w:bCs/>
                <w:color w:val="auto"/>
                <w:sz w:val="24"/>
                <w:lang w:val="en-US" w:eastAsia="zh-CN"/>
              </w:rPr>
              <w:t>约</w:t>
            </w:r>
            <w:r>
              <w:rPr>
                <w:rFonts w:hint="default" w:ascii="Times New Roman" w:hAnsi="Times New Roman" w:cs="Times New Roman"/>
                <w:bCs/>
                <w:color w:val="auto"/>
                <w:sz w:val="24"/>
              </w:rPr>
              <w:t>0.5t</w:t>
            </w:r>
            <w:r>
              <w:rPr>
                <w:rFonts w:hint="eastAsia" w:cs="Times New Roman"/>
                <w:bCs/>
                <w:color w:val="auto"/>
                <w:sz w:val="24"/>
                <w:lang w:eastAsia="zh-CN"/>
              </w:rPr>
              <w:t>。</w:t>
            </w:r>
          </w:p>
          <w:p w14:paraId="3BDE104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根据《固体废物分类与代码目录》（公告2024年第4号）废包装材料等均属于“SW59其他工业固体废物”，废物代码为900-099-S59</w:t>
            </w:r>
            <w:r>
              <w:rPr>
                <w:rFonts w:hint="eastAsia" w:cs="Times New Roman"/>
                <w:bCs/>
                <w:color w:val="auto"/>
                <w:sz w:val="24"/>
                <w:lang w:eastAsia="zh-CN"/>
              </w:rPr>
              <w:t>，</w:t>
            </w:r>
            <w:r>
              <w:rPr>
                <w:rFonts w:hint="eastAsia" w:cs="Times New Roman"/>
                <w:bCs/>
                <w:color w:val="auto"/>
                <w:sz w:val="24"/>
                <w:lang w:val="en-US" w:eastAsia="zh-CN"/>
              </w:rPr>
              <w:t>废包装材料</w:t>
            </w:r>
            <w:r>
              <w:rPr>
                <w:rFonts w:hint="default" w:ascii="Times New Roman" w:hAnsi="Times New Roman" w:eastAsia="宋体" w:cs="Times New Roman"/>
                <w:bCs/>
                <w:color w:val="auto"/>
                <w:sz w:val="24"/>
                <w:highlight w:val="none"/>
              </w:rPr>
              <w:t>集中收集后</w:t>
            </w:r>
            <w:r>
              <w:rPr>
                <w:rFonts w:hint="eastAsia" w:cs="Times New Roman"/>
                <w:bCs/>
                <w:color w:val="auto"/>
                <w:sz w:val="24"/>
                <w:highlight w:val="none"/>
                <w:lang w:val="en-US" w:eastAsia="zh-CN"/>
              </w:rPr>
              <w:t>外售资源化利用</w:t>
            </w:r>
            <w:r>
              <w:rPr>
                <w:rFonts w:hint="default" w:ascii="Times New Roman" w:hAnsi="Times New Roman" w:cs="Times New Roman"/>
                <w:bCs/>
                <w:color w:val="auto"/>
                <w:sz w:val="24"/>
              </w:rPr>
              <w:t>。</w:t>
            </w:r>
          </w:p>
          <w:p w14:paraId="4E6FEA2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3、</w:t>
            </w:r>
            <w:r>
              <w:rPr>
                <w:rFonts w:hint="eastAsia" w:ascii="Times New Roman" w:hAnsi="Times New Roman" w:cs="Times New Roman"/>
                <w:b/>
                <w:bCs/>
                <w:color w:val="auto"/>
                <w:sz w:val="24"/>
              </w:rPr>
              <w:t>危险废物</w:t>
            </w:r>
          </w:p>
          <w:p w14:paraId="182E78E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sz w:val="24"/>
              </w:rPr>
            </w:pPr>
            <w:r>
              <w:rPr>
                <w:rFonts w:hint="eastAsia" w:ascii="Times New Roman" w:hAnsi="Times New Roman" w:cs="Times New Roman"/>
                <w:b w:val="0"/>
                <w:bCs w:val="0"/>
                <w:color w:val="auto"/>
                <w:sz w:val="24"/>
                <w:lang w:eastAsia="zh-CN"/>
              </w:rPr>
              <w:t>（</w:t>
            </w:r>
            <w:r>
              <w:rPr>
                <w:rFonts w:hint="eastAsia" w:ascii="Times New Roman" w:hAnsi="Times New Roman" w:cs="Times New Roman"/>
                <w:b w:val="0"/>
                <w:bCs w:val="0"/>
                <w:color w:val="auto"/>
                <w:sz w:val="24"/>
                <w:lang w:val="en-US" w:eastAsia="zh-CN"/>
              </w:rPr>
              <w:t>1</w:t>
            </w:r>
            <w:r>
              <w:rPr>
                <w:rFonts w:hint="eastAsia" w:ascii="Times New Roman" w:hAnsi="Times New Roman" w:cs="Times New Roman"/>
                <w:b w:val="0"/>
                <w:bCs w:val="0"/>
                <w:color w:val="auto"/>
                <w:sz w:val="24"/>
                <w:lang w:eastAsia="zh-CN"/>
              </w:rPr>
              <w:t>）</w:t>
            </w:r>
            <w:r>
              <w:rPr>
                <w:rFonts w:hint="default" w:ascii="Times New Roman" w:hAnsi="Times New Roman" w:cs="Times New Roman"/>
                <w:b w:val="0"/>
                <w:bCs w:val="0"/>
                <w:color w:val="auto"/>
                <w:sz w:val="24"/>
              </w:rPr>
              <w:t>废油</w:t>
            </w:r>
          </w:p>
          <w:p w14:paraId="64FB7D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lang w:val="en-US" w:eastAsia="zh-CN"/>
              </w:rPr>
              <w:t>类比建设单位同区域其他井场，项目</w:t>
            </w:r>
            <w:r>
              <w:rPr>
                <w:rFonts w:hint="default" w:ascii="Times New Roman" w:hAnsi="Times New Roman" w:cs="Times New Roman"/>
                <w:bCs/>
                <w:color w:val="auto"/>
                <w:sz w:val="24"/>
              </w:rPr>
              <w:t>产生的废油</w:t>
            </w:r>
            <w:r>
              <w:rPr>
                <w:rFonts w:hint="eastAsia" w:cs="Times New Roman"/>
                <w:bCs/>
                <w:color w:val="auto"/>
                <w:sz w:val="24"/>
                <w:lang w:val="en-US" w:eastAsia="zh-CN"/>
              </w:rPr>
              <w:t>量约25t，</w:t>
            </w:r>
            <w:r>
              <w:rPr>
                <w:rFonts w:hint="default" w:ascii="Times New Roman" w:hAnsi="Times New Roman" w:cs="Times New Roman"/>
                <w:bCs/>
                <w:color w:val="auto"/>
                <w:sz w:val="24"/>
              </w:rPr>
              <w:t>由废油</w:t>
            </w:r>
            <w:r>
              <w:rPr>
                <w:rFonts w:hint="eastAsia" w:cs="Times New Roman"/>
                <w:bCs/>
                <w:color w:val="auto"/>
                <w:sz w:val="24"/>
                <w:lang w:val="en-US" w:eastAsia="zh-CN"/>
              </w:rPr>
              <w:t>回收</w:t>
            </w:r>
            <w:r>
              <w:rPr>
                <w:rFonts w:hint="default" w:ascii="Times New Roman" w:hAnsi="Times New Roman" w:cs="Times New Roman"/>
                <w:bCs/>
                <w:color w:val="auto"/>
                <w:sz w:val="24"/>
              </w:rPr>
              <w:t>桶收集，属于</w:t>
            </w:r>
            <w:r>
              <w:rPr>
                <w:rFonts w:hint="eastAsia" w:ascii="Times New Roman" w:hAnsi="Times New Roman" w:cs="Times New Roman"/>
                <w:bCs/>
                <w:color w:val="auto"/>
                <w:sz w:val="24"/>
              </w:rPr>
              <w:t>《国家危险废物名录》（2025年版）</w:t>
            </w:r>
            <w:r>
              <w:rPr>
                <w:rFonts w:hint="default" w:ascii="Times New Roman" w:hAnsi="Times New Roman" w:cs="Times New Roman"/>
                <w:bCs/>
                <w:color w:val="auto"/>
                <w:sz w:val="24"/>
              </w:rPr>
              <w:t>中“HW08废矿物油与含矿物油废物/非特定行业900-210-08含油废水处理中隔油、气浮、沉淀等处理过程中产生的浮油、浮渣和污泥（不包括废水生化处理污泥）”，“HW08废矿物油与含矿物油废物/非特定行业900-249-08其他生产、销售、使用过程中产生的废矿物油及沾染矿物油的废弃包装物”。现场配备废油回收桶贮存堆放于危废暂存间，交由有危废处理资质的单位处置。危废暂存间采取</w:t>
            </w:r>
            <w:r>
              <w:rPr>
                <w:rFonts w:hint="eastAsia" w:ascii="Times New Roman" w:hAnsi="Times New Roman" w:cs="Times New Roman"/>
                <w:bCs/>
                <w:color w:val="auto"/>
                <w:sz w:val="24"/>
              </w:rPr>
              <w:t>“</w:t>
            </w:r>
            <w:r>
              <w:rPr>
                <w:rFonts w:hint="default" w:ascii="Times New Roman" w:hAnsi="Times New Roman" w:cs="Times New Roman"/>
                <w:bCs/>
                <w:color w:val="auto"/>
                <w:sz w:val="24"/>
              </w:rPr>
              <w:t>防风、防晒、防雨、防漏、防渗、防腐</w:t>
            </w:r>
            <w:r>
              <w:rPr>
                <w:rFonts w:hint="eastAsia" w:ascii="Times New Roman" w:hAnsi="Times New Roman" w:cs="Times New Roman"/>
                <w:bCs/>
                <w:color w:val="auto"/>
                <w:sz w:val="24"/>
              </w:rPr>
              <w:t>”</w:t>
            </w:r>
            <w:r>
              <w:rPr>
                <w:rFonts w:hint="default" w:ascii="Times New Roman" w:hAnsi="Times New Roman" w:cs="Times New Roman"/>
                <w:bCs/>
                <w:color w:val="auto"/>
                <w:sz w:val="24"/>
              </w:rPr>
              <w:t>措施，</w:t>
            </w:r>
            <w:r>
              <w:rPr>
                <w:rFonts w:hint="eastAsia" w:cs="Times New Roman"/>
                <w:bCs/>
                <w:color w:val="auto"/>
                <w:sz w:val="24"/>
                <w:lang w:val="en-US" w:eastAsia="zh-CN"/>
              </w:rPr>
              <w:t>同时</w:t>
            </w:r>
            <w:r>
              <w:rPr>
                <w:rFonts w:hint="default" w:ascii="Times New Roman" w:hAnsi="Times New Roman" w:cs="Times New Roman"/>
                <w:bCs/>
                <w:color w:val="auto"/>
                <w:sz w:val="24"/>
              </w:rPr>
              <w:t>设置围堰。</w:t>
            </w:r>
          </w:p>
          <w:p w14:paraId="0989C0A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rPr>
            </w:pPr>
            <w:r>
              <w:rPr>
                <w:rFonts w:hint="eastAsia" w:ascii="Times New Roman" w:hAnsi="Times New Roman" w:cs="Times New Roman"/>
                <w:b w:val="0"/>
                <w:bCs/>
                <w:color w:val="auto"/>
                <w:sz w:val="24"/>
                <w:lang w:val="en-US" w:eastAsia="zh-CN"/>
              </w:rPr>
              <w:t>（2）</w:t>
            </w:r>
            <w:r>
              <w:rPr>
                <w:rFonts w:hint="default" w:ascii="Times New Roman" w:hAnsi="Times New Roman" w:cs="Times New Roman"/>
                <w:b w:val="0"/>
                <w:bCs/>
                <w:color w:val="auto"/>
                <w:sz w:val="24"/>
              </w:rPr>
              <w:t>含油污染物</w:t>
            </w:r>
          </w:p>
          <w:p w14:paraId="66C9A5A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钻井过程中产生的含油污染物主要是现场废弃的含油抹布、棉纱、劳动用品，</w:t>
            </w:r>
            <w:r>
              <w:rPr>
                <w:rFonts w:hint="eastAsia" w:cs="Times New Roman"/>
                <w:bCs/>
                <w:color w:val="auto"/>
                <w:sz w:val="24"/>
                <w:lang w:val="en-US" w:eastAsia="zh-CN"/>
              </w:rPr>
              <w:t>类比建设单位同区域其他井场，其</w:t>
            </w:r>
            <w:r>
              <w:rPr>
                <w:rFonts w:hint="default" w:ascii="Times New Roman" w:hAnsi="Times New Roman" w:cs="Times New Roman"/>
                <w:bCs/>
                <w:color w:val="auto"/>
                <w:sz w:val="24"/>
              </w:rPr>
              <w:t>产生量约5t，属于</w:t>
            </w:r>
            <w:r>
              <w:rPr>
                <w:rFonts w:hint="eastAsia" w:ascii="Times New Roman" w:hAnsi="Times New Roman" w:cs="Times New Roman"/>
                <w:bCs/>
                <w:color w:val="auto"/>
                <w:sz w:val="24"/>
              </w:rPr>
              <w:t>《国家危险废物名录》（2025年版）</w:t>
            </w:r>
            <w:r>
              <w:rPr>
                <w:rFonts w:hint="default" w:ascii="Times New Roman" w:hAnsi="Times New Roman" w:cs="Times New Roman"/>
                <w:bCs/>
                <w:color w:val="auto"/>
                <w:sz w:val="24"/>
              </w:rPr>
              <w:t>中</w:t>
            </w:r>
            <w:r>
              <w:rPr>
                <w:rFonts w:hint="eastAsia" w:ascii="Times New Roman" w:hAnsi="Times New Roman" w:cs="Times New Roman"/>
                <w:bCs/>
                <w:color w:val="auto"/>
                <w:sz w:val="24"/>
              </w:rPr>
              <w:t>“</w:t>
            </w:r>
            <w:r>
              <w:rPr>
                <w:rFonts w:hint="default" w:ascii="Times New Roman" w:hAnsi="Times New Roman" w:cs="Times New Roman"/>
                <w:bCs/>
                <w:color w:val="auto"/>
                <w:sz w:val="24"/>
              </w:rPr>
              <w:t>HW49其他废物/非特定行业900-041-49含有或沾染毒性、感染性危险废物的废弃包装物、容器、过滤吸附介质</w:t>
            </w:r>
            <w:r>
              <w:rPr>
                <w:rFonts w:hint="eastAsia" w:ascii="Times New Roman" w:hAnsi="Times New Roman" w:cs="Times New Roman"/>
                <w:bCs/>
                <w:color w:val="auto"/>
                <w:sz w:val="24"/>
              </w:rPr>
              <w:t>”</w:t>
            </w:r>
            <w:r>
              <w:rPr>
                <w:rFonts w:hint="default" w:ascii="Times New Roman" w:hAnsi="Times New Roman" w:cs="Times New Roman"/>
                <w:bCs/>
                <w:color w:val="auto"/>
                <w:sz w:val="24"/>
              </w:rPr>
              <w:t>。现场配备暂存桶贮存于危废暂存间，交由有危废处理资质的单位处置。危废暂存间采取</w:t>
            </w:r>
            <w:r>
              <w:rPr>
                <w:rFonts w:hint="eastAsia" w:ascii="Times New Roman" w:hAnsi="Times New Roman" w:cs="Times New Roman"/>
                <w:bCs/>
                <w:color w:val="auto"/>
                <w:sz w:val="24"/>
              </w:rPr>
              <w:t>“</w:t>
            </w:r>
            <w:r>
              <w:rPr>
                <w:rFonts w:hint="default" w:ascii="Times New Roman" w:hAnsi="Times New Roman" w:cs="Times New Roman"/>
                <w:bCs/>
                <w:color w:val="auto"/>
                <w:sz w:val="24"/>
              </w:rPr>
              <w:t>防风、防晒、防雨、防漏、防渗、防腐</w:t>
            </w:r>
            <w:r>
              <w:rPr>
                <w:rFonts w:hint="eastAsia" w:ascii="Times New Roman" w:hAnsi="Times New Roman" w:cs="Times New Roman"/>
                <w:bCs/>
                <w:color w:val="auto"/>
                <w:sz w:val="24"/>
              </w:rPr>
              <w:t>”</w:t>
            </w:r>
            <w:r>
              <w:rPr>
                <w:rFonts w:hint="default" w:ascii="Times New Roman" w:hAnsi="Times New Roman" w:cs="Times New Roman"/>
                <w:bCs/>
                <w:color w:val="auto"/>
                <w:sz w:val="24"/>
              </w:rPr>
              <w:t>措施，</w:t>
            </w:r>
            <w:r>
              <w:rPr>
                <w:rFonts w:hint="eastAsia" w:cs="Times New Roman"/>
                <w:bCs/>
                <w:color w:val="auto"/>
                <w:sz w:val="24"/>
                <w:lang w:val="en-US" w:eastAsia="zh-CN"/>
              </w:rPr>
              <w:t>同时</w:t>
            </w:r>
            <w:r>
              <w:rPr>
                <w:rFonts w:hint="default" w:ascii="Times New Roman" w:hAnsi="Times New Roman" w:cs="Times New Roman"/>
                <w:bCs/>
                <w:color w:val="auto"/>
                <w:sz w:val="24"/>
              </w:rPr>
              <w:t>设置围堰。</w:t>
            </w:r>
          </w:p>
          <w:p w14:paraId="559020CA">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lang w:val="en-US" w:eastAsia="zh-CN"/>
              </w:rPr>
            </w:pPr>
            <w:r>
              <w:rPr>
                <w:rFonts w:hint="eastAsia" w:cs="Times New Roman"/>
                <w:bCs/>
                <w:color w:val="auto"/>
                <w:sz w:val="24"/>
                <w:lang w:val="en-US" w:eastAsia="zh-CN"/>
              </w:rPr>
              <w:t>（3）油泥砂</w:t>
            </w:r>
          </w:p>
          <w:p w14:paraId="199B8E4D">
            <w:pPr>
              <w:keepNext w:val="0"/>
              <w:keepLines w:val="0"/>
              <w:suppressLineNumbers w:val="0"/>
              <w:spacing w:before="0" w:beforeAutospacing="0" w:after="0" w:afterAutospacing="0" w:line="360" w:lineRule="auto"/>
              <w:ind w:left="0" w:right="0" w:firstLine="480" w:firstLineChars="200"/>
              <w:jc w:val="left"/>
              <w:rPr>
                <w:rFonts w:hint="default" w:cs="Times New Roman"/>
                <w:bCs/>
                <w:color w:val="auto"/>
                <w:sz w:val="24"/>
                <w:lang w:val="en-US" w:eastAsia="zh-CN"/>
              </w:rPr>
            </w:pPr>
            <w:r>
              <w:rPr>
                <w:rFonts w:hint="eastAsia" w:cs="Times New Roman"/>
                <w:bCs/>
                <w:color w:val="auto"/>
                <w:sz w:val="24"/>
                <w:lang w:val="en-US" w:eastAsia="zh-CN"/>
              </w:rPr>
              <w:t>本项目为预探井，</w:t>
            </w:r>
            <w:r>
              <w:rPr>
                <w:rFonts w:hint="default" w:cs="Times New Roman"/>
                <w:bCs/>
                <w:color w:val="auto"/>
                <w:sz w:val="24"/>
                <w:lang w:val="en-US" w:eastAsia="zh-CN"/>
              </w:rPr>
              <w:t>目的层</w:t>
            </w:r>
            <w:r>
              <w:rPr>
                <w:rFonts w:hint="eastAsia" w:cs="Times New Roman"/>
                <w:bCs/>
                <w:color w:val="auto"/>
                <w:sz w:val="24"/>
                <w:lang w:val="en-US" w:eastAsia="zh-CN"/>
              </w:rPr>
              <w:t>为</w:t>
            </w:r>
            <w:r>
              <w:rPr>
                <w:rFonts w:hint="default" w:cs="Times New Roman"/>
                <w:bCs/>
                <w:color w:val="auto"/>
                <w:sz w:val="24"/>
                <w:lang w:val="en-GB" w:eastAsia="zh-CN"/>
              </w:rPr>
              <w:t>上</w:t>
            </w:r>
            <w:r>
              <w:rPr>
                <w:rFonts w:hint="eastAsia" w:cs="Times New Roman"/>
                <w:bCs/>
                <w:color w:val="auto"/>
                <w:sz w:val="24"/>
                <w:lang w:val="en-GB" w:eastAsia="zh-CN"/>
              </w:rPr>
              <w:t>三叠统须家河组四段下亚段</w:t>
            </w:r>
            <w:r>
              <w:rPr>
                <w:rFonts w:hint="eastAsia" w:cs="Times New Roman"/>
                <w:bCs/>
                <w:color w:val="auto"/>
                <w:sz w:val="24"/>
                <w:lang w:val="en-US" w:eastAsia="zh-CN"/>
              </w:rPr>
              <w:t>砂岩储层，根据项目设计资料，</w:t>
            </w:r>
            <w:r>
              <w:rPr>
                <w:rFonts w:hint="eastAsia" w:cs="Times New Roman"/>
                <w:color w:val="auto"/>
                <w:kern w:val="0"/>
                <w:sz w:val="24"/>
                <w:lang w:val="en-US" w:eastAsia="zh-CN" w:bidi="ar"/>
              </w:rPr>
              <w:t>元陆39井邻井陆相主要测试成果中，该层位不产油，测试放喷阶段无油泥砂产生。环评要求在后续实际勘探过程中，若勘探层位涉及产油，则其测试放喷时产生的油泥砂应完全收集，</w:t>
            </w:r>
            <w:r>
              <w:rPr>
                <w:rFonts w:hint="default" w:ascii="Times New Roman" w:hAnsi="Times New Roman" w:cs="Times New Roman"/>
                <w:bCs/>
                <w:color w:val="auto"/>
                <w:sz w:val="24"/>
              </w:rPr>
              <w:t>交由有危废处理资质的单位处置</w:t>
            </w:r>
            <w:r>
              <w:rPr>
                <w:rFonts w:hint="eastAsia" w:cs="Times New Roman"/>
                <w:color w:val="auto"/>
                <w:kern w:val="0"/>
                <w:sz w:val="24"/>
                <w:lang w:val="en-US" w:eastAsia="zh-CN" w:bidi="ar"/>
              </w:rPr>
              <w:t>。</w:t>
            </w:r>
          </w:p>
          <w:p w14:paraId="44AF8F4F">
            <w:pPr>
              <w:keepNext w:val="0"/>
              <w:keepLines w:val="0"/>
              <w:suppressLineNumbers w:val="0"/>
              <w:spacing w:before="0" w:beforeAutospacing="0" w:after="0" w:afterAutospacing="0" w:line="360" w:lineRule="auto"/>
              <w:ind w:left="0" w:right="0" w:firstLine="482" w:firstLineChars="200"/>
              <w:jc w:val="left"/>
              <w:rPr>
                <w:rFonts w:hint="eastAsia" w:ascii="宋体" w:hAnsi="宋体" w:cs="Times New Roman"/>
                <w:bCs/>
                <w:color w:val="auto"/>
                <w:sz w:val="24"/>
              </w:rPr>
            </w:pPr>
            <w:r>
              <w:rPr>
                <w:rFonts w:hint="default" w:ascii="Times New Roman" w:hAnsi="Times New Roman" w:cs="Times New Roman"/>
                <w:b/>
                <w:bCs/>
                <w:color w:val="auto"/>
                <w:sz w:val="24"/>
              </w:rPr>
              <w:t>危废贮存、处置环境管理：</w:t>
            </w:r>
            <w:r>
              <w:rPr>
                <w:rFonts w:hint="default" w:ascii="Times New Roman" w:hAnsi="Times New Roman" w:cs="Times New Roman"/>
                <w:bCs/>
                <w:color w:val="auto"/>
                <w:sz w:val="24"/>
              </w:rPr>
              <w:t>本项目在井场</w:t>
            </w:r>
            <w:r>
              <w:rPr>
                <w:rFonts w:hint="eastAsia" w:ascii="Times New Roman" w:hAnsi="Times New Roman" w:cs="Times New Roman"/>
                <w:bCs/>
                <w:color w:val="auto"/>
                <w:sz w:val="24"/>
              </w:rPr>
              <w:t>西</w:t>
            </w:r>
            <w:r>
              <w:rPr>
                <w:rFonts w:hint="eastAsia" w:ascii="Times New Roman" w:hAnsi="Times New Roman" w:cs="Times New Roman"/>
                <w:bCs/>
                <w:color w:val="auto"/>
                <w:sz w:val="24"/>
                <w:lang w:val="en-US" w:eastAsia="zh-CN"/>
              </w:rPr>
              <w:t>北</w:t>
            </w:r>
            <w:r>
              <w:rPr>
                <w:rFonts w:hint="default" w:ascii="Times New Roman" w:hAnsi="Times New Roman" w:cs="Times New Roman"/>
                <w:bCs/>
                <w:color w:val="auto"/>
                <w:sz w:val="24"/>
              </w:rPr>
              <w:t>侧设置一处</w:t>
            </w:r>
            <w:r>
              <w:rPr>
                <w:rFonts w:hint="eastAsia" w:ascii="Times New Roman" w:hAnsi="Times New Roman" w:cs="Times New Roman"/>
                <w:bCs/>
                <w:color w:val="auto"/>
                <w:sz w:val="24"/>
              </w:rPr>
              <w:t>1</w:t>
            </w:r>
            <w:r>
              <w:rPr>
                <w:rFonts w:hint="eastAsia" w:cs="Times New Roman"/>
                <w:bCs/>
                <w:color w:val="auto"/>
                <w:sz w:val="24"/>
                <w:lang w:val="en-US" w:eastAsia="zh-CN"/>
              </w:rPr>
              <w:t>6</w:t>
            </w:r>
            <w:r>
              <w:rPr>
                <w:rFonts w:hint="default" w:ascii="Times New Roman" w:hAnsi="Times New Roman" w:cs="Times New Roman"/>
                <w:bCs/>
                <w:color w:val="auto"/>
                <w:sz w:val="24"/>
              </w:rPr>
              <w:t>m²危废暂存间，</w:t>
            </w:r>
            <w:r>
              <w:rPr>
                <w:rFonts w:hint="eastAsia" w:ascii="宋体" w:hAnsi="宋体" w:cs="Times New Roman"/>
                <w:bCs/>
                <w:color w:val="auto"/>
                <w:sz w:val="24"/>
              </w:rPr>
              <w:t>临时贮存（按危废贮存场地标准建设和使用管理，采用水泥基渗透结晶型防渗</w:t>
            </w:r>
            <w:r>
              <w:rPr>
                <w:rFonts w:hint="default" w:ascii="Times New Roman" w:hAnsi="Times New Roman" w:cs="Times New Roman"/>
                <w:bCs/>
                <w:color w:val="auto"/>
                <w:sz w:val="24"/>
              </w:rPr>
              <w:t>+2mmHDPE</w:t>
            </w:r>
            <w:r>
              <w:rPr>
                <w:rFonts w:hint="eastAsia" w:ascii="宋体" w:hAnsi="宋体" w:cs="Times New Roman"/>
                <w:bCs/>
                <w:color w:val="auto"/>
                <w:sz w:val="24"/>
              </w:rPr>
              <w:t>膜防渗，</w:t>
            </w:r>
            <w:r>
              <w:rPr>
                <w:rFonts w:hint="default" w:ascii="Times New Roman" w:hAnsi="Times New Roman" w:cs="Times New Roman"/>
                <w:bCs/>
                <w:color w:val="auto"/>
                <w:sz w:val="24"/>
              </w:rPr>
              <w:t>1.5m</w:t>
            </w:r>
            <w:r>
              <w:rPr>
                <w:rFonts w:hint="eastAsia" w:ascii="宋体" w:hAnsi="宋体" w:cs="Times New Roman"/>
                <w:bCs/>
                <w:color w:val="auto"/>
                <w:sz w:val="24"/>
              </w:rPr>
              <w:t>高砖混结构</w:t>
            </w:r>
            <w:r>
              <w:rPr>
                <w:rFonts w:hint="default" w:ascii="Times New Roman" w:hAnsi="Times New Roman" w:cs="Times New Roman"/>
                <w:bCs/>
                <w:color w:val="auto"/>
                <w:sz w:val="24"/>
              </w:rPr>
              <w:t>C20</w:t>
            </w:r>
            <w:r>
              <w:rPr>
                <w:rFonts w:hint="eastAsia" w:ascii="宋体" w:hAnsi="宋体" w:cs="Times New Roman"/>
                <w:bCs/>
                <w:color w:val="auto"/>
                <w:sz w:val="24"/>
              </w:rPr>
              <w:t>水泥抹面围堰，彩钢棚防雨、防风、防晒）。贮存场地满足</w:t>
            </w:r>
            <w:r>
              <w:rPr>
                <w:rStyle w:val="59"/>
                <w:rFonts w:hint="default" w:ascii="Times New Roman" w:hAnsi="Times New Roman" w:cs="Times New Roman"/>
                <w:color w:val="auto"/>
                <w:sz w:val="24"/>
              </w:rPr>
              <w:t>《危险废物贮存污染控制标准》（GB</w:t>
            </w:r>
            <w:r>
              <w:rPr>
                <w:rStyle w:val="59"/>
                <w:rFonts w:hint="eastAsia" w:ascii="Times New Roman" w:hAnsi="Times New Roman" w:cs="Times New Roman"/>
                <w:color w:val="auto"/>
                <w:sz w:val="24"/>
                <w:lang w:val="en-US" w:eastAsia="zh-CN"/>
              </w:rPr>
              <w:t xml:space="preserve"> </w:t>
            </w:r>
            <w:r>
              <w:rPr>
                <w:rStyle w:val="59"/>
                <w:rFonts w:hint="default" w:ascii="Times New Roman" w:hAnsi="Times New Roman" w:cs="Times New Roman"/>
                <w:color w:val="auto"/>
                <w:sz w:val="24"/>
              </w:rPr>
              <w:t>18597-2023）</w:t>
            </w:r>
            <w:r>
              <w:rPr>
                <w:rFonts w:hint="eastAsia" w:ascii="宋体" w:hAnsi="宋体" w:cs="Times New Roman"/>
                <w:bCs/>
                <w:color w:val="auto"/>
                <w:sz w:val="24"/>
              </w:rPr>
              <w:t>和《危险废物收集</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贮存</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运输</w:t>
            </w:r>
            <w:r>
              <w:rPr>
                <w:rFonts w:hint="eastAsia" w:ascii="宋体" w:hAnsi="宋体" w:cs="Times New Roman"/>
                <w:bCs/>
                <w:color w:val="auto"/>
                <w:sz w:val="24"/>
                <w:lang w:val="en-US" w:eastAsia="zh-CN"/>
              </w:rPr>
              <w:t>技术</w:t>
            </w:r>
            <w:r>
              <w:rPr>
                <w:rFonts w:hint="eastAsia" w:ascii="宋体" w:hAnsi="宋体" w:cs="Times New Roman"/>
                <w:bCs/>
                <w:color w:val="auto"/>
                <w:sz w:val="24"/>
              </w:rPr>
              <w:t>规范》（</w:t>
            </w:r>
            <w:r>
              <w:rPr>
                <w:rFonts w:hint="default"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2025-2012</w:t>
            </w:r>
            <w:r>
              <w:rPr>
                <w:rFonts w:hint="eastAsia" w:ascii="宋体" w:hAnsi="宋体" w:cs="Times New Roman"/>
                <w:bCs/>
                <w:color w:val="auto"/>
                <w:sz w:val="24"/>
              </w:rPr>
              <w:t>）中对危废贮存场地相关环保要求</w:t>
            </w:r>
            <w:r>
              <w:rPr>
                <w:rStyle w:val="59"/>
                <w:rFonts w:hint="eastAsia" w:ascii="Times New Roman" w:hAnsi="Times New Roman" w:cs="Times New Roman"/>
                <w:color w:val="auto"/>
                <w:sz w:val="24"/>
              </w:rPr>
              <w:t>。</w:t>
            </w:r>
          </w:p>
          <w:p w14:paraId="4E8FF0FC">
            <w:pPr>
              <w:keepNext w:val="0"/>
              <w:keepLines w:val="0"/>
              <w:suppressLineNumbers w:val="0"/>
              <w:spacing w:before="0" w:beforeAutospacing="0" w:after="0" w:afterAutospacing="0" w:line="360" w:lineRule="auto"/>
              <w:ind w:left="0" w:right="0" w:firstLine="480" w:firstLineChars="200"/>
              <w:jc w:val="left"/>
              <w:rPr>
                <w:rFonts w:hint="eastAsia" w:ascii="宋体" w:hAnsi="宋体" w:cs="Times New Roman"/>
                <w:bCs/>
                <w:color w:val="auto"/>
                <w:sz w:val="24"/>
              </w:rPr>
            </w:pPr>
            <w:r>
              <w:rPr>
                <w:rFonts w:hint="eastAsia" w:ascii="宋体" w:hAnsi="宋体" w:cs="Times New Roman"/>
                <w:bCs/>
                <w:color w:val="auto"/>
                <w:sz w:val="24"/>
              </w:rPr>
              <w:t>危废在转运过程中采用整体转运方式转运，避免转运过程中的跑冒滴漏，严格按照《危险废物收集</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贮存</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运输</w:t>
            </w:r>
            <w:r>
              <w:rPr>
                <w:rFonts w:hint="eastAsia" w:ascii="宋体" w:hAnsi="宋体" w:cs="Times New Roman"/>
                <w:bCs/>
                <w:color w:val="auto"/>
                <w:sz w:val="24"/>
                <w:lang w:val="en-US" w:eastAsia="zh-CN"/>
              </w:rPr>
              <w:t>技术</w:t>
            </w:r>
            <w:r>
              <w:rPr>
                <w:rFonts w:hint="eastAsia" w:ascii="宋体" w:hAnsi="宋体" w:cs="Times New Roman"/>
                <w:bCs/>
                <w:color w:val="auto"/>
                <w:sz w:val="24"/>
              </w:rPr>
              <w:t>规范》（</w:t>
            </w:r>
            <w:r>
              <w:rPr>
                <w:rFonts w:hint="eastAsia"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2025-2012</w:t>
            </w:r>
            <w:r>
              <w:rPr>
                <w:rFonts w:hint="eastAsia" w:ascii="宋体" w:hAnsi="宋体" w:cs="Times New Roman"/>
                <w:bCs/>
                <w:color w:val="auto"/>
                <w:sz w:val="24"/>
              </w:rPr>
              <w:t>）等危废运输管理各项规定予以落实，场内转运车辆按照预定线路转运，加强转运人员的环境风险防范意识教育，场外转运委托危废资质单位专业转运，转运车辆环境管理措施可行。为加强转运过程中的环境管理，本项目应严格按照《危险废物收集贮存运输技术规范》（</w:t>
            </w:r>
            <w:r>
              <w:rPr>
                <w:rFonts w:hint="eastAsia"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2025-2012</w:t>
            </w:r>
            <w:r>
              <w:rPr>
                <w:rFonts w:hint="eastAsia" w:ascii="宋体" w:hAnsi="宋体" w:cs="Times New Roman"/>
                <w:bCs/>
                <w:color w:val="auto"/>
                <w:sz w:val="24"/>
              </w:rPr>
              <w:t>）、《危险废物转移管理办法》等相关环境管理要求，实施五联单转运制度。</w:t>
            </w:r>
          </w:p>
          <w:p w14:paraId="729F92A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根据《建设项目危险废物环境影响评价指南》（环保部公告2017年第43号），本项目危险废物汇总及贮存场表如下：</w:t>
            </w:r>
          </w:p>
          <w:p w14:paraId="792CF72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危险废物汇总表</w:t>
            </w:r>
          </w:p>
          <w:tbl>
            <w:tblPr>
              <w:tblStyle w:val="23"/>
              <w:tblW w:w="4990"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41"/>
              <w:gridCol w:w="807"/>
              <w:gridCol w:w="982"/>
              <w:gridCol w:w="543"/>
              <w:gridCol w:w="901"/>
              <w:gridCol w:w="682"/>
              <w:gridCol w:w="635"/>
              <w:gridCol w:w="751"/>
              <w:gridCol w:w="670"/>
              <w:gridCol w:w="800"/>
              <w:gridCol w:w="955"/>
            </w:tblGrid>
            <w:tr w14:paraId="77E7C8F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tcBorders>
                    <w:tl2br w:val="nil"/>
                    <w:tr2bl w:val="nil"/>
                  </w:tcBorders>
                  <w:noWrap w:val="0"/>
                  <w:vAlign w:val="center"/>
                </w:tcPr>
                <w:p w14:paraId="44318CAE">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危险废物名称</w:t>
                  </w:r>
                </w:p>
              </w:tc>
              <w:tc>
                <w:tcPr>
                  <w:tcW w:w="476" w:type="pct"/>
                  <w:tcBorders>
                    <w:tl2br w:val="nil"/>
                    <w:tr2bl w:val="nil"/>
                  </w:tcBorders>
                  <w:noWrap w:val="0"/>
                  <w:vAlign w:val="center"/>
                </w:tcPr>
                <w:p w14:paraId="1B18C92E">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危险废物类别</w:t>
                  </w:r>
                </w:p>
              </w:tc>
              <w:tc>
                <w:tcPr>
                  <w:tcW w:w="580" w:type="pct"/>
                  <w:tcBorders>
                    <w:tl2br w:val="nil"/>
                    <w:tr2bl w:val="nil"/>
                  </w:tcBorders>
                  <w:noWrap w:val="0"/>
                  <w:vAlign w:val="center"/>
                </w:tcPr>
                <w:p w14:paraId="534FF721">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危险废物代码</w:t>
                  </w:r>
                </w:p>
              </w:tc>
              <w:tc>
                <w:tcPr>
                  <w:tcW w:w="320" w:type="pct"/>
                  <w:tcBorders>
                    <w:tl2br w:val="nil"/>
                    <w:tr2bl w:val="nil"/>
                  </w:tcBorders>
                  <w:noWrap w:val="0"/>
                  <w:vAlign w:val="center"/>
                </w:tcPr>
                <w:p w14:paraId="5B4AA77C">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产生量</w:t>
                  </w:r>
                </w:p>
              </w:tc>
              <w:tc>
                <w:tcPr>
                  <w:tcW w:w="531" w:type="pct"/>
                  <w:tcBorders>
                    <w:tl2br w:val="nil"/>
                    <w:tr2bl w:val="nil"/>
                  </w:tcBorders>
                  <w:noWrap w:val="0"/>
                  <w:vAlign w:val="center"/>
                </w:tcPr>
                <w:p w14:paraId="03C2ECD0">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产生工序及装置</w:t>
                  </w:r>
                </w:p>
              </w:tc>
              <w:tc>
                <w:tcPr>
                  <w:tcW w:w="403" w:type="pct"/>
                  <w:tcBorders>
                    <w:tl2br w:val="nil"/>
                    <w:tr2bl w:val="nil"/>
                  </w:tcBorders>
                  <w:noWrap w:val="0"/>
                  <w:vAlign w:val="center"/>
                </w:tcPr>
                <w:p w14:paraId="4E4E1780">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物理性状</w:t>
                  </w:r>
                </w:p>
              </w:tc>
              <w:tc>
                <w:tcPr>
                  <w:tcW w:w="374" w:type="pct"/>
                  <w:tcBorders>
                    <w:tl2br w:val="nil"/>
                    <w:tr2bl w:val="nil"/>
                  </w:tcBorders>
                  <w:noWrap w:val="0"/>
                  <w:vAlign w:val="center"/>
                </w:tcPr>
                <w:p w14:paraId="14394698">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主要成分</w:t>
                  </w:r>
                </w:p>
              </w:tc>
              <w:tc>
                <w:tcPr>
                  <w:tcW w:w="443" w:type="pct"/>
                  <w:tcBorders>
                    <w:tl2br w:val="nil"/>
                    <w:tr2bl w:val="nil"/>
                  </w:tcBorders>
                  <w:noWrap w:val="0"/>
                  <w:vAlign w:val="center"/>
                </w:tcPr>
                <w:p w14:paraId="737BA909">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有害成分</w:t>
                  </w:r>
                </w:p>
              </w:tc>
              <w:tc>
                <w:tcPr>
                  <w:tcW w:w="395" w:type="pct"/>
                  <w:tcBorders>
                    <w:tl2br w:val="nil"/>
                    <w:tr2bl w:val="nil"/>
                  </w:tcBorders>
                  <w:noWrap w:val="0"/>
                  <w:vAlign w:val="center"/>
                </w:tcPr>
                <w:p w14:paraId="479AF133">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产废周期</w:t>
                  </w:r>
                </w:p>
              </w:tc>
              <w:tc>
                <w:tcPr>
                  <w:tcW w:w="472" w:type="pct"/>
                  <w:tcBorders>
                    <w:tl2br w:val="nil"/>
                    <w:tr2bl w:val="nil"/>
                  </w:tcBorders>
                  <w:noWrap w:val="0"/>
                  <w:vAlign w:val="center"/>
                </w:tcPr>
                <w:p w14:paraId="4D8206C9">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危险特性</w:t>
                  </w:r>
                </w:p>
              </w:tc>
              <w:tc>
                <w:tcPr>
                  <w:tcW w:w="564" w:type="pct"/>
                  <w:tcBorders>
                    <w:tl2br w:val="nil"/>
                    <w:tr2bl w:val="nil"/>
                  </w:tcBorders>
                  <w:noWrap w:val="0"/>
                  <w:vAlign w:val="center"/>
                </w:tcPr>
                <w:p w14:paraId="10382E5D">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污染物防治措施</w:t>
                  </w:r>
                </w:p>
              </w:tc>
            </w:tr>
            <w:tr w14:paraId="0842BE8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vMerge w:val="restart"/>
                  <w:tcBorders>
                    <w:tl2br w:val="nil"/>
                    <w:tr2bl w:val="nil"/>
                  </w:tcBorders>
                  <w:noWrap w:val="0"/>
                  <w:vAlign w:val="center"/>
                </w:tcPr>
                <w:p w14:paraId="6A359E3A">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废油</w:t>
                  </w:r>
                </w:p>
              </w:tc>
              <w:tc>
                <w:tcPr>
                  <w:tcW w:w="476" w:type="pct"/>
                  <w:vMerge w:val="restart"/>
                  <w:tcBorders>
                    <w:tl2br w:val="nil"/>
                    <w:tr2bl w:val="nil"/>
                  </w:tcBorders>
                  <w:noWrap w:val="0"/>
                  <w:vAlign w:val="center"/>
                </w:tcPr>
                <w:p w14:paraId="28C38E5D">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default" w:ascii="Times New Roman" w:hAnsi="Times New Roman" w:cs="Courier New"/>
                      <w:color w:val="auto"/>
                      <w:szCs w:val="21"/>
                      <w:lang w:bidi="ar"/>
                    </w:rPr>
                    <w:t>HW08</w:t>
                  </w:r>
                </w:p>
              </w:tc>
              <w:tc>
                <w:tcPr>
                  <w:tcW w:w="580" w:type="pct"/>
                  <w:tcBorders>
                    <w:tl2br w:val="nil"/>
                    <w:tr2bl w:val="nil"/>
                  </w:tcBorders>
                  <w:noWrap w:val="0"/>
                  <w:vAlign w:val="center"/>
                </w:tcPr>
                <w:p w14:paraId="3C971864">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default" w:ascii="Times New Roman" w:hAnsi="Times New Roman" w:cs="Courier New"/>
                      <w:color w:val="auto"/>
                      <w:szCs w:val="21"/>
                      <w:lang w:bidi="ar"/>
                    </w:rPr>
                    <w:t>900-210-08</w:t>
                  </w:r>
                </w:p>
              </w:tc>
              <w:tc>
                <w:tcPr>
                  <w:tcW w:w="320" w:type="pct"/>
                  <w:vMerge w:val="restart"/>
                  <w:tcBorders>
                    <w:tl2br w:val="nil"/>
                    <w:tr2bl w:val="nil"/>
                  </w:tcBorders>
                  <w:noWrap w:val="0"/>
                  <w:vAlign w:val="center"/>
                </w:tcPr>
                <w:p w14:paraId="00387C21">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eastAsia" w:cs="Courier New"/>
                      <w:color w:val="auto"/>
                      <w:szCs w:val="21"/>
                      <w:lang w:val="en-US" w:eastAsia="zh-CN" w:bidi="ar"/>
                    </w:rPr>
                    <w:t>2</w:t>
                  </w:r>
                  <w:r>
                    <w:rPr>
                      <w:rFonts w:hint="default" w:ascii="Times New Roman" w:hAnsi="Times New Roman" w:cs="Courier New"/>
                      <w:color w:val="auto"/>
                      <w:szCs w:val="21"/>
                      <w:lang w:bidi="ar"/>
                    </w:rPr>
                    <w:t>5</w:t>
                  </w:r>
                  <w:r>
                    <w:rPr>
                      <w:rFonts w:hint="eastAsia" w:ascii="Times New Roman" w:hAnsi="Times New Roman" w:cs="Courier New"/>
                      <w:color w:val="auto"/>
                      <w:szCs w:val="21"/>
                      <w:lang w:bidi="ar"/>
                    </w:rPr>
                    <w:t>t</w:t>
                  </w:r>
                </w:p>
              </w:tc>
              <w:tc>
                <w:tcPr>
                  <w:tcW w:w="531" w:type="pct"/>
                  <w:vMerge w:val="restart"/>
                  <w:tcBorders>
                    <w:tl2br w:val="nil"/>
                    <w:tr2bl w:val="nil"/>
                  </w:tcBorders>
                  <w:noWrap w:val="0"/>
                  <w:vAlign w:val="center"/>
                </w:tcPr>
                <w:p w14:paraId="7F0D186F">
                  <w:pPr>
                    <w:keepNext w:val="0"/>
                    <w:keepLines w:val="0"/>
                    <w:suppressLineNumbers w:val="0"/>
                    <w:spacing w:before="0" w:beforeAutospacing="0" w:after="0" w:afterAutospacing="0"/>
                    <w:ind w:left="0" w:right="0"/>
                    <w:jc w:val="center"/>
                    <w:outlineLvl w:val="4"/>
                    <w:rPr>
                      <w:rFonts w:hint="default" w:ascii="宋体" w:hAnsi="宋体" w:eastAsia="宋体" w:cs="宋体"/>
                      <w:color w:val="auto"/>
                      <w:szCs w:val="21"/>
                      <w:lang w:val="en-US" w:eastAsia="zh-CN" w:bidi="ar"/>
                    </w:rPr>
                  </w:pPr>
                  <w:r>
                    <w:rPr>
                      <w:rFonts w:hint="eastAsia" w:ascii="宋体" w:hAnsi="宋体" w:cs="宋体"/>
                      <w:color w:val="auto"/>
                      <w:szCs w:val="21"/>
                      <w:lang w:val="en-US" w:eastAsia="zh-CN" w:bidi="ar"/>
                    </w:rPr>
                    <w:t>勘探过程</w:t>
                  </w:r>
                </w:p>
              </w:tc>
              <w:tc>
                <w:tcPr>
                  <w:tcW w:w="403" w:type="pct"/>
                  <w:vMerge w:val="restart"/>
                  <w:tcBorders>
                    <w:tl2br w:val="nil"/>
                    <w:tr2bl w:val="nil"/>
                  </w:tcBorders>
                  <w:noWrap w:val="0"/>
                  <w:vAlign w:val="center"/>
                </w:tcPr>
                <w:p w14:paraId="78F4D329">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固态、液态</w:t>
                  </w:r>
                </w:p>
              </w:tc>
              <w:tc>
                <w:tcPr>
                  <w:tcW w:w="374" w:type="pct"/>
                  <w:vMerge w:val="restart"/>
                  <w:tcBorders>
                    <w:tl2br w:val="nil"/>
                    <w:tr2bl w:val="nil"/>
                  </w:tcBorders>
                  <w:noWrap w:val="0"/>
                  <w:vAlign w:val="center"/>
                </w:tcPr>
                <w:p w14:paraId="1CF32059">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矿物油</w:t>
                  </w:r>
                </w:p>
              </w:tc>
              <w:tc>
                <w:tcPr>
                  <w:tcW w:w="443" w:type="pct"/>
                  <w:vMerge w:val="restart"/>
                  <w:tcBorders>
                    <w:tl2br w:val="nil"/>
                    <w:tr2bl w:val="nil"/>
                  </w:tcBorders>
                  <w:noWrap w:val="0"/>
                  <w:vAlign w:val="center"/>
                </w:tcPr>
                <w:p w14:paraId="5AF45733">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石油类</w:t>
                  </w:r>
                </w:p>
              </w:tc>
              <w:tc>
                <w:tcPr>
                  <w:tcW w:w="395" w:type="pct"/>
                  <w:vMerge w:val="restart"/>
                  <w:tcBorders>
                    <w:tl2br w:val="nil"/>
                    <w:tr2bl w:val="nil"/>
                  </w:tcBorders>
                  <w:noWrap w:val="0"/>
                  <w:vAlign w:val="center"/>
                </w:tcPr>
                <w:p w14:paraId="423F6D06">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钻井、压裂期间</w:t>
                  </w:r>
                </w:p>
              </w:tc>
              <w:tc>
                <w:tcPr>
                  <w:tcW w:w="472" w:type="pct"/>
                  <w:vMerge w:val="restart"/>
                  <w:tcBorders>
                    <w:tl2br w:val="nil"/>
                    <w:tr2bl w:val="nil"/>
                  </w:tcBorders>
                  <w:noWrap w:val="0"/>
                  <w:vAlign w:val="center"/>
                </w:tcPr>
                <w:p w14:paraId="4D1DFD92">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T</w:t>
                  </w:r>
                  <w:r>
                    <w:rPr>
                      <w:rFonts w:hint="eastAsia" w:ascii="宋体" w:hAnsi="宋体" w:cs="宋体"/>
                      <w:color w:val="auto"/>
                      <w:szCs w:val="21"/>
                      <w:lang w:bidi="ar"/>
                    </w:rPr>
                    <w:t>、</w:t>
                  </w:r>
                  <w:r>
                    <w:rPr>
                      <w:rFonts w:hint="default" w:ascii="Times New Roman" w:hAnsi="Times New Roman" w:cs="Courier New"/>
                      <w:color w:val="auto"/>
                      <w:szCs w:val="21"/>
                      <w:lang w:bidi="ar"/>
                    </w:rPr>
                    <w:t>I</w:t>
                  </w:r>
                </w:p>
              </w:tc>
              <w:tc>
                <w:tcPr>
                  <w:tcW w:w="564" w:type="pct"/>
                  <w:vMerge w:val="restart"/>
                  <w:tcBorders>
                    <w:tl2br w:val="nil"/>
                    <w:tr2bl w:val="nil"/>
                  </w:tcBorders>
                  <w:noWrap w:val="0"/>
                  <w:vAlign w:val="center"/>
                </w:tcPr>
                <w:p w14:paraId="195AA106">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暂存于危废暂存间，完钻后交由危废资质单位处置</w:t>
                  </w:r>
                </w:p>
              </w:tc>
            </w:tr>
            <w:tr w14:paraId="1530E22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vMerge w:val="continue"/>
                  <w:tcBorders>
                    <w:tl2br w:val="nil"/>
                    <w:tr2bl w:val="nil"/>
                  </w:tcBorders>
                  <w:noWrap w:val="0"/>
                  <w:vAlign w:val="center"/>
                </w:tcPr>
                <w:p w14:paraId="36DC0A7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rPr>
                  </w:pPr>
                </w:p>
              </w:tc>
              <w:tc>
                <w:tcPr>
                  <w:tcW w:w="476" w:type="pct"/>
                  <w:vMerge w:val="continue"/>
                  <w:tcBorders>
                    <w:tl2br w:val="nil"/>
                    <w:tr2bl w:val="nil"/>
                  </w:tcBorders>
                  <w:noWrap w:val="0"/>
                  <w:vAlign w:val="center"/>
                </w:tcPr>
                <w:p w14:paraId="09F0A049">
                  <w:pPr>
                    <w:keepNext w:val="0"/>
                    <w:keepLines w:val="0"/>
                    <w:suppressLineNumbers w:val="0"/>
                    <w:spacing w:before="0" w:beforeAutospacing="0" w:after="0" w:afterAutospacing="0"/>
                    <w:ind w:left="0" w:right="0"/>
                    <w:jc w:val="left"/>
                    <w:rPr>
                      <w:rFonts w:hint="default" w:ascii="Times New Roman" w:hAnsi="Times New Roman" w:cs="Courier New"/>
                      <w:color w:val="auto"/>
                      <w:szCs w:val="21"/>
                    </w:rPr>
                  </w:pPr>
                </w:p>
              </w:tc>
              <w:tc>
                <w:tcPr>
                  <w:tcW w:w="580" w:type="pct"/>
                  <w:tcBorders>
                    <w:tl2br w:val="nil"/>
                    <w:tr2bl w:val="nil"/>
                  </w:tcBorders>
                  <w:noWrap w:val="0"/>
                  <w:vAlign w:val="center"/>
                </w:tcPr>
                <w:p w14:paraId="7C3949C9">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900-249-08</w:t>
                  </w:r>
                </w:p>
              </w:tc>
              <w:tc>
                <w:tcPr>
                  <w:tcW w:w="320" w:type="pct"/>
                  <w:vMerge w:val="continue"/>
                  <w:tcBorders>
                    <w:tl2br w:val="nil"/>
                    <w:tr2bl w:val="nil"/>
                  </w:tcBorders>
                  <w:noWrap w:val="0"/>
                  <w:vAlign w:val="center"/>
                </w:tcPr>
                <w:p w14:paraId="07038909">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531" w:type="pct"/>
                  <w:vMerge w:val="continue"/>
                  <w:tcBorders>
                    <w:tl2br w:val="nil"/>
                    <w:tr2bl w:val="nil"/>
                  </w:tcBorders>
                  <w:noWrap w:val="0"/>
                  <w:vAlign w:val="center"/>
                </w:tcPr>
                <w:p w14:paraId="569AD3CB">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03" w:type="pct"/>
                  <w:vMerge w:val="continue"/>
                  <w:tcBorders>
                    <w:tl2br w:val="nil"/>
                    <w:tr2bl w:val="nil"/>
                  </w:tcBorders>
                  <w:noWrap w:val="0"/>
                  <w:vAlign w:val="center"/>
                </w:tcPr>
                <w:p w14:paraId="33BE83C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374" w:type="pct"/>
                  <w:vMerge w:val="continue"/>
                  <w:tcBorders>
                    <w:tl2br w:val="nil"/>
                    <w:tr2bl w:val="nil"/>
                  </w:tcBorders>
                  <w:noWrap w:val="0"/>
                  <w:vAlign w:val="center"/>
                </w:tcPr>
                <w:p w14:paraId="586F4B46">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43" w:type="pct"/>
                  <w:vMerge w:val="continue"/>
                  <w:tcBorders>
                    <w:tl2br w:val="nil"/>
                    <w:tr2bl w:val="nil"/>
                  </w:tcBorders>
                  <w:noWrap w:val="0"/>
                  <w:vAlign w:val="center"/>
                </w:tcPr>
                <w:p w14:paraId="33276BBB">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395" w:type="pct"/>
                  <w:vMerge w:val="continue"/>
                  <w:tcBorders>
                    <w:tl2br w:val="nil"/>
                    <w:tr2bl w:val="nil"/>
                  </w:tcBorders>
                  <w:noWrap w:val="0"/>
                  <w:vAlign w:val="center"/>
                </w:tcPr>
                <w:p w14:paraId="345D655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72" w:type="pct"/>
                  <w:vMerge w:val="continue"/>
                  <w:tcBorders>
                    <w:tl2br w:val="nil"/>
                    <w:tr2bl w:val="nil"/>
                  </w:tcBorders>
                  <w:noWrap w:val="0"/>
                  <w:vAlign w:val="center"/>
                </w:tcPr>
                <w:p w14:paraId="3BF1F2C1">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564" w:type="pct"/>
                  <w:vMerge w:val="continue"/>
                  <w:tcBorders>
                    <w:tl2br w:val="nil"/>
                    <w:tr2bl w:val="nil"/>
                  </w:tcBorders>
                  <w:noWrap w:val="0"/>
                  <w:vAlign w:val="center"/>
                </w:tcPr>
                <w:p w14:paraId="5E5CD492">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r>
            <w:tr w14:paraId="4794B6B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tcBorders>
                    <w:tl2br w:val="nil"/>
                    <w:tr2bl w:val="nil"/>
                  </w:tcBorders>
                  <w:noWrap w:val="0"/>
                  <w:vAlign w:val="center"/>
                </w:tcPr>
                <w:p w14:paraId="0489A43F">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含油污染物</w:t>
                  </w:r>
                </w:p>
              </w:tc>
              <w:tc>
                <w:tcPr>
                  <w:tcW w:w="476" w:type="pct"/>
                  <w:tcBorders>
                    <w:tl2br w:val="nil"/>
                    <w:tr2bl w:val="nil"/>
                  </w:tcBorders>
                  <w:noWrap w:val="0"/>
                  <w:vAlign w:val="center"/>
                </w:tcPr>
                <w:p w14:paraId="4CF281BC">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HW49</w:t>
                  </w:r>
                </w:p>
              </w:tc>
              <w:tc>
                <w:tcPr>
                  <w:tcW w:w="580" w:type="pct"/>
                  <w:tcBorders>
                    <w:tl2br w:val="nil"/>
                    <w:tr2bl w:val="nil"/>
                  </w:tcBorders>
                  <w:noWrap w:val="0"/>
                  <w:vAlign w:val="center"/>
                </w:tcPr>
                <w:p w14:paraId="368F3314">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900-041-49</w:t>
                  </w:r>
                </w:p>
              </w:tc>
              <w:tc>
                <w:tcPr>
                  <w:tcW w:w="320" w:type="pct"/>
                  <w:tcBorders>
                    <w:tl2br w:val="nil"/>
                    <w:tr2bl w:val="nil"/>
                  </w:tcBorders>
                  <w:noWrap w:val="0"/>
                  <w:vAlign w:val="center"/>
                </w:tcPr>
                <w:p w14:paraId="57FE1737">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5t</w:t>
                  </w:r>
                </w:p>
              </w:tc>
              <w:tc>
                <w:tcPr>
                  <w:tcW w:w="531" w:type="pct"/>
                  <w:tcBorders>
                    <w:tl2br w:val="nil"/>
                    <w:tr2bl w:val="nil"/>
                  </w:tcBorders>
                  <w:noWrap w:val="0"/>
                  <w:vAlign w:val="center"/>
                </w:tcPr>
                <w:p w14:paraId="2F6D3CA5">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设备维护</w:t>
                  </w:r>
                </w:p>
              </w:tc>
              <w:tc>
                <w:tcPr>
                  <w:tcW w:w="403" w:type="pct"/>
                  <w:tcBorders>
                    <w:tl2br w:val="nil"/>
                    <w:tr2bl w:val="nil"/>
                  </w:tcBorders>
                  <w:noWrap w:val="0"/>
                  <w:vAlign w:val="center"/>
                </w:tcPr>
                <w:p w14:paraId="2DBB04B4">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固态</w:t>
                  </w:r>
                </w:p>
              </w:tc>
              <w:tc>
                <w:tcPr>
                  <w:tcW w:w="374" w:type="pct"/>
                  <w:tcBorders>
                    <w:tl2br w:val="nil"/>
                    <w:tr2bl w:val="nil"/>
                  </w:tcBorders>
                  <w:noWrap w:val="0"/>
                  <w:vAlign w:val="center"/>
                </w:tcPr>
                <w:p w14:paraId="271E50B5">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矿物油</w:t>
                  </w:r>
                </w:p>
              </w:tc>
              <w:tc>
                <w:tcPr>
                  <w:tcW w:w="443" w:type="pct"/>
                  <w:tcBorders>
                    <w:tl2br w:val="nil"/>
                    <w:tr2bl w:val="nil"/>
                  </w:tcBorders>
                  <w:noWrap w:val="0"/>
                  <w:vAlign w:val="center"/>
                </w:tcPr>
                <w:p w14:paraId="04D78DBE">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石油类</w:t>
                  </w:r>
                </w:p>
              </w:tc>
              <w:tc>
                <w:tcPr>
                  <w:tcW w:w="395" w:type="pct"/>
                  <w:tcBorders>
                    <w:tl2br w:val="nil"/>
                    <w:tr2bl w:val="nil"/>
                  </w:tcBorders>
                  <w:noWrap w:val="0"/>
                  <w:vAlign w:val="center"/>
                </w:tcPr>
                <w:p w14:paraId="307AA188">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eastAsia" w:ascii="Times New Roman" w:hAnsi="Times New Roman" w:cs="Courier New"/>
                      <w:color w:val="auto"/>
                      <w:szCs w:val="21"/>
                      <w:lang w:bidi="ar"/>
                    </w:rPr>
                    <w:t>1个月</w:t>
                  </w:r>
                </w:p>
              </w:tc>
              <w:tc>
                <w:tcPr>
                  <w:tcW w:w="472" w:type="pct"/>
                  <w:tcBorders>
                    <w:tl2br w:val="nil"/>
                    <w:tr2bl w:val="nil"/>
                  </w:tcBorders>
                  <w:noWrap w:val="0"/>
                  <w:vAlign w:val="center"/>
                </w:tcPr>
                <w:p w14:paraId="377118CF">
                  <w:pPr>
                    <w:keepNext w:val="0"/>
                    <w:keepLines w:val="0"/>
                    <w:suppressLineNumbers w:val="0"/>
                    <w:spacing w:before="0" w:beforeAutospacing="0" w:after="0" w:afterAutospacing="0"/>
                    <w:ind w:left="0" w:right="0"/>
                    <w:jc w:val="center"/>
                    <w:outlineLvl w:val="4"/>
                    <w:rPr>
                      <w:rFonts w:hint="eastAsia" w:ascii="Times New Roman" w:hAnsi="Times New Roman" w:eastAsia="KaiTi_GB2312" w:cs="Courier New"/>
                      <w:color w:val="auto"/>
                      <w:szCs w:val="21"/>
                      <w:lang w:bidi="ar"/>
                    </w:rPr>
                  </w:pPr>
                  <w:r>
                    <w:rPr>
                      <w:rFonts w:hint="default" w:ascii="Times New Roman" w:hAnsi="Times New Roman" w:cs="Courier New"/>
                      <w:color w:val="auto"/>
                      <w:szCs w:val="21"/>
                      <w:lang w:bidi="ar"/>
                    </w:rPr>
                    <w:t>T</w:t>
                  </w:r>
                  <w:r>
                    <w:rPr>
                      <w:rFonts w:hint="eastAsia" w:ascii="宋体" w:hAnsi="宋体" w:cs="宋体"/>
                      <w:color w:val="auto"/>
                      <w:szCs w:val="21"/>
                      <w:lang w:bidi="ar"/>
                    </w:rPr>
                    <w:t>、</w:t>
                  </w:r>
                  <w:r>
                    <w:rPr>
                      <w:rFonts w:hint="default" w:ascii="Times New Roman" w:hAnsi="Times New Roman" w:cs="Courier New"/>
                      <w:color w:val="auto"/>
                      <w:szCs w:val="21"/>
                      <w:lang w:bidi="ar"/>
                    </w:rPr>
                    <w:t>I</w:t>
                  </w:r>
                  <w:r>
                    <w:rPr>
                      <w:rFonts w:hint="eastAsia" w:ascii="Times New Roman" w:hAnsi="Times New Roman" w:cs="Courier New"/>
                      <w:color w:val="auto"/>
                      <w:szCs w:val="21"/>
                      <w:lang w:bidi="ar"/>
                    </w:rPr>
                    <w:t>n</w:t>
                  </w:r>
                </w:p>
              </w:tc>
              <w:tc>
                <w:tcPr>
                  <w:tcW w:w="564" w:type="pct"/>
                  <w:vMerge w:val="continue"/>
                  <w:tcBorders>
                    <w:tl2br w:val="nil"/>
                    <w:tr2bl w:val="nil"/>
                  </w:tcBorders>
                  <w:noWrap w:val="0"/>
                  <w:vAlign w:val="center"/>
                </w:tcPr>
                <w:p w14:paraId="6C17BC58">
                  <w:pPr>
                    <w:keepNext w:val="0"/>
                    <w:keepLines w:val="0"/>
                    <w:suppressLineNumbers w:val="0"/>
                    <w:spacing w:before="0" w:beforeAutospacing="0" w:after="0" w:afterAutospacing="0"/>
                    <w:ind w:left="0" w:right="0"/>
                    <w:jc w:val="left"/>
                    <w:rPr>
                      <w:rFonts w:hint="eastAsia" w:ascii="宋体" w:hAnsi="宋体" w:cs="宋体"/>
                      <w:color w:val="auto"/>
                      <w:szCs w:val="21"/>
                      <w:lang w:bidi="ar"/>
                    </w:rPr>
                  </w:pPr>
                </w:p>
              </w:tc>
            </w:tr>
          </w:tbl>
          <w:p w14:paraId="35E813AC">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危险废物贮存场所基本情况一览表</w:t>
            </w:r>
          </w:p>
          <w:tbl>
            <w:tblPr>
              <w:tblStyle w:val="2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969"/>
              <w:gridCol w:w="1282"/>
              <w:gridCol w:w="984"/>
              <w:gridCol w:w="705"/>
              <w:gridCol w:w="1224"/>
              <w:gridCol w:w="902"/>
              <w:gridCol w:w="1132"/>
            </w:tblGrid>
            <w:tr w14:paraId="2EBC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439301DF">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危险废物名称</w:t>
                  </w:r>
                </w:p>
              </w:tc>
              <w:tc>
                <w:tcPr>
                  <w:tcW w:w="572" w:type="pct"/>
                  <w:noWrap w:val="0"/>
                  <w:vAlign w:val="center"/>
                </w:tcPr>
                <w:p w14:paraId="05A21825">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危险废物类别</w:t>
                  </w:r>
                </w:p>
              </w:tc>
              <w:tc>
                <w:tcPr>
                  <w:tcW w:w="756" w:type="pct"/>
                  <w:noWrap w:val="0"/>
                  <w:vAlign w:val="center"/>
                </w:tcPr>
                <w:p w14:paraId="4C69FDDC">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危险废物代码</w:t>
                  </w:r>
                </w:p>
              </w:tc>
              <w:tc>
                <w:tcPr>
                  <w:tcW w:w="580" w:type="pct"/>
                  <w:noWrap w:val="0"/>
                  <w:vAlign w:val="center"/>
                </w:tcPr>
                <w:p w14:paraId="27E45F8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位置</w:t>
                  </w:r>
                </w:p>
              </w:tc>
              <w:tc>
                <w:tcPr>
                  <w:tcW w:w="416" w:type="pct"/>
                  <w:noWrap w:val="0"/>
                  <w:vAlign w:val="center"/>
                </w:tcPr>
                <w:p w14:paraId="75C5FB2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占地</w:t>
                  </w:r>
                </w:p>
                <w:p w14:paraId="702FE73D">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面积</w:t>
                  </w:r>
                </w:p>
              </w:tc>
              <w:tc>
                <w:tcPr>
                  <w:tcW w:w="722" w:type="pct"/>
                  <w:noWrap w:val="0"/>
                  <w:vAlign w:val="center"/>
                </w:tcPr>
                <w:p w14:paraId="24196EDD">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贮存方式</w:t>
                  </w:r>
                </w:p>
              </w:tc>
              <w:tc>
                <w:tcPr>
                  <w:tcW w:w="532" w:type="pct"/>
                  <w:noWrap w:val="0"/>
                  <w:vAlign w:val="center"/>
                </w:tcPr>
                <w:p w14:paraId="01EB0571">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贮存能力</w:t>
                  </w:r>
                  <w:r>
                    <w:rPr>
                      <w:rFonts w:hint="eastAsia" w:ascii="Times New Roman" w:hAnsi="Times New Roman" w:cs="Times New Roman"/>
                      <w:b/>
                      <w:color w:val="auto"/>
                      <w:szCs w:val="21"/>
                    </w:rPr>
                    <w:t>（t）</w:t>
                  </w:r>
                </w:p>
              </w:tc>
              <w:tc>
                <w:tcPr>
                  <w:tcW w:w="668" w:type="pct"/>
                  <w:noWrap w:val="0"/>
                  <w:vAlign w:val="center"/>
                </w:tcPr>
                <w:p w14:paraId="4897AFF5">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贮存周期</w:t>
                  </w:r>
                </w:p>
              </w:tc>
            </w:tr>
            <w:tr w14:paraId="14F5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468BC1D0">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宋体" w:hAnsi="宋体" w:cs="宋体"/>
                      <w:color w:val="auto"/>
                      <w:szCs w:val="21"/>
                      <w:lang w:bidi="ar"/>
                    </w:rPr>
                    <w:t>废油</w:t>
                  </w:r>
                </w:p>
              </w:tc>
              <w:tc>
                <w:tcPr>
                  <w:tcW w:w="572" w:type="pct"/>
                  <w:noWrap w:val="0"/>
                  <w:vAlign w:val="center"/>
                </w:tcPr>
                <w:p w14:paraId="22B1B28E">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default" w:ascii="Times New Roman" w:hAnsi="Times New Roman" w:cs="Courier New"/>
                      <w:color w:val="auto"/>
                      <w:szCs w:val="21"/>
                      <w:lang w:bidi="ar"/>
                    </w:rPr>
                    <w:t>HW08</w:t>
                  </w:r>
                </w:p>
              </w:tc>
              <w:tc>
                <w:tcPr>
                  <w:tcW w:w="756" w:type="pct"/>
                  <w:noWrap w:val="0"/>
                  <w:vAlign w:val="center"/>
                </w:tcPr>
                <w:p w14:paraId="165EBFBD">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900-210-08</w:t>
                  </w:r>
                </w:p>
                <w:p w14:paraId="5C8074FB">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default" w:ascii="Times New Roman" w:hAnsi="Times New Roman" w:cs="Courier New"/>
                      <w:color w:val="auto"/>
                      <w:szCs w:val="21"/>
                      <w:lang w:bidi="ar"/>
                    </w:rPr>
                    <w:t>900-249-08</w:t>
                  </w:r>
                </w:p>
              </w:tc>
              <w:tc>
                <w:tcPr>
                  <w:tcW w:w="580" w:type="pct"/>
                  <w:vMerge w:val="restart"/>
                  <w:noWrap w:val="0"/>
                  <w:vAlign w:val="center"/>
                </w:tcPr>
                <w:p w14:paraId="7CC6498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井场</w:t>
                  </w:r>
                  <w:r>
                    <w:rPr>
                      <w:rFonts w:hint="eastAsia" w:ascii="Times New Roman" w:hAnsi="Times New Roman" w:cs="Times New Roman"/>
                      <w:color w:val="auto"/>
                      <w:szCs w:val="21"/>
                      <w:lang w:val="en-US" w:eastAsia="zh-CN"/>
                    </w:rPr>
                    <w:t>西北侧</w:t>
                  </w:r>
                  <w:r>
                    <w:rPr>
                      <w:rFonts w:hint="eastAsia" w:ascii="Times New Roman" w:hAnsi="Times New Roman" w:cs="Times New Roman"/>
                      <w:color w:val="auto"/>
                      <w:szCs w:val="21"/>
                    </w:rPr>
                    <w:t>，危废暂存间</w:t>
                  </w:r>
                </w:p>
              </w:tc>
              <w:tc>
                <w:tcPr>
                  <w:tcW w:w="416" w:type="pct"/>
                  <w:vMerge w:val="restart"/>
                  <w:noWrap w:val="0"/>
                  <w:vAlign w:val="center"/>
                </w:tcPr>
                <w:p w14:paraId="3FFEDEF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1</w:t>
                  </w:r>
                  <w:r>
                    <w:rPr>
                      <w:rFonts w:hint="eastAsia" w:cs="Times New Roman"/>
                      <w:color w:val="auto"/>
                      <w:szCs w:val="21"/>
                      <w:lang w:val="en-US" w:eastAsia="zh-CN"/>
                    </w:rPr>
                    <w:t>6</w:t>
                  </w:r>
                  <w:r>
                    <w:rPr>
                      <w:rFonts w:hint="eastAsia" w:ascii="Times New Roman" w:hAnsi="Times New Roman" w:cs="Times New Roman"/>
                      <w:color w:val="auto"/>
                      <w:szCs w:val="21"/>
                    </w:rPr>
                    <w:t>m</w:t>
                  </w:r>
                  <w:r>
                    <w:rPr>
                      <w:rFonts w:hint="eastAsia" w:ascii="Times New Roman" w:hAnsi="Times New Roman" w:cs="Times New Roman"/>
                      <w:color w:val="auto"/>
                      <w:szCs w:val="21"/>
                      <w:vertAlign w:val="superscript"/>
                    </w:rPr>
                    <w:t>2</w:t>
                  </w:r>
                </w:p>
              </w:tc>
              <w:tc>
                <w:tcPr>
                  <w:tcW w:w="722" w:type="pct"/>
                  <w:noWrap w:val="0"/>
                  <w:vAlign w:val="center"/>
                </w:tcPr>
                <w:p w14:paraId="535ECA7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桶装</w:t>
                  </w:r>
                  <w:r>
                    <w:rPr>
                      <w:rFonts w:hint="default" w:ascii="Times New Roman" w:hAnsi="Times New Roman" w:cs="Times New Roman"/>
                      <w:color w:val="auto"/>
                      <w:szCs w:val="21"/>
                    </w:rPr>
                    <w:t>密封</w:t>
                  </w:r>
                </w:p>
              </w:tc>
              <w:tc>
                <w:tcPr>
                  <w:tcW w:w="532" w:type="pct"/>
                  <w:vMerge w:val="restart"/>
                  <w:noWrap w:val="0"/>
                  <w:vAlign w:val="center"/>
                </w:tcPr>
                <w:p w14:paraId="1A7185BB">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满足产废需求</w:t>
                  </w:r>
                </w:p>
              </w:tc>
              <w:tc>
                <w:tcPr>
                  <w:tcW w:w="668" w:type="pct"/>
                  <w:vMerge w:val="restart"/>
                  <w:noWrap w:val="0"/>
                  <w:vAlign w:val="center"/>
                </w:tcPr>
                <w:p w14:paraId="2F9794A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rPr>
                  </w:pPr>
                  <w:r>
                    <w:rPr>
                      <w:rFonts w:hint="eastAsia" w:ascii="宋体" w:hAnsi="宋体" w:cs="Times New Roman"/>
                      <w:bCs/>
                      <w:color w:val="auto"/>
                      <w:szCs w:val="21"/>
                    </w:rPr>
                    <w:t>暂存，</w:t>
                  </w:r>
                  <w:r>
                    <w:rPr>
                      <w:rFonts w:hint="eastAsia" w:ascii="宋体" w:hAnsi="宋体" w:cs="Times New Roman"/>
                      <w:bCs/>
                      <w:color w:val="auto"/>
                      <w:szCs w:val="21"/>
                      <w:lang w:val="en-US" w:eastAsia="zh-CN"/>
                    </w:rPr>
                    <w:t>定期</w:t>
                  </w:r>
                  <w:r>
                    <w:rPr>
                      <w:rFonts w:hint="eastAsia" w:ascii="宋体" w:hAnsi="宋体" w:cs="Times New Roman"/>
                      <w:bCs/>
                      <w:color w:val="auto"/>
                      <w:szCs w:val="21"/>
                    </w:rPr>
                    <w:t>拉运</w:t>
                  </w:r>
                </w:p>
              </w:tc>
            </w:tr>
            <w:tr w14:paraId="51FE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2C778248">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宋体" w:hAnsi="宋体" w:cs="宋体"/>
                      <w:color w:val="auto"/>
                      <w:szCs w:val="21"/>
                      <w:lang w:bidi="ar"/>
                    </w:rPr>
                    <w:t>含油污染物</w:t>
                  </w:r>
                </w:p>
              </w:tc>
              <w:tc>
                <w:tcPr>
                  <w:tcW w:w="572" w:type="pct"/>
                  <w:noWrap w:val="0"/>
                  <w:vAlign w:val="center"/>
                </w:tcPr>
                <w:p w14:paraId="57F66DA9">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Times New Roman" w:hAnsi="Times New Roman" w:cs="Courier New"/>
                      <w:color w:val="auto"/>
                      <w:szCs w:val="21"/>
                      <w:lang w:bidi="ar"/>
                    </w:rPr>
                    <w:t>HW49</w:t>
                  </w:r>
                </w:p>
              </w:tc>
              <w:tc>
                <w:tcPr>
                  <w:tcW w:w="756" w:type="pct"/>
                  <w:noWrap w:val="0"/>
                  <w:vAlign w:val="center"/>
                </w:tcPr>
                <w:p w14:paraId="2B41D902">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Times New Roman" w:hAnsi="Times New Roman" w:cs="Courier New"/>
                      <w:color w:val="auto"/>
                      <w:szCs w:val="21"/>
                      <w:lang w:bidi="ar"/>
                    </w:rPr>
                    <w:t>900-041-49</w:t>
                  </w:r>
                </w:p>
              </w:tc>
              <w:tc>
                <w:tcPr>
                  <w:tcW w:w="580" w:type="pct"/>
                  <w:vMerge w:val="continue"/>
                  <w:noWrap w:val="0"/>
                  <w:vAlign w:val="center"/>
                </w:tcPr>
                <w:p w14:paraId="1FA2294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416" w:type="pct"/>
                  <w:vMerge w:val="continue"/>
                  <w:noWrap w:val="0"/>
                  <w:vAlign w:val="center"/>
                </w:tcPr>
                <w:p w14:paraId="55B87A3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22" w:type="pct"/>
                  <w:noWrap w:val="0"/>
                  <w:vAlign w:val="center"/>
                </w:tcPr>
                <w:p w14:paraId="05742F6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桶装</w:t>
                  </w:r>
                  <w:r>
                    <w:rPr>
                      <w:rFonts w:hint="default" w:ascii="Times New Roman" w:hAnsi="Times New Roman" w:cs="Times New Roman"/>
                      <w:color w:val="auto"/>
                      <w:szCs w:val="21"/>
                    </w:rPr>
                    <w:t>密封</w:t>
                  </w:r>
                </w:p>
              </w:tc>
              <w:tc>
                <w:tcPr>
                  <w:tcW w:w="532" w:type="pct"/>
                  <w:vMerge w:val="continue"/>
                  <w:noWrap w:val="0"/>
                  <w:vAlign w:val="center"/>
                </w:tcPr>
                <w:p w14:paraId="6473D459">
                  <w:pPr>
                    <w:keepNext w:val="0"/>
                    <w:keepLines w:val="0"/>
                    <w:suppressLineNumbers w:val="0"/>
                    <w:autoSpaceDE w:val="0"/>
                    <w:autoSpaceDN w:val="0"/>
                    <w:spacing w:before="0" w:beforeAutospacing="0" w:after="0" w:afterAutospacing="0"/>
                    <w:ind w:left="0" w:right="0"/>
                    <w:jc w:val="left"/>
                    <w:rPr>
                      <w:rFonts w:hint="default" w:ascii="Times New Roman" w:hAnsi="Times New Roman" w:cs="Times New Roman"/>
                      <w:color w:val="auto"/>
                      <w:szCs w:val="21"/>
                    </w:rPr>
                  </w:pPr>
                </w:p>
              </w:tc>
              <w:tc>
                <w:tcPr>
                  <w:tcW w:w="668" w:type="pct"/>
                  <w:vMerge w:val="continue"/>
                  <w:noWrap w:val="0"/>
                  <w:vAlign w:val="center"/>
                </w:tcPr>
                <w:p w14:paraId="49FE722B">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p>
              </w:tc>
            </w:tr>
          </w:tbl>
          <w:p w14:paraId="5F1B286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4、</w:t>
            </w:r>
            <w:r>
              <w:rPr>
                <w:rFonts w:hint="default" w:ascii="Times New Roman" w:hAnsi="Times New Roman" w:cs="Times New Roman"/>
                <w:b/>
                <w:bCs/>
                <w:color w:val="auto"/>
                <w:sz w:val="24"/>
              </w:rPr>
              <w:t>生活垃圾</w:t>
            </w:r>
          </w:p>
          <w:p w14:paraId="04F83B1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钻井期，工作人员生活垃圾产生量按照0.55kg/人·d，钻井队伍50人，钻井时间</w:t>
            </w:r>
            <w:r>
              <w:rPr>
                <w:rFonts w:hint="eastAsia" w:ascii="Times New Roman" w:hAnsi="Times New Roman" w:cs="Times New Roman"/>
                <w:bCs/>
                <w:color w:val="auto"/>
                <w:sz w:val="24"/>
              </w:rPr>
              <w:t>300</w:t>
            </w:r>
            <w:r>
              <w:rPr>
                <w:rFonts w:hint="default" w:ascii="Times New Roman" w:hAnsi="Times New Roman" w:cs="Times New Roman"/>
                <w:bCs/>
                <w:color w:val="auto"/>
                <w:sz w:val="24"/>
              </w:rPr>
              <w:t>天，则生活垃圾产生量为27.5kg/d，总产生量为</w:t>
            </w:r>
            <w:r>
              <w:rPr>
                <w:rFonts w:hint="eastAsia" w:ascii="Times New Roman" w:hAnsi="Times New Roman" w:cs="Times New Roman"/>
                <w:bCs/>
                <w:color w:val="auto"/>
                <w:sz w:val="24"/>
              </w:rPr>
              <w:t>8.25</w:t>
            </w:r>
            <w:r>
              <w:rPr>
                <w:rFonts w:hint="default" w:ascii="Times New Roman" w:hAnsi="Times New Roman" w:cs="Times New Roman"/>
                <w:bCs/>
                <w:color w:val="auto"/>
                <w:sz w:val="24"/>
              </w:rPr>
              <w:t>t。生活垃圾存放于井场区域的垃圾箱，</w:t>
            </w:r>
            <w:r>
              <w:rPr>
                <w:rFonts w:hint="eastAsia" w:ascii="Times New Roman" w:hAnsi="Times New Roman" w:cs="Times New Roman"/>
                <w:bCs/>
                <w:color w:val="auto"/>
                <w:sz w:val="24"/>
                <w:lang w:val="en-US" w:eastAsia="zh-CN"/>
              </w:rPr>
              <w:t>由</w:t>
            </w:r>
            <w:r>
              <w:rPr>
                <w:rFonts w:hint="eastAsia" w:ascii="Times New Roman" w:hAnsi="Times New Roman" w:cs="Times New Roman"/>
                <w:bCs/>
                <w:color w:val="auto"/>
                <w:sz w:val="24"/>
              </w:rPr>
              <w:t>当地环卫</w:t>
            </w:r>
            <w:r>
              <w:rPr>
                <w:rFonts w:hint="eastAsia" w:ascii="Times New Roman" w:hAnsi="Times New Roman" w:cs="Times New Roman"/>
                <w:bCs/>
                <w:color w:val="auto"/>
                <w:sz w:val="24"/>
                <w:lang w:val="en-US" w:eastAsia="zh-CN"/>
              </w:rPr>
              <w:t>部门</w:t>
            </w:r>
            <w:r>
              <w:rPr>
                <w:rFonts w:hint="default" w:ascii="Times New Roman" w:hAnsi="Times New Roman" w:cs="Times New Roman"/>
                <w:bCs/>
                <w:color w:val="auto"/>
                <w:sz w:val="24"/>
              </w:rPr>
              <w:t>定期</w:t>
            </w:r>
            <w:r>
              <w:rPr>
                <w:rFonts w:hint="eastAsia" w:ascii="Times New Roman" w:hAnsi="Times New Roman" w:cs="Times New Roman"/>
                <w:bCs/>
                <w:color w:val="auto"/>
                <w:sz w:val="24"/>
                <w:lang w:val="en-US" w:eastAsia="zh-CN"/>
              </w:rPr>
              <w:t>清运</w:t>
            </w:r>
            <w:r>
              <w:rPr>
                <w:rFonts w:hint="default" w:ascii="Times New Roman" w:hAnsi="Times New Roman" w:cs="Times New Roman"/>
                <w:bCs/>
                <w:color w:val="auto"/>
                <w:sz w:val="24"/>
              </w:rPr>
              <w:t>。</w:t>
            </w:r>
          </w:p>
          <w:p w14:paraId="0823D8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项目固体废物种类名称、来源、产生量、处置方式详见下表。</w:t>
            </w:r>
          </w:p>
          <w:p w14:paraId="3B48104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项目固体废物产生量、储存、处置措施表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38"/>
              <w:gridCol w:w="1345"/>
              <w:gridCol w:w="921"/>
              <w:gridCol w:w="1333"/>
              <w:gridCol w:w="821"/>
              <w:gridCol w:w="1164"/>
              <w:gridCol w:w="846"/>
            </w:tblGrid>
            <w:tr w14:paraId="7EF6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530213B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固废</w:t>
                  </w:r>
                </w:p>
                <w:p w14:paraId="01F2EEC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类别</w:t>
                  </w:r>
                </w:p>
              </w:tc>
              <w:tc>
                <w:tcPr>
                  <w:tcW w:w="612" w:type="pct"/>
                  <w:noWrap w:val="0"/>
                  <w:vAlign w:val="center"/>
                </w:tcPr>
                <w:p w14:paraId="5426D94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来源</w:t>
                  </w:r>
                </w:p>
              </w:tc>
              <w:tc>
                <w:tcPr>
                  <w:tcW w:w="793" w:type="pct"/>
                  <w:noWrap w:val="0"/>
                  <w:vAlign w:val="center"/>
                </w:tcPr>
                <w:p w14:paraId="003B0AB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类别及代码</w:t>
                  </w:r>
                </w:p>
              </w:tc>
              <w:tc>
                <w:tcPr>
                  <w:tcW w:w="543" w:type="pct"/>
                  <w:noWrap w:val="0"/>
                  <w:vAlign w:val="center"/>
                </w:tcPr>
                <w:p w14:paraId="3868872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产生量</w:t>
                  </w:r>
                </w:p>
              </w:tc>
              <w:tc>
                <w:tcPr>
                  <w:tcW w:w="786" w:type="pct"/>
                  <w:noWrap w:val="0"/>
                  <w:vAlign w:val="center"/>
                </w:tcPr>
                <w:p w14:paraId="3F05DC6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主要成分</w:t>
                  </w:r>
                </w:p>
              </w:tc>
              <w:tc>
                <w:tcPr>
                  <w:tcW w:w="484" w:type="pct"/>
                  <w:noWrap w:val="0"/>
                  <w:vAlign w:val="center"/>
                </w:tcPr>
                <w:p w14:paraId="0E0BB90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固废性质</w:t>
                  </w:r>
                </w:p>
              </w:tc>
              <w:tc>
                <w:tcPr>
                  <w:tcW w:w="686" w:type="pct"/>
                  <w:noWrap w:val="0"/>
                  <w:vAlign w:val="center"/>
                </w:tcPr>
                <w:p w14:paraId="77D79EC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预处理、暂存方式</w:t>
                  </w:r>
                </w:p>
              </w:tc>
              <w:tc>
                <w:tcPr>
                  <w:tcW w:w="499" w:type="pct"/>
                  <w:noWrap w:val="0"/>
                  <w:vAlign w:val="center"/>
                </w:tcPr>
                <w:p w14:paraId="662FA10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最终处置去向</w:t>
                  </w:r>
                </w:p>
              </w:tc>
            </w:tr>
            <w:tr w14:paraId="5ABF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594" w:type="pct"/>
                  <w:noWrap w:val="0"/>
                  <w:vAlign w:val="center"/>
                </w:tcPr>
                <w:p w14:paraId="26E35F01">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w:t>
                  </w:r>
                </w:p>
                <w:p w14:paraId="5C156B9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岩屑</w:t>
                  </w:r>
                </w:p>
              </w:tc>
              <w:tc>
                <w:tcPr>
                  <w:tcW w:w="612" w:type="pct"/>
                  <w:vMerge w:val="restart"/>
                  <w:noWrap w:val="0"/>
                  <w:vAlign w:val="center"/>
                </w:tcPr>
                <w:p w14:paraId="295E1C5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w:t>
                  </w:r>
                </w:p>
                <w:p w14:paraId="475C5F8B">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阶段</w:t>
                  </w:r>
                </w:p>
              </w:tc>
              <w:tc>
                <w:tcPr>
                  <w:tcW w:w="793" w:type="pct"/>
                  <w:vMerge w:val="restart"/>
                  <w:noWrap w:val="0"/>
                  <w:vAlign w:val="center"/>
                </w:tcPr>
                <w:p w14:paraId="6E9B4D43">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SW12</w:t>
                  </w:r>
                </w:p>
                <w:p w14:paraId="72E7521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072-001-S12</w:t>
                  </w:r>
                </w:p>
              </w:tc>
              <w:tc>
                <w:tcPr>
                  <w:tcW w:w="543" w:type="pct"/>
                  <w:noWrap w:val="0"/>
                  <w:vAlign w:val="center"/>
                </w:tcPr>
                <w:p w14:paraId="7292DDD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2519</w:t>
                  </w:r>
                  <w:r>
                    <w:rPr>
                      <w:rFonts w:hint="default" w:ascii="Times New Roman" w:hAnsi="Times New Roman" w:eastAsia="宋体" w:cs="Times New Roman"/>
                      <w:bCs/>
                      <w:color w:val="auto"/>
                      <w:sz w:val="21"/>
                      <w:szCs w:val="21"/>
                    </w:rPr>
                    <w:t>t</w:t>
                  </w:r>
                </w:p>
              </w:tc>
              <w:tc>
                <w:tcPr>
                  <w:tcW w:w="786" w:type="pct"/>
                  <w:noWrap w:val="0"/>
                  <w:vAlign w:val="center"/>
                </w:tcPr>
                <w:p w14:paraId="6463922D">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岩石、土壤、</w:t>
                  </w:r>
                  <w:r>
                    <w:rPr>
                      <w:rFonts w:hint="eastAsia" w:cs="Times New Roman"/>
                      <w:bCs/>
                      <w:color w:val="auto"/>
                      <w:sz w:val="21"/>
                      <w:szCs w:val="21"/>
                      <w:lang w:val="en-US" w:eastAsia="zh-CN"/>
                    </w:rPr>
                    <w:t>水及</w:t>
                  </w:r>
                  <w:r>
                    <w:rPr>
                      <w:rFonts w:hint="default" w:ascii="Times New Roman" w:hAnsi="Times New Roman" w:eastAsia="宋体" w:cs="Times New Roman"/>
                      <w:bCs/>
                      <w:color w:val="auto"/>
                      <w:sz w:val="21"/>
                      <w:szCs w:val="21"/>
                    </w:rPr>
                    <w:t>钻井泥浆</w:t>
                  </w:r>
                </w:p>
              </w:tc>
              <w:tc>
                <w:tcPr>
                  <w:tcW w:w="484" w:type="pct"/>
                  <w:vMerge w:val="restart"/>
                  <w:noWrap w:val="0"/>
                  <w:vAlign w:val="center"/>
                </w:tcPr>
                <w:p w14:paraId="14103F4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一般固废</w:t>
                  </w:r>
                </w:p>
              </w:tc>
              <w:tc>
                <w:tcPr>
                  <w:tcW w:w="686" w:type="pct"/>
                  <w:vMerge w:val="restart"/>
                  <w:noWrap w:val="0"/>
                  <w:vAlign w:val="center"/>
                </w:tcPr>
                <w:p w14:paraId="7256F1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板框压滤</w:t>
                  </w:r>
                  <w:r>
                    <w:rPr>
                      <w:rFonts w:hint="default" w:ascii="Times New Roman" w:hAnsi="Times New Roman" w:eastAsia="宋体" w:cs="Times New Roman"/>
                      <w:bCs/>
                      <w:color w:val="auto"/>
                      <w:sz w:val="21"/>
                      <w:szCs w:val="21"/>
                    </w:rPr>
                    <w:t>脱水后（含水率低于60%）收集至岩屑接收罐暂存</w:t>
                  </w:r>
                </w:p>
              </w:tc>
              <w:tc>
                <w:tcPr>
                  <w:tcW w:w="499" w:type="pct"/>
                  <w:vMerge w:val="restart"/>
                  <w:noWrap w:val="0"/>
                  <w:vAlign w:val="center"/>
                </w:tcPr>
                <w:p w14:paraId="07F7EDD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交由</w:t>
                  </w:r>
                  <w:r>
                    <w:rPr>
                      <w:rFonts w:hint="default" w:ascii="Times New Roman" w:hAnsi="Times New Roman" w:eastAsia="宋体" w:cs="Times New Roman"/>
                      <w:bCs/>
                      <w:color w:val="auto"/>
                      <w:sz w:val="21"/>
                      <w:szCs w:val="21"/>
                    </w:rPr>
                    <w:t>符合环保要求且有处理能力的砖厂、水泥厂</w:t>
                  </w:r>
                  <w:r>
                    <w:rPr>
                      <w:rFonts w:hint="eastAsia" w:ascii="Times New Roman" w:hAnsi="Times New Roman" w:eastAsia="宋体" w:cs="Times New Roman"/>
                      <w:bCs/>
                      <w:color w:val="auto"/>
                      <w:sz w:val="21"/>
                      <w:szCs w:val="21"/>
                      <w:lang w:val="en-US" w:eastAsia="zh-CN"/>
                    </w:rPr>
                    <w:t>等进行资源化利用</w:t>
                  </w:r>
                </w:p>
              </w:tc>
            </w:tr>
            <w:tr w14:paraId="3E0D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09AAF51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废钻井泥浆</w:t>
                  </w:r>
                </w:p>
              </w:tc>
              <w:tc>
                <w:tcPr>
                  <w:tcW w:w="612" w:type="pct"/>
                  <w:vMerge w:val="continue"/>
                  <w:noWrap w:val="0"/>
                  <w:vAlign w:val="center"/>
                </w:tcPr>
                <w:p w14:paraId="2C1DE143">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793" w:type="pct"/>
                  <w:vMerge w:val="continue"/>
                  <w:noWrap w:val="0"/>
                  <w:vAlign w:val="center"/>
                </w:tcPr>
                <w:p w14:paraId="2C15076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543" w:type="pct"/>
                  <w:noWrap w:val="0"/>
                  <w:vAlign w:val="center"/>
                </w:tcPr>
                <w:p w14:paraId="490FF70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51.6</w:t>
                  </w:r>
                  <w:r>
                    <w:rPr>
                      <w:rFonts w:hint="default" w:ascii="Times New Roman" w:hAnsi="Times New Roman" w:eastAsia="宋体" w:cs="Times New Roman"/>
                      <w:bCs/>
                      <w:color w:val="auto"/>
                      <w:sz w:val="21"/>
                      <w:szCs w:val="21"/>
                    </w:rPr>
                    <w:t>t</w:t>
                  </w:r>
                </w:p>
              </w:tc>
              <w:tc>
                <w:tcPr>
                  <w:tcW w:w="786" w:type="pct"/>
                  <w:noWrap w:val="0"/>
                  <w:vAlign w:val="center"/>
                </w:tcPr>
                <w:p w14:paraId="04C2A6A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水、粘土、碳酸钠、氢氧化钠、石灰石等</w:t>
                  </w:r>
                </w:p>
              </w:tc>
              <w:tc>
                <w:tcPr>
                  <w:tcW w:w="484" w:type="pct"/>
                  <w:vMerge w:val="continue"/>
                  <w:noWrap w:val="0"/>
                  <w:vAlign w:val="center"/>
                </w:tcPr>
                <w:p w14:paraId="6145465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7FF44D0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499" w:type="pct"/>
                  <w:vMerge w:val="continue"/>
                  <w:noWrap w:val="0"/>
                  <w:vAlign w:val="center"/>
                </w:tcPr>
                <w:p w14:paraId="6B5076C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0476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247BE37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沉淀污泥</w:t>
                  </w:r>
                </w:p>
              </w:tc>
              <w:tc>
                <w:tcPr>
                  <w:tcW w:w="612" w:type="pct"/>
                  <w:noWrap w:val="0"/>
                  <w:vAlign w:val="center"/>
                </w:tcPr>
                <w:p w14:paraId="3F0C3024">
                  <w:pPr>
                    <w:keepNext w:val="0"/>
                    <w:keepLines w:val="0"/>
                    <w:suppressLineNumbers w:val="0"/>
                    <w:autoSpaceDE w:val="0"/>
                    <w:autoSpaceDN w:val="0"/>
                    <w:spacing w:before="0" w:beforeAutospacing="0" w:after="0" w:afterAutospacing="0"/>
                    <w:ind w:left="0" w:right="0"/>
                    <w:jc w:val="center"/>
                    <w:rPr>
                      <w:rFonts w:hint="eastAsia" w:cs="Times New Roman"/>
                      <w:bCs/>
                      <w:color w:val="auto"/>
                      <w:sz w:val="21"/>
                      <w:szCs w:val="21"/>
                      <w:lang w:val="en-US" w:eastAsia="zh-CN"/>
                    </w:rPr>
                  </w:pPr>
                  <w:r>
                    <w:rPr>
                      <w:rFonts w:hint="eastAsia" w:cs="Times New Roman"/>
                      <w:bCs/>
                      <w:color w:val="auto"/>
                      <w:sz w:val="21"/>
                      <w:szCs w:val="21"/>
                      <w:lang w:val="en-US" w:eastAsia="zh-CN"/>
                    </w:rPr>
                    <w:t>勘探</w:t>
                  </w:r>
                </w:p>
                <w:p w14:paraId="28597EB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过程</w:t>
                  </w:r>
                </w:p>
              </w:tc>
              <w:tc>
                <w:tcPr>
                  <w:tcW w:w="793" w:type="pct"/>
                  <w:noWrap w:val="0"/>
                  <w:vAlign w:val="center"/>
                </w:tcPr>
                <w:p w14:paraId="37B6B02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SW12</w:t>
                  </w:r>
                </w:p>
                <w:p w14:paraId="520916E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072-002-S12</w:t>
                  </w:r>
                </w:p>
              </w:tc>
              <w:tc>
                <w:tcPr>
                  <w:tcW w:w="543" w:type="pct"/>
                  <w:noWrap w:val="0"/>
                  <w:vAlign w:val="center"/>
                </w:tcPr>
                <w:p w14:paraId="655E220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6</w:t>
                  </w:r>
                  <w:r>
                    <w:rPr>
                      <w:rFonts w:hint="eastAsia" w:ascii="Times New Roman" w:hAnsi="Times New Roman" w:eastAsia="宋体" w:cs="Times New Roman"/>
                      <w:bCs/>
                      <w:color w:val="auto"/>
                      <w:sz w:val="21"/>
                      <w:szCs w:val="21"/>
                      <w:lang w:val="en-US" w:eastAsia="zh-CN"/>
                    </w:rPr>
                    <w:t>0</w:t>
                  </w:r>
                  <w:r>
                    <w:rPr>
                      <w:rFonts w:hint="default" w:ascii="Times New Roman" w:hAnsi="Times New Roman" w:eastAsia="宋体" w:cs="Times New Roman"/>
                      <w:bCs/>
                      <w:color w:val="auto"/>
                      <w:sz w:val="21"/>
                      <w:szCs w:val="21"/>
                    </w:rPr>
                    <w:t>t</w:t>
                  </w:r>
                </w:p>
              </w:tc>
              <w:tc>
                <w:tcPr>
                  <w:tcW w:w="786" w:type="pct"/>
                  <w:noWrap w:val="0"/>
                  <w:vAlign w:val="center"/>
                </w:tcPr>
                <w:p w14:paraId="39AFFC0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钻井液、岩屑</w:t>
                  </w:r>
                  <w:r>
                    <w:rPr>
                      <w:rFonts w:hint="eastAsia" w:cs="Times New Roman"/>
                      <w:bCs/>
                      <w:color w:val="auto"/>
                      <w:sz w:val="21"/>
                      <w:szCs w:val="21"/>
                      <w:lang w:eastAsia="zh-CN"/>
                    </w:rPr>
                    <w:t>、</w:t>
                  </w:r>
                  <w:r>
                    <w:rPr>
                      <w:rFonts w:hint="eastAsia" w:cs="Times New Roman"/>
                      <w:bCs/>
                      <w:color w:val="auto"/>
                      <w:sz w:val="21"/>
                      <w:szCs w:val="21"/>
                      <w:lang w:val="en-US" w:eastAsia="zh-CN"/>
                    </w:rPr>
                    <w:t>泥浆</w:t>
                  </w:r>
                </w:p>
              </w:tc>
              <w:tc>
                <w:tcPr>
                  <w:tcW w:w="484" w:type="pct"/>
                  <w:vMerge w:val="continue"/>
                  <w:noWrap w:val="0"/>
                  <w:vAlign w:val="center"/>
                </w:tcPr>
                <w:p w14:paraId="62D1B63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5D060E3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499" w:type="pct"/>
                  <w:vMerge w:val="continue"/>
                  <w:noWrap w:val="0"/>
                  <w:vAlign w:val="center"/>
                </w:tcPr>
                <w:p w14:paraId="770DD4D1">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1195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220740B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废包装材料</w:t>
                  </w:r>
                </w:p>
              </w:tc>
              <w:tc>
                <w:tcPr>
                  <w:tcW w:w="612" w:type="pct"/>
                  <w:noWrap w:val="0"/>
                  <w:vAlign w:val="center"/>
                </w:tcPr>
                <w:p w14:paraId="27B57E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钻井原辅材料</w:t>
                  </w:r>
                </w:p>
              </w:tc>
              <w:tc>
                <w:tcPr>
                  <w:tcW w:w="793" w:type="pct"/>
                  <w:noWrap w:val="0"/>
                  <w:vAlign w:val="center"/>
                </w:tcPr>
                <w:p w14:paraId="4F5A726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SW59</w:t>
                  </w:r>
                </w:p>
                <w:p w14:paraId="3C66645F">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900-099-S59</w:t>
                  </w:r>
                </w:p>
              </w:tc>
              <w:tc>
                <w:tcPr>
                  <w:tcW w:w="543" w:type="pct"/>
                  <w:noWrap w:val="0"/>
                  <w:vAlign w:val="center"/>
                </w:tcPr>
                <w:p w14:paraId="6531A59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0.5t</w:t>
                  </w:r>
                </w:p>
              </w:tc>
              <w:tc>
                <w:tcPr>
                  <w:tcW w:w="786" w:type="pct"/>
                  <w:noWrap w:val="0"/>
                  <w:vAlign w:val="center"/>
                </w:tcPr>
                <w:p w14:paraId="18880106">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金属、</w:t>
                  </w:r>
                  <w:r>
                    <w:rPr>
                      <w:rFonts w:hint="default" w:ascii="Times New Roman" w:hAnsi="Times New Roman" w:eastAsia="宋体" w:cs="Times New Roman"/>
                      <w:bCs/>
                      <w:color w:val="auto"/>
                      <w:sz w:val="21"/>
                      <w:szCs w:val="21"/>
                    </w:rPr>
                    <w:t>有机物质</w:t>
                  </w:r>
                  <w:r>
                    <w:rPr>
                      <w:rFonts w:hint="eastAsia" w:ascii="Times New Roman" w:hAnsi="Times New Roman" w:eastAsia="宋体" w:cs="Times New Roman"/>
                      <w:bCs/>
                      <w:color w:val="auto"/>
                      <w:sz w:val="21"/>
                      <w:szCs w:val="21"/>
                      <w:lang w:val="en-US" w:eastAsia="zh-CN"/>
                    </w:rPr>
                    <w:t>等</w:t>
                  </w:r>
                </w:p>
              </w:tc>
              <w:tc>
                <w:tcPr>
                  <w:tcW w:w="484" w:type="pct"/>
                  <w:vMerge w:val="continue"/>
                  <w:noWrap w:val="0"/>
                  <w:vAlign w:val="center"/>
                </w:tcPr>
                <w:p w14:paraId="41B5894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noWrap w:val="0"/>
                  <w:vAlign w:val="center"/>
                </w:tcPr>
                <w:p w14:paraId="79DF1F7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lang w:val="en-US"/>
                    </w:rPr>
                  </w:pPr>
                  <w:r>
                    <w:rPr>
                      <w:rFonts w:hint="eastAsia" w:ascii="Times New Roman" w:hAnsi="Times New Roman" w:eastAsia="宋体" w:cs="Times New Roman"/>
                      <w:bCs/>
                      <w:color w:val="auto"/>
                      <w:sz w:val="21"/>
                      <w:szCs w:val="21"/>
                      <w:lang w:val="en-US" w:eastAsia="zh-CN"/>
                    </w:rPr>
                    <w:t>集中收集</w:t>
                  </w:r>
                  <w:r>
                    <w:rPr>
                      <w:rFonts w:hint="eastAsia" w:cs="Times New Roman"/>
                      <w:bCs/>
                      <w:color w:val="auto"/>
                      <w:sz w:val="21"/>
                      <w:szCs w:val="21"/>
                      <w:lang w:val="en-US" w:eastAsia="zh-CN"/>
                    </w:rPr>
                    <w:t>暂存</w:t>
                  </w:r>
                </w:p>
              </w:tc>
              <w:tc>
                <w:tcPr>
                  <w:tcW w:w="499" w:type="pct"/>
                  <w:noWrap w:val="0"/>
                  <w:vAlign w:val="center"/>
                </w:tcPr>
                <w:p w14:paraId="577D25B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color w:val="auto"/>
                      <w:sz w:val="21"/>
                      <w:szCs w:val="21"/>
                      <w:lang w:val="en-US" w:eastAsia="zh-CN"/>
                    </w:rPr>
                    <w:t>集中收集后外售资源化利用</w:t>
                  </w:r>
                </w:p>
              </w:tc>
            </w:tr>
            <w:tr w14:paraId="341B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72D5441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废油</w:t>
                  </w:r>
                </w:p>
              </w:tc>
              <w:tc>
                <w:tcPr>
                  <w:tcW w:w="612" w:type="pct"/>
                  <w:noWrap w:val="0"/>
                  <w:vAlign w:val="center"/>
                </w:tcPr>
                <w:p w14:paraId="2F60D477">
                  <w:pPr>
                    <w:keepNext w:val="0"/>
                    <w:keepLines w:val="0"/>
                    <w:suppressLineNumbers w:val="0"/>
                    <w:autoSpaceDE w:val="0"/>
                    <w:autoSpaceDN w:val="0"/>
                    <w:spacing w:before="0" w:beforeAutospacing="0" w:after="0" w:afterAutospacing="0"/>
                    <w:ind w:left="0" w:right="0"/>
                    <w:jc w:val="center"/>
                    <w:rPr>
                      <w:rFonts w:hint="eastAsia" w:cs="Times New Roman"/>
                      <w:bCs/>
                      <w:color w:val="auto"/>
                      <w:sz w:val="21"/>
                      <w:szCs w:val="21"/>
                      <w:lang w:val="en-US" w:eastAsia="zh-CN"/>
                    </w:rPr>
                  </w:pPr>
                  <w:r>
                    <w:rPr>
                      <w:rFonts w:hint="eastAsia" w:cs="Times New Roman"/>
                      <w:bCs/>
                      <w:color w:val="auto"/>
                      <w:sz w:val="21"/>
                      <w:szCs w:val="21"/>
                      <w:lang w:val="en-US" w:eastAsia="zh-CN"/>
                    </w:rPr>
                    <w:t>勘探</w:t>
                  </w:r>
                </w:p>
                <w:p w14:paraId="7C52DDE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过程</w:t>
                  </w:r>
                </w:p>
              </w:tc>
              <w:tc>
                <w:tcPr>
                  <w:tcW w:w="793" w:type="pct"/>
                  <w:noWrap w:val="0"/>
                  <w:vAlign w:val="center"/>
                </w:tcPr>
                <w:p w14:paraId="5C37B3FD">
                  <w:pPr>
                    <w:keepNext w:val="0"/>
                    <w:keepLines w:val="0"/>
                    <w:suppressLineNumbers w:val="0"/>
                    <w:spacing w:before="0" w:beforeAutospacing="0" w:after="0" w:afterAutospacing="0"/>
                    <w:ind w:left="0" w:right="0"/>
                    <w:jc w:val="center"/>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HW08</w:t>
                  </w:r>
                </w:p>
                <w:p w14:paraId="29EEABBA">
                  <w:pPr>
                    <w:keepNext w:val="0"/>
                    <w:keepLines w:val="0"/>
                    <w:suppressLineNumbers w:val="0"/>
                    <w:spacing w:before="0" w:beforeAutospacing="0" w:after="0" w:afterAutospacing="0"/>
                    <w:ind w:left="0" w:right="0"/>
                    <w:jc w:val="center"/>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900-210-08、</w:t>
                  </w:r>
                </w:p>
                <w:p w14:paraId="1C0F94B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lang w:bidi="ar"/>
                    </w:rPr>
                    <w:t>900-249-08</w:t>
                  </w:r>
                </w:p>
              </w:tc>
              <w:tc>
                <w:tcPr>
                  <w:tcW w:w="543" w:type="pct"/>
                  <w:noWrap w:val="0"/>
                  <w:vAlign w:val="center"/>
                </w:tcPr>
                <w:p w14:paraId="42308F6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2</w:t>
                  </w:r>
                  <w:r>
                    <w:rPr>
                      <w:rFonts w:hint="default" w:ascii="Times New Roman" w:hAnsi="Times New Roman" w:eastAsia="宋体" w:cs="Times New Roman"/>
                      <w:bCs/>
                      <w:color w:val="auto"/>
                      <w:sz w:val="21"/>
                      <w:szCs w:val="21"/>
                    </w:rPr>
                    <w:t>5t</w:t>
                  </w:r>
                </w:p>
              </w:tc>
              <w:tc>
                <w:tcPr>
                  <w:tcW w:w="786" w:type="pct"/>
                  <w:noWrap w:val="0"/>
                  <w:vAlign w:val="center"/>
                </w:tcPr>
                <w:p w14:paraId="00FE576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矿物油</w:t>
                  </w:r>
                </w:p>
              </w:tc>
              <w:tc>
                <w:tcPr>
                  <w:tcW w:w="484" w:type="pct"/>
                  <w:vMerge w:val="restart"/>
                  <w:noWrap w:val="0"/>
                  <w:vAlign w:val="center"/>
                </w:tcPr>
                <w:p w14:paraId="51431C7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危险废物</w:t>
                  </w:r>
                </w:p>
              </w:tc>
              <w:tc>
                <w:tcPr>
                  <w:tcW w:w="686" w:type="pct"/>
                  <w:vMerge w:val="restart"/>
                  <w:noWrap w:val="0"/>
                  <w:vAlign w:val="center"/>
                </w:tcPr>
                <w:p w14:paraId="3DAC1AD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危废暂存间暂</w:t>
                  </w:r>
                </w:p>
              </w:tc>
              <w:tc>
                <w:tcPr>
                  <w:tcW w:w="499" w:type="pct"/>
                  <w:vMerge w:val="restart"/>
                  <w:noWrap w:val="0"/>
                  <w:vAlign w:val="center"/>
                </w:tcPr>
                <w:p w14:paraId="52CCD2B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交有危废处置资质单位处置</w:t>
                  </w:r>
                </w:p>
              </w:tc>
            </w:tr>
            <w:tr w14:paraId="082A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4703A88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含油污染物</w:t>
                  </w:r>
                </w:p>
              </w:tc>
              <w:tc>
                <w:tcPr>
                  <w:tcW w:w="612" w:type="pct"/>
                  <w:noWrap w:val="0"/>
                  <w:vAlign w:val="center"/>
                </w:tcPr>
                <w:p w14:paraId="58687A4F">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设备</w:t>
                  </w:r>
                </w:p>
                <w:p w14:paraId="018844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维护</w:t>
                  </w:r>
                </w:p>
              </w:tc>
              <w:tc>
                <w:tcPr>
                  <w:tcW w:w="793" w:type="pct"/>
                  <w:noWrap w:val="0"/>
                  <w:vAlign w:val="center"/>
                </w:tcPr>
                <w:p w14:paraId="005FE2F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HW49</w:t>
                  </w:r>
                </w:p>
                <w:p w14:paraId="6B58BDE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900-041-49</w:t>
                  </w:r>
                </w:p>
              </w:tc>
              <w:tc>
                <w:tcPr>
                  <w:tcW w:w="543" w:type="pct"/>
                  <w:noWrap w:val="0"/>
                  <w:vAlign w:val="center"/>
                </w:tcPr>
                <w:p w14:paraId="3853DFB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5t</w:t>
                  </w:r>
                </w:p>
              </w:tc>
              <w:tc>
                <w:tcPr>
                  <w:tcW w:w="786" w:type="pct"/>
                  <w:noWrap w:val="0"/>
                  <w:vAlign w:val="center"/>
                </w:tcPr>
                <w:p w14:paraId="5549195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含油废物</w:t>
                  </w:r>
                </w:p>
              </w:tc>
              <w:tc>
                <w:tcPr>
                  <w:tcW w:w="484" w:type="pct"/>
                  <w:vMerge w:val="continue"/>
                  <w:noWrap w:val="0"/>
                  <w:vAlign w:val="center"/>
                </w:tcPr>
                <w:p w14:paraId="04F48E5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50EFB34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499" w:type="pct"/>
                  <w:vMerge w:val="continue"/>
                  <w:noWrap w:val="0"/>
                  <w:vAlign w:val="center"/>
                </w:tcPr>
                <w:p w14:paraId="5DF9D7F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1436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3657495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生活垃圾</w:t>
                  </w:r>
                </w:p>
              </w:tc>
              <w:tc>
                <w:tcPr>
                  <w:tcW w:w="612" w:type="pct"/>
                  <w:noWrap w:val="0"/>
                  <w:vAlign w:val="center"/>
                </w:tcPr>
                <w:p w14:paraId="4F5940A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钻井队生活</w:t>
                  </w:r>
                </w:p>
              </w:tc>
              <w:tc>
                <w:tcPr>
                  <w:tcW w:w="793" w:type="pct"/>
                  <w:noWrap w:val="0"/>
                  <w:vAlign w:val="center"/>
                </w:tcPr>
                <w:p w14:paraId="051A0C2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543" w:type="pct"/>
                  <w:noWrap w:val="0"/>
                  <w:vAlign w:val="center"/>
                </w:tcPr>
                <w:p w14:paraId="1350BC5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8.25t</w:t>
                  </w:r>
                </w:p>
              </w:tc>
              <w:tc>
                <w:tcPr>
                  <w:tcW w:w="786" w:type="pct"/>
                  <w:noWrap w:val="0"/>
                  <w:vAlign w:val="center"/>
                </w:tcPr>
                <w:p w14:paraId="5586222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生活垃圾</w:t>
                  </w:r>
                </w:p>
              </w:tc>
              <w:tc>
                <w:tcPr>
                  <w:tcW w:w="484" w:type="pct"/>
                  <w:noWrap w:val="0"/>
                  <w:vAlign w:val="center"/>
                </w:tcPr>
                <w:p w14:paraId="75FC499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生活垃圾</w:t>
                  </w:r>
                </w:p>
              </w:tc>
              <w:tc>
                <w:tcPr>
                  <w:tcW w:w="686" w:type="pct"/>
                  <w:noWrap w:val="0"/>
                  <w:vAlign w:val="center"/>
                </w:tcPr>
                <w:p w14:paraId="649E79D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垃圾桶暂存</w:t>
                  </w:r>
                </w:p>
              </w:tc>
              <w:tc>
                <w:tcPr>
                  <w:tcW w:w="499" w:type="pct"/>
                  <w:noWrap w:val="0"/>
                  <w:vAlign w:val="center"/>
                </w:tcPr>
                <w:p w14:paraId="2621DB8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交当地环卫部门清运处置</w:t>
                  </w:r>
                </w:p>
              </w:tc>
            </w:tr>
          </w:tbl>
          <w:p w14:paraId="44B8DE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cs="Times New Roman"/>
                <w:bCs/>
                <w:color w:val="auto"/>
                <w:sz w:val="24"/>
              </w:rPr>
              <w:t>根据以上分析，本工程钻井固废（钻井岩屑</w:t>
            </w:r>
            <w:r>
              <w:rPr>
                <w:rFonts w:hint="eastAsia" w:ascii="Times New Roman" w:hAnsi="Times New Roman" w:cs="Times New Roman"/>
                <w:bCs/>
                <w:color w:val="auto"/>
                <w:sz w:val="24"/>
              </w:rPr>
              <w:t>、</w:t>
            </w:r>
            <w:r>
              <w:rPr>
                <w:rFonts w:hint="default" w:ascii="Times New Roman" w:hAnsi="Times New Roman" w:cs="Times New Roman"/>
                <w:bCs/>
                <w:color w:val="auto"/>
                <w:sz w:val="24"/>
              </w:rPr>
              <w:t>废钻井泥浆）</w:t>
            </w:r>
            <w:r>
              <w:rPr>
                <w:rFonts w:hint="eastAsia" w:ascii="Times New Roman" w:hAnsi="Times New Roman" w:cs="Times New Roman"/>
                <w:bCs/>
                <w:color w:val="auto"/>
                <w:sz w:val="24"/>
              </w:rPr>
              <w:t>、</w:t>
            </w:r>
            <w:r>
              <w:rPr>
                <w:rFonts w:hint="eastAsia" w:ascii="Times New Roman" w:hAnsi="Times New Roman" w:eastAsia="宋体" w:cs="Times New Roman"/>
                <w:bCs/>
                <w:color w:val="auto"/>
                <w:sz w:val="24"/>
                <w:lang w:val="en-US" w:eastAsia="zh-CN"/>
              </w:rPr>
              <w:t>沉淀污泥经过脱水后（含水率低于60%）收集至岩屑接收罐，交由符合环保要求且有处理能力的砖厂、水泥厂等进行资源化利用</w:t>
            </w:r>
            <w:r>
              <w:rPr>
                <w:rFonts w:hint="default" w:ascii="Times New Roman" w:hAnsi="Times New Roman" w:cs="Times New Roman"/>
                <w:bCs/>
                <w:color w:val="auto"/>
                <w:sz w:val="24"/>
              </w:rPr>
              <w:t>；</w:t>
            </w:r>
            <w:r>
              <w:rPr>
                <w:rFonts w:hint="eastAsia" w:ascii="Times New Roman" w:hAnsi="Times New Roman" w:cs="Times New Roman"/>
                <w:bCs/>
                <w:color w:val="auto"/>
                <w:sz w:val="24"/>
              </w:rPr>
              <w:t>废油、含油污染物</w:t>
            </w:r>
            <w:r>
              <w:rPr>
                <w:rFonts w:hint="eastAsia" w:cs="Times New Roman"/>
                <w:bCs/>
                <w:color w:val="auto"/>
                <w:sz w:val="24"/>
                <w:lang w:val="en-US" w:eastAsia="zh-CN"/>
              </w:rPr>
              <w:t>交由</w:t>
            </w:r>
            <w:r>
              <w:rPr>
                <w:rFonts w:hint="eastAsia" w:ascii="Times New Roman" w:hAnsi="Times New Roman" w:cs="Times New Roman"/>
                <w:bCs/>
                <w:color w:val="auto"/>
                <w:sz w:val="24"/>
              </w:rPr>
              <w:t>有危废处理资质的单位处理</w:t>
            </w:r>
            <w:r>
              <w:rPr>
                <w:rFonts w:hint="default" w:ascii="Times New Roman" w:hAnsi="Times New Roman" w:cs="Times New Roman"/>
                <w:bCs/>
                <w:color w:val="auto"/>
                <w:sz w:val="24"/>
              </w:rPr>
              <w:t>；</w:t>
            </w:r>
            <w:r>
              <w:rPr>
                <w:rFonts w:hint="default" w:ascii="Times New Roman" w:hAnsi="Times New Roman" w:eastAsia="宋体" w:cs="Times New Roman"/>
                <w:bCs/>
                <w:color w:val="auto"/>
                <w:sz w:val="24"/>
                <w:lang w:val="en-US" w:eastAsia="zh-CN"/>
              </w:rPr>
              <w:t>废包装材料</w:t>
            </w:r>
            <w:r>
              <w:rPr>
                <w:rFonts w:hint="eastAsia" w:ascii="Times New Roman" w:hAnsi="Times New Roman" w:eastAsia="宋体" w:cs="Times New Roman"/>
                <w:bCs/>
                <w:color w:val="auto"/>
                <w:sz w:val="24"/>
                <w:lang w:val="en-US" w:eastAsia="zh-CN"/>
              </w:rPr>
              <w:t>集中收集后外售资源化利用；</w:t>
            </w:r>
            <w:r>
              <w:rPr>
                <w:rFonts w:hint="eastAsia" w:ascii="Times New Roman" w:hAnsi="Times New Roman" w:cs="Times New Roman"/>
                <w:bCs/>
                <w:color w:val="auto"/>
                <w:sz w:val="24"/>
              </w:rPr>
              <w:t>生活垃圾交由环卫部门清理</w:t>
            </w:r>
            <w:r>
              <w:rPr>
                <w:rFonts w:hint="default" w:ascii="Times New Roman" w:hAnsi="Times New Roman" w:cs="Times New Roman"/>
                <w:bCs/>
                <w:color w:val="auto"/>
                <w:sz w:val="24"/>
              </w:rPr>
              <w:t>。故本工程产生的固废</w:t>
            </w:r>
            <w:r>
              <w:rPr>
                <w:rFonts w:hint="eastAsia" w:ascii="Times New Roman" w:hAnsi="Times New Roman" w:cs="Times New Roman"/>
                <w:bCs/>
                <w:color w:val="auto"/>
                <w:sz w:val="24"/>
                <w:lang w:val="en-US" w:eastAsia="zh-CN"/>
              </w:rPr>
              <w:t>去向明确，</w:t>
            </w:r>
            <w:r>
              <w:rPr>
                <w:rFonts w:hint="default" w:ascii="Times New Roman" w:hAnsi="Times New Roman" w:cs="Times New Roman"/>
                <w:bCs/>
                <w:color w:val="auto"/>
                <w:sz w:val="24"/>
              </w:rPr>
              <w:t>不会对周边环境造成明显不利影响。</w:t>
            </w:r>
          </w:p>
          <w:p w14:paraId="6FD16A6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九</w:t>
            </w:r>
            <w:r>
              <w:rPr>
                <w:rFonts w:hint="default" w:ascii="Times New Roman" w:hAnsi="Times New Roman" w:cs="Times New Roman"/>
                <w:b/>
                <w:bCs/>
                <w:color w:val="auto"/>
                <w:sz w:val="24"/>
              </w:rPr>
              <w:t>、风险环境影响分析</w:t>
            </w:r>
          </w:p>
          <w:p w14:paraId="10505B4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本项目</w:t>
            </w:r>
            <w:r>
              <w:rPr>
                <w:rFonts w:hint="default" w:ascii="Times New Roman" w:hAnsi="Times New Roman" w:cs="Times New Roman"/>
                <w:color w:val="auto"/>
                <w:sz w:val="24"/>
              </w:rPr>
              <w:t>属不含硫化氢天然气井钻井工程，与工程地层情况类似的相邻井在钻井中未发生井喷失控事故，发生可能诱发井喷失控的不良现象很少。本项目要加强废水外溢、泄漏的风险防范，避免对地表水环境造成影响。工程发生最大可信事故的机率小；最大可信事故对人身安全、健康、环境的后果影响小，但是要尽量采取风险防范措施尽量避免事故发生，同时完善环境风险应急措施，组织编制、学习、演练应急预案以便在事故发生后将影响降低到</w:t>
            </w:r>
            <w:r>
              <w:rPr>
                <w:rFonts w:hint="eastAsia" w:ascii="Times New Roman" w:hAnsi="Times New Roman" w:cs="Times New Roman"/>
                <w:color w:val="auto"/>
                <w:sz w:val="24"/>
                <w:lang w:eastAsia="zh-CN"/>
              </w:rPr>
              <w:t>最低</w:t>
            </w:r>
            <w:r>
              <w:rPr>
                <w:rFonts w:hint="default" w:ascii="Times New Roman" w:hAnsi="Times New Roman" w:cs="Times New Roman"/>
                <w:color w:val="auto"/>
                <w:sz w:val="24"/>
              </w:rPr>
              <w:t>程度，在采取</w:t>
            </w:r>
            <w:r>
              <w:rPr>
                <w:rFonts w:hint="eastAsia" w:cs="Times New Roman"/>
                <w:color w:val="auto"/>
                <w:sz w:val="24"/>
                <w:lang w:val="en-US" w:eastAsia="zh-CN"/>
              </w:rPr>
              <w:t>报告提出的各项</w:t>
            </w:r>
            <w:r>
              <w:rPr>
                <w:rFonts w:hint="default" w:ascii="Times New Roman" w:hAnsi="Times New Roman" w:cs="Times New Roman"/>
                <w:color w:val="auto"/>
                <w:sz w:val="24"/>
              </w:rPr>
              <w:t>措施后，环境风险</w:t>
            </w:r>
            <w:r>
              <w:rPr>
                <w:rFonts w:hint="eastAsia" w:ascii="Times New Roman" w:hAnsi="Times New Roman" w:cs="Times New Roman"/>
                <w:color w:val="auto"/>
                <w:sz w:val="24"/>
                <w:lang w:val="en-US" w:eastAsia="zh-CN"/>
              </w:rPr>
              <w:t>可防可控</w:t>
            </w:r>
            <w:r>
              <w:rPr>
                <w:rFonts w:hint="default" w:ascii="Times New Roman" w:hAnsi="Times New Roman" w:cs="Times New Roman"/>
                <w:color w:val="auto"/>
                <w:sz w:val="24"/>
              </w:rPr>
              <w:t>。</w:t>
            </w:r>
          </w:p>
          <w:p w14:paraId="231EB9F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十</w:t>
            </w:r>
            <w:r>
              <w:rPr>
                <w:rFonts w:hint="default" w:ascii="Times New Roman" w:hAnsi="Times New Roman" w:cs="Times New Roman"/>
                <w:b/>
                <w:bCs/>
                <w:color w:val="auto"/>
                <w:sz w:val="24"/>
              </w:rPr>
              <w:t>、退役期环境影响分析</w:t>
            </w:r>
          </w:p>
          <w:p w14:paraId="59BC2AE4">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1、退役期大气</w:t>
            </w:r>
            <w:r>
              <w:rPr>
                <w:rFonts w:hint="eastAsia" w:ascii="Times New Roman" w:hAnsi="Times New Roman" w:cs="Times New Roman"/>
                <w:b/>
                <w:bCs/>
                <w:color w:val="auto"/>
                <w:sz w:val="24"/>
              </w:rPr>
              <w:t>环境影响分析</w:t>
            </w:r>
          </w:p>
          <w:p w14:paraId="12E5B54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该井不具备开采价值，则将进行封井处理及完井后的设备搬迁工作。首先利用钻井过程中套管及套管壁用水泥固封天然气产层，防止天然气串入其他地层。同时在油管射孔段的上部注水泥形成水泥塞面封隔气井，防止天然气泄漏，对环境的影响很小。封堵后，定期检测封堵井的井口压力、检查井口周围地表是否窜气，形成台账便于后期跟踪管理。封堵井正常井每季度巡检一次。</w:t>
            </w:r>
          </w:p>
          <w:p w14:paraId="325EA71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2、退役期</w:t>
            </w:r>
            <w:r>
              <w:rPr>
                <w:rFonts w:hint="eastAsia" w:ascii="Times New Roman" w:hAnsi="Times New Roman" w:cs="Times New Roman"/>
                <w:b/>
                <w:bCs/>
                <w:color w:val="auto"/>
                <w:kern w:val="0"/>
                <w:sz w:val="24"/>
              </w:rPr>
              <w:t>水环境影响分析</w:t>
            </w:r>
          </w:p>
          <w:p w14:paraId="38C4BF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进入退役期时对井口进行封堵，并对井场进行生态恢复，该过程无废水产生和</w:t>
            </w:r>
            <w:r>
              <w:rPr>
                <w:rFonts w:hint="eastAsia" w:ascii="Times New Roman" w:hAnsi="Times New Roman" w:cs="Times New Roman"/>
                <w:color w:val="auto"/>
                <w:sz w:val="24"/>
                <w:lang w:eastAsia="zh-CN"/>
              </w:rPr>
              <w:t>泄漏</w:t>
            </w:r>
            <w:r>
              <w:rPr>
                <w:rFonts w:hint="default" w:ascii="Times New Roman" w:hAnsi="Times New Roman" w:cs="Times New Roman"/>
                <w:color w:val="auto"/>
                <w:sz w:val="24"/>
              </w:rPr>
              <w:t>，不会对区域水环境造成影响。</w:t>
            </w:r>
          </w:p>
          <w:p w14:paraId="1AA445C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3、退役期噪声</w:t>
            </w:r>
            <w:r>
              <w:rPr>
                <w:rFonts w:hint="eastAsia" w:ascii="Times New Roman" w:hAnsi="Times New Roman" w:cs="Times New Roman"/>
                <w:b/>
                <w:bCs/>
                <w:color w:val="auto"/>
                <w:sz w:val="24"/>
              </w:rPr>
              <w:t>影响分析</w:t>
            </w:r>
          </w:p>
          <w:p w14:paraId="5FF5CDD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项目结束后，将对退役站场实施永久封堵和废弃，井场内噪声源将不存在，其周围声环境质量将恢复到项目建设前的水平。</w:t>
            </w:r>
          </w:p>
          <w:p w14:paraId="6E8F8BD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4、退役期固废</w:t>
            </w:r>
            <w:r>
              <w:rPr>
                <w:rFonts w:hint="eastAsia" w:ascii="Times New Roman" w:hAnsi="Times New Roman" w:cs="Times New Roman"/>
                <w:b/>
                <w:bCs/>
                <w:color w:val="auto"/>
                <w:sz w:val="24"/>
              </w:rPr>
              <w:t>对环境的影响分析</w:t>
            </w:r>
          </w:p>
          <w:p w14:paraId="59E702A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勘探井封井后，对井台和测试管线进行拆除，对废弃井的井眼进行封堵。井口和管线拆除作业过程中产生的落地油和受污染的土壤，集中收集后交有危废处置资质的单位处置，不可随意丢弃或就地掩埋，以避免对浅层地下水造成污染；拆除过程中产生的其它垃圾及时外运，送至指定的垃圾处置场处理，其中建筑垃圾送当地指定的建渣场处置。</w:t>
            </w:r>
          </w:p>
          <w:p w14:paraId="7F1A25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5、退役期土壤环境及生态环境</w:t>
            </w:r>
            <w:r>
              <w:rPr>
                <w:rFonts w:hint="eastAsia" w:ascii="Times New Roman" w:hAnsi="Times New Roman" w:cs="Times New Roman"/>
                <w:b/>
                <w:bCs/>
                <w:color w:val="auto"/>
                <w:sz w:val="24"/>
              </w:rPr>
              <w:t>影响</w:t>
            </w:r>
          </w:p>
          <w:p w14:paraId="21024CB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color w:val="auto"/>
                <w:sz w:val="24"/>
              </w:rPr>
              <w:t>封堵后对地面设施拆除、永久性占地范围内水泥平台或砂砾石铺垫清理，随后进行复垦。硬化物拆除以后，平整场地，</w:t>
            </w:r>
            <w:r>
              <w:rPr>
                <w:rFonts w:hint="eastAsia" w:ascii="Times New Roman" w:hAnsi="Times New Roman" w:cs="Times New Roman"/>
                <w:color w:val="auto"/>
                <w:sz w:val="24"/>
              </w:rPr>
              <w:t>覆土中耕地覆土</w:t>
            </w:r>
            <w:r>
              <w:rPr>
                <w:rFonts w:hint="eastAsia" w:cs="Times New Roman"/>
                <w:color w:val="auto"/>
                <w:sz w:val="24"/>
                <w:lang w:val="en-US" w:eastAsia="zh-CN"/>
              </w:rPr>
              <w:t>4</w:t>
            </w:r>
            <w:r>
              <w:rPr>
                <w:rFonts w:hint="eastAsia" w:ascii="Times New Roman" w:hAnsi="Times New Roman" w:cs="Times New Roman"/>
                <w:color w:val="auto"/>
                <w:sz w:val="24"/>
              </w:rPr>
              <w:t>0cm，</w:t>
            </w:r>
            <w:r>
              <w:rPr>
                <w:rFonts w:hint="default" w:ascii="Times New Roman" w:hAnsi="Times New Roman" w:cs="Times New Roman"/>
                <w:color w:val="auto"/>
                <w:sz w:val="24"/>
              </w:rPr>
              <w:t>最后种植农作物，区块损毁土地尽可能地复垦为原土地利用类型，对区域土壤环境和生态环境属于有利影响。</w:t>
            </w:r>
          </w:p>
        </w:tc>
      </w:tr>
      <w:tr w14:paraId="3A4B44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701" w:type="dxa"/>
            <w:noWrap w:val="0"/>
            <w:tcMar>
              <w:left w:w="28" w:type="dxa"/>
              <w:right w:w="28" w:type="dxa"/>
            </w:tcMar>
            <w:vAlign w:val="center"/>
          </w:tcPr>
          <w:p w14:paraId="7929D916">
            <w:pPr>
              <w:pStyle w:val="1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r>
              <w:rPr>
                <w:rFonts w:hint="default" w:ascii="Times New Roman" w:hAnsi="Times New Roman" w:cs="Times New Roman"/>
                <w:bCs/>
                <w:color w:val="auto"/>
                <w:spacing w:val="10"/>
                <w:kern w:val="2"/>
              </w:rPr>
              <w:t>运营期生态环境影响分析</w:t>
            </w:r>
          </w:p>
        </w:tc>
        <w:tc>
          <w:tcPr>
            <w:tcW w:w="8705" w:type="dxa"/>
            <w:noWrap w:val="0"/>
            <w:vAlign w:val="center"/>
          </w:tcPr>
          <w:p w14:paraId="2D54282D">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bCs/>
                <w:color w:val="auto"/>
                <w:sz w:val="24"/>
              </w:rPr>
            </w:pPr>
            <w:r>
              <w:rPr>
                <w:rFonts w:hint="default" w:ascii="Times New Roman" w:hAnsi="Times New Roman" w:eastAsia="宋体" w:cs="Times New Roman"/>
                <w:bCs/>
                <w:color w:val="auto"/>
                <w:sz w:val="24"/>
              </w:rPr>
              <w:t>本项目为勘探井，不涉及运营期的开采工程。若</w:t>
            </w:r>
            <w:r>
              <w:rPr>
                <w:rFonts w:hint="default" w:ascii="Times New Roman" w:hAnsi="Times New Roman" w:eastAsia="宋体" w:cs="Times New Roman"/>
                <w:bCs/>
                <w:color w:val="auto"/>
                <w:sz w:val="24"/>
                <w:lang w:val="en-US" w:eastAsia="zh-CN"/>
              </w:rPr>
              <w:t>后期</w:t>
            </w:r>
            <w:r>
              <w:rPr>
                <w:rFonts w:hint="default" w:ascii="Times New Roman" w:hAnsi="Times New Roman" w:eastAsia="宋体" w:cs="Times New Roman"/>
                <w:bCs/>
                <w:color w:val="auto"/>
                <w:sz w:val="24"/>
              </w:rPr>
              <w:t>测试结果表明测试井具有工业开采价值，</w:t>
            </w:r>
            <w:r>
              <w:rPr>
                <w:rFonts w:hint="default" w:ascii="Times New Roman" w:hAnsi="Times New Roman" w:eastAsia="宋体" w:cs="Times New Roman"/>
                <w:bCs/>
                <w:color w:val="auto"/>
                <w:sz w:val="24"/>
                <w:lang w:val="en-US" w:eastAsia="zh-CN"/>
              </w:rPr>
              <w:t>需要转为</w:t>
            </w:r>
            <w:r>
              <w:rPr>
                <w:rFonts w:hint="default" w:ascii="Times New Roman" w:hAnsi="Times New Roman" w:eastAsia="宋体" w:cs="Times New Roman"/>
                <w:bCs/>
                <w:color w:val="auto"/>
                <w:sz w:val="24"/>
              </w:rPr>
              <w:t>开发井钻采作业</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lang w:val="en-US" w:eastAsia="zh-CN"/>
              </w:rPr>
              <w:t>则需要按照相关要求另行开展环评工作。</w:t>
            </w:r>
          </w:p>
        </w:tc>
      </w:tr>
      <w:tr w14:paraId="3DCDA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701" w:type="dxa"/>
            <w:noWrap w:val="0"/>
            <w:vAlign w:val="center"/>
          </w:tcPr>
          <w:p w14:paraId="6D8A714B">
            <w:pPr>
              <w:pStyle w:val="1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r>
              <w:rPr>
                <w:rFonts w:hint="default" w:ascii="Times New Roman" w:hAnsi="Times New Roman" w:cs="Times New Roman"/>
                <w:bCs/>
                <w:color w:val="auto"/>
                <w:kern w:val="2"/>
              </w:rPr>
              <w:t>选址选线环境合理性分析</w:t>
            </w:r>
          </w:p>
        </w:tc>
        <w:tc>
          <w:tcPr>
            <w:tcW w:w="8705" w:type="dxa"/>
            <w:noWrap w:val="0"/>
            <w:vAlign w:val="top"/>
          </w:tcPr>
          <w:p w14:paraId="55C78501">
            <w:pPr>
              <w:keepNext/>
              <w:keepLines/>
              <w:suppressLineNumbers w:val="0"/>
              <w:tabs>
                <w:tab w:val="left" w:pos="0"/>
              </w:tabs>
              <w:spacing w:before="0" w:beforeAutospacing="0" w:after="0" w:afterAutospacing="0" w:line="360" w:lineRule="auto"/>
              <w:ind w:left="0" w:right="0" w:firstLine="482" w:firstLineChars="200"/>
              <w:jc w:val="left"/>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1、项目选址与周边外环境合理性分析</w:t>
            </w:r>
          </w:p>
          <w:p w14:paraId="3169DD5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本项目用地位于城镇规划区外，占地范围内无泉眼、地下暗河等控制性水点分布，用地及井口周边不涉及自然保护区、风景名胜区</w:t>
            </w:r>
            <w:r>
              <w:rPr>
                <w:rFonts w:hint="eastAsia" w:cs="Times New Roman"/>
                <w:bCs/>
                <w:color w:val="auto"/>
                <w:sz w:val="24"/>
                <w:lang w:eastAsia="zh-CN"/>
              </w:rPr>
              <w:t>、</w:t>
            </w:r>
            <w:r>
              <w:rPr>
                <w:rFonts w:hint="eastAsia" w:cs="Times New Roman"/>
                <w:bCs/>
                <w:color w:val="auto"/>
                <w:sz w:val="24"/>
                <w:lang w:val="en-US" w:eastAsia="zh-CN"/>
              </w:rPr>
              <w:t>饮用水水源保护区</w:t>
            </w:r>
            <w:r>
              <w:rPr>
                <w:rFonts w:hint="default" w:ascii="Times New Roman" w:hAnsi="Times New Roman" w:cs="Times New Roman"/>
                <w:bCs/>
                <w:color w:val="auto"/>
                <w:sz w:val="24"/>
              </w:rPr>
              <w:t>等其他各类环境敏感区，无学校、医院等人口密集性敏感目标，项目所在地不涉及巴中市生态保护红线。</w:t>
            </w:r>
          </w:p>
          <w:p w14:paraId="28EA77F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eastAsia" w:ascii="Times New Roman" w:hAnsi="Times New Roman" w:cs="Times New Roman"/>
                <w:bCs/>
                <w:color w:val="auto"/>
                <w:sz w:val="24"/>
                <w:lang w:val="en-US" w:eastAsia="zh-CN"/>
              </w:rPr>
              <w:t>井场</w:t>
            </w:r>
            <w:r>
              <w:rPr>
                <w:rFonts w:hint="default" w:ascii="Times New Roman" w:hAnsi="Times New Roman" w:cs="Times New Roman"/>
                <w:bCs/>
                <w:color w:val="auto"/>
                <w:sz w:val="24"/>
              </w:rPr>
              <w:t>占地为临时占地，用地现状为</w:t>
            </w:r>
            <w:r>
              <w:rPr>
                <w:rFonts w:hint="eastAsia" w:ascii="Times New Roman" w:hAnsi="Times New Roman" w:cs="Times New Roman"/>
                <w:color w:val="auto"/>
                <w:sz w:val="24"/>
              </w:rPr>
              <w:t>林地、耕地、</w:t>
            </w:r>
            <w:r>
              <w:rPr>
                <w:rFonts w:hint="eastAsia" w:cs="Times New Roman"/>
                <w:color w:val="auto"/>
                <w:sz w:val="24"/>
                <w:lang w:val="en-US" w:eastAsia="zh-CN"/>
              </w:rPr>
              <w:t>坑塘水面</w:t>
            </w:r>
            <w:r>
              <w:rPr>
                <w:rFonts w:hint="eastAsia" w:ascii="Times New Roman" w:hAnsi="Times New Roman" w:cs="Times New Roman"/>
                <w:color w:val="auto"/>
                <w:sz w:val="24"/>
              </w:rPr>
              <w:t>、农村宅基地</w:t>
            </w:r>
            <w:r>
              <w:rPr>
                <w:rFonts w:hint="eastAsia" w:ascii="Times New Roman" w:hAnsi="Times New Roman" w:cs="Times New Roman"/>
                <w:color w:val="auto"/>
                <w:sz w:val="24"/>
                <w:lang w:val="en-US" w:eastAsia="zh-CN"/>
              </w:rPr>
              <w:t>等</w:t>
            </w:r>
            <w:r>
              <w:rPr>
                <w:rFonts w:hint="default" w:ascii="Times New Roman" w:hAnsi="Times New Roman" w:cs="Times New Roman"/>
                <w:bCs/>
                <w:color w:val="auto"/>
                <w:sz w:val="24"/>
              </w:rPr>
              <w:t>，对工程占地的具体补偿措施及补偿方案由建设单位协同主管部门确定，在采取补偿等措施后，对失地农民生活影响较小。</w:t>
            </w:r>
          </w:p>
          <w:p w14:paraId="2DAF12B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根据《钻前工程及井场布置技术要求》</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SY/T</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5466-2013</w:t>
            </w:r>
            <w:r>
              <w:rPr>
                <w:rFonts w:hint="eastAsia" w:ascii="Times New Roman" w:hAnsi="Times New Roman" w:cs="Times New Roman"/>
                <w:bCs/>
                <w:color w:val="auto"/>
                <w:sz w:val="24"/>
                <w:lang w:eastAsia="zh-CN"/>
              </w:rPr>
              <w:t>）、</w:t>
            </w:r>
            <w:r>
              <w:rPr>
                <w:rFonts w:hint="default" w:ascii="Times New Roman" w:hAnsi="Times New Roman" w:cs="Times New Roman"/>
                <w:color w:val="auto"/>
                <w:kern w:val="0"/>
                <w:sz w:val="24"/>
                <w:highlight w:val="none"/>
              </w:rPr>
              <w:t>《石油天然气钻井井控技术</w:t>
            </w:r>
            <w:r>
              <w:rPr>
                <w:rFonts w:hint="eastAsia" w:ascii="Times New Roman" w:hAnsi="Times New Roman" w:cs="Times New Roman"/>
                <w:color w:val="auto"/>
                <w:kern w:val="0"/>
                <w:sz w:val="24"/>
                <w:highlight w:val="none"/>
                <w:lang w:val="en-US" w:eastAsia="zh-CN"/>
              </w:rPr>
              <w:t>要求</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GB/T</w:t>
            </w:r>
            <w:r>
              <w:rPr>
                <w:rFonts w:hint="eastAsia" w:ascii="Times New Roman" w:hAnsi="Times New Roman"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rPr>
              <w:t>31033-20</w:t>
            </w:r>
            <w:r>
              <w:rPr>
                <w:rFonts w:hint="eastAsia" w:ascii="Times New Roman" w:hAnsi="Times New Roman" w:cs="Times New Roman"/>
                <w:color w:val="auto"/>
                <w:kern w:val="0"/>
                <w:sz w:val="24"/>
                <w:highlight w:val="none"/>
                <w:lang w:val="en-US" w:eastAsia="zh-CN"/>
              </w:rPr>
              <w:t>25</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石油天然气钻井、开发、储运防火防爆安全生产技术规程</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SY/T</w:t>
            </w:r>
            <w:r>
              <w:rPr>
                <w:rFonts w:hint="eastAsia" w:ascii="Times New Roman" w:hAnsi="Times New Roman" w:cs="Times New Roman"/>
                <w:bCs/>
                <w:color w:val="auto"/>
                <w:kern w:val="0"/>
                <w:sz w:val="24"/>
                <w:highlight w:val="none"/>
                <w:lang w:val="en-US" w:eastAsia="zh-CN"/>
              </w:rPr>
              <w:t xml:space="preserve"> </w:t>
            </w:r>
            <w:r>
              <w:rPr>
                <w:rFonts w:hint="eastAsia" w:ascii="Times New Roman" w:hAnsi="Times New Roman" w:cs="Times New Roman"/>
                <w:bCs/>
                <w:color w:val="auto"/>
                <w:kern w:val="0"/>
                <w:sz w:val="24"/>
                <w:highlight w:val="none"/>
                <w:lang w:eastAsia="zh-CN"/>
              </w:rPr>
              <w:t>5225-2019</w:t>
            </w:r>
            <w:r>
              <w:rPr>
                <w:rFonts w:hint="default" w:ascii="Times New Roman" w:hAnsi="Times New Roman" w:cs="Times New Roman"/>
                <w:bCs/>
                <w:color w:val="auto"/>
                <w:kern w:val="0"/>
                <w:sz w:val="24"/>
                <w:highlight w:val="none"/>
              </w:rPr>
              <w:t>）</w:t>
            </w:r>
            <w:r>
              <w:rPr>
                <w:rFonts w:hint="default" w:ascii="Times New Roman" w:hAnsi="Times New Roman" w:cs="Times New Roman"/>
                <w:bCs/>
                <w:color w:val="auto"/>
                <w:sz w:val="24"/>
              </w:rPr>
              <w:t>等规定：油气井井口距离高压线及其他永久性设施不小于75m，距民宅不小于100m，距铁路、高速公路不小于200m，距学校、医院和大型油库等人口密集性、高危性场所不小于500m。根据现场调查，</w:t>
            </w:r>
            <w:r>
              <w:rPr>
                <w:rFonts w:hint="eastAsia" w:ascii="Times New Roman" w:hAnsi="Times New Roman" w:cs="Times New Roman"/>
                <w:bCs/>
                <w:color w:val="auto"/>
                <w:sz w:val="24"/>
              </w:rPr>
              <w:t>为满足井口75m范围内无高压线及其他永久性设施</w:t>
            </w:r>
            <w:r>
              <w:rPr>
                <w:rFonts w:hint="eastAsia" w:ascii="Times New Roman" w:hAnsi="Times New Roman" w:eastAsia="宋体" w:cs="Times New Roman"/>
                <w:bCs/>
                <w:color w:val="auto"/>
                <w:sz w:val="24"/>
              </w:rPr>
              <w:t>。</w:t>
            </w:r>
            <w:r>
              <w:rPr>
                <w:rFonts w:hint="eastAsia" w:ascii="Times New Roman" w:hAnsi="Times New Roman" w:cs="Times New Roman"/>
                <w:bCs/>
                <w:color w:val="auto"/>
                <w:sz w:val="24"/>
              </w:rPr>
              <w:t>为满足井口100m范围内无民房及放喷池50m范围内无民房，需要工程拆迁</w:t>
            </w:r>
            <w:r>
              <w:rPr>
                <w:rFonts w:hint="eastAsia" w:cs="Times New Roman"/>
                <w:bCs/>
                <w:color w:val="auto"/>
                <w:sz w:val="24"/>
                <w:lang w:val="en-US" w:eastAsia="zh-CN"/>
              </w:rPr>
              <w:t>2</w:t>
            </w:r>
            <w:r>
              <w:rPr>
                <w:rFonts w:hint="eastAsia" w:ascii="Times New Roman" w:hAnsi="Times New Roman" w:cs="Times New Roman"/>
                <w:bCs/>
                <w:color w:val="auto"/>
                <w:sz w:val="24"/>
              </w:rPr>
              <w:t>栋民房。拆迁工程由政府及相关部门负责拆迁。在完成以上工程后，</w:t>
            </w:r>
            <w:r>
              <w:rPr>
                <w:rFonts w:hint="default" w:ascii="Times New Roman" w:hAnsi="Times New Roman" w:cs="Times New Roman"/>
                <w:bCs/>
                <w:color w:val="auto"/>
                <w:sz w:val="24"/>
              </w:rPr>
              <w:t>项目井口与各设施的距离及符合性分析见下表</w:t>
            </w:r>
            <w:r>
              <w:rPr>
                <w:rFonts w:hint="eastAsia" w:ascii="Times New Roman" w:hAnsi="Times New Roman" w:cs="Times New Roman"/>
                <w:bCs/>
                <w:color w:val="auto"/>
                <w:sz w:val="24"/>
              </w:rPr>
              <w:t>：</w:t>
            </w:r>
          </w:p>
          <w:p w14:paraId="2323D15E">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井口与各设施距离</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3"/>
              <w:gridCol w:w="1421"/>
              <w:gridCol w:w="2692"/>
              <w:gridCol w:w="1732"/>
            </w:tblGrid>
            <w:tr w14:paraId="45AD4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679E7F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838" w:type="pct"/>
                  <w:noWrap w:val="0"/>
                  <w:vAlign w:val="center"/>
                </w:tcPr>
                <w:p w14:paraId="79457BA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钻前工程井场技术要求</w:t>
                  </w:r>
                </w:p>
              </w:tc>
              <w:tc>
                <w:tcPr>
                  <w:tcW w:w="1587" w:type="pct"/>
                  <w:noWrap w:val="0"/>
                  <w:vAlign w:val="center"/>
                </w:tcPr>
                <w:p w14:paraId="7AAE379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本工程是否涉及居民区、铁路等，以及距井口距离</w:t>
                  </w:r>
                </w:p>
              </w:tc>
              <w:tc>
                <w:tcPr>
                  <w:tcW w:w="1021" w:type="pct"/>
                  <w:noWrap w:val="0"/>
                  <w:vAlign w:val="center"/>
                </w:tcPr>
                <w:p w14:paraId="250131F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是否满足钻前技术要求</w:t>
                  </w:r>
                </w:p>
              </w:tc>
            </w:tr>
            <w:tr w14:paraId="791AB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B31E44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高压线及其他永久性设施</w:t>
                  </w:r>
                </w:p>
              </w:tc>
              <w:tc>
                <w:tcPr>
                  <w:tcW w:w="838" w:type="pct"/>
                  <w:noWrap w:val="0"/>
                  <w:vAlign w:val="center"/>
                </w:tcPr>
                <w:p w14:paraId="78079B3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≥75m</w:t>
                  </w:r>
                </w:p>
              </w:tc>
              <w:tc>
                <w:tcPr>
                  <w:tcW w:w="1587" w:type="pct"/>
                  <w:noWrap w:val="0"/>
                  <w:vAlign w:val="center"/>
                </w:tcPr>
                <w:p w14:paraId="2D7783C8">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经拆迁后75m范围内不涉及</w:t>
                  </w:r>
                </w:p>
              </w:tc>
              <w:tc>
                <w:tcPr>
                  <w:tcW w:w="1021" w:type="pct"/>
                  <w:noWrap w:val="0"/>
                  <w:vAlign w:val="center"/>
                </w:tcPr>
                <w:p w14:paraId="3B17582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39D04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6DCC61B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民宅</w:t>
                  </w:r>
                </w:p>
              </w:tc>
              <w:tc>
                <w:tcPr>
                  <w:tcW w:w="838" w:type="pct"/>
                  <w:noWrap w:val="0"/>
                  <w:vAlign w:val="center"/>
                </w:tcPr>
                <w:p w14:paraId="3ACF2549">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≥100m</w:t>
                  </w:r>
                </w:p>
              </w:tc>
              <w:tc>
                <w:tcPr>
                  <w:tcW w:w="1587" w:type="pct"/>
                  <w:noWrap w:val="0"/>
                  <w:vAlign w:val="center"/>
                </w:tcPr>
                <w:p w14:paraId="56BA250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经拆迁后100m内无民房</w:t>
                  </w:r>
                </w:p>
              </w:tc>
              <w:tc>
                <w:tcPr>
                  <w:tcW w:w="1021" w:type="pct"/>
                  <w:noWrap w:val="0"/>
                  <w:vAlign w:val="center"/>
                </w:tcPr>
                <w:p w14:paraId="0F66A37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5F045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0F2CB94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铁路</w:t>
                  </w:r>
                </w:p>
              </w:tc>
              <w:tc>
                <w:tcPr>
                  <w:tcW w:w="838" w:type="pct"/>
                  <w:noWrap w:val="0"/>
                  <w:vAlign w:val="center"/>
                </w:tcPr>
                <w:p w14:paraId="7EFC8EF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1587" w:type="pct"/>
                  <w:noWrap w:val="0"/>
                  <w:vAlign w:val="center"/>
                </w:tcPr>
                <w:p w14:paraId="12D4E3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不涉及</w:t>
                  </w:r>
                </w:p>
              </w:tc>
              <w:tc>
                <w:tcPr>
                  <w:tcW w:w="1021" w:type="pct"/>
                  <w:noWrap w:val="0"/>
                  <w:vAlign w:val="center"/>
                </w:tcPr>
                <w:p w14:paraId="1979FE4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2AC42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522153F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高速公路</w:t>
                  </w:r>
                </w:p>
              </w:tc>
              <w:tc>
                <w:tcPr>
                  <w:tcW w:w="838" w:type="pct"/>
                  <w:noWrap w:val="0"/>
                  <w:vAlign w:val="center"/>
                </w:tcPr>
                <w:p w14:paraId="2DE9042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1587" w:type="pct"/>
                  <w:noWrap w:val="0"/>
                  <w:vAlign w:val="center"/>
                </w:tcPr>
                <w:p w14:paraId="42E3CE1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不涉及</w:t>
                  </w:r>
                </w:p>
              </w:tc>
              <w:tc>
                <w:tcPr>
                  <w:tcW w:w="1021" w:type="pct"/>
                  <w:noWrap w:val="0"/>
                  <w:vAlign w:val="center"/>
                </w:tcPr>
                <w:p w14:paraId="4620605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6E100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561523E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学校</w:t>
                  </w:r>
                </w:p>
              </w:tc>
              <w:tc>
                <w:tcPr>
                  <w:tcW w:w="838" w:type="pct"/>
                  <w:noWrap w:val="0"/>
                  <w:vAlign w:val="center"/>
                </w:tcPr>
                <w:p w14:paraId="4F9D2D0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4E62D20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71F6139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624BC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7EBA4F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医院</w:t>
                  </w:r>
                </w:p>
              </w:tc>
              <w:tc>
                <w:tcPr>
                  <w:tcW w:w="838" w:type="pct"/>
                  <w:noWrap w:val="0"/>
                  <w:vAlign w:val="center"/>
                </w:tcPr>
                <w:p w14:paraId="3FE944F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5113721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3C9BA14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02594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763B262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油库等高危险场所</w:t>
                  </w:r>
                </w:p>
              </w:tc>
              <w:tc>
                <w:tcPr>
                  <w:tcW w:w="838" w:type="pct"/>
                  <w:noWrap w:val="0"/>
                  <w:vAlign w:val="center"/>
                </w:tcPr>
                <w:p w14:paraId="057740B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1C33744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646B686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49DCF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2C19C93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集中居住地等人口密集区</w:t>
                  </w:r>
                </w:p>
              </w:tc>
              <w:tc>
                <w:tcPr>
                  <w:tcW w:w="838" w:type="pct"/>
                  <w:noWrap w:val="0"/>
                  <w:vAlign w:val="center"/>
                </w:tcPr>
                <w:p w14:paraId="04AE9BD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17323BB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695D745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bl>
          <w:p w14:paraId="481661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由上表可知，项目井口与各项设施的距离均满足《钻前工程及井场布置技术要求》</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SY/T</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5466-2013</w:t>
            </w:r>
            <w:r>
              <w:rPr>
                <w:rFonts w:hint="eastAsia" w:ascii="Times New Roman" w:hAnsi="Times New Roman" w:cs="Times New Roman"/>
                <w:bCs/>
                <w:color w:val="auto"/>
                <w:sz w:val="24"/>
                <w:lang w:eastAsia="zh-CN"/>
              </w:rPr>
              <w:t>）、</w:t>
            </w:r>
            <w:r>
              <w:rPr>
                <w:rFonts w:hint="default" w:ascii="Times New Roman" w:hAnsi="Times New Roman" w:cs="Times New Roman"/>
                <w:color w:val="auto"/>
                <w:kern w:val="0"/>
                <w:sz w:val="24"/>
                <w:highlight w:val="none"/>
              </w:rPr>
              <w:t>《石油天然气钻井井控技术</w:t>
            </w:r>
            <w:r>
              <w:rPr>
                <w:rFonts w:hint="eastAsia" w:ascii="Times New Roman" w:hAnsi="Times New Roman" w:cs="Times New Roman"/>
                <w:color w:val="auto"/>
                <w:kern w:val="0"/>
                <w:sz w:val="24"/>
                <w:highlight w:val="none"/>
                <w:lang w:val="en-US" w:eastAsia="zh-CN"/>
              </w:rPr>
              <w:t>要求</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GB/T</w:t>
            </w:r>
            <w:r>
              <w:rPr>
                <w:rFonts w:hint="eastAsia" w:ascii="Times New Roman" w:hAnsi="Times New Roman"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rPr>
              <w:t>31033-20</w:t>
            </w:r>
            <w:r>
              <w:rPr>
                <w:rFonts w:hint="eastAsia" w:ascii="Times New Roman" w:hAnsi="Times New Roman" w:cs="Times New Roman"/>
                <w:color w:val="auto"/>
                <w:kern w:val="0"/>
                <w:sz w:val="24"/>
                <w:highlight w:val="none"/>
                <w:lang w:val="en-US" w:eastAsia="zh-CN"/>
              </w:rPr>
              <w:t>25</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石油天然气钻井、开发、储运防火防爆安全生产技术规程</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SY/T</w:t>
            </w:r>
            <w:r>
              <w:rPr>
                <w:rFonts w:hint="eastAsia" w:ascii="Times New Roman" w:hAnsi="Times New Roman" w:cs="Times New Roman"/>
                <w:bCs/>
                <w:color w:val="auto"/>
                <w:kern w:val="0"/>
                <w:sz w:val="24"/>
                <w:highlight w:val="none"/>
                <w:lang w:val="en-US" w:eastAsia="zh-CN"/>
              </w:rPr>
              <w:t xml:space="preserve"> </w:t>
            </w:r>
            <w:r>
              <w:rPr>
                <w:rFonts w:hint="eastAsia" w:ascii="Times New Roman" w:hAnsi="Times New Roman" w:cs="Times New Roman"/>
                <w:bCs/>
                <w:color w:val="auto"/>
                <w:kern w:val="0"/>
                <w:sz w:val="24"/>
                <w:highlight w:val="none"/>
                <w:lang w:eastAsia="zh-CN"/>
              </w:rPr>
              <w:t>5225-2019</w:t>
            </w:r>
            <w:r>
              <w:rPr>
                <w:rFonts w:hint="default" w:ascii="Times New Roman" w:hAnsi="Times New Roman" w:cs="Times New Roman"/>
                <w:bCs/>
                <w:color w:val="auto"/>
                <w:kern w:val="0"/>
                <w:sz w:val="24"/>
                <w:highlight w:val="none"/>
              </w:rPr>
              <w:t>）</w:t>
            </w:r>
            <w:r>
              <w:rPr>
                <w:rFonts w:hint="default" w:ascii="Times New Roman" w:hAnsi="Times New Roman" w:cs="Times New Roman"/>
                <w:bCs/>
                <w:color w:val="auto"/>
                <w:sz w:val="24"/>
              </w:rPr>
              <w:t>等规定的要求。同时，本项目钻机等</w:t>
            </w:r>
            <w:r>
              <w:rPr>
                <w:rFonts w:hint="eastAsia" w:ascii="Times New Roman" w:hAnsi="Times New Roman" w:cs="Times New Roman"/>
                <w:bCs/>
                <w:color w:val="auto"/>
                <w:sz w:val="24"/>
              </w:rPr>
              <w:t>设备</w:t>
            </w:r>
            <w:r>
              <w:rPr>
                <w:rFonts w:hint="default" w:ascii="Times New Roman" w:hAnsi="Times New Roman" w:cs="Times New Roman"/>
                <w:bCs/>
                <w:color w:val="auto"/>
                <w:sz w:val="24"/>
              </w:rPr>
              <w:t>尽量远离敏感点进行布置，通过距离衰减后尽量减缓对周围敏感点的影响。</w:t>
            </w:r>
          </w:p>
          <w:p w14:paraId="38B94834">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Times New Roman"/>
                <w:b/>
                <w:color w:val="auto"/>
                <w:sz w:val="24"/>
              </w:rPr>
            </w:pPr>
            <w:r>
              <w:rPr>
                <w:rFonts w:hint="default" w:ascii="Times New Roman" w:hAnsi="Times New Roman" w:cs="Times New Roman"/>
                <w:b/>
                <w:color w:val="auto"/>
                <w:sz w:val="24"/>
              </w:rPr>
              <w:t>2、项目占用基本农田</w:t>
            </w:r>
            <w:r>
              <w:rPr>
                <w:rFonts w:hint="eastAsia" w:ascii="Times New Roman" w:hAnsi="Times New Roman" w:cs="Times New Roman"/>
                <w:b/>
                <w:color w:val="auto"/>
                <w:sz w:val="24"/>
              </w:rPr>
              <w:t>分析</w:t>
            </w:r>
          </w:p>
          <w:p w14:paraId="538DB05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巴中市</w:t>
            </w:r>
            <w:r>
              <w:rPr>
                <w:rFonts w:hint="eastAsia" w:cs="Times New Roman"/>
                <w:color w:val="auto"/>
                <w:sz w:val="24"/>
                <w:lang w:eastAsia="zh-CN"/>
              </w:rPr>
              <w:t>恩阳区上八庙镇季台村6组</w:t>
            </w:r>
            <w:r>
              <w:rPr>
                <w:rFonts w:hint="default" w:ascii="Times New Roman" w:hAnsi="Times New Roman" w:cs="Times New Roman"/>
                <w:color w:val="auto"/>
                <w:sz w:val="24"/>
              </w:rPr>
              <w:t>，项目占用</w:t>
            </w:r>
            <w:r>
              <w:rPr>
                <w:rFonts w:hint="eastAsia" w:ascii="Times New Roman" w:hAnsi="Times New Roman" w:cs="Times New Roman"/>
                <w:color w:val="auto"/>
                <w:sz w:val="24"/>
              </w:rPr>
              <w:t>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永久基本农田）、坑塘水面、农村宅基地</w:t>
            </w:r>
            <w:r>
              <w:rPr>
                <w:rFonts w:hint="eastAsia" w:ascii="Times New Roman" w:hAnsi="Times New Roman" w:cs="Times New Roman"/>
                <w:color w:val="auto"/>
                <w:sz w:val="24"/>
                <w:lang w:val="en-US" w:eastAsia="zh-CN"/>
              </w:rPr>
              <w:t>等，项目</w:t>
            </w:r>
            <w:r>
              <w:rPr>
                <w:rFonts w:hint="default" w:ascii="Times New Roman" w:hAnsi="Times New Roman" w:cs="Times New Roman"/>
                <w:color w:val="auto"/>
                <w:sz w:val="24"/>
              </w:rPr>
              <w:t>占地面积约</w:t>
            </w:r>
            <w:r>
              <w:rPr>
                <w:rFonts w:hint="eastAsia" w:cs="Times New Roman"/>
                <w:color w:val="auto"/>
                <w:sz w:val="24"/>
                <w:lang w:val="en-US" w:eastAsia="zh-CN"/>
              </w:rPr>
              <w:t>1.6780</w:t>
            </w:r>
            <w:r>
              <w:rPr>
                <w:rFonts w:hint="default" w:ascii="Times New Roman" w:hAnsi="Times New Roman" w:cs="Times New Roman"/>
                <w:color w:val="auto"/>
                <w:sz w:val="24"/>
              </w:rPr>
              <w:t>m</w:t>
            </w:r>
            <w:r>
              <w:rPr>
                <w:rFonts w:hint="eastAsia" w:ascii="Times New Roman" w:hAnsi="Times New Roman" w:cs="Times New Roman"/>
                <w:color w:val="auto"/>
                <w:sz w:val="24"/>
                <w:vertAlign w:val="superscript"/>
                <w:lang w:val="en-US" w:eastAsia="zh-CN"/>
              </w:rPr>
              <w:t>2</w:t>
            </w:r>
            <w:r>
              <w:rPr>
                <w:rFonts w:hint="default" w:ascii="Times New Roman" w:hAnsi="Times New Roman" w:cs="Times New Roman"/>
                <w:color w:val="auto"/>
                <w:sz w:val="24"/>
              </w:rPr>
              <w:t>。</w:t>
            </w:r>
            <w:r>
              <w:rPr>
                <w:rFonts w:hint="eastAsia" w:ascii="Times New Roman" w:hAnsi="Times New Roman" w:cs="Times New Roman"/>
                <w:bCs/>
                <w:color w:val="auto"/>
                <w:sz w:val="24"/>
                <w:lang w:val="en-US" w:eastAsia="zh-CN"/>
              </w:rPr>
              <w:t>项目所在区域永久基本农田分布较密集，本项目占用的</w:t>
            </w:r>
            <w:r>
              <w:rPr>
                <w:rFonts w:hint="eastAsia" w:ascii="Times New Roman" w:hAnsi="Times New Roman" w:cs="Times New Roman"/>
                <w:color w:val="auto"/>
                <w:sz w:val="24"/>
                <w:lang w:val="en-US" w:eastAsia="zh-CN"/>
              </w:rPr>
              <w:t>耕地中含</w:t>
            </w:r>
            <w:r>
              <w:rPr>
                <w:rFonts w:hint="eastAsia" w:ascii="Times New Roman" w:hAnsi="Times New Roman" w:cs="Times New Roman"/>
                <w:bCs/>
                <w:color w:val="auto"/>
                <w:sz w:val="24"/>
                <w:lang w:val="en-US" w:eastAsia="zh-CN"/>
              </w:rPr>
              <w:t>永久基本农田</w:t>
            </w:r>
            <w:r>
              <w:rPr>
                <w:rFonts w:hint="eastAsia" w:cs="Times New Roman"/>
                <w:bCs/>
                <w:color w:val="auto"/>
                <w:sz w:val="24"/>
                <w:lang w:val="en-US" w:eastAsia="zh-CN"/>
              </w:rPr>
              <w:t>0.9557</w:t>
            </w:r>
            <w:r>
              <w:rPr>
                <w:rFonts w:hint="eastAsia" w:ascii="Times New Roman" w:hAnsi="Times New Roman" w:cs="Times New Roman"/>
                <w:color w:val="auto"/>
                <w:sz w:val="24"/>
                <w:lang w:val="en-US" w:eastAsia="zh-CN"/>
              </w:rPr>
              <w:t>hm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bCs/>
                <w:color w:val="auto"/>
                <w:sz w:val="24"/>
                <w:lang w:val="en-US" w:eastAsia="zh-CN"/>
              </w:rPr>
              <w:t>。</w:t>
            </w:r>
          </w:p>
          <w:p w14:paraId="3CA2BD5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本项目为</w:t>
            </w:r>
            <w:r>
              <w:rPr>
                <w:rFonts w:hint="default" w:ascii="Times New Roman" w:hAnsi="Times New Roman" w:cs="Times New Roman"/>
                <w:color w:val="auto"/>
                <w:sz w:val="24"/>
              </w:rPr>
              <w:t>地下天然气</w:t>
            </w:r>
            <w:r>
              <w:rPr>
                <w:rFonts w:hint="eastAsia" w:ascii="Times New Roman" w:hAnsi="Times New Roman" w:cs="Times New Roman"/>
                <w:color w:val="auto"/>
                <w:sz w:val="24"/>
                <w:lang w:val="en-US" w:eastAsia="zh-CN"/>
              </w:rPr>
              <w:t>勘探项目，该类项目</w:t>
            </w:r>
            <w:r>
              <w:rPr>
                <w:rFonts w:hint="default" w:ascii="Times New Roman" w:hAnsi="Times New Roman" w:cs="Times New Roman"/>
                <w:color w:val="auto"/>
                <w:sz w:val="24"/>
              </w:rPr>
              <w:t>具有明显的行业特殊性，在选址上很大程</w:t>
            </w:r>
            <w:r>
              <w:rPr>
                <w:rFonts w:hint="eastAsia" w:ascii="Times New Roman" w:hAnsi="Times New Roman" w:cs="Times New Roman"/>
                <w:color w:val="auto"/>
                <w:sz w:val="24"/>
                <w:lang w:eastAsia="zh-CN"/>
              </w:rPr>
              <w:t>度上</w:t>
            </w:r>
            <w:r>
              <w:rPr>
                <w:rFonts w:hint="default" w:ascii="Times New Roman" w:hAnsi="Times New Roman" w:cs="Times New Roman"/>
                <w:color w:val="auto"/>
                <w:sz w:val="24"/>
              </w:rPr>
              <w:t>是“井下决定井上”，首先需考虑的是该区域是否含有天然气，是否具有开采价值</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并以此确定勘探井口的位置</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因此本项目在选择井口位置时，先天就有很大的约束</w:t>
            </w:r>
            <w:r>
              <w:rPr>
                <w:rFonts w:hint="eastAsia" w:ascii="Times New Roman" w:hAnsi="Times New Roman" w:cs="Times New Roman"/>
                <w:color w:val="auto"/>
                <w:sz w:val="24"/>
                <w:lang w:val="en-US" w:eastAsia="zh-CN"/>
              </w:rPr>
              <w:t>性</w:t>
            </w:r>
            <w:r>
              <w:rPr>
                <w:rFonts w:hint="default" w:ascii="Times New Roman" w:hAnsi="Times New Roman" w:cs="Times New Roman"/>
                <w:color w:val="auto"/>
                <w:sz w:val="24"/>
              </w:rPr>
              <w:t>，是通过天然气所在位置来确定井口位置。</w:t>
            </w:r>
          </w:p>
          <w:p w14:paraId="2CCA339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项目通过邻井测试情况并结合区域地质分析</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确定了项目区域具有</w:t>
            </w:r>
            <w:r>
              <w:rPr>
                <w:rFonts w:hint="default" w:ascii="Times New Roman" w:hAnsi="Times New Roman" w:cs="Times New Roman"/>
                <w:color w:val="auto"/>
                <w:sz w:val="24"/>
              </w:rPr>
              <w:t>天然气</w:t>
            </w:r>
            <w:r>
              <w:rPr>
                <w:rFonts w:hint="eastAsia" w:ascii="Times New Roman" w:hAnsi="Times New Roman" w:cs="Times New Roman"/>
                <w:color w:val="auto"/>
                <w:sz w:val="24"/>
                <w:lang w:val="en-US" w:eastAsia="zh-CN"/>
              </w:rPr>
              <w:t>的可能性，确定了本项目选址的位置。结合区域永久基本农田分布情况来看，项目区域永久基本农田分布较为密集，井场局部来看永久基本农田分布在北侧、</w:t>
            </w:r>
            <w:r>
              <w:rPr>
                <w:rFonts w:hint="eastAsia" w:cs="Times New Roman"/>
                <w:color w:val="auto"/>
                <w:sz w:val="24"/>
                <w:lang w:val="en-US" w:eastAsia="zh-CN"/>
              </w:rPr>
              <w:t>南侧、西侧</w:t>
            </w:r>
            <w:r>
              <w:rPr>
                <w:rFonts w:hint="eastAsia" w:ascii="Times New Roman" w:hAnsi="Times New Roman" w:cs="Times New Roman"/>
                <w:color w:val="auto"/>
                <w:sz w:val="24"/>
                <w:lang w:val="en-US" w:eastAsia="zh-CN"/>
              </w:rPr>
              <w:t>，</w:t>
            </w:r>
            <w:r>
              <w:rPr>
                <w:rFonts w:hint="eastAsia" w:cs="Times New Roman"/>
                <w:color w:val="auto"/>
                <w:sz w:val="24"/>
                <w:lang w:val="en-US" w:eastAsia="zh-CN"/>
              </w:rPr>
              <w:t>东侧</w:t>
            </w:r>
            <w:r>
              <w:rPr>
                <w:rFonts w:hint="eastAsia" w:ascii="Times New Roman" w:hAnsi="Times New Roman" w:cs="Times New Roman"/>
                <w:color w:val="auto"/>
                <w:sz w:val="24"/>
                <w:lang w:val="en-US" w:eastAsia="zh-CN"/>
              </w:rPr>
              <w:t>略有空隙，但是西侧为陡坡，地势上不具备布置井场的基本条件。因此在平面布置上已尽量考虑减少永久基本农田的占用，</w:t>
            </w:r>
            <w:r>
              <w:rPr>
                <w:rFonts w:hint="default" w:ascii="Times New Roman" w:hAnsi="Times New Roman" w:cs="Times New Roman"/>
                <w:color w:val="auto"/>
                <w:sz w:val="24"/>
              </w:rPr>
              <w:t>同时站场选址还需考虑《钻前工程及井场布置技术要求》</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SY/T</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5466-2013</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中各项安全预防数值，</w:t>
            </w:r>
            <w:r>
              <w:rPr>
                <w:rFonts w:hint="eastAsia" w:ascii="Times New Roman" w:hAnsi="Times New Roman" w:cs="Times New Roman"/>
                <w:color w:val="auto"/>
                <w:sz w:val="24"/>
                <w:lang w:val="en-US" w:eastAsia="zh-CN"/>
              </w:rPr>
              <w:t>但</w:t>
            </w:r>
            <w:r>
              <w:rPr>
                <w:rFonts w:hint="eastAsia" w:cs="Times New Roman"/>
                <w:color w:val="auto"/>
                <w:sz w:val="24"/>
                <w:lang w:val="en-US" w:eastAsia="zh-CN"/>
              </w:rPr>
              <w:t>由于</w:t>
            </w:r>
            <w:r>
              <w:rPr>
                <w:rFonts w:hint="eastAsia" w:ascii="Times New Roman" w:hAnsi="Times New Roman" w:cs="Times New Roman"/>
                <w:color w:val="auto"/>
                <w:sz w:val="24"/>
                <w:lang w:val="en-US" w:eastAsia="zh-CN"/>
              </w:rPr>
              <w:t>地势等制约，项目</w:t>
            </w:r>
            <w:r>
              <w:rPr>
                <w:rFonts w:hint="default" w:ascii="Times New Roman" w:hAnsi="Times New Roman" w:cs="Times New Roman"/>
                <w:color w:val="auto"/>
                <w:sz w:val="24"/>
              </w:rPr>
              <w:t>不可避免</w:t>
            </w:r>
            <w:r>
              <w:rPr>
                <w:rFonts w:hint="eastAsia" w:ascii="Times New Roman" w:hAnsi="Times New Roman" w:cs="Times New Roman"/>
                <w:color w:val="auto"/>
                <w:sz w:val="24"/>
                <w:lang w:val="en-US" w:eastAsia="zh-CN"/>
              </w:rPr>
              <w:t>需</w:t>
            </w:r>
            <w:r>
              <w:rPr>
                <w:rFonts w:hint="default" w:ascii="Times New Roman" w:hAnsi="Times New Roman" w:cs="Times New Roman"/>
                <w:color w:val="auto"/>
                <w:sz w:val="24"/>
              </w:rPr>
              <w:t>占用部分</w:t>
            </w:r>
            <w:r>
              <w:rPr>
                <w:rFonts w:hint="eastAsia" w:ascii="Times New Roman" w:hAnsi="Times New Roman" w:cs="Times New Roman"/>
                <w:color w:val="auto"/>
                <w:sz w:val="24"/>
                <w:lang w:val="en-US" w:eastAsia="zh-CN"/>
              </w:rPr>
              <w:t>永久</w:t>
            </w:r>
            <w:r>
              <w:rPr>
                <w:rFonts w:hint="default" w:ascii="Times New Roman" w:hAnsi="Times New Roman" w:cs="Times New Roman"/>
                <w:color w:val="auto"/>
                <w:sz w:val="24"/>
              </w:rPr>
              <w:t>基本农田。</w:t>
            </w:r>
          </w:p>
          <w:p w14:paraId="035EC9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四川省自然资源厅关于解决油气勘探开发用地问题的复函》（川自然资函〔2019〕197号）文件要求，油气勘探开发项目可在无法避让基本农田的情况下，办理临时用地。目前，目前建设单位正在按照相关要求办理临时用地手续。本项目属于临时工程，项目用地应严格落实《</w:t>
            </w:r>
            <w:r>
              <w:rPr>
                <w:rFonts w:hint="eastAsia" w:ascii="Times New Roman" w:hAnsi="Times New Roman" w:cs="Times New Roman"/>
                <w:color w:val="auto"/>
                <w:sz w:val="24"/>
                <w:lang w:eastAsia="zh-CN"/>
              </w:rPr>
              <w:t>中华人民共和国土地管理法》《</w:t>
            </w:r>
            <w:r>
              <w:rPr>
                <w:rFonts w:hint="default" w:ascii="Times New Roman" w:hAnsi="Times New Roman" w:cs="Times New Roman"/>
                <w:color w:val="auto"/>
                <w:sz w:val="24"/>
              </w:rPr>
              <w:t>土地复垦条例</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自然资源部农业农村部关于加强和改进永久基本农田保护工作的通知》（自然资规〔2019〕1号）、《关于进一步做好用地用海要素保障的通知》（自然资发〔2023〕89号）等相关规定，临时用地结束后应按照土地复垦方案实施土地复垦，做好复土复耕，保证土壤质量，保障基本农田复垦后产量不降低</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对基本农田影响较小。</w:t>
            </w:r>
          </w:p>
          <w:p w14:paraId="4B51E267">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eastAsia" w:ascii="Times New Roman" w:hAnsi="Times New Roman" w:cs="Times New Roman"/>
                <w:b/>
                <w:color w:val="auto"/>
                <w:sz w:val="24"/>
                <w:lang w:val="en-US" w:eastAsia="zh-CN"/>
              </w:rPr>
              <w:t>3</w:t>
            </w:r>
            <w:r>
              <w:rPr>
                <w:rFonts w:hint="default" w:ascii="Times New Roman" w:hAnsi="Times New Roman" w:cs="Times New Roman"/>
                <w:b/>
                <w:color w:val="auto"/>
                <w:sz w:val="24"/>
              </w:rPr>
              <w:t>、放喷池选址合理性</w:t>
            </w:r>
          </w:p>
          <w:p w14:paraId="4D9BF81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设</w:t>
            </w:r>
            <w:r>
              <w:rPr>
                <w:rFonts w:hint="default" w:ascii="Times New Roman" w:hAnsi="Times New Roman" w:cs="Times New Roman"/>
                <w:color w:val="auto"/>
                <w:sz w:val="24"/>
              </w:rPr>
              <w:t>放喷池</w:t>
            </w:r>
            <w:r>
              <w:rPr>
                <w:rFonts w:hint="eastAsia" w:ascii="Times New Roman" w:hAnsi="Times New Roman" w:cs="Times New Roman"/>
                <w:color w:val="auto"/>
                <w:sz w:val="24"/>
                <w:lang w:val="en-US" w:eastAsia="zh-CN"/>
              </w:rPr>
              <w:t>1</w:t>
            </w:r>
            <w:r>
              <w:rPr>
                <w:rFonts w:hint="default" w:ascii="Times New Roman" w:hAnsi="Times New Roman" w:cs="Times New Roman"/>
                <w:color w:val="auto"/>
                <w:sz w:val="24"/>
              </w:rPr>
              <w:t>个，</w:t>
            </w:r>
            <w:r>
              <w:rPr>
                <w:rFonts w:hint="eastAsia" w:ascii="Times New Roman" w:hAnsi="Times New Roman" w:cs="Times New Roman"/>
                <w:color w:val="auto"/>
                <w:sz w:val="24"/>
                <w:lang w:val="en-US" w:eastAsia="zh-CN"/>
              </w:rPr>
              <w:t>位于</w:t>
            </w:r>
            <w:r>
              <w:rPr>
                <w:rFonts w:hint="default" w:ascii="Times New Roman" w:hAnsi="Times New Roman" w:cs="Times New Roman"/>
                <w:color w:val="auto"/>
                <w:kern w:val="0"/>
                <w:sz w:val="24"/>
                <w:szCs w:val="21"/>
              </w:rPr>
              <w:t>井场外</w:t>
            </w:r>
            <w:r>
              <w:rPr>
                <w:rFonts w:hint="eastAsia" w:cs="Times New Roman"/>
                <w:color w:val="auto"/>
                <w:kern w:val="0"/>
                <w:sz w:val="24"/>
                <w:szCs w:val="21"/>
                <w:lang w:val="en-US" w:eastAsia="zh-CN"/>
              </w:rPr>
              <w:t>东</w:t>
            </w:r>
            <w:r>
              <w:rPr>
                <w:rFonts w:hint="default" w:ascii="Times New Roman" w:hAnsi="Times New Roman" w:cs="Times New Roman"/>
                <w:color w:val="auto"/>
                <w:kern w:val="0"/>
                <w:sz w:val="24"/>
                <w:szCs w:val="21"/>
              </w:rPr>
              <w:t>北侧</w:t>
            </w:r>
            <w:r>
              <w:rPr>
                <w:rFonts w:hint="eastAsia" w:ascii="Times New Roman" w:hAnsi="Times New Roman" w:cs="Times New Roman"/>
                <w:color w:val="auto"/>
                <w:kern w:val="0"/>
                <w:sz w:val="24"/>
                <w:szCs w:val="21"/>
                <w:lang w:eastAsia="zh-CN"/>
              </w:rPr>
              <w:t>，</w:t>
            </w:r>
            <w:r>
              <w:rPr>
                <w:rFonts w:hint="eastAsia" w:cs="Times New Roman"/>
                <w:color w:val="auto"/>
                <w:kern w:val="0"/>
                <w:sz w:val="24"/>
                <w:szCs w:val="21"/>
                <w:lang w:val="en-US" w:eastAsia="zh-CN"/>
              </w:rPr>
              <w:t>放喷管线出口</w:t>
            </w:r>
            <w:r>
              <w:rPr>
                <w:rFonts w:hint="default" w:ascii="Times New Roman" w:hAnsi="Times New Roman" w:cs="Times New Roman"/>
                <w:color w:val="auto"/>
                <w:kern w:val="0"/>
                <w:sz w:val="24"/>
                <w:szCs w:val="21"/>
              </w:rPr>
              <w:t>距井口</w:t>
            </w:r>
            <w:r>
              <w:rPr>
                <w:rFonts w:hint="eastAsia" w:cs="Times New Roman"/>
                <w:color w:val="auto"/>
                <w:kern w:val="0"/>
                <w:sz w:val="24"/>
                <w:szCs w:val="21"/>
                <w:lang w:val="en-US" w:eastAsia="zh-CN"/>
              </w:rPr>
              <w:t>78</w:t>
            </w:r>
            <w:r>
              <w:rPr>
                <w:rFonts w:hint="default" w:ascii="Times New Roman" w:hAnsi="Times New Roman" w:cs="Times New Roman"/>
                <w:color w:val="auto"/>
                <w:kern w:val="0"/>
                <w:sz w:val="24"/>
                <w:szCs w:val="21"/>
              </w:rPr>
              <w:t>m</w:t>
            </w:r>
            <w:r>
              <w:rPr>
                <w:rFonts w:hint="eastAsia" w:ascii="Times New Roman" w:hAnsi="Times New Roman" w:cs="Times New Roman"/>
                <w:color w:val="auto"/>
                <w:kern w:val="0"/>
                <w:sz w:val="24"/>
                <w:szCs w:val="21"/>
                <w:lang w:eastAsia="zh-CN"/>
              </w:rPr>
              <w:t>。</w:t>
            </w:r>
            <w:r>
              <w:rPr>
                <w:rFonts w:hint="default" w:ascii="Times New Roman" w:hAnsi="Times New Roman" w:cs="Times New Roman"/>
                <w:color w:val="auto"/>
                <w:kern w:val="0"/>
                <w:sz w:val="24"/>
                <w:szCs w:val="24"/>
              </w:rPr>
              <w:t>放喷池容积</w:t>
            </w:r>
            <w:r>
              <w:rPr>
                <w:rFonts w:hint="eastAsia" w:cs="Times New Roman"/>
                <w:color w:val="auto"/>
                <w:kern w:val="0"/>
                <w:sz w:val="24"/>
                <w:szCs w:val="24"/>
                <w:lang w:val="en-US" w:eastAsia="zh-CN"/>
              </w:rPr>
              <w:t>30</w:t>
            </w:r>
            <w:r>
              <w:rPr>
                <w:rFonts w:hint="eastAsia" w:ascii="Times New Roman" w:hAnsi="Times New Roman" w:cs="Times New Roman"/>
                <w:color w:val="auto"/>
                <w:sz w:val="24"/>
                <w:szCs w:val="24"/>
                <w:lang w:val="en-US" w:eastAsia="zh-CN"/>
              </w:rPr>
              <w:t>0</w:t>
            </w:r>
            <w:r>
              <w:rPr>
                <w:rFonts w:hint="default" w:ascii="Times New Roman" w:hAnsi="Times New Roman" w:cs="Times New Roman"/>
                <w:color w:val="auto"/>
                <w:kern w:val="0"/>
                <w:sz w:val="24"/>
                <w:szCs w:val="24"/>
              </w:rPr>
              <w:t>m³，</w:t>
            </w:r>
            <w:r>
              <w:rPr>
                <w:rFonts w:hint="default" w:ascii="Times New Roman" w:hAnsi="Times New Roman" w:cs="Times New Roman"/>
                <w:color w:val="auto"/>
                <w:kern w:val="0"/>
                <w:sz w:val="24"/>
                <w:szCs w:val="21"/>
              </w:rPr>
              <w:t>三面墙结构（</w:t>
            </w:r>
            <w:r>
              <w:rPr>
                <w:rFonts w:hint="eastAsia" w:ascii="Times New Roman" w:hAnsi="Times New Roman" w:cs="Times New Roman"/>
                <w:color w:val="auto"/>
                <w:kern w:val="0"/>
                <w:sz w:val="24"/>
                <w:szCs w:val="21"/>
                <w:lang w:val="en-US" w:eastAsia="zh-CN"/>
              </w:rPr>
              <w:t>3</w:t>
            </w:r>
            <w:r>
              <w:rPr>
                <w:rFonts w:hint="default" w:ascii="Times New Roman" w:hAnsi="Times New Roman" w:cs="Times New Roman"/>
                <w:color w:val="auto"/>
                <w:kern w:val="0"/>
                <w:sz w:val="24"/>
                <w:szCs w:val="21"/>
              </w:rPr>
              <w:t>.5m高），采用耐火砖构筑。</w:t>
            </w:r>
            <w:r>
              <w:rPr>
                <w:rFonts w:hint="default" w:ascii="Times New Roman" w:hAnsi="Times New Roman" w:cs="Times New Roman"/>
                <w:color w:val="auto"/>
                <w:sz w:val="24"/>
              </w:rPr>
              <w:t>放喷池50m范围内无居民分布</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同时放喷池所在位置较为空旷，有利于燃烧废气的扩散。放喷池周围主要为灌草地，未发现珍稀、濒危野生植物，放喷池作业前应按照相关要求办理相关手续后对放喷池周围50m范围内低矮杂草、杂树等进行清除。项目放喷池布置符合《钻前工程及井场布置技术要求》（SY/T 5466-2013）等相关要求，整体来看，放喷池的选址是合理的。</w:t>
            </w:r>
          </w:p>
          <w:p w14:paraId="5414F94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color w:val="auto"/>
                <w:sz w:val="24"/>
              </w:rPr>
            </w:pPr>
            <w:r>
              <w:rPr>
                <w:rFonts w:hint="eastAsia" w:ascii="Times New Roman" w:hAnsi="Times New Roman" w:cs="Times New Roman"/>
                <w:b/>
                <w:color w:val="auto"/>
                <w:sz w:val="24"/>
                <w:lang w:val="en-US" w:eastAsia="zh-CN"/>
              </w:rPr>
              <w:t>4</w:t>
            </w:r>
            <w:r>
              <w:rPr>
                <w:rFonts w:hint="eastAsia" w:ascii="Times New Roman" w:hAnsi="Times New Roman" w:cs="Times New Roman"/>
                <w:b/>
                <w:color w:val="auto"/>
                <w:sz w:val="24"/>
              </w:rPr>
              <w:t>、污水池选址合理性分析</w:t>
            </w:r>
          </w:p>
          <w:p w14:paraId="7A684C0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本项目污水池（</w:t>
            </w:r>
            <w:r>
              <w:rPr>
                <w:rFonts w:hint="default" w:ascii="Times New Roman" w:hAnsi="Times New Roman" w:cs="Times New Roman"/>
                <w:color w:val="auto"/>
                <w:sz w:val="24"/>
              </w:rPr>
              <w:t>多功能网格池组</w:t>
            </w:r>
            <w:r>
              <w:rPr>
                <w:rFonts w:hint="eastAsia" w:ascii="Times New Roman" w:hAnsi="Times New Roman" w:cs="Times New Roman"/>
                <w:color w:val="auto"/>
                <w:sz w:val="24"/>
              </w:rPr>
              <w:t>）位于井场</w:t>
            </w:r>
            <w:r>
              <w:rPr>
                <w:rFonts w:hint="eastAsia" w:ascii="Times New Roman" w:hAnsi="Times New Roman" w:cs="Times New Roman"/>
                <w:color w:val="auto"/>
                <w:sz w:val="24"/>
                <w:lang w:val="en-US" w:eastAsia="zh-CN"/>
              </w:rPr>
              <w:t>外</w:t>
            </w:r>
            <w:r>
              <w:rPr>
                <w:rFonts w:hint="eastAsia" w:cs="Times New Roman"/>
                <w:color w:val="auto"/>
                <w:sz w:val="24"/>
                <w:lang w:val="en-US" w:eastAsia="zh-CN"/>
              </w:rPr>
              <w:t>西</w:t>
            </w:r>
            <w:r>
              <w:rPr>
                <w:rFonts w:hint="eastAsia" w:ascii="Times New Roman" w:hAnsi="Times New Roman" w:cs="Times New Roman"/>
                <w:color w:val="auto"/>
                <w:sz w:val="24"/>
                <w:lang w:val="en-US" w:eastAsia="zh-CN"/>
              </w:rPr>
              <w:t>北侧</w:t>
            </w:r>
            <w:r>
              <w:rPr>
                <w:rFonts w:hint="eastAsia" w:ascii="Times New Roman" w:hAnsi="Times New Roman" w:cs="Times New Roman"/>
                <w:color w:val="auto"/>
                <w:sz w:val="24"/>
              </w:rPr>
              <w:t>，</w:t>
            </w:r>
            <w:r>
              <w:rPr>
                <w:rFonts w:hint="eastAsia" w:cs="Times New Roman"/>
                <w:color w:val="auto"/>
                <w:sz w:val="24"/>
                <w:lang w:val="en-US" w:eastAsia="zh-CN"/>
              </w:rPr>
              <w:t>选址区域</w:t>
            </w:r>
            <w:r>
              <w:rPr>
                <w:rFonts w:hint="eastAsia" w:ascii="Times New Roman" w:hAnsi="Times New Roman" w:cs="Times New Roman"/>
                <w:color w:val="auto"/>
                <w:sz w:val="24"/>
              </w:rPr>
              <w:t>地质结构良好，不存在崩塌、滑坡、沉陷和不稳定边坡、泥石流流道区域。井场区域地势平缓，污水池较井场地势较低，有利于井场污水自流进污水池，保证有效</w:t>
            </w:r>
            <w:r>
              <w:rPr>
                <w:rFonts w:hint="eastAsia" w:ascii="Times New Roman" w:hAnsi="Times New Roman" w:cs="Times New Roman"/>
                <w:color w:val="auto"/>
                <w:sz w:val="24"/>
                <w:lang w:eastAsia="zh-CN"/>
              </w:rPr>
              <w:t>地</w:t>
            </w:r>
            <w:r>
              <w:rPr>
                <w:rFonts w:hint="eastAsia" w:ascii="Times New Roman" w:hAnsi="Times New Roman" w:cs="Times New Roman"/>
                <w:color w:val="auto"/>
                <w:sz w:val="24"/>
              </w:rPr>
              <w:t>收集井场污水及事故排水。</w:t>
            </w:r>
            <w:r>
              <w:rPr>
                <w:rFonts w:hint="default" w:ascii="Times New Roman" w:hAnsi="Times New Roman" w:cs="Times New Roman"/>
                <w:color w:val="auto"/>
                <w:sz w:val="24"/>
              </w:rPr>
              <w:t>项目</w:t>
            </w:r>
            <w:r>
              <w:rPr>
                <w:rFonts w:hint="eastAsia" w:ascii="Times New Roman" w:hAnsi="Times New Roman" w:cs="Times New Roman"/>
                <w:color w:val="auto"/>
                <w:sz w:val="24"/>
              </w:rPr>
              <w:t>污水池</w:t>
            </w:r>
            <w:r>
              <w:rPr>
                <w:rFonts w:hint="default" w:ascii="Times New Roman" w:hAnsi="Times New Roman" w:cs="Times New Roman"/>
                <w:color w:val="auto"/>
                <w:sz w:val="24"/>
              </w:rPr>
              <w:t>布置符合《钻前工程及井场布置技术要求》（SY/T 5466-2013）相关要求</w:t>
            </w:r>
            <w:r>
              <w:rPr>
                <w:rFonts w:hint="eastAsia" w:ascii="Times New Roman" w:hAnsi="Times New Roman" w:cs="Times New Roman"/>
                <w:color w:val="auto"/>
                <w:sz w:val="24"/>
              </w:rPr>
              <w:t>因此，污水池布局合理。</w:t>
            </w:r>
          </w:p>
          <w:p w14:paraId="51FE4009">
            <w:pPr>
              <w:keepNext w:val="0"/>
              <w:keepLines w:val="0"/>
              <w:suppressLineNumbers w:val="0"/>
              <w:spacing w:before="0" w:beforeAutospacing="0" w:after="0" w:afterAutospacing="0" w:line="360" w:lineRule="auto"/>
              <w:ind w:left="0" w:right="0" w:firstLine="480" w:firstLineChars="200"/>
              <w:jc w:val="left"/>
              <w:rPr>
                <w:rFonts w:hint="eastAsia" w:ascii="宋体" w:hAnsi="宋体" w:cs="Times New Roman"/>
                <w:color w:val="auto"/>
                <w:sz w:val="24"/>
              </w:rPr>
            </w:pPr>
            <w:r>
              <w:rPr>
                <w:rFonts w:hint="eastAsia" w:ascii="宋体" w:hAnsi="宋体" w:cs="Times New Roman"/>
                <w:color w:val="auto"/>
                <w:sz w:val="24"/>
              </w:rPr>
              <w:t>综上</w:t>
            </w:r>
            <w:r>
              <w:rPr>
                <w:rFonts w:hint="eastAsia" w:ascii="Times New Roman" w:hAnsi="Times New Roman" w:eastAsia="宋体" w:cs="Times New Roman"/>
                <w:color w:val="auto"/>
                <w:sz w:val="24"/>
              </w:rPr>
              <w:t>，</w:t>
            </w:r>
            <w:r>
              <w:rPr>
                <w:rFonts w:hint="eastAsia" w:cs="Times New Roman"/>
                <w:color w:val="auto"/>
                <w:sz w:val="24"/>
                <w:lang w:eastAsia="zh-CN"/>
              </w:rPr>
              <w:t>元陆39井钻探工程</w:t>
            </w:r>
            <w:r>
              <w:rPr>
                <w:rFonts w:hint="eastAsia" w:ascii="Times New Roman" w:hAnsi="Times New Roman" w:eastAsia="宋体" w:cs="Times New Roman"/>
                <w:color w:val="auto"/>
                <w:sz w:val="24"/>
              </w:rPr>
              <w:t>周边无环境限制因素，从环境保</w:t>
            </w:r>
            <w:r>
              <w:rPr>
                <w:rFonts w:hint="eastAsia" w:ascii="宋体" w:hAnsi="宋体" w:cs="Times New Roman"/>
                <w:color w:val="auto"/>
                <w:sz w:val="24"/>
              </w:rPr>
              <w:t>护角度分析，项目选址合理。</w:t>
            </w:r>
          </w:p>
          <w:p w14:paraId="709D090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5</w:t>
            </w:r>
            <w:r>
              <w:rPr>
                <w:rFonts w:hint="default" w:ascii="Times New Roman" w:hAnsi="Times New Roman" w:cs="Times New Roman"/>
                <w:b/>
                <w:bCs/>
                <w:color w:val="auto"/>
                <w:sz w:val="24"/>
              </w:rPr>
              <w:t>、</w:t>
            </w:r>
            <w:r>
              <w:rPr>
                <w:rFonts w:hint="eastAsia" w:ascii="Times New Roman" w:hAnsi="Times New Roman" w:cs="Times New Roman"/>
                <w:b/>
                <w:bCs/>
                <w:color w:val="auto"/>
                <w:sz w:val="24"/>
              </w:rPr>
              <w:t>堆场</w:t>
            </w:r>
            <w:r>
              <w:rPr>
                <w:rFonts w:hint="default" w:ascii="Times New Roman" w:hAnsi="Times New Roman" w:cs="Times New Roman"/>
                <w:b/>
                <w:bCs/>
                <w:color w:val="auto"/>
                <w:sz w:val="24"/>
              </w:rPr>
              <w:t>选址合理性</w:t>
            </w:r>
          </w:p>
          <w:p w14:paraId="652F68D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cs="Times New Roman"/>
                <w:bCs/>
                <w:color w:val="auto"/>
                <w:sz w:val="24"/>
                <w:lang w:val="en-US" w:eastAsia="zh-CN"/>
              </w:rPr>
              <w:t>项目设两处表土堆场，不设置弃土场。1#表土堆场位于井场南侧，占地面积413m</w:t>
            </w:r>
            <w:r>
              <w:rPr>
                <w:rFonts w:hint="eastAsia" w:ascii="Times New Roman" w:hAnsi="Times New Roman" w:cs="Times New Roman"/>
                <w:bCs/>
                <w:color w:val="auto"/>
                <w:sz w:val="24"/>
                <w:vertAlign w:val="superscript"/>
                <w:lang w:val="en-US" w:eastAsia="zh-CN"/>
              </w:rPr>
              <w:t>2</w:t>
            </w:r>
            <w:r>
              <w:rPr>
                <w:rFonts w:hint="eastAsia" w:ascii="Times New Roman" w:hAnsi="Times New Roman" w:cs="Times New Roman"/>
                <w:bCs/>
                <w:color w:val="auto"/>
                <w:sz w:val="24"/>
                <w:lang w:val="en-US" w:eastAsia="zh-CN"/>
              </w:rPr>
              <w:t>，设计堆存量约2200m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lang w:val="en-US" w:eastAsia="zh-CN"/>
              </w:rPr>
              <w:t>；2#表土堆场位于井场西侧，占地面积600m</w:t>
            </w:r>
            <w:r>
              <w:rPr>
                <w:rFonts w:hint="eastAsia" w:ascii="Times New Roman" w:hAnsi="Times New Roman" w:cs="Times New Roman"/>
                <w:bCs/>
                <w:color w:val="auto"/>
                <w:sz w:val="24"/>
                <w:vertAlign w:val="superscript"/>
                <w:lang w:val="en-US" w:eastAsia="zh-CN"/>
              </w:rPr>
              <w:t>2</w:t>
            </w:r>
            <w:r>
              <w:rPr>
                <w:rFonts w:hint="eastAsia" w:ascii="Times New Roman" w:hAnsi="Times New Roman" w:cs="Times New Roman"/>
                <w:bCs/>
                <w:color w:val="auto"/>
                <w:sz w:val="24"/>
                <w:lang w:val="en-US" w:eastAsia="zh-CN"/>
              </w:rPr>
              <w:t>，设计堆存量约3500m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lang w:val="en-US" w:eastAsia="zh-CN"/>
              </w:rPr>
              <w:t>。</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cs="Times New Roman"/>
                <w:bCs/>
                <w:color w:val="auto"/>
                <w:sz w:val="24"/>
                <w:lang w:val="en-US" w:eastAsia="zh-CN"/>
              </w:rPr>
              <w:t>单独进行</w:t>
            </w:r>
            <w:r>
              <w:rPr>
                <w:rFonts w:hint="eastAsia" w:ascii="Times New Roman" w:hAnsi="Times New Roman" w:cs="Times New Roman"/>
                <w:bCs/>
                <w:color w:val="auto"/>
                <w:sz w:val="24"/>
              </w:rPr>
              <w:t>堆放，并对堆场表层进行撒草绿化</w:t>
            </w:r>
            <w:r>
              <w:rPr>
                <w:rFonts w:hint="eastAsia" w:ascii="Times New Roman" w:hAnsi="Times New Roman" w:cs="Times New Roman"/>
                <w:color w:val="auto"/>
                <w:sz w:val="24"/>
              </w:rPr>
              <w:t>，待工程结束后对井场进行复耕复绿。</w:t>
            </w:r>
            <w:r>
              <w:rPr>
                <w:rFonts w:hint="eastAsia" w:ascii="Times New Roman" w:hAnsi="Times New Roman" w:eastAsia="宋体" w:cs="Times New Roman"/>
                <w:color w:val="auto"/>
                <w:sz w:val="24"/>
                <w:lang w:val="en-US" w:eastAsia="zh-CN"/>
              </w:rPr>
              <w:t>在堆场采取铺设密目网、撒草籽、浇水养护的方式防止水土流失。</w:t>
            </w:r>
          </w:p>
          <w:p w14:paraId="38F9565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cs="Times New Roman"/>
                <w:color w:val="auto"/>
                <w:sz w:val="24"/>
                <w:lang w:val="en-US" w:eastAsia="zh-CN"/>
              </w:rPr>
              <w:t>表土堆场</w:t>
            </w:r>
            <w:r>
              <w:rPr>
                <w:rFonts w:hint="eastAsia" w:ascii="Times New Roman" w:hAnsi="Times New Roman" w:eastAsia="宋体" w:cs="Times New Roman"/>
                <w:color w:val="auto"/>
                <w:sz w:val="24"/>
                <w:lang w:val="en-US" w:eastAsia="zh-CN"/>
              </w:rPr>
              <w:t>为坡地型堆场，场内无农户，</w:t>
            </w:r>
            <w:r>
              <w:rPr>
                <w:rFonts w:hint="eastAsia" w:cs="Times New Roman"/>
                <w:color w:val="auto"/>
                <w:sz w:val="24"/>
                <w:lang w:val="en-US" w:eastAsia="zh-CN"/>
              </w:rPr>
              <w:t>堆场</w:t>
            </w:r>
            <w:r>
              <w:rPr>
                <w:rFonts w:hint="eastAsia" w:ascii="Times New Roman" w:hAnsi="Times New Roman" w:eastAsia="宋体" w:cs="Times New Roman"/>
                <w:color w:val="auto"/>
                <w:sz w:val="24"/>
                <w:lang w:val="en-US" w:eastAsia="zh-CN"/>
              </w:rPr>
              <w:t>下游以林地、旱地为主，</w:t>
            </w:r>
            <w:r>
              <w:rPr>
                <w:rFonts w:hint="eastAsia" w:cs="Times New Roman"/>
                <w:color w:val="auto"/>
                <w:sz w:val="24"/>
                <w:lang w:val="en-US" w:eastAsia="zh-CN"/>
              </w:rPr>
              <w:t>堆场</w:t>
            </w:r>
            <w:r>
              <w:rPr>
                <w:rFonts w:hint="eastAsia" w:ascii="Times New Roman" w:hAnsi="Times New Roman" w:eastAsia="宋体" w:cs="Times New Roman"/>
                <w:color w:val="auto"/>
                <w:sz w:val="24"/>
                <w:lang w:val="en-US" w:eastAsia="zh-CN"/>
              </w:rPr>
              <w:t>下游为开阔缓坡，</w:t>
            </w:r>
            <w:r>
              <w:rPr>
                <w:rFonts w:hint="eastAsia" w:cs="Times New Roman"/>
                <w:color w:val="auto"/>
                <w:sz w:val="24"/>
                <w:lang w:val="en-US" w:eastAsia="zh-CN"/>
              </w:rPr>
              <w:t>堆场</w:t>
            </w:r>
            <w:r>
              <w:rPr>
                <w:rFonts w:hint="eastAsia" w:ascii="Times New Roman" w:hAnsi="Times New Roman" w:eastAsia="宋体" w:cs="Times New Roman"/>
                <w:color w:val="auto"/>
                <w:sz w:val="24"/>
                <w:lang w:val="en-US" w:eastAsia="zh-CN"/>
              </w:rPr>
              <w:t>最大堆高和</w:t>
            </w:r>
            <w:r>
              <w:rPr>
                <w:rFonts w:hint="eastAsia" w:cs="Times New Roman"/>
                <w:color w:val="auto"/>
                <w:sz w:val="24"/>
                <w:lang w:val="en-US" w:eastAsia="zh-CN"/>
              </w:rPr>
              <w:t>对存量</w:t>
            </w:r>
            <w:r>
              <w:rPr>
                <w:rFonts w:hint="eastAsia" w:ascii="Times New Roman" w:hAnsi="Times New Roman" w:eastAsia="宋体" w:cs="Times New Roman"/>
                <w:color w:val="auto"/>
                <w:sz w:val="24"/>
                <w:lang w:val="en-US" w:eastAsia="zh-CN"/>
              </w:rPr>
              <w:t>较小，且</w:t>
            </w:r>
            <w:r>
              <w:rPr>
                <w:rFonts w:hint="eastAsia" w:ascii="Times New Roman" w:hAnsi="Times New Roman" w:cs="Times New Roman"/>
                <w:color w:val="auto"/>
                <w:sz w:val="24"/>
                <w:lang w:val="en-US" w:eastAsia="zh-CN"/>
              </w:rPr>
              <w:t>设置</w:t>
            </w:r>
            <w:r>
              <w:rPr>
                <w:rFonts w:hint="eastAsia" w:cs="Times New Roman"/>
                <w:color w:val="auto"/>
                <w:sz w:val="24"/>
                <w:lang w:val="en-US" w:eastAsia="zh-CN"/>
              </w:rPr>
              <w:t>有</w:t>
            </w:r>
            <w:r>
              <w:rPr>
                <w:rFonts w:hint="default" w:eastAsia="宋体" w:cs="Times New Roman"/>
                <w:b w:val="0"/>
                <w:bCs w:val="0"/>
                <w:color w:val="auto"/>
                <w:sz w:val="24"/>
                <w:szCs w:val="28"/>
                <w:lang w:val="en-US" w:eastAsia="zh-CN"/>
              </w:rPr>
              <w:t>挡墙和排水沟</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表土堆场距农户有足够的安全距离、无重大影响。项目两堆场下游主要分布为林地、旱地，植被条件较好。堆场均位于沟头，上游汇水面积小，</w:t>
            </w:r>
            <w:r>
              <w:rPr>
                <w:rFonts w:hint="eastAsia" w:cs="Times New Roman"/>
                <w:color w:val="auto"/>
                <w:sz w:val="24"/>
                <w:lang w:val="en-US" w:eastAsia="zh-CN"/>
              </w:rPr>
              <w:t>位于</w:t>
            </w:r>
            <w:r>
              <w:rPr>
                <w:rFonts w:hint="eastAsia" w:ascii="Times New Roman" w:hAnsi="Times New Roman" w:eastAsia="宋体" w:cs="Times New Roman"/>
                <w:color w:val="auto"/>
                <w:sz w:val="24"/>
                <w:lang w:val="en-US" w:eastAsia="zh-CN"/>
              </w:rPr>
              <w:t>井场附近，运输条件较好，选址无限制性因素，选址合理。</w:t>
            </w:r>
          </w:p>
          <w:p w14:paraId="45E6FC89">
            <w:pPr>
              <w:pStyle w:val="21"/>
              <w:keepNext w:val="0"/>
              <w:keepLines w:val="0"/>
              <w:suppressLineNumbers w:val="0"/>
              <w:spacing w:beforeAutospacing="0" w:afterAutospacing="0"/>
              <w:ind w:left="0"/>
              <w:rPr>
                <w:rFonts w:hint="default" w:ascii="Times New Roman" w:hAnsi="Times New Roman" w:cs="Times New Roman"/>
                <w:color w:val="auto"/>
              </w:rPr>
            </w:pPr>
          </w:p>
          <w:p w14:paraId="2447E644">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0ADEA28C">
            <w:pPr>
              <w:pStyle w:val="21"/>
              <w:keepNext w:val="0"/>
              <w:keepLines w:val="0"/>
              <w:suppressLineNumbers w:val="0"/>
              <w:spacing w:beforeAutospacing="0" w:afterAutospacing="0"/>
              <w:ind w:left="0"/>
              <w:rPr>
                <w:rFonts w:hint="default" w:ascii="Times New Roman" w:hAnsi="Times New Roman" w:cs="Times New Roman"/>
                <w:color w:val="auto"/>
              </w:rPr>
            </w:pPr>
          </w:p>
          <w:p w14:paraId="6F6B58F7">
            <w:pPr>
              <w:keepNext w:val="0"/>
              <w:keepLines w:val="0"/>
              <w:suppressLineNumbers w:val="0"/>
              <w:spacing w:before="0" w:beforeAutospacing="0" w:after="0" w:afterAutospacing="0"/>
              <w:ind w:left="0" w:right="0"/>
              <w:rPr>
                <w:rFonts w:hint="default"/>
                <w:color w:val="auto"/>
              </w:rPr>
            </w:pPr>
          </w:p>
        </w:tc>
      </w:tr>
    </w:tbl>
    <w:p w14:paraId="1DB351BD">
      <w:pPr>
        <w:pStyle w:val="19"/>
        <w:jc w:val="center"/>
        <w:rPr>
          <w:rFonts w:ascii="Times New Roman" w:hAnsi="Times New Roman"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50E92E4F">
      <w:pPr>
        <w:pStyle w:val="19"/>
        <w:adjustRightInd w:val="0"/>
        <w:snapToGrid w:val="0"/>
        <w:spacing w:before="0" w:beforeAutospacing="0" w:after="0" w:afterAutospacing="0" w:line="14" w:lineRule="auto"/>
        <w:jc w:val="center"/>
        <w:rPr>
          <w:rFonts w:ascii="Times New Roman" w:hAnsi="Times New Roman" w:eastAsia="黑体"/>
          <w:snapToGrid w:val="0"/>
          <w:color w:val="auto"/>
          <w:sz w:val="30"/>
          <w:szCs w:val="30"/>
        </w:rPr>
      </w:pPr>
    </w:p>
    <w:p w14:paraId="31587969">
      <w:pPr>
        <w:pStyle w:val="19"/>
        <w:tabs>
          <w:tab w:val="center" w:pos="4216"/>
          <w:tab w:val="right" w:pos="8313"/>
        </w:tabs>
        <w:jc w:val="center"/>
        <w:outlineLvl w:val="0"/>
        <w:rPr>
          <w:rFonts w:ascii="Times New Roman" w:hAnsi="Times New Roman" w:eastAsia="黑体"/>
          <w:snapToGrid w:val="0"/>
          <w:color w:val="auto"/>
          <w:sz w:val="30"/>
          <w:szCs w:val="30"/>
        </w:rPr>
      </w:pPr>
      <w:bookmarkStart w:id="55" w:name="_Toc32585"/>
      <w:bookmarkStart w:id="56" w:name="_Toc20217"/>
      <w:bookmarkStart w:id="57" w:name="_Toc32086"/>
      <w:bookmarkStart w:id="58" w:name="_Toc6020"/>
      <w:bookmarkStart w:id="59" w:name="_Toc12349"/>
      <w:bookmarkStart w:id="60" w:name="_Toc9682"/>
      <w:r>
        <w:rPr>
          <w:rFonts w:ascii="Times New Roman" w:hAnsi="Times New Roman" w:eastAsia="黑体"/>
          <w:snapToGrid w:val="0"/>
          <w:color w:val="auto"/>
          <w:sz w:val="30"/>
          <w:szCs w:val="30"/>
        </w:rPr>
        <w:t>五、主要生态环境保护措施</w:t>
      </w:r>
      <w:bookmarkEnd w:id="55"/>
      <w:bookmarkEnd w:id="56"/>
      <w:bookmarkEnd w:id="57"/>
      <w:bookmarkEnd w:id="58"/>
      <w:bookmarkEnd w:id="59"/>
      <w:bookmarkEnd w:id="60"/>
    </w:p>
    <w:tbl>
      <w:tblPr>
        <w:tblStyle w:val="23"/>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0DBCBE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001C02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4"/>
              </w:rPr>
            </w:pPr>
            <w:r>
              <w:rPr>
                <w:rFonts w:hint="default" w:ascii="Times New Roman" w:hAnsi="Times New Roman" w:cs="Times New Roman"/>
                <w:bCs/>
                <w:color w:val="auto"/>
                <w:spacing w:val="10"/>
                <w:sz w:val="24"/>
              </w:rPr>
              <w:t>施工期生态环境保护措施</w:t>
            </w:r>
          </w:p>
        </w:tc>
        <w:tc>
          <w:tcPr>
            <w:tcW w:w="8457" w:type="dxa"/>
            <w:noWrap w:val="0"/>
            <w:vAlign w:val="top"/>
          </w:tcPr>
          <w:p w14:paraId="462A9408">
            <w:pPr>
              <w:keepNext/>
              <w:keepLines/>
              <w:suppressLineNumbers w:val="0"/>
              <w:spacing w:before="0" w:beforeAutospacing="0" w:after="0" w:afterAutospacing="0" w:line="360" w:lineRule="auto"/>
              <w:ind w:left="0" w:right="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一、钻前施工期环境保护措施</w:t>
            </w:r>
          </w:p>
          <w:p w14:paraId="3D83948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1、废气治理措施及可行性</w:t>
            </w:r>
          </w:p>
          <w:p w14:paraId="4B1675F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rPr>
              <w:t>本项目钻前施工期针对建筑工地扬尘治理提出了</w:t>
            </w:r>
            <w:r>
              <w:rPr>
                <w:rFonts w:hint="default" w:ascii="Times New Roman" w:hAnsi="Times New Roman" w:cs="Times New Roman"/>
                <w:bCs/>
                <w:color w:val="auto"/>
                <w:sz w:val="24"/>
                <w:highlight w:val="none"/>
              </w:rPr>
              <w:t>“六必须</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六</w:t>
            </w:r>
            <w:r>
              <w:rPr>
                <w:rFonts w:hint="default" w:ascii="Times New Roman" w:hAnsi="Times New Roman" w:cs="Times New Roman"/>
                <w:bCs/>
                <w:color w:val="auto"/>
                <w:sz w:val="24"/>
                <w:highlight w:val="none"/>
              </w:rPr>
              <w:t>不准”。“六必须”为：必须</w:t>
            </w:r>
            <w:r>
              <w:rPr>
                <w:rFonts w:hint="eastAsia" w:ascii="Times New Roman" w:hAnsi="Times New Roman" w:cs="Times New Roman"/>
                <w:bCs/>
                <w:color w:val="auto"/>
                <w:sz w:val="24"/>
                <w:highlight w:val="none"/>
                <w:lang w:val="en-US" w:eastAsia="zh-CN"/>
              </w:rPr>
              <w:t>打围</w:t>
            </w:r>
            <w:r>
              <w:rPr>
                <w:rFonts w:hint="default" w:ascii="Times New Roman" w:hAnsi="Times New Roman" w:cs="Times New Roman"/>
                <w:bCs/>
                <w:color w:val="auto"/>
                <w:sz w:val="24"/>
                <w:highlight w:val="none"/>
              </w:rPr>
              <w:t>作业、必须硬化道路、必须设置冲洗设施、必须</w:t>
            </w:r>
            <w:r>
              <w:rPr>
                <w:rFonts w:hint="eastAsia" w:ascii="Times New Roman" w:hAnsi="Times New Roman" w:cs="Times New Roman"/>
                <w:bCs/>
                <w:color w:val="auto"/>
                <w:sz w:val="24"/>
                <w:highlight w:val="none"/>
                <w:lang w:val="en-US" w:eastAsia="zh-CN"/>
              </w:rPr>
              <w:t>湿法</w:t>
            </w:r>
            <w:r>
              <w:rPr>
                <w:rFonts w:hint="default" w:ascii="Times New Roman" w:hAnsi="Times New Roman" w:cs="Times New Roman"/>
                <w:bCs/>
                <w:color w:val="auto"/>
                <w:sz w:val="24"/>
                <w:highlight w:val="none"/>
              </w:rPr>
              <w:t>作业、必须</w:t>
            </w:r>
            <w:r>
              <w:rPr>
                <w:rFonts w:hint="eastAsia" w:ascii="Times New Roman" w:hAnsi="Times New Roman" w:cs="Times New Roman"/>
                <w:bCs/>
                <w:color w:val="auto"/>
                <w:sz w:val="24"/>
                <w:highlight w:val="none"/>
                <w:lang w:val="en-US" w:eastAsia="zh-CN"/>
              </w:rPr>
              <w:t>配齐</w:t>
            </w:r>
            <w:r>
              <w:rPr>
                <w:rFonts w:hint="default" w:ascii="Times New Roman" w:hAnsi="Times New Roman" w:cs="Times New Roman"/>
                <w:bCs/>
                <w:color w:val="auto"/>
                <w:sz w:val="24"/>
                <w:highlight w:val="none"/>
              </w:rPr>
              <w:t>保洁人员、必须定时清扫施工现场。“</w:t>
            </w:r>
            <w:r>
              <w:rPr>
                <w:rFonts w:hint="eastAsia" w:ascii="Times New Roman" w:hAnsi="Times New Roman" w:cs="Times New Roman"/>
                <w:bCs/>
                <w:color w:val="auto"/>
                <w:sz w:val="24"/>
                <w:highlight w:val="none"/>
                <w:lang w:val="en-US" w:eastAsia="zh-CN"/>
              </w:rPr>
              <w:t>六</w:t>
            </w:r>
            <w:r>
              <w:rPr>
                <w:rFonts w:hint="default" w:ascii="Times New Roman" w:hAnsi="Times New Roman" w:cs="Times New Roman"/>
                <w:bCs/>
                <w:color w:val="auto"/>
                <w:sz w:val="24"/>
                <w:highlight w:val="none"/>
              </w:rPr>
              <w:t>不准”为：不准车辆带泥出门、不准高空抛撒</w:t>
            </w:r>
            <w:r>
              <w:rPr>
                <w:rFonts w:hint="eastAsia" w:ascii="Times New Roman" w:hAnsi="Times New Roman" w:cs="Times New Roman"/>
                <w:bCs/>
                <w:color w:val="auto"/>
                <w:sz w:val="24"/>
                <w:highlight w:val="none"/>
                <w:lang w:val="en-US" w:eastAsia="zh-CN"/>
              </w:rPr>
              <w:t>建渣</w:t>
            </w:r>
            <w:r>
              <w:rPr>
                <w:rFonts w:hint="default" w:ascii="Times New Roman" w:hAnsi="Times New Roman" w:cs="Times New Roman"/>
                <w:bCs/>
                <w:color w:val="auto"/>
                <w:sz w:val="24"/>
                <w:highlight w:val="none"/>
              </w:rPr>
              <w:t>、不准现场搅拌混凝土、不准场地积水、不准焚烧</w:t>
            </w:r>
            <w:r>
              <w:rPr>
                <w:rFonts w:hint="eastAsia" w:ascii="Times New Roman" w:hAnsi="Times New Roman" w:cs="Times New Roman"/>
                <w:bCs/>
                <w:color w:val="auto"/>
                <w:sz w:val="24"/>
                <w:highlight w:val="none"/>
                <w:lang w:val="en-US" w:eastAsia="zh-CN"/>
              </w:rPr>
              <w:t>废弃物、不准现场堆放未覆盖的裸土</w:t>
            </w:r>
            <w:r>
              <w:rPr>
                <w:rFonts w:hint="default" w:ascii="Times New Roman" w:hAnsi="Times New Roman" w:cs="Times New Roman"/>
                <w:bCs/>
                <w:color w:val="auto"/>
                <w:sz w:val="24"/>
                <w:highlight w:val="none"/>
              </w:rPr>
              <w:t>。建设单位应根据项目施工特点，</w:t>
            </w:r>
            <w:r>
              <w:rPr>
                <w:rFonts w:hint="eastAsia" w:ascii="Times New Roman" w:hAnsi="Times New Roman" w:cs="Times New Roman"/>
                <w:bCs/>
                <w:color w:val="auto"/>
                <w:sz w:val="24"/>
                <w:highlight w:val="none"/>
                <w:lang w:val="en-US" w:eastAsia="zh-CN"/>
              </w:rPr>
              <w:t>严格落实</w:t>
            </w:r>
            <w:r>
              <w:rPr>
                <w:rFonts w:hint="default" w:ascii="Times New Roman" w:hAnsi="Times New Roman" w:cs="Times New Roman"/>
                <w:bCs/>
                <w:color w:val="auto"/>
                <w:sz w:val="24"/>
                <w:highlight w:val="none"/>
              </w:rPr>
              <w:t>扬尘治理措施，减少土石方开挖、堆放等产生的扬尘对周边环境的影响</w:t>
            </w:r>
            <w:r>
              <w:rPr>
                <w:rFonts w:hint="default" w:ascii="Times New Roman" w:hAnsi="Times New Roman" w:cs="Times New Roman"/>
                <w:bCs/>
                <w:color w:val="auto"/>
                <w:sz w:val="24"/>
              </w:rPr>
              <w:t>。</w:t>
            </w:r>
            <w:r>
              <w:rPr>
                <w:rFonts w:hint="default" w:ascii="Times New Roman" w:hAnsi="Times New Roman" w:cs="Times New Roman"/>
                <w:bCs/>
                <w:color w:val="auto"/>
                <w:sz w:val="24"/>
                <w:highlight w:val="none"/>
              </w:rPr>
              <w:t>施工机械鼓励使用国III及以上排放标准的非道路移动机械，使用高效节能环保型机械设备和优质燃油</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施工机械</w:t>
            </w:r>
            <w:r>
              <w:rPr>
                <w:rFonts w:hint="default" w:ascii="Times New Roman" w:hAnsi="Times New Roman" w:cs="Times New Roman"/>
                <w:bCs/>
                <w:color w:val="auto"/>
                <w:sz w:val="24"/>
                <w:highlight w:val="none"/>
              </w:rPr>
              <w:t>排放的燃烧</w:t>
            </w:r>
            <w:r>
              <w:rPr>
                <w:rFonts w:hint="eastAsia" w:ascii="Times New Roman" w:hAnsi="Times New Roman" w:cs="Times New Roman"/>
                <w:bCs/>
                <w:color w:val="auto"/>
                <w:sz w:val="24"/>
                <w:highlight w:val="none"/>
                <w:lang w:val="en-US" w:eastAsia="zh-CN"/>
              </w:rPr>
              <w:t>废气</w:t>
            </w:r>
            <w:r>
              <w:rPr>
                <w:rFonts w:hint="default" w:ascii="Times New Roman" w:hAnsi="Times New Roman" w:cs="Times New Roman"/>
                <w:bCs/>
                <w:color w:val="auto"/>
                <w:sz w:val="24"/>
                <w:highlight w:val="none"/>
              </w:rPr>
              <w:t>具有排放量小、间断性、短期性和流动性的特点，该类污染源对大气环境的影响较小。</w:t>
            </w:r>
          </w:p>
          <w:p w14:paraId="5973E6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施工期因场地清理、土方挖掘、材料运输等工序产生的扬尘，应采取裸露覆盖、物料覆盖、洒水降尘、地面硬化等防尘措施；大风天气情况时，禁止进行土方工程施工，并做好苫盖工作。</w:t>
            </w:r>
            <w:r>
              <w:rPr>
                <w:rFonts w:hint="default" w:ascii="Times New Roman" w:hAnsi="Times New Roman" w:eastAsia="宋体" w:cs="Times New Roman"/>
                <w:bCs/>
                <w:color w:val="auto"/>
                <w:sz w:val="24"/>
                <w:lang w:val="en-US" w:eastAsia="zh-CN"/>
              </w:rPr>
              <w:t>鼓励使用国III</w:t>
            </w:r>
            <w:r>
              <w:rPr>
                <w:rFonts w:hint="eastAsia" w:ascii="Times New Roman" w:hAnsi="Times New Roman" w:eastAsia="宋体" w:cs="Times New Roman"/>
                <w:bCs/>
                <w:color w:val="auto"/>
                <w:sz w:val="24"/>
                <w:lang w:val="en-US" w:eastAsia="zh-CN"/>
              </w:rPr>
              <w:t>及以上</w:t>
            </w:r>
            <w:r>
              <w:rPr>
                <w:rFonts w:hint="default" w:ascii="Times New Roman" w:hAnsi="Times New Roman" w:eastAsia="宋体" w:cs="Times New Roman"/>
                <w:bCs/>
                <w:color w:val="auto"/>
                <w:sz w:val="24"/>
                <w:lang w:val="en-US" w:eastAsia="zh-CN"/>
              </w:rPr>
              <w:t>排放标准的非道路移动机械，使用高效节能环保型机械设备和优质燃油</w:t>
            </w:r>
            <w:r>
              <w:rPr>
                <w:rFonts w:hint="eastAsia" w:ascii="Times New Roman" w:hAnsi="Times New Roman" w:eastAsia="宋体" w:cs="Times New Roman"/>
                <w:bCs/>
                <w:color w:val="auto"/>
                <w:sz w:val="24"/>
                <w:lang w:val="en-US" w:eastAsia="zh-CN"/>
              </w:rPr>
              <w:t>。</w:t>
            </w:r>
          </w:p>
          <w:p w14:paraId="195AF1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本项目钻前施工期采取的废气治理措施是可行有效的。</w:t>
            </w:r>
          </w:p>
          <w:p w14:paraId="469A77D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2、废水治理措施及可行性</w:t>
            </w:r>
          </w:p>
          <w:p w14:paraId="1F698CD5">
            <w:pPr>
              <w:keepNext/>
              <w:keepLines/>
              <w:suppressLineNumbers w:val="0"/>
              <w:spacing w:before="0" w:beforeAutospacing="0" w:after="0" w:afterAutospacing="0" w:line="360" w:lineRule="auto"/>
              <w:ind w:left="0" w:right="0" w:firstLine="480" w:firstLineChars="200"/>
              <w:outlineLvl w:val="1"/>
              <w:rPr>
                <w:rFonts w:hint="eastAsia" w:ascii="Times New Roman" w:hAnsi="Times New Roman" w:cs="Times New Roman"/>
                <w:bCs/>
                <w:color w:val="auto"/>
                <w:sz w:val="24"/>
              </w:rPr>
            </w:pPr>
            <w:r>
              <w:rPr>
                <w:rFonts w:hint="eastAsia" w:cs="Times New Roman"/>
                <w:color w:val="auto"/>
                <w:sz w:val="24"/>
                <w:lang w:val="en-US" w:eastAsia="zh-CN"/>
              </w:rPr>
              <w:t>项目</w:t>
            </w:r>
            <w:r>
              <w:rPr>
                <w:rFonts w:hint="default" w:ascii="Times New Roman" w:hAnsi="Times New Roman" w:cs="Times New Roman"/>
                <w:color w:val="auto"/>
                <w:sz w:val="24"/>
              </w:rPr>
              <w:t>钻前施工主要为土建施工，施工期废水产生量较少，经沉淀处理后回用于场地洒水抑尘，不外排</w:t>
            </w:r>
            <w:r>
              <w:rPr>
                <w:rFonts w:hint="eastAsia" w:cs="Times New Roman"/>
                <w:color w:val="auto"/>
                <w:sz w:val="24"/>
                <w:lang w:eastAsia="zh-CN"/>
              </w:rPr>
              <w:t>；</w:t>
            </w:r>
            <w:r>
              <w:rPr>
                <w:rFonts w:hint="default" w:ascii="Times New Roman" w:hAnsi="Times New Roman" w:cs="Times New Roman"/>
                <w:bCs/>
                <w:color w:val="auto"/>
                <w:sz w:val="24"/>
              </w:rPr>
              <w:t>钻前施工期产生的</w:t>
            </w:r>
            <w:r>
              <w:rPr>
                <w:rFonts w:hint="eastAsia" w:ascii="Times New Roman" w:hAnsi="Times New Roman" w:cs="Times New Roman"/>
                <w:bCs/>
                <w:color w:val="auto"/>
                <w:sz w:val="24"/>
              </w:rPr>
              <w:t>生活污水通过环保厕所（内置集粪桶）收集，转运至</w:t>
            </w:r>
            <w:r>
              <w:rPr>
                <w:rFonts w:hint="eastAsia" w:cs="Times New Roman"/>
                <w:bCs/>
                <w:color w:val="auto"/>
                <w:sz w:val="24"/>
                <w:lang w:eastAsia="zh-CN"/>
              </w:rPr>
              <w:t>上八庙镇</w:t>
            </w:r>
            <w:r>
              <w:rPr>
                <w:rFonts w:hint="eastAsia" w:ascii="Times New Roman" w:hAnsi="Times New Roman" w:cs="Times New Roman"/>
                <w:bCs/>
                <w:color w:val="auto"/>
                <w:sz w:val="24"/>
                <w:lang w:eastAsia="zh-CN"/>
              </w:rPr>
              <w:t>污水处理站</w:t>
            </w:r>
            <w:r>
              <w:rPr>
                <w:rFonts w:hint="eastAsia" w:ascii="Times New Roman" w:hAnsi="Times New Roman" w:cs="Times New Roman"/>
                <w:bCs/>
                <w:color w:val="auto"/>
                <w:sz w:val="24"/>
              </w:rPr>
              <w:t>进行处理。</w:t>
            </w:r>
          </w:p>
          <w:p w14:paraId="5ABF40C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本项目钻前施工期采取的废水治理措施是可行有效的。</w:t>
            </w:r>
          </w:p>
          <w:p w14:paraId="3640406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3、噪声控制措施及可行性</w:t>
            </w:r>
          </w:p>
          <w:p w14:paraId="3C54049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eastAsia="宋体" w:cs="Times New Roman"/>
                <w:bCs/>
                <w:color w:val="auto"/>
                <w:sz w:val="24"/>
              </w:rPr>
              <w:t>施工单位</w:t>
            </w:r>
            <w:r>
              <w:rPr>
                <w:rFonts w:hint="eastAsia" w:cs="Times New Roman"/>
                <w:bCs/>
                <w:color w:val="auto"/>
                <w:sz w:val="24"/>
                <w:lang w:val="en-US" w:eastAsia="zh-CN"/>
              </w:rPr>
              <w:t>通过</w:t>
            </w:r>
            <w:r>
              <w:rPr>
                <w:rFonts w:hint="default" w:ascii="Times New Roman" w:hAnsi="Times New Roman" w:eastAsia="宋体" w:cs="Times New Roman"/>
                <w:bCs/>
                <w:color w:val="auto"/>
                <w:sz w:val="24"/>
              </w:rPr>
              <w:t>制定施工期环境管理计划，加强管理，按进度、有计划地文明施工。在钻前施工过程中尽量考虑将高噪声设备置于场内中间，通过距离衰减</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围墙隔声等措施</w:t>
            </w:r>
            <w:r>
              <w:rPr>
                <w:rFonts w:hint="default" w:ascii="Times New Roman" w:hAnsi="Times New Roman" w:eastAsia="宋体" w:cs="Times New Roman"/>
                <w:bCs/>
                <w:color w:val="auto"/>
                <w:sz w:val="24"/>
              </w:rPr>
              <w:t>降低噪声影响。</w:t>
            </w:r>
            <w:r>
              <w:rPr>
                <w:rFonts w:hint="eastAsia" w:ascii="Times New Roman" w:hAnsi="Times New Roman" w:eastAsia="宋体" w:cs="Times New Roman"/>
                <w:bCs/>
                <w:color w:val="auto"/>
                <w:sz w:val="24"/>
                <w:lang w:val="en-US" w:eastAsia="zh-CN"/>
              </w:rPr>
              <w:t>项目钻前施工工程量很小，施工时间短，且夜间不作业，</w:t>
            </w:r>
            <w:r>
              <w:rPr>
                <w:rFonts w:hint="default" w:ascii="Times New Roman" w:hAnsi="Times New Roman" w:eastAsia="宋体" w:cs="Times New Roman"/>
                <w:bCs/>
                <w:color w:val="auto"/>
                <w:sz w:val="24"/>
              </w:rPr>
              <w:t>施工噪声影响随钻前工程施工的结束而消失，不会造成长期环境影响，在当地环境可接受范围内。</w:t>
            </w:r>
          </w:p>
          <w:p w14:paraId="727A658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4、固废处理措施及可行性</w:t>
            </w:r>
          </w:p>
          <w:p w14:paraId="226AD66D">
            <w:pPr>
              <w:keepNext w:val="0"/>
              <w:keepLines w:val="0"/>
              <w:suppressLineNumbers w:val="0"/>
              <w:spacing w:before="0" w:beforeAutospacing="0" w:after="0" w:afterAutospacing="0" w:line="360" w:lineRule="auto"/>
              <w:ind w:left="0" w:right="0" w:firstLine="480" w:firstLineChars="200"/>
              <w:jc w:val="left"/>
              <w:rPr>
                <w:rFonts w:hint="eastAsia" w:eastAsia="宋体" w:cs="Times New Roman"/>
                <w:bCs/>
                <w:color w:val="auto"/>
                <w:sz w:val="24"/>
                <w:lang w:val="en-US" w:eastAsia="zh-CN"/>
              </w:rPr>
            </w:pPr>
            <w:r>
              <w:rPr>
                <w:rFonts w:hint="default" w:eastAsia="宋体" w:cs="Times New Roman"/>
                <w:bCs/>
                <w:color w:val="auto"/>
                <w:sz w:val="24"/>
                <w:lang w:val="en-US" w:eastAsia="zh-CN"/>
              </w:rPr>
              <w:t>项目场平过程剥离的表土</w:t>
            </w:r>
            <w:r>
              <w:rPr>
                <w:rFonts w:hint="eastAsia" w:eastAsia="宋体" w:cs="Times New Roman"/>
                <w:bCs/>
                <w:color w:val="auto"/>
                <w:sz w:val="24"/>
                <w:lang w:val="en-US" w:eastAsia="zh-CN"/>
              </w:rPr>
              <w:t>暂存于表土堆场，并对堆场表层进行撒草绿化，待工程结束后对井场进行复耕复绿。土石方全部</w:t>
            </w:r>
            <w:r>
              <w:rPr>
                <w:rFonts w:hint="eastAsia" w:cs="Times New Roman"/>
                <w:bCs/>
                <w:color w:val="auto"/>
                <w:sz w:val="24"/>
                <w:lang w:val="en-US" w:eastAsia="zh-CN"/>
              </w:rPr>
              <w:t>用于项目场地平整填方消纳，无外运弃方产生</w:t>
            </w:r>
            <w:r>
              <w:rPr>
                <w:rFonts w:hint="eastAsia" w:eastAsia="宋体" w:cs="Times New Roman"/>
                <w:bCs/>
                <w:color w:val="auto"/>
                <w:sz w:val="24"/>
                <w:lang w:val="en-US" w:eastAsia="zh-CN"/>
              </w:rPr>
              <w:t>。</w:t>
            </w:r>
          </w:p>
          <w:p w14:paraId="525307D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施工人员多为临时聘请的当地民工，租住在附近农户家中，其产生的生活垃圾利用附近农户现有的设施进行收集处置。施工场地内生活垃圾产生量少，设置垃圾箱收集，交当地环卫部门</w:t>
            </w:r>
            <w:r>
              <w:rPr>
                <w:rFonts w:hint="eastAsia" w:ascii="Times New Roman" w:hAnsi="Times New Roman" w:cs="Times New Roman"/>
                <w:bCs/>
                <w:color w:val="auto"/>
                <w:sz w:val="24"/>
              </w:rPr>
              <w:t>外运处置，</w:t>
            </w:r>
            <w:r>
              <w:rPr>
                <w:rFonts w:hint="default" w:ascii="Times New Roman" w:hAnsi="Times New Roman" w:cs="Times New Roman"/>
                <w:bCs/>
                <w:color w:val="auto"/>
                <w:sz w:val="24"/>
              </w:rPr>
              <w:t>对环境影响小。</w:t>
            </w:r>
          </w:p>
          <w:p w14:paraId="7F43F1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采取上述措施的前提下，钻前工程基础开挖、施工人员生活垃圾等固体废物可得到妥善处置，措施可行。</w:t>
            </w:r>
          </w:p>
          <w:p w14:paraId="6E0DE169">
            <w:pPr>
              <w:keepNext/>
              <w:keepLines/>
              <w:suppressLineNumbers w:val="0"/>
              <w:spacing w:before="0" w:beforeAutospacing="0" w:after="0" w:afterAutospacing="0" w:line="360" w:lineRule="auto"/>
              <w:ind w:left="0" w:right="0" w:firstLine="482" w:firstLineChars="200"/>
              <w:outlineLvl w:val="1"/>
              <w:rPr>
                <w:rFonts w:hint="default" w:eastAsia="宋体" w:cs="Times New Roman"/>
                <w:b/>
                <w:bCs/>
                <w:color w:val="auto"/>
                <w:sz w:val="24"/>
                <w:szCs w:val="28"/>
                <w:lang w:val="en-US" w:eastAsia="zh-CN"/>
              </w:rPr>
            </w:pPr>
            <w:r>
              <w:rPr>
                <w:rFonts w:hint="eastAsia" w:eastAsia="宋体" w:cs="Times New Roman"/>
                <w:b/>
                <w:bCs/>
                <w:color w:val="auto"/>
                <w:sz w:val="24"/>
                <w:szCs w:val="28"/>
                <w:lang w:val="en-US" w:eastAsia="zh-CN"/>
              </w:rPr>
              <w:t>5、土壤保护措施</w:t>
            </w:r>
          </w:p>
          <w:p w14:paraId="140A07EA">
            <w:pPr>
              <w:keepNext/>
              <w:keepLines/>
              <w:suppressLineNumbers w:val="0"/>
              <w:spacing w:before="0" w:beforeAutospacing="0" w:after="0" w:afterAutospacing="0" w:line="360" w:lineRule="auto"/>
              <w:ind w:left="0" w:right="0" w:firstLine="480" w:firstLineChars="200"/>
              <w:outlineLvl w:val="1"/>
              <w:rPr>
                <w:rFonts w:hint="default" w:eastAsia="宋体" w:cs="Times New Roman"/>
                <w:b w:val="0"/>
                <w:bCs w:val="0"/>
                <w:color w:val="auto"/>
                <w:sz w:val="24"/>
                <w:szCs w:val="28"/>
                <w:lang w:val="en-US" w:eastAsia="zh-CN"/>
              </w:rPr>
            </w:pPr>
            <w:r>
              <w:rPr>
                <w:rFonts w:hint="default" w:eastAsia="宋体" w:cs="Times New Roman"/>
                <w:b w:val="0"/>
                <w:bCs w:val="0"/>
                <w:color w:val="auto"/>
                <w:sz w:val="24"/>
                <w:szCs w:val="28"/>
                <w:lang w:val="en-US" w:eastAsia="zh-CN"/>
              </w:rPr>
              <w:t>在施工过程中，将占用部分林地和耕地，</w:t>
            </w:r>
            <w:r>
              <w:rPr>
                <w:rFonts w:hint="eastAsia" w:eastAsia="宋体" w:cs="Times New Roman"/>
                <w:b w:val="0"/>
                <w:bCs w:val="0"/>
                <w:color w:val="auto"/>
                <w:sz w:val="24"/>
                <w:szCs w:val="28"/>
                <w:lang w:val="en-US" w:eastAsia="zh-CN"/>
              </w:rPr>
              <w:t>将</w:t>
            </w:r>
            <w:r>
              <w:rPr>
                <w:rFonts w:hint="default" w:eastAsia="宋体" w:cs="Times New Roman"/>
                <w:b w:val="0"/>
                <w:bCs w:val="0"/>
                <w:color w:val="auto"/>
                <w:sz w:val="24"/>
                <w:szCs w:val="28"/>
                <w:lang w:val="en-US" w:eastAsia="zh-CN"/>
              </w:rPr>
              <w:t>坚持“分层开挖、分层回填”原则，尽量控制施工场地范围，取土前先剥离表土，将表土集中堆放</w:t>
            </w:r>
            <w:r>
              <w:rPr>
                <w:rFonts w:hint="eastAsia" w:eastAsia="宋体" w:cs="Times New Roman"/>
                <w:b w:val="0"/>
                <w:bCs w:val="0"/>
                <w:color w:val="auto"/>
                <w:sz w:val="24"/>
                <w:szCs w:val="28"/>
                <w:lang w:val="en-US" w:eastAsia="zh-CN"/>
              </w:rPr>
              <w:t>临时堆场</w:t>
            </w:r>
            <w:r>
              <w:rPr>
                <w:rFonts w:hint="default" w:eastAsia="宋体" w:cs="Times New Roman"/>
                <w:b w:val="0"/>
                <w:bCs w:val="0"/>
                <w:color w:val="auto"/>
                <w:sz w:val="24"/>
                <w:szCs w:val="28"/>
                <w:lang w:val="en-US" w:eastAsia="zh-CN"/>
              </w:rPr>
              <w:t>，</w:t>
            </w:r>
            <w:r>
              <w:rPr>
                <w:rFonts w:hint="eastAsia" w:eastAsia="宋体" w:cs="Times New Roman"/>
                <w:b w:val="0"/>
                <w:bCs w:val="0"/>
                <w:color w:val="auto"/>
                <w:sz w:val="24"/>
                <w:szCs w:val="28"/>
                <w:lang w:val="en-US" w:eastAsia="zh-CN"/>
              </w:rPr>
              <w:t>对表土进行</w:t>
            </w:r>
            <w:r>
              <w:rPr>
                <w:rFonts w:hint="default" w:eastAsia="宋体" w:cs="Times New Roman"/>
                <w:b w:val="0"/>
                <w:bCs w:val="0"/>
                <w:color w:val="auto"/>
                <w:sz w:val="24"/>
                <w:szCs w:val="28"/>
                <w:lang w:val="en-US" w:eastAsia="zh-CN"/>
              </w:rPr>
              <w:t>剥离及防护</w:t>
            </w:r>
            <w:r>
              <w:rPr>
                <w:rFonts w:hint="eastAsia" w:eastAsia="宋体" w:cs="Times New Roman"/>
                <w:b w:val="0"/>
                <w:bCs w:val="0"/>
                <w:color w:val="auto"/>
                <w:sz w:val="24"/>
                <w:szCs w:val="28"/>
                <w:lang w:val="en-US" w:eastAsia="zh-CN"/>
              </w:rPr>
              <w:t>，</w:t>
            </w:r>
            <w:r>
              <w:rPr>
                <w:rFonts w:hint="default" w:eastAsia="宋体" w:cs="Times New Roman"/>
                <w:b w:val="0"/>
                <w:bCs w:val="0"/>
                <w:color w:val="auto"/>
                <w:sz w:val="24"/>
                <w:szCs w:val="28"/>
                <w:lang w:val="en-US" w:eastAsia="zh-CN"/>
              </w:rPr>
              <w:t>表土在钻井结束后用于场地临时占地的复垦表层用地</w:t>
            </w:r>
            <w:r>
              <w:rPr>
                <w:rFonts w:hint="eastAsia" w:eastAsia="宋体" w:cs="Times New Roman"/>
                <w:b w:val="0"/>
                <w:bCs w:val="0"/>
                <w:color w:val="auto"/>
                <w:sz w:val="24"/>
                <w:szCs w:val="28"/>
                <w:lang w:val="en-US" w:eastAsia="zh-CN"/>
              </w:rPr>
              <w:t>，</w:t>
            </w:r>
            <w:r>
              <w:rPr>
                <w:rFonts w:hint="default" w:eastAsia="宋体" w:cs="Times New Roman"/>
                <w:b w:val="0"/>
                <w:bCs w:val="0"/>
                <w:color w:val="auto"/>
                <w:sz w:val="24"/>
                <w:szCs w:val="28"/>
                <w:lang w:val="en-US" w:eastAsia="zh-CN"/>
              </w:rPr>
              <w:t>减少对表土的破坏。</w:t>
            </w:r>
          </w:p>
          <w:p w14:paraId="606E5256">
            <w:pPr>
              <w:keepNext/>
              <w:keepLines/>
              <w:suppressLineNumbers w:val="0"/>
              <w:spacing w:before="0" w:beforeAutospacing="0" w:after="0" w:afterAutospacing="0" w:line="360" w:lineRule="auto"/>
              <w:ind w:left="0" w:right="0" w:firstLine="480" w:firstLineChars="200"/>
              <w:outlineLvl w:val="1"/>
              <w:rPr>
                <w:rFonts w:hint="default" w:eastAsia="宋体" w:cs="Times New Roman"/>
                <w:b w:val="0"/>
                <w:bCs w:val="0"/>
                <w:color w:val="auto"/>
                <w:sz w:val="24"/>
                <w:szCs w:val="28"/>
                <w:lang w:val="en-US" w:eastAsia="zh-CN"/>
              </w:rPr>
            </w:pPr>
            <w:r>
              <w:rPr>
                <w:rFonts w:hint="eastAsia" w:eastAsia="宋体" w:cs="Times New Roman"/>
                <w:b w:val="0"/>
                <w:bCs w:val="0"/>
                <w:color w:val="auto"/>
                <w:sz w:val="24"/>
                <w:szCs w:val="28"/>
                <w:lang w:val="en-US" w:eastAsia="zh-CN"/>
              </w:rPr>
              <w:t>临时堆</w:t>
            </w:r>
            <w:r>
              <w:rPr>
                <w:rFonts w:hint="default" w:eastAsia="宋体" w:cs="Times New Roman"/>
                <w:b w:val="0"/>
                <w:bCs w:val="0"/>
                <w:color w:val="auto"/>
                <w:sz w:val="24"/>
                <w:szCs w:val="28"/>
                <w:lang w:val="en-US" w:eastAsia="zh-CN"/>
              </w:rPr>
              <w:t>场设置挡墙和排水沟，并采用密目网进行苫盖，防止产生水土流失。施工完毕后，建设单位拟通过复耕来恢复或部分恢复原貌，耕地可恢复原貌。通过采取上述措施后，本项目施工期对土壤环境影响较小</w:t>
            </w:r>
            <w:r>
              <w:rPr>
                <w:rFonts w:hint="eastAsia" w:eastAsia="宋体" w:cs="Times New Roman"/>
                <w:b w:val="0"/>
                <w:bCs w:val="0"/>
                <w:color w:val="auto"/>
                <w:sz w:val="24"/>
                <w:szCs w:val="28"/>
                <w:lang w:val="en-US" w:eastAsia="zh-CN"/>
              </w:rPr>
              <w:t>，保护措施可行</w:t>
            </w:r>
            <w:r>
              <w:rPr>
                <w:rFonts w:hint="default" w:eastAsia="宋体" w:cs="Times New Roman"/>
                <w:b w:val="0"/>
                <w:bCs w:val="0"/>
                <w:color w:val="auto"/>
                <w:sz w:val="24"/>
                <w:szCs w:val="28"/>
                <w:lang w:val="en-US" w:eastAsia="zh-CN"/>
              </w:rPr>
              <w:t>。</w:t>
            </w:r>
          </w:p>
          <w:p w14:paraId="4D100BE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6</w:t>
            </w:r>
            <w:r>
              <w:rPr>
                <w:rFonts w:hint="default" w:ascii="Times New Roman" w:hAnsi="Times New Roman" w:cs="Times New Roman"/>
                <w:b/>
                <w:bCs/>
                <w:color w:val="auto"/>
                <w:sz w:val="24"/>
                <w:szCs w:val="28"/>
              </w:rPr>
              <w:t>、生态保护措施</w:t>
            </w:r>
          </w:p>
          <w:p w14:paraId="44F62B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在施工过程中需重视对周边生态环境的保护，严格落实各项环评提出的环境保护措施，以达到对生态环境扰动影响最小化，并在相应时期对造成的生物损失进行必要的恢复与补偿。具体措施如下：</w:t>
            </w:r>
          </w:p>
          <w:p w14:paraId="6F376A3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A、在满足施工条件下，严格控制临时施工作业带，尽量减少对植被的破坏；施工期应避开雨天与大风天气，减少水土流失量。</w:t>
            </w:r>
          </w:p>
          <w:p w14:paraId="138B1C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B、项目在修建井场、水池等施工时通过采取修建排水沟、护坡、</w:t>
            </w:r>
            <w:r>
              <w:rPr>
                <w:rFonts w:hint="eastAsia" w:ascii="Times New Roman" w:hAnsi="Times New Roman" w:cs="Times New Roman"/>
                <w:bCs/>
                <w:color w:val="auto"/>
                <w:sz w:val="24"/>
              </w:rPr>
              <w:t>表土场</w:t>
            </w:r>
            <w:r>
              <w:rPr>
                <w:rFonts w:hint="default" w:ascii="Times New Roman" w:hAnsi="Times New Roman" w:cs="Times New Roman"/>
                <w:bCs/>
                <w:color w:val="auto"/>
                <w:sz w:val="24"/>
              </w:rPr>
              <w:t>设挡土墙和排水沟等措施。</w:t>
            </w:r>
          </w:p>
          <w:p w14:paraId="323CF6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C、对于工程施工所用的临时路线，尽量选择已有的便道，或者选择植被生长差的地段，对于临时便道则选用已有的农田机耕道。对于施工机械车辆应固定其行驶路线，禁止乱压乱碾，任意破坏地表植被。</w:t>
            </w:r>
          </w:p>
          <w:p w14:paraId="45C943E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D、道路工程施工过程中尽量减少土石方工程量并缩小生态影响范围，减少对周边土壤和植被的破坏。</w:t>
            </w:r>
          </w:p>
          <w:p w14:paraId="38CB96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E、加强道路两侧树木的保护工作，公路两侧原有的树木应加以保护。</w:t>
            </w:r>
          </w:p>
          <w:p w14:paraId="7932C5B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F、表土剥离，工程结束后，将表土用于完井后复垦用的耕作土。</w:t>
            </w:r>
          </w:p>
          <w:p w14:paraId="488777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G、施工过程中，应做好施工作业区域表层土壤的保护措施。表层土壤应单独存放，施工工程完成后宜按序回填覆盖，并及时开展土地整理及复垦工作或进行植被恢复，恢复场地排水系统。</w:t>
            </w:r>
          </w:p>
          <w:p w14:paraId="702C6E2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H、对本工程施工临时占用的耕地，在施工</w:t>
            </w:r>
            <w:r>
              <w:rPr>
                <w:rFonts w:hint="eastAsia" w:ascii="Times New Roman" w:hAnsi="Times New Roman" w:cs="Times New Roman"/>
                <w:bCs/>
                <w:color w:val="auto"/>
                <w:sz w:val="24"/>
                <w:lang w:eastAsia="zh-CN"/>
              </w:rPr>
              <w:t>期间</w:t>
            </w:r>
            <w:r>
              <w:rPr>
                <w:rFonts w:hint="default" w:ascii="Times New Roman" w:hAnsi="Times New Roman" w:cs="Times New Roman"/>
                <w:bCs/>
                <w:color w:val="auto"/>
                <w:sz w:val="24"/>
              </w:rPr>
              <w:t>根据占用面积给予影响人口相应的补偿，施工结束后进行土地恢复、农业复垦，及时归还农户耕种。</w:t>
            </w:r>
            <w:r>
              <w:rPr>
                <w:rFonts w:hint="eastAsia" w:ascii="Times New Roman" w:hAnsi="Times New Roman" w:cs="Times New Roman"/>
                <w:b w:val="0"/>
                <w:bCs w:val="0"/>
                <w:color w:val="auto"/>
                <w:sz w:val="24"/>
                <w:szCs w:val="28"/>
                <w:highlight w:val="none"/>
                <w:lang w:val="en-US" w:eastAsia="zh-CN"/>
              </w:rPr>
              <w:t>工程施工临时占用的林地</w:t>
            </w:r>
            <w:r>
              <w:rPr>
                <w:rFonts w:hint="default" w:ascii="Times New Roman" w:hAnsi="Times New Roman" w:cs="Times New Roman"/>
                <w:b w:val="0"/>
                <w:bCs w:val="0"/>
                <w:color w:val="auto"/>
                <w:sz w:val="24"/>
                <w:szCs w:val="28"/>
                <w:highlight w:val="none"/>
              </w:rPr>
              <w:t>以恢复林地土壤、恢复原有植被为主要目标，实行原地、同面积等质量恢复，防止水土流失，避免立地条件恶化</w:t>
            </w:r>
            <w:r>
              <w:rPr>
                <w:rFonts w:hint="eastAsia" w:ascii="Times New Roman" w:hAnsi="Times New Roman" w:cs="Times New Roman"/>
                <w:b w:val="0"/>
                <w:bCs w:val="0"/>
                <w:color w:val="auto"/>
                <w:sz w:val="24"/>
                <w:szCs w:val="28"/>
                <w:highlight w:val="none"/>
                <w:lang w:eastAsia="zh-CN"/>
              </w:rPr>
              <w:t>。</w:t>
            </w:r>
            <w:r>
              <w:rPr>
                <w:rFonts w:hint="default" w:ascii="Times New Roman" w:hAnsi="Times New Roman" w:cs="Times New Roman"/>
                <w:bCs/>
                <w:color w:val="auto"/>
                <w:sz w:val="24"/>
              </w:rPr>
              <w:t>土地复垦工作应遵循“谁破坏，谁复垦”的原则，建设单位需严格按照《土地复垦条例》要求，编制项目土地复垦方案，进行土地复垦，使其恢复到可供利用状态，并优先用于农业。</w:t>
            </w:r>
          </w:p>
          <w:p w14:paraId="2699166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 w:val="0"/>
                <w:bCs w:val="0"/>
                <w:color w:val="auto"/>
                <w:sz w:val="24"/>
                <w:szCs w:val="28"/>
                <w:highlight w:val="none"/>
                <w:lang w:val="en-US" w:eastAsia="zh-CN"/>
              </w:rPr>
            </w:pPr>
            <w:r>
              <w:rPr>
                <w:rFonts w:hint="default" w:ascii="Times New Roman" w:hAnsi="Times New Roman" w:cs="Times New Roman"/>
                <w:color w:val="auto"/>
                <w:sz w:val="24"/>
              </w:rPr>
              <w:t>I、</w:t>
            </w:r>
            <w:r>
              <w:rPr>
                <w:rFonts w:hint="eastAsia" w:ascii="Times New Roman" w:hAnsi="Times New Roman" w:cs="Times New Roman"/>
                <w:b w:val="0"/>
                <w:bCs w:val="0"/>
                <w:color w:val="auto"/>
                <w:sz w:val="24"/>
                <w:szCs w:val="28"/>
                <w:highlight w:val="none"/>
                <w:lang w:val="en-US" w:eastAsia="zh-CN"/>
              </w:rPr>
              <w:t>项目施工期应尽量避开动物繁殖期，减少夜间作业，降低声光对项目所在</w:t>
            </w:r>
            <w:r>
              <w:rPr>
                <w:rFonts w:hint="eastAsia" w:cs="Times New Roman"/>
                <w:b w:val="0"/>
                <w:bCs w:val="0"/>
                <w:color w:val="auto"/>
                <w:sz w:val="24"/>
                <w:szCs w:val="28"/>
                <w:highlight w:val="none"/>
                <w:lang w:val="en-US" w:eastAsia="zh-CN"/>
              </w:rPr>
              <w:t>区域</w:t>
            </w:r>
            <w:r>
              <w:rPr>
                <w:rFonts w:hint="eastAsia" w:ascii="Times New Roman" w:hAnsi="Times New Roman" w:cs="Times New Roman"/>
                <w:b w:val="0"/>
                <w:bCs w:val="0"/>
                <w:color w:val="auto"/>
                <w:sz w:val="24"/>
                <w:szCs w:val="28"/>
                <w:highlight w:val="none"/>
                <w:lang w:val="en-US" w:eastAsia="zh-CN"/>
              </w:rPr>
              <w:t>动物的惊扰，施工过程中加强施工人员野生动植物保护宣传教育，严禁猎采行为。</w:t>
            </w:r>
          </w:p>
          <w:p w14:paraId="71C473A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b w:val="0"/>
                <w:bCs w:val="0"/>
                <w:color w:val="auto"/>
                <w:sz w:val="24"/>
                <w:szCs w:val="28"/>
                <w:highlight w:val="none"/>
                <w:lang w:val="en-US" w:eastAsia="zh-CN"/>
              </w:rPr>
              <w:t>J、</w:t>
            </w:r>
            <w:r>
              <w:rPr>
                <w:rFonts w:hint="default" w:ascii="Times New Roman" w:hAnsi="Times New Roman" w:cs="Times New Roman"/>
                <w:color w:val="auto"/>
                <w:sz w:val="24"/>
              </w:rPr>
              <w:t>根据四川省水利厅发布的《四川省省级水土流失重点预防区和重点治理区划分成果》的通知（川水函〔2017〕482号），</w:t>
            </w:r>
            <w:r>
              <w:rPr>
                <w:rFonts w:hint="eastAsia" w:ascii="Times New Roman" w:hAnsi="Times New Roman" w:cs="Times New Roman"/>
                <w:color w:val="auto"/>
                <w:sz w:val="24"/>
              </w:rPr>
              <w:t>巴中市</w:t>
            </w:r>
            <w:r>
              <w:rPr>
                <w:rFonts w:hint="eastAsia" w:cs="Times New Roman"/>
                <w:color w:val="auto"/>
                <w:sz w:val="24"/>
                <w:lang w:val="en-US" w:eastAsia="zh-CN"/>
              </w:rPr>
              <w:t>恩阳</w:t>
            </w:r>
            <w:r>
              <w:rPr>
                <w:rFonts w:hint="eastAsia" w:ascii="Times New Roman" w:hAnsi="Times New Roman" w:cs="Times New Roman"/>
                <w:color w:val="auto"/>
                <w:sz w:val="24"/>
              </w:rPr>
              <w:t>区</w:t>
            </w:r>
            <w:r>
              <w:rPr>
                <w:rFonts w:hint="default" w:ascii="Times New Roman" w:hAnsi="Times New Roman" w:cs="Times New Roman"/>
                <w:color w:val="auto"/>
                <w:sz w:val="24"/>
              </w:rPr>
              <w:t>属于</w:t>
            </w:r>
            <w:r>
              <w:rPr>
                <w:rFonts w:hint="eastAsia" w:ascii="Times New Roman" w:hAnsi="Times New Roman" w:cs="Times New Roman"/>
                <w:color w:val="auto"/>
                <w:sz w:val="24"/>
                <w:highlight w:val="none"/>
                <w:lang w:val="en-US" w:eastAsia="zh-CN"/>
              </w:rPr>
              <w:t>嘉陵江</w:t>
            </w:r>
            <w:r>
              <w:rPr>
                <w:rFonts w:hint="eastAsia" w:cs="Times New Roman"/>
                <w:color w:val="auto"/>
                <w:sz w:val="24"/>
                <w:highlight w:val="none"/>
                <w:lang w:val="en-US" w:eastAsia="zh-CN"/>
              </w:rPr>
              <w:t>及沱江中下游国家级水土流失重点治理区</w:t>
            </w:r>
            <w:r>
              <w:rPr>
                <w:rFonts w:hint="default" w:ascii="Times New Roman" w:hAnsi="Times New Roman" w:cs="Times New Roman"/>
                <w:color w:val="auto"/>
                <w:sz w:val="24"/>
              </w:rPr>
              <w:t>。按照《生产建设项目水土保持方案管理办法》（水利部令第53号）相关要求，建设单位应当在生产建设项目开工建设前完成水土保持方案编报并取得批准手续。</w:t>
            </w:r>
          </w:p>
          <w:p w14:paraId="1586B1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在实施上述生态防护措施后，项目钻前工程对周边生态环境影响很小。故本次评价认为，建设方采取的水土保持和生态保护措施有效可行。</w:t>
            </w:r>
          </w:p>
          <w:p w14:paraId="1BCCB7D7">
            <w:pPr>
              <w:keepNext/>
              <w:keepLines/>
              <w:suppressLineNumbers w:val="0"/>
              <w:spacing w:before="0" w:beforeAutospacing="0" w:after="0" w:afterAutospacing="0" w:line="360" w:lineRule="auto"/>
              <w:ind w:left="0" w:right="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二、钻井施工期环境保护措施</w:t>
            </w:r>
          </w:p>
          <w:p w14:paraId="30FCFD3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1"/>
              </w:rPr>
            </w:pPr>
            <w:r>
              <w:rPr>
                <w:rFonts w:hint="default" w:ascii="Times New Roman" w:hAnsi="Times New Roman" w:cs="Times New Roman"/>
                <w:b/>
                <w:bCs/>
                <w:color w:val="auto"/>
                <w:sz w:val="24"/>
                <w:szCs w:val="21"/>
              </w:rPr>
              <w:t>1、废气治理措施及可行性</w:t>
            </w:r>
          </w:p>
          <w:p w14:paraId="2A6E897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本项目在钻井阶段采用电网供电，停电时采用备用柴油发电机</w:t>
            </w:r>
            <w:r>
              <w:rPr>
                <w:rFonts w:hint="eastAsia" w:cs="Times New Roman"/>
                <w:bCs/>
                <w:color w:val="auto"/>
                <w:sz w:val="24"/>
                <w:lang w:val="en-US" w:eastAsia="zh-CN"/>
              </w:rPr>
              <w:t>供电；</w:t>
            </w:r>
            <w:r>
              <w:rPr>
                <w:rFonts w:hint="eastAsia" w:ascii="Times New Roman" w:hAnsi="Times New Roman" w:cs="Times New Roman"/>
                <w:bCs/>
                <w:color w:val="auto"/>
                <w:sz w:val="24"/>
                <w:lang w:val="en-US" w:eastAsia="zh-CN"/>
              </w:rPr>
              <w:t>测试放喷阶段</w:t>
            </w:r>
            <w:r>
              <w:rPr>
                <w:rFonts w:hint="eastAsia" w:ascii="Times New Roman" w:hAnsi="Times New Roman" w:cs="Times New Roman"/>
                <w:color w:val="auto"/>
                <w:sz w:val="24"/>
                <w:lang w:val="en-US" w:eastAsia="zh-CN"/>
              </w:rPr>
              <w:t>若遇到环境低温、压差大等特殊情况时会</w:t>
            </w:r>
            <w:r>
              <w:rPr>
                <w:rFonts w:hint="eastAsia" w:ascii="Times New Roman" w:hAnsi="Times New Roman" w:cs="Times New Roman"/>
                <w:bCs/>
                <w:color w:val="auto"/>
                <w:sz w:val="24"/>
                <w:lang w:val="en-US" w:eastAsia="zh-CN"/>
              </w:rPr>
              <w:t>使用燃油蒸汽锅炉对</w:t>
            </w:r>
            <w:r>
              <w:rPr>
                <w:rFonts w:hint="eastAsia" w:ascii="Times New Roman" w:hAnsi="Times New Roman" w:cs="Times New Roman"/>
                <w:color w:val="auto"/>
                <w:sz w:val="24"/>
                <w:lang w:val="en-US" w:eastAsia="zh-CN"/>
              </w:rPr>
              <w:t>井口、管汇、放喷管线</w:t>
            </w:r>
            <w:r>
              <w:rPr>
                <w:rFonts w:hint="eastAsia" w:ascii="Times New Roman" w:hAnsi="Times New Roman" w:cs="Times New Roman"/>
                <w:bCs/>
                <w:color w:val="auto"/>
                <w:sz w:val="24"/>
                <w:lang w:val="en-US" w:eastAsia="zh-CN"/>
              </w:rPr>
              <w:t>进行保温</w:t>
            </w:r>
            <w:r>
              <w:rPr>
                <w:rFonts w:hint="default" w:ascii="Times New Roman" w:hAnsi="Times New Roman" w:cs="Times New Roman"/>
                <w:bCs/>
                <w:color w:val="auto"/>
                <w:sz w:val="24"/>
              </w:rPr>
              <w:t>。因此，钻井期间的废气主要包括测试放喷</w:t>
            </w:r>
            <w:r>
              <w:rPr>
                <w:rFonts w:hint="eastAsia" w:ascii="Times New Roman" w:hAnsi="Times New Roman" w:cs="Times New Roman"/>
                <w:bCs/>
                <w:color w:val="auto"/>
                <w:sz w:val="24"/>
                <w:lang w:val="en-US" w:eastAsia="zh-CN"/>
              </w:rPr>
              <w:t>及</w:t>
            </w:r>
            <w:r>
              <w:rPr>
                <w:rFonts w:hint="default" w:ascii="Times New Roman" w:hAnsi="Times New Roman" w:cs="Times New Roman"/>
                <w:bCs/>
                <w:color w:val="auto"/>
                <w:sz w:val="24"/>
              </w:rPr>
              <w:t>事故放喷废气</w:t>
            </w:r>
            <w:r>
              <w:rPr>
                <w:rFonts w:hint="eastAsia" w:cs="Times New Roman"/>
                <w:bCs/>
                <w:color w:val="auto"/>
                <w:sz w:val="24"/>
                <w:lang w:eastAsia="zh-CN"/>
              </w:rPr>
              <w:t>、</w:t>
            </w:r>
            <w:r>
              <w:rPr>
                <w:rFonts w:hint="default" w:ascii="Times New Roman" w:hAnsi="Times New Roman" w:cs="Times New Roman"/>
                <w:bCs/>
                <w:color w:val="auto"/>
                <w:sz w:val="24"/>
              </w:rPr>
              <w:t>柴油发电机组燃烧废气</w:t>
            </w:r>
            <w:r>
              <w:rPr>
                <w:rFonts w:hint="eastAsia" w:cs="Times New Roman"/>
                <w:bCs/>
                <w:color w:val="auto"/>
                <w:sz w:val="24"/>
                <w:lang w:eastAsia="zh-CN"/>
              </w:rPr>
              <w:t>、</w:t>
            </w:r>
            <w:r>
              <w:rPr>
                <w:rFonts w:hint="eastAsia" w:cs="Times New Roman"/>
                <w:bCs/>
                <w:color w:val="auto"/>
                <w:sz w:val="24"/>
                <w:lang w:val="en-US" w:eastAsia="zh-CN"/>
              </w:rPr>
              <w:t>锅炉烟气</w:t>
            </w:r>
            <w:r>
              <w:rPr>
                <w:rFonts w:hint="default" w:ascii="Times New Roman" w:hAnsi="Times New Roman" w:cs="Times New Roman"/>
                <w:bCs/>
                <w:color w:val="auto"/>
                <w:sz w:val="24"/>
              </w:rPr>
              <w:t>等。</w:t>
            </w:r>
          </w:p>
          <w:p w14:paraId="5ED92A1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sz w:val="24"/>
                <w:szCs w:val="28"/>
              </w:rPr>
            </w:pPr>
            <w:r>
              <w:rPr>
                <w:rFonts w:hint="eastAsia" w:ascii="Times New Roman" w:hAnsi="Times New Roman" w:cs="Times New Roman"/>
                <w:b w:val="0"/>
                <w:bCs w:val="0"/>
                <w:color w:val="auto"/>
                <w:sz w:val="24"/>
                <w:szCs w:val="28"/>
                <w:lang w:eastAsia="zh-CN"/>
              </w:rPr>
              <w:t>（</w:t>
            </w:r>
            <w:r>
              <w:rPr>
                <w:rFonts w:hint="eastAsia" w:ascii="Times New Roman" w:hAnsi="Times New Roman" w:cs="Times New Roman"/>
                <w:b w:val="0"/>
                <w:bCs w:val="0"/>
                <w:color w:val="auto"/>
                <w:sz w:val="24"/>
                <w:szCs w:val="28"/>
              </w:rPr>
              <w:t>1）</w:t>
            </w:r>
            <w:r>
              <w:rPr>
                <w:rFonts w:hint="eastAsia" w:cs="Times New Roman"/>
                <w:b w:val="0"/>
                <w:bCs w:val="0"/>
                <w:color w:val="auto"/>
                <w:sz w:val="24"/>
                <w:szCs w:val="28"/>
                <w:lang w:val="en-US" w:eastAsia="zh-CN"/>
              </w:rPr>
              <w:t>测试</w:t>
            </w:r>
            <w:r>
              <w:rPr>
                <w:rFonts w:hint="default" w:ascii="Times New Roman" w:hAnsi="Times New Roman" w:cs="Times New Roman"/>
                <w:b w:val="0"/>
                <w:bCs w:val="0"/>
                <w:color w:val="auto"/>
                <w:sz w:val="24"/>
                <w:szCs w:val="28"/>
              </w:rPr>
              <w:t>放喷</w:t>
            </w:r>
            <w:r>
              <w:rPr>
                <w:rFonts w:hint="eastAsia" w:ascii="Times New Roman" w:hAnsi="Times New Roman" w:cs="Times New Roman"/>
                <w:b w:val="0"/>
                <w:bCs w:val="0"/>
                <w:color w:val="auto"/>
                <w:sz w:val="24"/>
                <w:szCs w:val="28"/>
                <w:lang w:val="en-US" w:eastAsia="zh-CN"/>
              </w:rPr>
              <w:t>废</w:t>
            </w:r>
            <w:r>
              <w:rPr>
                <w:rFonts w:hint="default" w:ascii="Times New Roman" w:hAnsi="Times New Roman" w:cs="Times New Roman"/>
                <w:b w:val="0"/>
                <w:bCs w:val="0"/>
                <w:color w:val="auto"/>
                <w:sz w:val="24"/>
                <w:szCs w:val="28"/>
              </w:rPr>
              <w:t>气</w:t>
            </w:r>
          </w:p>
          <w:p w14:paraId="54FF74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测试放喷天然气经专用放喷管线引至放喷</w:t>
            </w:r>
            <w:r>
              <w:rPr>
                <w:rFonts w:hint="eastAsia" w:cs="Times New Roman"/>
                <w:bCs/>
                <w:color w:val="auto"/>
                <w:sz w:val="24"/>
                <w:lang w:val="en-US" w:eastAsia="zh-CN"/>
              </w:rPr>
              <w:t>池</w:t>
            </w:r>
            <w:r>
              <w:rPr>
                <w:rFonts w:hint="default" w:ascii="Times New Roman" w:hAnsi="Times New Roman" w:cs="Times New Roman"/>
                <w:bCs/>
                <w:color w:val="auto"/>
                <w:sz w:val="24"/>
              </w:rPr>
              <w:t>后点火燃烧，测试放喷管口高为1m，采用短火焰灼烧器，修建放喷池及挡墙</w:t>
            </w:r>
            <w:r>
              <w:rPr>
                <w:rFonts w:hint="eastAsia" w:ascii="Times New Roman" w:hAnsi="Times New Roman" w:cs="Times New Roman"/>
                <w:bCs/>
                <w:color w:val="auto"/>
                <w:sz w:val="24"/>
                <w:lang w:eastAsia="zh-CN"/>
              </w:rPr>
              <w:t>减少</w:t>
            </w:r>
            <w:r>
              <w:rPr>
                <w:rFonts w:hint="eastAsia" w:cs="Times New Roman"/>
                <w:bCs/>
                <w:color w:val="auto"/>
                <w:sz w:val="24"/>
                <w:lang w:val="en-US" w:eastAsia="zh-CN"/>
              </w:rPr>
              <w:t>高温热</w:t>
            </w:r>
            <w:r>
              <w:rPr>
                <w:rFonts w:hint="default" w:ascii="Times New Roman" w:hAnsi="Times New Roman" w:cs="Times New Roman"/>
                <w:bCs/>
                <w:color w:val="auto"/>
                <w:sz w:val="24"/>
              </w:rPr>
              <w:t>辐射影响。放喷管线采用螺纹与标准法兰连接的专用抗硫管材。放喷池采用C30P8混凝土浇筑，垫层采用C15混凝土浇筑且垫层每边宽出底板边100mm，放喷池池体内壁、底板顶面均刷水泥渗透型结晶防水涂料。放喷池地势空旷，有利于燃烧废气的扩散和减少</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w:t>
            </w:r>
            <w:r>
              <w:rPr>
                <w:rFonts w:hint="default" w:ascii="Times New Roman" w:hAnsi="Times New Roman" w:cs="Times New Roman"/>
                <w:bCs/>
                <w:color w:val="auto"/>
                <w:sz w:val="24"/>
              </w:rPr>
              <w:t>污染。</w:t>
            </w:r>
          </w:p>
          <w:p w14:paraId="0C27DCA0">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bCs/>
                <w:color w:val="auto"/>
                <w:kern w:val="0"/>
                <w:sz w:val="24"/>
              </w:rPr>
              <w:t>参考</w:t>
            </w:r>
            <w:r>
              <w:rPr>
                <w:rFonts w:hint="default" w:ascii="Times New Roman" w:hAnsi="Times New Roman" w:cs="Times New Roman"/>
                <w:bCs/>
                <w:color w:val="auto"/>
                <w:sz w:val="24"/>
              </w:rPr>
              <w:t>巴中地区</w:t>
            </w:r>
            <w:r>
              <w:rPr>
                <w:rFonts w:hint="default" w:ascii="Times New Roman" w:hAnsi="Times New Roman" w:cs="Times New Roman"/>
                <w:bCs/>
                <w:color w:val="auto"/>
                <w:kern w:val="0"/>
                <w:sz w:val="24"/>
              </w:rPr>
              <w:t>同层位气井</w:t>
            </w:r>
            <w:r>
              <w:rPr>
                <w:rFonts w:hint="eastAsia" w:ascii="Times New Roman" w:hAnsi="Times New Roman" w:cs="Times New Roman"/>
                <w:bCs/>
                <w:color w:val="auto"/>
                <w:kern w:val="0"/>
                <w:sz w:val="24"/>
              </w:rPr>
              <w:t>，</w:t>
            </w:r>
            <w:r>
              <w:rPr>
                <w:rFonts w:hint="default" w:ascii="Times New Roman" w:hAnsi="Times New Roman" w:cs="Times New Roman"/>
                <w:bCs/>
                <w:color w:val="auto"/>
                <w:sz w:val="24"/>
              </w:rPr>
              <w:t>巴中</w:t>
            </w:r>
            <w:r>
              <w:rPr>
                <w:rFonts w:hint="eastAsia" w:cs="Times New Roman"/>
                <w:bCs/>
                <w:color w:val="auto"/>
                <w:sz w:val="24"/>
                <w:lang w:val="en-US" w:eastAsia="zh-CN"/>
              </w:rPr>
              <w:t>马3井、马5井</w:t>
            </w:r>
            <w:r>
              <w:rPr>
                <w:rFonts w:hint="default" w:ascii="Times New Roman" w:hAnsi="Times New Roman" w:cs="Times New Roman"/>
                <w:bCs/>
                <w:color w:val="auto"/>
                <w:sz w:val="24"/>
              </w:rPr>
              <w:t>，</w:t>
            </w:r>
            <w:r>
              <w:rPr>
                <w:rFonts w:hint="default" w:ascii="Times New Roman" w:hAnsi="Times New Roman" w:cs="Times New Roman"/>
                <w:bCs/>
                <w:color w:val="auto"/>
                <w:kern w:val="0"/>
                <w:sz w:val="24"/>
              </w:rPr>
              <w:t>根据该井试气地质成果，</w:t>
            </w:r>
            <w:r>
              <w:rPr>
                <w:rFonts w:hint="eastAsia" w:cs="Times New Roman"/>
                <w:bCs/>
                <w:color w:val="auto"/>
                <w:sz w:val="24"/>
                <w:lang w:val="en-US" w:eastAsia="zh-CN"/>
              </w:rPr>
              <w:t>须四段下亚段</w:t>
            </w:r>
            <w:r>
              <w:rPr>
                <w:rFonts w:hint="default" w:ascii="Times New Roman" w:hAnsi="Times New Roman" w:cs="Times New Roman"/>
                <w:bCs/>
                <w:color w:val="auto"/>
                <w:kern w:val="0"/>
                <w:sz w:val="24"/>
              </w:rPr>
              <w:t>储层</w:t>
            </w:r>
            <w:r>
              <w:rPr>
                <w:rFonts w:hint="eastAsia" w:cs="Times New Roman"/>
                <w:bCs/>
                <w:color w:val="auto"/>
                <w:kern w:val="0"/>
                <w:sz w:val="24"/>
                <w:lang w:val="en-US" w:eastAsia="zh-CN"/>
              </w:rPr>
              <w:t>不含</w:t>
            </w:r>
            <w:r>
              <w:rPr>
                <w:rFonts w:hint="default" w:ascii="Times New Roman" w:hAnsi="Times New Roman" w:cs="Times New Roman"/>
                <w:bCs/>
                <w:color w:val="auto"/>
                <w:kern w:val="0"/>
                <w:sz w:val="24"/>
              </w:rPr>
              <w:t>油。</w:t>
            </w:r>
            <w:r>
              <w:rPr>
                <w:rFonts w:hint="default" w:ascii="Times New Roman" w:hAnsi="Times New Roman" w:cs="Times New Roman"/>
                <w:color w:val="auto"/>
                <w:sz w:val="24"/>
              </w:rPr>
              <w:t>根据《空气质量持续改善行动计划》（国发〔2023〕24号）</w:t>
            </w:r>
            <w:r>
              <w:rPr>
                <w:rFonts w:hint="eastAsia" w:ascii="Times New Roman" w:hAnsi="Times New Roman" w:cs="Times New Roman"/>
                <w:color w:val="auto"/>
                <w:sz w:val="24"/>
              </w:rPr>
              <w:t>《甲烷排放控制行动方案》</w:t>
            </w:r>
            <w:r>
              <w:rPr>
                <w:rFonts w:hint="default" w:ascii="Times New Roman" w:hAnsi="Times New Roman" w:cs="Times New Roman"/>
                <w:color w:val="auto"/>
                <w:sz w:val="24"/>
              </w:rPr>
              <w:t>（</w:t>
            </w:r>
            <w:r>
              <w:rPr>
                <w:rFonts w:hint="eastAsia" w:ascii="Times New Roman" w:hAnsi="Times New Roman" w:cs="Times New Roman"/>
                <w:color w:val="auto"/>
                <w:sz w:val="24"/>
              </w:rPr>
              <w:t>环气候</w:t>
            </w:r>
            <w:r>
              <w:rPr>
                <w:rFonts w:hint="default" w:ascii="Times New Roman" w:hAnsi="Times New Roman" w:cs="Times New Roman"/>
                <w:color w:val="auto"/>
                <w:sz w:val="24"/>
              </w:rPr>
              <w:t>〔2023〕</w:t>
            </w:r>
            <w:r>
              <w:rPr>
                <w:rFonts w:hint="eastAsia" w:ascii="Times New Roman" w:hAnsi="Times New Roman" w:cs="Times New Roman"/>
                <w:color w:val="auto"/>
                <w:sz w:val="24"/>
              </w:rPr>
              <w:t>67</w:t>
            </w:r>
            <w:r>
              <w:rPr>
                <w:rFonts w:hint="default" w:ascii="Times New Roman" w:hAnsi="Times New Roman" w:cs="Times New Roman"/>
                <w:color w:val="auto"/>
                <w:sz w:val="24"/>
              </w:rPr>
              <w:t>号）</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鼓励企业因地制宜开展伴生气与放空气回收利用，不能回收或难以回收的应经燃烧后放空</w:t>
            </w:r>
            <w:r>
              <w:rPr>
                <w:rFonts w:hint="eastAsia" w:ascii="Times New Roman" w:hAnsi="Times New Roman" w:eastAsia="宋体" w:cs="Times New Roman"/>
                <w:color w:val="auto"/>
                <w:sz w:val="24"/>
                <w:lang w:eastAsia="zh-CN"/>
              </w:rPr>
              <w:t>。</w:t>
            </w:r>
            <w:r>
              <w:rPr>
                <w:rFonts w:hint="eastAsia" w:eastAsia="宋体" w:cs="Times New Roman"/>
                <w:color w:val="auto"/>
                <w:sz w:val="24"/>
                <w:lang w:val="en-US" w:eastAsia="zh-CN"/>
              </w:rPr>
              <w:t>本项目放喷时天然气经</w:t>
            </w:r>
            <w:r>
              <w:rPr>
                <w:rFonts w:hint="eastAsia" w:ascii="Times New Roman" w:hAnsi="Times New Roman" w:cs="Times New Roman"/>
                <w:color w:val="auto"/>
                <w:sz w:val="24"/>
              </w:rPr>
              <w:t>燃烧后</w:t>
            </w:r>
            <w:r>
              <w:rPr>
                <w:rFonts w:hint="eastAsia" w:cs="Times New Roman"/>
                <w:color w:val="auto"/>
                <w:sz w:val="24"/>
                <w:lang w:val="en-US" w:eastAsia="zh-CN"/>
              </w:rPr>
              <w:t>排放，</w:t>
            </w:r>
            <w:r>
              <w:rPr>
                <w:rFonts w:hint="default" w:ascii="Times New Roman" w:hAnsi="Times New Roman" w:cs="Times New Roman"/>
                <w:bCs/>
                <w:color w:val="auto"/>
                <w:kern w:val="0"/>
                <w:sz w:val="24"/>
              </w:rPr>
              <w:t>本气井为</w:t>
            </w:r>
            <w:r>
              <w:rPr>
                <w:rFonts w:hint="eastAsia" w:ascii="Times New Roman" w:hAnsi="Times New Roman" w:cs="Times New Roman"/>
                <w:bCs/>
                <w:color w:val="auto"/>
                <w:kern w:val="0"/>
                <w:sz w:val="24"/>
              </w:rPr>
              <w:t>不含硫化氢</w:t>
            </w:r>
            <w:r>
              <w:rPr>
                <w:rFonts w:hint="default" w:ascii="Times New Roman" w:hAnsi="Times New Roman" w:cs="Times New Roman"/>
                <w:bCs/>
                <w:color w:val="auto"/>
                <w:kern w:val="0"/>
                <w:sz w:val="24"/>
              </w:rPr>
              <w:t>天然气井，燃烧后主要污染物为CO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、NOx和水，污染物产生量较小，</w:t>
            </w:r>
            <w:r>
              <w:rPr>
                <w:rFonts w:hint="eastAsia" w:cs="Times New Roman"/>
                <w:bCs/>
                <w:color w:val="auto"/>
                <w:kern w:val="0"/>
                <w:sz w:val="24"/>
                <w:lang w:val="en-US" w:eastAsia="zh-CN"/>
              </w:rPr>
              <w:t>加之项目区域地势开阔，故燃烧废气</w:t>
            </w:r>
            <w:r>
              <w:rPr>
                <w:rFonts w:hint="default" w:ascii="Times New Roman" w:hAnsi="Times New Roman" w:cs="Times New Roman"/>
                <w:bCs/>
                <w:color w:val="auto"/>
                <w:kern w:val="0"/>
                <w:sz w:val="24"/>
              </w:rPr>
              <w:t>对</w:t>
            </w:r>
            <w:r>
              <w:rPr>
                <w:rFonts w:hint="eastAsia" w:cs="Times New Roman"/>
                <w:bCs/>
                <w:color w:val="auto"/>
                <w:kern w:val="0"/>
                <w:sz w:val="24"/>
                <w:lang w:val="en-US" w:eastAsia="zh-CN"/>
              </w:rPr>
              <w:t>区域</w:t>
            </w:r>
            <w:r>
              <w:rPr>
                <w:rFonts w:hint="default" w:ascii="Times New Roman" w:hAnsi="Times New Roman" w:cs="Times New Roman"/>
                <w:bCs/>
                <w:color w:val="auto"/>
                <w:kern w:val="0"/>
                <w:sz w:val="24"/>
              </w:rPr>
              <w:t>大气环境影响较小。</w:t>
            </w:r>
          </w:p>
          <w:p w14:paraId="15402E8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2</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p>
          <w:p w14:paraId="621D3E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事故放喷是由地层高压异常导致的，在石油天然气行业是低概率事件。事故放喷主产物是天然气燃烧后产生的CO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、NOx和水。事故放喷时间持续较短，且通过专用的放喷管线将天然气引至放喷</w:t>
            </w:r>
            <w:r>
              <w:rPr>
                <w:rFonts w:hint="eastAsia" w:cs="Times New Roman"/>
                <w:bCs/>
                <w:color w:val="auto"/>
                <w:kern w:val="0"/>
                <w:sz w:val="24"/>
                <w:lang w:eastAsia="zh-CN"/>
              </w:rPr>
              <w:t>池</w:t>
            </w:r>
            <w:r>
              <w:rPr>
                <w:rFonts w:hint="default" w:ascii="Times New Roman" w:hAnsi="Times New Roman" w:cs="Times New Roman"/>
                <w:bCs/>
                <w:color w:val="auto"/>
                <w:kern w:val="0"/>
                <w:sz w:val="24"/>
              </w:rPr>
              <w:t>进行点火放喷，事故放喷时间短，属临时排放，且建设单位在发生事故放喷时制定了紧急预案，对周边居民实施临时疏散，因此事故放喷对周边人群健康基本无影响，对环境影响也较小。</w:t>
            </w:r>
          </w:p>
          <w:p w14:paraId="71C4BC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3</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柴油发电机组燃烧废气</w:t>
            </w:r>
          </w:p>
          <w:p w14:paraId="6C0F94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4"/>
              </w:rPr>
            </w:pPr>
            <w:r>
              <w:rPr>
                <w:rFonts w:hint="default" w:ascii="Times New Roman" w:hAnsi="Times New Roman" w:cs="Times New Roman"/>
                <w:bCs/>
                <w:color w:val="auto"/>
                <w:kern w:val="0"/>
                <w:sz w:val="24"/>
              </w:rPr>
              <w:t>本项目采用ZJ70D钻机钻井，钻井作业时，本项目采用电网进行供电，停电时采用备用柴油发电机为钻机的各种设备如泥浆泵、天车、转盘等提供动力。</w:t>
            </w:r>
            <w:r>
              <w:rPr>
                <w:rFonts w:hint="default" w:ascii="Times New Roman" w:hAnsi="Times New Roman" w:cs="Times New Roman"/>
                <w:bCs/>
                <w:color w:val="auto"/>
                <w:kern w:val="0"/>
                <w:sz w:val="24"/>
                <w:szCs w:val="24"/>
              </w:rPr>
              <w:t>项目使用合格的轻质环保型柴油，柴油燃烧主要污染因子为</w:t>
            </w:r>
            <w:r>
              <w:rPr>
                <w:rFonts w:hint="default" w:ascii="Times New Roman" w:hAnsi="Times New Roman" w:cs="Times New Roman"/>
                <w:bCs/>
                <w:color w:val="auto"/>
                <w:kern w:val="0"/>
                <w:sz w:val="24"/>
              </w:rPr>
              <w:t>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w:t>
            </w:r>
            <w:r>
              <w:rPr>
                <w:rFonts w:hint="default" w:ascii="Times New Roman" w:hAnsi="Times New Roman" w:cs="Times New Roman"/>
                <w:bCs/>
                <w:color w:val="auto"/>
                <w:kern w:val="0"/>
                <w:sz w:val="24"/>
                <w:szCs w:val="24"/>
              </w:rPr>
              <w:t>NOx和烟尘等。</w:t>
            </w:r>
          </w:p>
          <w:p w14:paraId="4FA0C5D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szCs w:val="24"/>
              </w:rPr>
            </w:pPr>
            <w:r>
              <w:rPr>
                <w:rFonts w:hint="eastAsia" w:ascii="Times New Roman" w:hAnsi="Times New Roman" w:eastAsia="宋体" w:cs="Times New Roman"/>
                <w:bCs/>
                <w:color w:val="auto"/>
                <w:kern w:val="0"/>
                <w:sz w:val="24"/>
                <w:szCs w:val="24"/>
                <w:lang w:val="en-US" w:eastAsia="zh-CN"/>
              </w:rPr>
              <w:t>项目所在地地势开阔，柴油发电机废气</w:t>
            </w:r>
            <w:r>
              <w:rPr>
                <w:rFonts w:hint="eastAsia" w:cs="Times New Roman"/>
                <w:bCs/>
                <w:color w:val="auto"/>
                <w:kern w:val="0"/>
                <w:sz w:val="24"/>
                <w:lang w:val="en-US" w:eastAsia="zh-CN"/>
              </w:rPr>
              <w:t>经自带尾气净化装置处理后排放</w:t>
            </w:r>
            <w:r>
              <w:rPr>
                <w:rFonts w:hint="eastAsia" w:ascii="Times New Roman" w:hAnsi="Times New Roman" w:eastAsia="宋体" w:cs="Times New Roman"/>
                <w:bCs/>
                <w:color w:val="auto"/>
                <w:kern w:val="0"/>
                <w:sz w:val="24"/>
                <w:szCs w:val="24"/>
                <w:lang w:val="en-US" w:eastAsia="zh-CN"/>
              </w:rPr>
              <w:t>到环境空气中后将很快被稀释，且其影响的持续时间较短，随着钻</w:t>
            </w:r>
            <w:r>
              <w:rPr>
                <w:rFonts w:hint="eastAsia" w:ascii="Times New Roman" w:hAnsi="Times New Roman" w:eastAsia="宋体" w:cs="Times New Roman"/>
                <w:bCs/>
                <w:color w:val="auto"/>
                <w:kern w:val="0"/>
                <w:sz w:val="24"/>
                <w:szCs w:val="24"/>
              </w:rPr>
              <w:t>井期的结束而消失，对环境影响较小。</w:t>
            </w:r>
          </w:p>
          <w:p w14:paraId="3CD2E6F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szCs w:val="24"/>
                <w:lang w:eastAsia="zh-CN"/>
              </w:rPr>
            </w:pPr>
            <w:r>
              <w:rPr>
                <w:rFonts w:hint="eastAsia" w:cs="Times New Roman"/>
                <w:bCs/>
                <w:color w:val="auto"/>
                <w:kern w:val="0"/>
                <w:sz w:val="24"/>
                <w:szCs w:val="24"/>
                <w:lang w:eastAsia="zh-CN"/>
              </w:rPr>
              <w:t>（</w:t>
            </w:r>
            <w:r>
              <w:rPr>
                <w:rFonts w:hint="eastAsia" w:cs="Times New Roman"/>
                <w:bCs/>
                <w:color w:val="auto"/>
                <w:kern w:val="0"/>
                <w:sz w:val="24"/>
                <w:szCs w:val="24"/>
                <w:lang w:val="en-US" w:eastAsia="zh-CN"/>
              </w:rPr>
              <w:t>4</w:t>
            </w:r>
            <w:r>
              <w:rPr>
                <w:rFonts w:hint="eastAsia" w:cs="Times New Roman"/>
                <w:bCs/>
                <w:color w:val="auto"/>
                <w:kern w:val="0"/>
                <w:sz w:val="24"/>
                <w:szCs w:val="24"/>
                <w:lang w:eastAsia="zh-CN"/>
              </w:rPr>
              <w:t>）</w:t>
            </w:r>
            <w:r>
              <w:rPr>
                <w:rFonts w:hint="eastAsia" w:cs="Times New Roman"/>
                <w:bCs/>
                <w:color w:val="auto"/>
                <w:kern w:val="0"/>
                <w:sz w:val="24"/>
                <w:lang w:val="en-US" w:eastAsia="zh-CN"/>
              </w:rPr>
              <w:t>锅炉烟气</w:t>
            </w:r>
          </w:p>
          <w:p w14:paraId="36431DD7">
            <w:pPr>
              <w:keepNext/>
              <w:keepLines/>
              <w:suppressLineNumbers w:val="0"/>
              <w:spacing w:before="0" w:beforeAutospacing="0" w:after="0" w:afterAutospacing="0" w:line="360" w:lineRule="auto"/>
              <w:ind w:left="0" w:right="0" w:firstLine="480" w:firstLineChars="200"/>
              <w:outlineLvl w:val="1"/>
              <w:rPr>
                <w:rFonts w:hint="default" w:cs="Times New Roman"/>
                <w:bCs/>
                <w:color w:val="auto"/>
                <w:kern w:val="0"/>
                <w:sz w:val="24"/>
                <w:lang w:val="en-US" w:eastAsia="zh-CN"/>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2t/h），用于该情况出现时井口、管汇、放喷管线的保温，避免管线堵塞、憋压刺漏风险。</w:t>
            </w:r>
            <w:r>
              <w:rPr>
                <w:rFonts w:hint="eastAsia" w:cs="Times New Roman"/>
                <w:bCs/>
                <w:color w:val="auto"/>
                <w:kern w:val="0"/>
                <w:sz w:val="24"/>
                <w:lang w:val="en-US" w:eastAsia="zh-CN"/>
              </w:rPr>
              <w:t>锅炉烟气通过排气筒（8m）排放，锅炉烟气排放浓度满足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中表二标准浓度限值，对区域环境影响较小。</w:t>
            </w:r>
          </w:p>
          <w:p w14:paraId="01AE1544">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Cs/>
                <w:color w:val="auto"/>
                <w:sz w:val="24"/>
              </w:rPr>
            </w:pPr>
            <w:r>
              <w:rPr>
                <w:rFonts w:hint="default" w:ascii="Times New Roman" w:hAnsi="Times New Roman" w:cs="Times New Roman"/>
                <w:bCs/>
                <w:color w:val="auto"/>
                <w:kern w:val="0"/>
                <w:sz w:val="24"/>
              </w:rPr>
              <w:t>综上所述，本项目事故放喷时间较短，燃烧后主要污染物为CO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、NOx和水，所产生的污染物产生量较小，并将随放喷结束而消除</w:t>
            </w:r>
            <w:r>
              <w:rPr>
                <w:rFonts w:hint="eastAsia" w:ascii="Times New Roman" w:hAnsi="Times New Roman" w:cs="Times New Roman"/>
                <w:bCs/>
                <w:color w:val="auto"/>
                <w:kern w:val="0"/>
                <w:sz w:val="24"/>
              </w:rPr>
              <w:t>；</w:t>
            </w:r>
            <w:r>
              <w:rPr>
                <w:rFonts w:hint="eastAsia" w:ascii="Times New Roman" w:hAnsi="Times New Roman" w:cs="Times New Roman"/>
                <w:bCs/>
                <w:color w:val="auto"/>
                <w:kern w:val="0"/>
                <w:sz w:val="24"/>
                <w:lang w:val="en-US" w:eastAsia="zh-CN"/>
              </w:rPr>
              <w:t>备用</w:t>
            </w:r>
            <w:r>
              <w:rPr>
                <w:rFonts w:hint="default" w:ascii="Times New Roman" w:hAnsi="Times New Roman" w:cs="Times New Roman"/>
                <w:bCs/>
                <w:color w:val="auto"/>
                <w:kern w:val="0"/>
                <w:sz w:val="24"/>
              </w:rPr>
              <w:t>柴油</w:t>
            </w:r>
            <w:r>
              <w:rPr>
                <w:rFonts w:hint="eastAsia" w:ascii="Times New Roman" w:hAnsi="Times New Roman" w:cs="Times New Roman"/>
                <w:bCs/>
                <w:color w:val="auto"/>
                <w:kern w:val="0"/>
                <w:sz w:val="24"/>
                <w:lang w:val="en-US" w:eastAsia="zh-CN"/>
              </w:rPr>
              <w:t>发电</w:t>
            </w:r>
            <w:r>
              <w:rPr>
                <w:rFonts w:hint="default" w:ascii="Times New Roman" w:hAnsi="Times New Roman" w:cs="Times New Roman"/>
                <w:bCs/>
                <w:color w:val="auto"/>
                <w:kern w:val="0"/>
                <w:sz w:val="24"/>
              </w:rPr>
              <w:t>机废气</w:t>
            </w:r>
            <w:r>
              <w:rPr>
                <w:rFonts w:hint="eastAsia" w:cs="Times New Roman"/>
                <w:bCs/>
                <w:color w:val="auto"/>
                <w:kern w:val="0"/>
                <w:sz w:val="24"/>
                <w:lang w:val="en-US" w:eastAsia="zh-CN"/>
              </w:rPr>
              <w:t>经自带尾气净化装置处理后排放</w:t>
            </w:r>
            <w:r>
              <w:rPr>
                <w:rFonts w:hint="default" w:ascii="Times New Roman" w:hAnsi="Times New Roman" w:cs="Times New Roman"/>
                <w:bCs/>
                <w:color w:val="auto"/>
                <w:kern w:val="0"/>
                <w:sz w:val="24"/>
              </w:rPr>
              <w:t>到环境空气中后将很快被稀释，且其影响的持续时间较短</w:t>
            </w:r>
            <w:r>
              <w:rPr>
                <w:rFonts w:hint="eastAsia" w:cs="Times New Roman"/>
                <w:bCs/>
                <w:color w:val="auto"/>
                <w:kern w:val="0"/>
                <w:sz w:val="24"/>
                <w:lang w:eastAsia="zh-CN"/>
              </w:rPr>
              <w:t>；</w:t>
            </w:r>
            <w:r>
              <w:rPr>
                <w:rFonts w:hint="eastAsia" w:cs="Times New Roman"/>
                <w:bCs/>
                <w:color w:val="auto"/>
                <w:kern w:val="0"/>
                <w:sz w:val="24"/>
                <w:lang w:val="en-US" w:eastAsia="zh-CN"/>
              </w:rPr>
              <w:t>最不利情况下锅炉烟气排放浓度满足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r>
              <w:rPr>
                <w:rFonts w:hint="default" w:ascii="Times New Roman" w:hAnsi="Times New Roman" w:cs="Times New Roman"/>
                <w:bCs/>
                <w:color w:val="auto"/>
                <w:kern w:val="0"/>
                <w:sz w:val="24"/>
              </w:rPr>
              <w:t>对环境空气影响较小</w:t>
            </w:r>
            <w:r>
              <w:rPr>
                <w:rFonts w:hint="eastAsia" w:cs="Times New Roman"/>
                <w:bCs/>
                <w:color w:val="auto"/>
                <w:kern w:val="0"/>
                <w:sz w:val="24"/>
                <w:lang w:val="en-US" w:eastAsia="zh-CN"/>
              </w:rPr>
              <w:t>能被</w:t>
            </w:r>
            <w:r>
              <w:rPr>
                <w:rFonts w:hint="default" w:ascii="Times New Roman" w:hAnsi="Times New Roman" w:cs="Times New Roman"/>
                <w:bCs/>
                <w:color w:val="auto"/>
                <w:kern w:val="0"/>
                <w:sz w:val="24"/>
              </w:rPr>
              <w:t>接受。</w:t>
            </w:r>
            <w:r>
              <w:rPr>
                <w:rFonts w:hint="default" w:ascii="Times New Roman" w:hAnsi="Times New Roman" w:cs="Times New Roman"/>
                <w:bCs/>
                <w:color w:val="auto"/>
                <w:sz w:val="24"/>
              </w:rPr>
              <w:t>本工程采取的废气治理措施是可行有效的。</w:t>
            </w:r>
          </w:p>
          <w:p w14:paraId="6F4A8CB0">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2、废水治理措施及可行性</w:t>
            </w:r>
          </w:p>
          <w:p w14:paraId="790A6927">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（1）废水处理措施</w:t>
            </w:r>
          </w:p>
          <w:p w14:paraId="16AC0FF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1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①</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废水收集、清污分流措施</w:t>
            </w:r>
          </w:p>
          <w:p w14:paraId="730A24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前工程设计根据当地气候条件进行雨污分流系统设计，集污区采取防渗措施，排污沟的横截面积根据当地雨季最大排量设计。在循环罐区设置雨棚，雨棚边缘应超出下方围堰不小于0.5m，雨棚的导流槽设计将雨水</w:t>
            </w:r>
            <w:r>
              <w:rPr>
                <w:rFonts w:hint="eastAsia" w:ascii="Times New Roman" w:hAnsi="Times New Roman" w:cs="Times New Roman"/>
                <w:bCs/>
                <w:color w:val="auto"/>
                <w:sz w:val="24"/>
                <w:lang w:eastAsia="zh-CN"/>
              </w:rPr>
              <w:t>导入</w:t>
            </w:r>
            <w:r>
              <w:rPr>
                <w:rFonts w:hint="default" w:ascii="Times New Roman" w:hAnsi="Times New Roman" w:cs="Times New Roman"/>
                <w:bCs/>
                <w:color w:val="auto"/>
                <w:sz w:val="24"/>
              </w:rPr>
              <w:t>场外。</w:t>
            </w:r>
          </w:p>
          <w:p w14:paraId="6389C2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后期清洁</w:t>
            </w:r>
            <w:r>
              <w:rPr>
                <w:rFonts w:hint="eastAsia" w:ascii="Times New Roman" w:hAnsi="Times New Roman" w:cs="Times New Roman"/>
                <w:bCs/>
                <w:color w:val="auto"/>
                <w:sz w:val="24"/>
                <w:lang w:val="en-US" w:eastAsia="zh-CN"/>
              </w:rPr>
              <w:t>雨水通过重力流排向周边环境。</w:t>
            </w:r>
            <w:r>
              <w:rPr>
                <w:rFonts w:hint="eastAsia" w:cs="Times New Roman"/>
                <w:bCs/>
                <w:color w:val="auto"/>
                <w:sz w:val="24"/>
                <w:lang w:val="en-US" w:eastAsia="zh-CN"/>
              </w:rPr>
              <w:t>初期雨水</w:t>
            </w:r>
            <w:r>
              <w:rPr>
                <w:rFonts w:hint="eastAsia" w:ascii="Times New Roman" w:hAnsi="Times New Roman" w:cs="Times New Roman"/>
                <w:bCs/>
                <w:color w:val="auto"/>
                <w:sz w:val="24"/>
                <w:lang w:val="en-US" w:eastAsia="zh-CN"/>
              </w:rPr>
              <w:t>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，初期</w:t>
            </w:r>
            <w:r>
              <w:rPr>
                <w:rFonts w:hint="eastAsia" w:ascii="Times New Roman" w:hAnsi="Times New Roman" w:eastAsia="宋体" w:cs="Times New Roman"/>
                <w:bCs/>
                <w:color w:val="auto"/>
                <w:sz w:val="24"/>
                <w:highlight w:val="none"/>
                <w:lang w:val="en-US" w:eastAsia="zh-CN"/>
              </w:rPr>
              <w:t>雨水</w:t>
            </w:r>
            <w:r>
              <w:rPr>
                <w:rFonts w:hint="eastAsia" w:cs="Times New Roman"/>
                <w:bCs/>
                <w:color w:val="auto"/>
                <w:sz w:val="24"/>
                <w:lang w:val="en-US" w:eastAsia="zh-CN"/>
              </w:rPr>
              <w:t>优先回用于</w:t>
            </w:r>
            <w:r>
              <w:rPr>
                <w:rFonts w:hint="eastAsia" w:ascii="Times New Roman" w:hAnsi="Times New Roman" w:cs="Times New Roman"/>
                <w:bCs/>
                <w:color w:val="auto"/>
                <w:sz w:val="24"/>
              </w:rPr>
              <w:t>钻井泥浆</w:t>
            </w:r>
            <w:r>
              <w:rPr>
                <w:rFonts w:hint="eastAsia" w:ascii="Times New Roman" w:hAnsi="Times New Roman" w:cs="Times New Roman"/>
                <w:bCs/>
                <w:color w:val="auto"/>
                <w:sz w:val="24"/>
                <w:lang w:eastAsia="zh-CN"/>
              </w:rPr>
              <w:t>配制</w:t>
            </w:r>
            <w:r>
              <w:rPr>
                <w:rFonts w:hint="eastAsia" w:ascii="Times New Roman" w:hAnsi="Times New Roman" w:cs="Times New Roman"/>
                <w:bCs/>
                <w:color w:val="auto"/>
                <w:sz w:val="24"/>
              </w:rPr>
              <w:t>，未能回用的</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p>
          <w:p w14:paraId="7B7C8E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2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②</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钻井废水处理、储存和回用措施</w:t>
            </w:r>
          </w:p>
          <w:p w14:paraId="6EDDB9D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钻井废水</w:t>
            </w:r>
            <w:r>
              <w:rPr>
                <w:rFonts w:hint="eastAsia" w:cs="Times New Roman"/>
                <w:bCs/>
                <w:color w:val="auto"/>
                <w:sz w:val="24"/>
                <w:lang w:val="en-US" w:eastAsia="zh-CN"/>
              </w:rPr>
              <w:t>优先回用于</w:t>
            </w:r>
            <w:r>
              <w:rPr>
                <w:rFonts w:hint="eastAsia" w:ascii="Times New Roman" w:hAnsi="Times New Roman" w:cs="Times New Roman"/>
                <w:bCs/>
                <w:color w:val="auto"/>
                <w:sz w:val="24"/>
              </w:rPr>
              <w:t>钻井泥浆</w:t>
            </w:r>
            <w:r>
              <w:rPr>
                <w:rFonts w:hint="eastAsia" w:ascii="Times New Roman" w:hAnsi="Times New Roman" w:cs="Times New Roman"/>
                <w:bCs/>
                <w:color w:val="auto"/>
                <w:sz w:val="24"/>
                <w:lang w:eastAsia="zh-CN"/>
              </w:rPr>
              <w:t>配制</w:t>
            </w:r>
            <w:r>
              <w:rPr>
                <w:rFonts w:hint="eastAsia" w:ascii="Times New Roman" w:hAnsi="Times New Roman" w:cs="Times New Roman"/>
                <w:bCs/>
                <w:color w:val="auto"/>
                <w:sz w:val="24"/>
              </w:rPr>
              <w:t>，未能回用的</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p>
          <w:p w14:paraId="22747FD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3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③</w:t>
            </w:r>
            <w:r>
              <w:rPr>
                <w:rFonts w:hint="default" w:ascii="Times New Roman" w:hAnsi="Times New Roman" w:cs="Times New Roman"/>
                <w:bCs/>
                <w:color w:val="auto"/>
                <w:sz w:val="24"/>
              </w:rPr>
              <w:fldChar w:fldCharType="end"/>
            </w:r>
            <w:r>
              <w:rPr>
                <w:rFonts w:hint="eastAsia" w:ascii="Times New Roman" w:hAnsi="Times New Roman" w:cs="Times New Roman"/>
                <w:bCs/>
                <w:color w:val="auto"/>
                <w:sz w:val="24"/>
                <w:lang w:val="en-US" w:eastAsia="zh-CN"/>
              </w:rPr>
              <w:t>洗井</w:t>
            </w:r>
            <w:r>
              <w:rPr>
                <w:rFonts w:hint="default" w:ascii="Times New Roman" w:hAnsi="Times New Roman" w:cs="Times New Roman"/>
                <w:bCs/>
                <w:color w:val="auto"/>
                <w:sz w:val="24"/>
              </w:rPr>
              <w:t>废水处置措施</w:t>
            </w:r>
          </w:p>
          <w:p w14:paraId="32DA11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lang w:val="en-US" w:eastAsia="zh-CN"/>
              </w:rPr>
              <w:t>洗井废水</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r>
              <w:rPr>
                <w:rFonts w:hint="default" w:ascii="Times New Roman" w:hAnsi="Times New Roman" w:cs="Times New Roman"/>
                <w:bCs/>
                <w:color w:val="auto"/>
                <w:sz w:val="24"/>
              </w:rPr>
              <w:t>。</w:t>
            </w:r>
          </w:p>
          <w:p w14:paraId="3A49467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4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④</w:t>
            </w:r>
            <w:r>
              <w:rPr>
                <w:rFonts w:hint="default" w:ascii="Times New Roman" w:hAnsi="Times New Roman" w:cs="Times New Roman"/>
                <w:bCs/>
                <w:color w:val="auto"/>
                <w:sz w:val="24"/>
              </w:rPr>
              <w:fldChar w:fldCharType="end"/>
            </w:r>
            <w:r>
              <w:rPr>
                <w:rFonts w:hint="eastAsia" w:ascii="Times New Roman" w:hAnsi="Times New Roman" w:cs="Times New Roman"/>
                <w:bCs/>
                <w:color w:val="auto"/>
                <w:sz w:val="24"/>
              </w:rPr>
              <w:t>压裂返排液</w:t>
            </w:r>
          </w:p>
          <w:p w14:paraId="3C2547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暂存在放喷池，交由符合环保要求且有处理能力的钻井废水处理公司进行处理</w:t>
            </w:r>
            <w:r>
              <w:rPr>
                <w:rFonts w:hint="default" w:ascii="Times New Roman" w:hAnsi="Times New Roman" w:cs="Times New Roman"/>
                <w:bCs/>
                <w:color w:val="auto"/>
                <w:sz w:val="24"/>
              </w:rPr>
              <w:t>。</w:t>
            </w:r>
          </w:p>
          <w:p w14:paraId="45AE978D">
            <w:pPr>
              <w:keepNext w:val="0"/>
              <w:keepLines w:val="0"/>
              <w:suppressLineNumbers w:val="0"/>
              <w:spacing w:before="0" w:beforeAutospacing="0" w:after="0" w:afterAutospacing="0" w:line="360" w:lineRule="auto"/>
              <w:ind w:left="0" w:right="0" w:firstLine="480" w:firstLineChars="200"/>
              <w:rPr>
                <w:rFonts w:hint="eastAsia" w:cs="Times New Roman"/>
                <w:bCs/>
                <w:color w:val="auto"/>
                <w:sz w:val="24"/>
                <w:lang w:val="en-US" w:eastAsia="zh-CN"/>
              </w:rPr>
            </w:pPr>
            <w:r>
              <w:rPr>
                <w:rFonts w:hint="eastAsia" w:cs="Times New Roman"/>
                <w:bCs/>
                <w:color w:val="auto"/>
                <w:sz w:val="24"/>
                <w:lang w:val="en-US" w:eastAsia="zh-CN"/>
              </w:rPr>
              <w:t>⑤蒸汽冷凝水</w:t>
            </w:r>
          </w:p>
          <w:p w14:paraId="2C5D4B5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cs="Times New Roman"/>
                <w:color w:val="auto"/>
                <w:sz w:val="24"/>
                <w:lang w:val="en-US" w:eastAsia="zh-CN"/>
              </w:rPr>
              <w:t>在</w:t>
            </w:r>
            <w:r>
              <w:rPr>
                <w:rFonts w:hint="eastAsia" w:ascii="Times New Roman" w:hAnsi="Times New Roman" w:cs="Times New Roman"/>
                <w:color w:val="auto"/>
                <w:sz w:val="24"/>
                <w:lang w:val="en-US" w:eastAsia="zh-CN"/>
              </w:rPr>
              <w:t>井口、管汇、放喷管线位置保温时，将产生</w:t>
            </w:r>
            <w:r>
              <w:rPr>
                <w:rFonts w:hint="eastAsia" w:cs="Times New Roman"/>
                <w:color w:val="auto"/>
                <w:sz w:val="24"/>
                <w:lang w:val="en-US" w:eastAsia="zh-CN"/>
              </w:rPr>
              <w:t>蒸汽冷凝水。蒸汽冷凝水产生量较少，蒸发损耗后在场内汇集至环状雨水沟，最终进入多功能网格池组外运处理。</w:t>
            </w:r>
          </w:p>
          <w:p w14:paraId="4880C9D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val="en-US" w:eastAsia="zh-CN"/>
              </w:rPr>
              <w:t>⑥</w:t>
            </w:r>
            <w:r>
              <w:rPr>
                <w:rFonts w:hint="default" w:ascii="Times New Roman" w:hAnsi="Times New Roman" w:cs="Times New Roman"/>
                <w:bCs/>
                <w:color w:val="auto"/>
                <w:sz w:val="24"/>
              </w:rPr>
              <w:t>生活污水处置措施</w:t>
            </w:r>
          </w:p>
          <w:p w14:paraId="4A9E22E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生活污水通过环保厕所（内置集粪桶）收集，转运至</w:t>
            </w:r>
            <w:r>
              <w:rPr>
                <w:rFonts w:hint="eastAsia" w:cs="Times New Roman"/>
                <w:bCs/>
                <w:color w:val="auto"/>
                <w:sz w:val="24"/>
                <w:lang w:eastAsia="zh-CN"/>
              </w:rPr>
              <w:t>上八庙镇</w:t>
            </w:r>
            <w:r>
              <w:rPr>
                <w:rFonts w:hint="eastAsia" w:ascii="Times New Roman" w:hAnsi="Times New Roman" w:cs="Times New Roman"/>
                <w:bCs/>
                <w:color w:val="auto"/>
                <w:sz w:val="24"/>
                <w:lang w:eastAsia="zh-CN"/>
              </w:rPr>
              <w:t>污水处理站</w:t>
            </w:r>
            <w:r>
              <w:rPr>
                <w:rFonts w:hint="eastAsia" w:ascii="Times New Roman" w:hAnsi="Times New Roman" w:cs="Times New Roman"/>
                <w:bCs/>
                <w:color w:val="auto"/>
                <w:sz w:val="24"/>
              </w:rPr>
              <w:t>进行处理。</w:t>
            </w:r>
          </w:p>
          <w:p w14:paraId="773B3EA2">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b w:val="0"/>
                <w:bCs w:val="0"/>
                <w:color w:val="auto"/>
                <w:sz w:val="24"/>
                <w:szCs w:val="28"/>
                <w:lang w:val="en-US" w:eastAsia="zh-CN"/>
              </w:rPr>
            </w:pPr>
            <w:r>
              <w:rPr>
                <w:rFonts w:hint="default" w:ascii="Times New Roman" w:hAnsi="Times New Roman" w:cs="Times New Roman"/>
                <w:b w:val="0"/>
                <w:bCs w:val="0"/>
                <w:color w:val="auto"/>
                <w:sz w:val="24"/>
                <w:szCs w:val="28"/>
              </w:rPr>
              <w:t>（2）钻井废水</w:t>
            </w:r>
            <w:r>
              <w:rPr>
                <w:rFonts w:hint="eastAsia" w:ascii="Times New Roman" w:hAnsi="Times New Roman" w:cs="Times New Roman"/>
                <w:b w:val="0"/>
                <w:bCs w:val="0"/>
                <w:color w:val="auto"/>
                <w:sz w:val="24"/>
                <w:szCs w:val="28"/>
                <w:lang w:eastAsia="zh-CN"/>
              </w:rPr>
              <w:t>、</w:t>
            </w:r>
            <w:r>
              <w:rPr>
                <w:rFonts w:hint="default" w:ascii="Times New Roman" w:hAnsi="Times New Roman" w:cs="Times New Roman"/>
                <w:bCs/>
                <w:color w:val="auto"/>
                <w:sz w:val="24"/>
              </w:rPr>
              <w:t>压裂废水</w:t>
            </w:r>
            <w:r>
              <w:rPr>
                <w:rFonts w:hint="eastAsia" w:ascii="Times New Roman" w:hAnsi="Times New Roman" w:cs="Times New Roman"/>
                <w:bCs/>
                <w:color w:val="auto"/>
                <w:sz w:val="24"/>
                <w:lang w:val="en-US" w:eastAsia="zh-CN"/>
              </w:rPr>
              <w:t>处理措施可行性</w:t>
            </w:r>
          </w:p>
          <w:p w14:paraId="2ECDE8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本项目钻井作业废水主要包括钻井废水、洗井废水、</w:t>
            </w:r>
            <w:r>
              <w:rPr>
                <w:rFonts w:hint="eastAsia" w:ascii="Times New Roman" w:hAnsi="Times New Roman" w:cs="Times New Roman"/>
                <w:bCs/>
                <w:color w:val="auto"/>
                <w:sz w:val="24"/>
                <w:lang w:val="en-US" w:eastAsia="zh-CN"/>
              </w:rPr>
              <w:t>压裂废水</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蒸汽冷凝水</w:t>
            </w:r>
            <w:r>
              <w:rPr>
                <w:rFonts w:hint="default" w:ascii="Times New Roman" w:hAnsi="Times New Roman" w:cs="Times New Roman"/>
                <w:bCs/>
                <w:color w:val="auto"/>
                <w:sz w:val="24"/>
              </w:rPr>
              <w:t>和</w:t>
            </w:r>
            <w:r>
              <w:rPr>
                <w:rFonts w:hint="eastAsia" w:ascii="Times New Roman" w:hAnsi="Times New Roman" w:cs="Times New Roman"/>
                <w:bCs/>
                <w:color w:val="auto"/>
                <w:sz w:val="24"/>
                <w:lang w:val="en-US" w:eastAsia="zh-CN"/>
              </w:rPr>
              <w:t>井场内</w:t>
            </w:r>
            <w:r>
              <w:rPr>
                <w:rFonts w:hint="eastAsia" w:cs="Times New Roman"/>
                <w:bCs/>
                <w:color w:val="auto"/>
                <w:sz w:val="24"/>
                <w:lang w:eastAsia="zh-CN"/>
              </w:rPr>
              <w:t>初期雨水</w:t>
            </w:r>
            <w:r>
              <w:rPr>
                <w:rFonts w:hint="default" w:ascii="Times New Roman" w:hAnsi="Times New Roman" w:cs="Times New Roman"/>
                <w:bCs/>
                <w:color w:val="auto"/>
                <w:sz w:val="24"/>
              </w:rPr>
              <w:t>，其处置方案为：钻井废水</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初期雨水优先回用于</w:t>
            </w:r>
            <w:r>
              <w:rPr>
                <w:rFonts w:hint="eastAsia" w:ascii="Times New Roman" w:hAnsi="Times New Roman" w:cs="Times New Roman"/>
                <w:bCs/>
                <w:color w:val="auto"/>
                <w:sz w:val="24"/>
                <w:lang w:val="en-US" w:eastAsia="zh-CN"/>
              </w:rPr>
              <w:t>钻井泥浆</w:t>
            </w:r>
            <w:r>
              <w:rPr>
                <w:rFonts w:hint="default" w:ascii="Times New Roman" w:hAnsi="Times New Roman" w:cs="Times New Roman"/>
                <w:bCs/>
                <w:color w:val="auto"/>
                <w:sz w:val="24"/>
              </w:rPr>
              <w:t>配制，</w:t>
            </w:r>
            <w:r>
              <w:rPr>
                <w:rFonts w:hint="eastAsia" w:ascii="Times New Roman" w:hAnsi="Times New Roman" w:cs="Times New Roman"/>
                <w:bCs/>
                <w:color w:val="auto"/>
                <w:sz w:val="24"/>
                <w:lang w:val="en-US" w:eastAsia="zh-CN"/>
              </w:rPr>
              <w:t>未能回用的钻井废水</w:t>
            </w:r>
            <w:r>
              <w:rPr>
                <w:rFonts w:hint="default" w:ascii="Times New Roman" w:hAnsi="Times New Roman" w:cs="Times New Roman"/>
                <w:bCs/>
                <w:color w:val="auto"/>
                <w:sz w:val="24"/>
              </w:rPr>
              <w:t>和</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初期雨水</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洗井废水</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压裂废</w:t>
            </w:r>
            <w:r>
              <w:rPr>
                <w:rFonts w:hint="eastAsia" w:cs="Times New Roman"/>
                <w:bCs/>
                <w:color w:val="auto"/>
                <w:sz w:val="24"/>
                <w:lang w:val="en-US" w:eastAsia="zh-CN"/>
              </w:rPr>
              <w:t>水、蒸汽冷凝水交</w:t>
            </w:r>
            <w:r>
              <w:rPr>
                <w:rFonts w:hint="eastAsia" w:ascii="Times New Roman" w:hAnsi="Times New Roman" w:cs="Times New Roman"/>
                <w:bCs/>
                <w:color w:val="auto"/>
                <w:sz w:val="24"/>
                <w:lang w:val="en-US" w:eastAsia="zh-CN"/>
              </w:rPr>
              <w:t>由符合环保要求且有处理能力的钻井废水处理公司进行处理</w:t>
            </w:r>
            <w:r>
              <w:rPr>
                <w:rFonts w:hint="default" w:ascii="Times New Roman" w:hAnsi="Times New Roman" w:cs="Times New Roman"/>
                <w:bCs/>
                <w:color w:val="auto"/>
                <w:sz w:val="24"/>
              </w:rPr>
              <w:t>。</w:t>
            </w:r>
          </w:p>
          <w:p w14:paraId="06D44E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压裂废水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eastAsia" w:ascii="Times New Roman" w:hAnsi="Times New Roman" w:cs="Times New Roman"/>
                <w:bCs/>
                <w:color w:val="auto"/>
                <w:sz w:val="24"/>
                <w:lang w:val="en-US" w:eastAsia="zh-CN"/>
              </w:rPr>
              <w:t>交由符合环保要求且有处理能力的钻井废水处理公司进行处理</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首先应</w:t>
            </w:r>
            <w:r>
              <w:rPr>
                <w:rFonts w:hint="default" w:ascii="Times New Roman" w:hAnsi="Times New Roman" w:cs="Times New Roman"/>
                <w:bCs/>
                <w:color w:val="auto"/>
                <w:sz w:val="24"/>
              </w:rPr>
              <w:t>考虑就近原则，以降低拉运过程中的泄漏风险，但</w:t>
            </w:r>
            <w:r>
              <w:rPr>
                <w:rFonts w:hint="eastAsia" w:ascii="Times New Roman" w:hAnsi="Times New Roman" w:cs="Times New Roman"/>
                <w:bCs/>
                <w:color w:val="auto"/>
                <w:sz w:val="24"/>
                <w:lang w:val="en-US" w:eastAsia="zh-CN"/>
              </w:rPr>
              <w:t>同时</w:t>
            </w:r>
            <w:r>
              <w:rPr>
                <w:rFonts w:hint="default" w:ascii="Times New Roman" w:hAnsi="Times New Roman" w:cs="Times New Roman"/>
                <w:bCs/>
                <w:color w:val="auto"/>
                <w:sz w:val="24"/>
              </w:rPr>
              <w:t>应满足以下要求：污水处理厂需已办理完善的环保手续，有足够的处理能力；能够接纳项目废水水质指标，进行正常处理，并做到达标排放；不得稀释排放。</w:t>
            </w:r>
          </w:p>
          <w:p w14:paraId="0935D1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本次环评选取其中</w:t>
            </w:r>
            <w:r>
              <w:rPr>
                <w:rFonts w:hint="eastAsia"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lang w:val="en-US" w:eastAsia="zh-CN"/>
              </w:rPr>
              <w:t>家（四川鑫泓钻井废水处理有限公司</w:t>
            </w:r>
            <w:r>
              <w:rPr>
                <w:rFonts w:hint="eastAsia" w:ascii="Times New Roman" w:hAnsi="Times New Roman" w:eastAsia="宋体" w:cs="Times New Roman"/>
                <w:bCs/>
                <w:color w:val="auto"/>
                <w:sz w:val="24"/>
                <w:lang w:val="en-US" w:eastAsia="zh-CN"/>
              </w:rPr>
              <w:t>、四川洁安环境科技有限公司油气田废水处理厂</w:t>
            </w:r>
            <w:r>
              <w:rPr>
                <w:rFonts w:hint="default" w:ascii="Times New Roman" w:hAnsi="Times New Roman" w:eastAsia="宋体" w:cs="Times New Roman"/>
                <w:bCs/>
                <w:color w:val="auto"/>
                <w:sz w:val="24"/>
                <w:lang w:val="en-US" w:eastAsia="zh-CN"/>
              </w:rPr>
              <w:t>），进行处置合理性分析</w:t>
            </w:r>
            <w:r>
              <w:rPr>
                <w:rFonts w:hint="default" w:ascii="Times New Roman" w:hAnsi="Times New Roman" w:cs="Times New Roman"/>
                <w:bCs/>
                <w:color w:val="auto"/>
                <w:sz w:val="24"/>
              </w:rPr>
              <w:t>，</w:t>
            </w:r>
            <w:r>
              <w:rPr>
                <w:rFonts w:hint="eastAsia" w:ascii="Times New Roman" w:hAnsi="Times New Roman" w:eastAsia="宋体" w:cs="Times New Roman"/>
                <w:bCs/>
                <w:color w:val="auto"/>
                <w:sz w:val="24"/>
                <w:lang w:val="en-US" w:eastAsia="zh-CN"/>
              </w:rPr>
              <w:t>两公司基本情况如下表所示。</w:t>
            </w:r>
          </w:p>
          <w:p w14:paraId="186BF2EC">
            <w:pPr>
              <w:keepNext w:val="0"/>
              <w:keepLines w:val="0"/>
              <w:numPr>
                <w:ilvl w:val="0"/>
                <w:numId w:val="18"/>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lang w:val="en-US" w:eastAsia="zh-CN"/>
              </w:rPr>
              <w:t>钻井</w:t>
            </w:r>
            <w:r>
              <w:rPr>
                <w:rFonts w:hint="default" w:ascii="Times New Roman" w:hAnsi="Times New Roman" w:cs="Times New Roman"/>
                <w:b/>
                <w:color w:val="auto"/>
              </w:rPr>
              <w:t>废水</w:t>
            </w:r>
            <w:r>
              <w:rPr>
                <w:rFonts w:hint="eastAsia" w:ascii="Times New Roman" w:hAnsi="Times New Roman" w:cs="Times New Roman"/>
                <w:b/>
                <w:color w:val="auto"/>
                <w:lang w:val="en-US" w:eastAsia="zh-CN"/>
              </w:rPr>
              <w:t>处理公司相关信息一览表</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1092"/>
              <w:gridCol w:w="1068"/>
              <w:gridCol w:w="2076"/>
              <w:gridCol w:w="1068"/>
              <w:gridCol w:w="1176"/>
              <w:gridCol w:w="1081"/>
            </w:tblGrid>
            <w:tr w14:paraId="13B5B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70" w:type="dxa"/>
                  <w:noWrap w:val="0"/>
                  <w:vAlign w:val="center"/>
                </w:tcPr>
                <w:p w14:paraId="79B2FA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1092" w:type="dxa"/>
                  <w:noWrap w:val="0"/>
                  <w:vAlign w:val="center"/>
                </w:tcPr>
                <w:p w14:paraId="576D59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单位名称</w:t>
                  </w:r>
                </w:p>
              </w:tc>
              <w:tc>
                <w:tcPr>
                  <w:tcW w:w="1068" w:type="dxa"/>
                  <w:noWrap w:val="0"/>
                  <w:vAlign w:val="center"/>
                </w:tcPr>
                <w:p w14:paraId="698EF7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单位地址</w:t>
                  </w:r>
                </w:p>
              </w:tc>
              <w:tc>
                <w:tcPr>
                  <w:tcW w:w="2076" w:type="dxa"/>
                  <w:noWrap w:val="0"/>
                  <w:vAlign w:val="center"/>
                </w:tcPr>
                <w:p w14:paraId="2C4DBC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处理工艺</w:t>
                  </w:r>
                </w:p>
              </w:tc>
              <w:tc>
                <w:tcPr>
                  <w:tcW w:w="1068" w:type="dxa"/>
                  <w:noWrap w:val="0"/>
                  <w:vAlign w:val="center"/>
                </w:tcPr>
                <w:p w14:paraId="7E7D6C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处理能力</w:t>
                  </w:r>
                </w:p>
              </w:tc>
              <w:tc>
                <w:tcPr>
                  <w:tcW w:w="1176" w:type="dxa"/>
                  <w:noWrap w:val="0"/>
                  <w:vAlign w:val="center"/>
                </w:tcPr>
                <w:p w14:paraId="0A188B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出水水质</w:t>
                  </w:r>
                </w:p>
              </w:tc>
              <w:tc>
                <w:tcPr>
                  <w:tcW w:w="1081" w:type="dxa"/>
                  <w:noWrap w:val="0"/>
                  <w:vAlign w:val="center"/>
                </w:tcPr>
                <w:p w14:paraId="2377EF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受纳水体</w:t>
                  </w:r>
                </w:p>
              </w:tc>
            </w:tr>
            <w:tr w14:paraId="632C6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70" w:type="dxa"/>
                  <w:noWrap w:val="0"/>
                  <w:vAlign w:val="center"/>
                </w:tcPr>
                <w:p w14:paraId="129F6B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1</w:t>
                  </w:r>
                </w:p>
              </w:tc>
              <w:tc>
                <w:tcPr>
                  <w:tcW w:w="1092" w:type="dxa"/>
                  <w:noWrap w:val="0"/>
                  <w:vAlign w:val="center"/>
                </w:tcPr>
                <w:p w14:paraId="65F339E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四川鑫泓钻井废水处理有限公司</w:t>
                  </w:r>
                </w:p>
              </w:tc>
              <w:tc>
                <w:tcPr>
                  <w:tcW w:w="1068" w:type="dxa"/>
                  <w:noWrap w:val="0"/>
                  <w:vAlign w:val="center"/>
                </w:tcPr>
                <w:p w14:paraId="2AE701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广元市苍溪县桥溪乡金龙村</w:t>
                  </w:r>
                </w:p>
              </w:tc>
              <w:tc>
                <w:tcPr>
                  <w:tcW w:w="2076" w:type="dxa"/>
                  <w:noWrap w:val="0"/>
                  <w:vAlign w:val="center"/>
                </w:tcPr>
                <w:p w14:paraId="506010D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药物絮凝</w:t>
                  </w:r>
                  <w:r>
                    <w:rPr>
                      <w:rFonts w:hint="eastAsia" w:cs="Times New Roman"/>
                      <w:color w:val="auto"/>
                      <w:sz w:val="21"/>
                      <w:szCs w:val="21"/>
                      <w:vertAlign w:val="baseline"/>
                      <w:lang w:val="en-US" w:eastAsia="zh-CN"/>
                    </w:rPr>
                    <w:t>预处理</w:t>
                  </w:r>
                  <w:r>
                    <w:rPr>
                      <w:rFonts w:hint="default" w:ascii="Times New Roman" w:hAnsi="Times New Roman" w:eastAsia="宋体" w:cs="Times New Roman"/>
                      <w:color w:val="auto"/>
                      <w:sz w:val="21"/>
                      <w:szCs w:val="21"/>
                      <w:vertAlign w:val="baseline"/>
                      <w:lang w:val="en-US" w:eastAsia="zh-CN"/>
                    </w:rPr>
                    <w:t>+预处理超滤（UF）+RO反渗透处理</w:t>
                  </w:r>
                </w:p>
              </w:tc>
              <w:tc>
                <w:tcPr>
                  <w:tcW w:w="1068" w:type="dxa"/>
                  <w:noWrap w:val="0"/>
                  <w:vAlign w:val="center"/>
                </w:tcPr>
                <w:p w14:paraId="1EF408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7.2万m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/a</w:t>
                  </w:r>
                </w:p>
              </w:tc>
              <w:tc>
                <w:tcPr>
                  <w:tcW w:w="1176" w:type="dxa"/>
                  <w:noWrap w:val="0"/>
                  <w:vAlign w:val="center"/>
                </w:tcPr>
                <w:p w14:paraId="33FED4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《污水综合排放标准》一级标准</w:t>
                  </w:r>
                </w:p>
              </w:tc>
              <w:tc>
                <w:tcPr>
                  <w:tcW w:w="1081" w:type="dxa"/>
                  <w:noWrap w:val="0"/>
                  <w:vAlign w:val="center"/>
                </w:tcPr>
                <w:p w14:paraId="2E664C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东河</w:t>
                  </w:r>
                </w:p>
              </w:tc>
            </w:tr>
            <w:tr w14:paraId="4E799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70" w:type="dxa"/>
                  <w:noWrap w:val="0"/>
                  <w:vAlign w:val="center"/>
                </w:tcPr>
                <w:p w14:paraId="55DF40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2</w:t>
                  </w:r>
                </w:p>
              </w:tc>
              <w:tc>
                <w:tcPr>
                  <w:tcW w:w="1092" w:type="dxa"/>
                  <w:noWrap w:val="0"/>
                  <w:vAlign w:val="center"/>
                </w:tcPr>
                <w:p w14:paraId="3906C0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四川洁安环境科技有限公司</w:t>
                  </w:r>
                </w:p>
              </w:tc>
              <w:tc>
                <w:tcPr>
                  <w:tcW w:w="1068" w:type="dxa"/>
                  <w:noWrap w:val="0"/>
                  <w:vAlign w:val="center"/>
                </w:tcPr>
                <w:p w14:paraId="72C23F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巴中市巴州区循环经济产业园区</w:t>
                  </w:r>
                </w:p>
              </w:tc>
              <w:tc>
                <w:tcPr>
                  <w:tcW w:w="2076" w:type="dxa"/>
                  <w:noWrap w:val="0"/>
                  <w:vAlign w:val="center"/>
                </w:tcPr>
                <w:p w14:paraId="1157B8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eastAsia" w:ascii="Times New Roman" w:hAnsi="Times New Roman" w:eastAsia="宋体" w:cs="Times New Roman"/>
                      <w:color w:val="auto"/>
                      <w:sz w:val="21"/>
                      <w:szCs w:val="21"/>
                      <w:vertAlign w:val="baseline"/>
                      <w:lang w:val="en-US" w:eastAsia="zh-CN"/>
                    </w:rPr>
                    <w:t>调节隔油→溶气气浮→混凝沉淀→两级过滤（达到回注标准）→高级氧化→超滤→一级反渗透→（淡水）精制反渗透</w:t>
                  </w:r>
                </w:p>
              </w:tc>
              <w:tc>
                <w:tcPr>
                  <w:tcW w:w="1068" w:type="dxa"/>
                  <w:noWrap w:val="0"/>
                  <w:vAlign w:val="center"/>
                </w:tcPr>
                <w:p w14:paraId="54A1E80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1200m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/d</w:t>
                  </w:r>
                </w:p>
              </w:tc>
              <w:tc>
                <w:tcPr>
                  <w:tcW w:w="1176" w:type="dxa"/>
                  <w:noWrap w:val="0"/>
                  <w:vAlign w:val="center"/>
                </w:tcPr>
                <w:p w14:paraId="27B7AB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《城镇污水综合排放标准》一级A标准</w:t>
                  </w:r>
                </w:p>
              </w:tc>
              <w:tc>
                <w:tcPr>
                  <w:tcW w:w="1081" w:type="dxa"/>
                  <w:noWrap w:val="0"/>
                  <w:vAlign w:val="center"/>
                </w:tcPr>
                <w:p w14:paraId="021914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巴河</w:t>
                  </w:r>
                </w:p>
              </w:tc>
            </w:tr>
          </w:tbl>
          <w:p w14:paraId="4924CCEB">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A</w:t>
            </w:r>
            <w:r>
              <w:rPr>
                <w:rFonts w:hint="eastAsia" w:ascii="Times New Roman" w:hAnsi="Times New Roman" w:cs="Times New Roman"/>
                <w:b/>
                <w:bCs/>
                <w:color w:val="auto"/>
                <w:sz w:val="24"/>
                <w:szCs w:val="28"/>
                <w:lang w:val="en-US" w:eastAsia="zh-CN"/>
              </w:rPr>
              <w:t>.污水处理公司处理工艺</w:t>
            </w:r>
            <w:r>
              <w:rPr>
                <w:rFonts w:hint="default" w:ascii="Times New Roman" w:hAnsi="Times New Roman" w:cs="Times New Roman"/>
                <w:b/>
                <w:bCs/>
                <w:color w:val="auto"/>
                <w:sz w:val="24"/>
                <w:szCs w:val="28"/>
              </w:rPr>
              <w:t>可行性分析</w:t>
            </w:r>
          </w:p>
          <w:p w14:paraId="4E34F62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val="0"/>
                <w:color w:val="auto"/>
                <w:sz w:val="24"/>
              </w:rPr>
            </w:pPr>
            <w:r>
              <w:rPr>
                <w:rFonts w:hint="eastAsia" w:ascii="Times New Roman" w:hAnsi="Times New Roman" w:cs="Times New Roman"/>
                <w:b/>
                <w:bCs w:val="0"/>
                <w:color w:val="auto"/>
                <w:sz w:val="24"/>
                <w:lang w:val="en-US" w:eastAsia="zh-CN"/>
              </w:rPr>
              <w:t>a.</w:t>
            </w:r>
            <w:r>
              <w:rPr>
                <w:rFonts w:hint="default" w:ascii="Times New Roman" w:hAnsi="Times New Roman" w:cs="Times New Roman"/>
                <w:b/>
                <w:bCs w:val="0"/>
                <w:color w:val="auto"/>
                <w:sz w:val="24"/>
              </w:rPr>
              <w:t>四川鑫泓钻井废水有限公司</w:t>
            </w:r>
          </w:p>
          <w:p w14:paraId="457CAFE4">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Cs/>
                <w:color w:val="auto"/>
                <w:sz w:val="24"/>
              </w:rPr>
            </w:pPr>
            <w:r>
              <w:rPr>
                <w:rFonts w:hint="default" w:ascii="Times New Roman" w:hAnsi="Times New Roman" w:cs="Times New Roman"/>
                <w:bCs/>
                <w:color w:val="auto"/>
                <w:sz w:val="24"/>
              </w:rPr>
              <w:t>四川鑫泓钻井废水有限公司钻井废水处理工程于2011年11月8日取得环评批复（广环办函</w:t>
            </w:r>
            <w:r>
              <w:rPr>
                <w:rFonts w:hint="eastAsia" w:ascii="Times New Roman" w:hAnsi="Times New Roman" w:cs="Times New Roman"/>
                <w:bCs/>
                <w:color w:val="auto"/>
                <w:sz w:val="24"/>
              </w:rPr>
              <w:t>〔</w:t>
            </w:r>
            <w:r>
              <w:rPr>
                <w:rFonts w:hint="default" w:ascii="Times New Roman" w:hAnsi="Times New Roman" w:cs="Times New Roman"/>
                <w:bCs/>
                <w:color w:val="auto"/>
                <w:sz w:val="24"/>
              </w:rPr>
              <w:t>2011</w:t>
            </w:r>
            <w:r>
              <w:rPr>
                <w:rFonts w:hint="eastAsia" w:ascii="Times New Roman" w:hAnsi="Times New Roman" w:cs="Times New Roman"/>
                <w:bCs/>
                <w:color w:val="auto"/>
                <w:sz w:val="24"/>
              </w:rPr>
              <w:t>〕</w:t>
            </w:r>
            <w:r>
              <w:rPr>
                <w:rFonts w:hint="default" w:ascii="Times New Roman" w:hAnsi="Times New Roman" w:cs="Times New Roman"/>
                <w:bCs/>
                <w:color w:val="auto"/>
                <w:sz w:val="24"/>
              </w:rPr>
              <w:t>227号），2011年11月建成投产，2012年11月27日取得环保验收意见（广环验</w:t>
            </w:r>
            <w:r>
              <w:rPr>
                <w:rFonts w:hint="eastAsia" w:ascii="Times New Roman" w:hAnsi="Times New Roman" w:cs="Times New Roman"/>
                <w:bCs/>
                <w:color w:val="auto"/>
                <w:sz w:val="24"/>
              </w:rPr>
              <w:t>〔</w:t>
            </w:r>
            <w:r>
              <w:rPr>
                <w:rFonts w:hint="default" w:ascii="Times New Roman" w:hAnsi="Times New Roman" w:cs="Times New Roman"/>
                <w:bCs/>
                <w:color w:val="auto"/>
                <w:sz w:val="24"/>
              </w:rPr>
              <w:t>2012</w:t>
            </w:r>
            <w:r>
              <w:rPr>
                <w:rFonts w:hint="eastAsia" w:ascii="Times New Roman" w:hAnsi="Times New Roman" w:cs="Times New Roman"/>
                <w:bCs/>
                <w:color w:val="auto"/>
                <w:sz w:val="24"/>
              </w:rPr>
              <w:t>〕</w:t>
            </w:r>
            <w:r>
              <w:rPr>
                <w:rFonts w:hint="default" w:ascii="Times New Roman" w:hAnsi="Times New Roman" w:cs="Times New Roman"/>
                <w:bCs/>
                <w:color w:val="auto"/>
                <w:sz w:val="24"/>
              </w:rPr>
              <w:t>05号文），20</w:t>
            </w:r>
            <w:r>
              <w:rPr>
                <w:rFonts w:hint="eastAsia" w:ascii="Times New Roman" w:hAnsi="Times New Roman" w:cs="Times New Roman"/>
                <w:bCs/>
                <w:color w:val="auto"/>
                <w:sz w:val="24"/>
              </w:rPr>
              <w:t>22</w:t>
            </w:r>
            <w:r>
              <w:rPr>
                <w:rFonts w:hint="default" w:ascii="Times New Roman" w:hAnsi="Times New Roman" w:cs="Times New Roman"/>
                <w:bCs/>
                <w:color w:val="auto"/>
                <w:sz w:val="24"/>
              </w:rPr>
              <w:t>年</w:t>
            </w:r>
            <w:r>
              <w:rPr>
                <w:rFonts w:hint="eastAsia" w:ascii="Times New Roman" w:hAnsi="Times New Roman" w:cs="Times New Roman"/>
                <w:bCs/>
                <w:color w:val="auto"/>
                <w:sz w:val="24"/>
              </w:rPr>
              <w:t>9</w:t>
            </w:r>
            <w:r>
              <w:rPr>
                <w:rFonts w:hint="default" w:ascii="Times New Roman" w:hAnsi="Times New Roman" w:cs="Times New Roman"/>
                <w:bCs/>
                <w:color w:val="auto"/>
                <w:sz w:val="24"/>
              </w:rPr>
              <w:t>月</w:t>
            </w:r>
            <w:r>
              <w:rPr>
                <w:rFonts w:hint="eastAsia" w:ascii="Times New Roman" w:hAnsi="Times New Roman" w:cs="Times New Roman"/>
                <w:bCs/>
                <w:color w:val="auto"/>
                <w:sz w:val="24"/>
              </w:rPr>
              <w:t>5</w:t>
            </w:r>
            <w:r>
              <w:rPr>
                <w:rFonts w:hint="default" w:ascii="Times New Roman" w:hAnsi="Times New Roman" w:cs="Times New Roman"/>
                <w:bCs/>
                <w:color w:val="auto"/>
                <w:sz w:val="24"/>
              </w:rPr>
              <w:t>日广元市生态环境局为四川鑫泓钻井废水有限公司办理了排污许可证（91510824586453401A001U）。</w:t>
            </w:r>
          </w:p>
          <w:p w14:paraId="3F8FF6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四川鑫泓钻井废水处理厂位于广元市苍溪县桥溪乡金龙村一组，项目占地面积2400m²，废水采用“药物絮凝预处理</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预处理超滤（UF）</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RO反渗透处理”工艺，设计处理能力为7.2万m³/a，最大废水储存能力为900</w:t>
            </w:r>
            <w:r>
              <w:rPr>
                <w:rFonts w:hint="eastAsia" w:ascii="Times New Roman" w:hAnsi="Times New Roman" w:cs="Times New Roman"/>
                <w:bCs/>
                <w:color w:val="auto"/>
                <w:sz w:val="24"/>
                <w:lang w:val="en-US" w:eastAsia="zh-CN"/>
              </w:rPr>
              <w:t>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rPr>
              <w:t>。</w:t>
            </w:r>
            <w:r>
              <w:rPr>
                <w:rFonts w:hint="default" w:ascii="Times New Roman" w:hAnsi="Times New Roman" w:cs="Times New Roman"/>
                <w:bCs/>
                <w:color w:val="auto"/>
                <w:sz w:val="24"/>
              </w:rPr>
              <w:t>废水经处理后达到《污水综合排放标准》（GB</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8978-1996）一级标准后从厂区总排口排至东河。</w:t>
            </w:r>
          </w:p>
          <w:p w14:paraId="343ED65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Cs/>
                <w:color w:val="auto"/>
                <w:sz w:val="24"/>
              </w:rPr>
            </w:pPr>
            <w:r>
              <w:rPr>
                <w:rFonts w:hint="default" w:ascii="Times New Roman" w:hAnsi="Times New Roman" w:cs="Times New Roman"/>
                <w:b/>
                <w:bCs/>
                <w:color w:val="auto"/>
                <w:sz w:val="24"/>
              </w:rPr>
              <w:t>工艺概述：</w:t>
            </w:r>
            <w:r>
              <w:rPr>
                <w:rFonts w:hint="default" w:ascii="Times New Roman" w:hAnsi="Times New Roman" w:cs="Times New Roman"/>
                <w:bCs/>
                <w:color w:val="auto"/>
                <w:sz w:val="24"/>
              </w:rPr>
              <w:t>钻井废水经车载进入废水收集池，经格栅去掉较大的杂物。经污水泵输送至油水分离设备进行油水分离。分离后的油进行回收利用，分离后的污水进入沉淀池进行沉淀分离。沉淀后的上清液通过输送泵进入加药机进行絮凝加药，然后进入沉淀池，絮凝后的清水进入清水池。污泥进入板框压滤机进行泥水分离，分离后的清水进入清水池，污泥运走做固化深埋。絮凝后的清水经提升泵进入砂滤，碳滤，精密过滤器，最后进入超滤膜系统进行分离，浓水回至格栅池，净水进入中间水池。中间水池的净水通过提升泵进入RO系统分离，浓水回至絮凝池，产水达标后排放。</w:t>
            </w:r>
          </w:p>
          <w:p w14:paraId="2784FBD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b.</w:t>
            </w:r>
            <w:r>
              <w:rPr>
                <w:rFonts w:hint="eastAsia" w:ascii="Times New Roman" w:hAnsi="Times New Roman" w:eastAsia="宋体" w:cs="Times New Roman"/>
                <w:b/>
                <w:bCs/>
                <w:color w:val="auto"/>
                <w:sz w:val="24"/>
                <w:szCs w:val="28"/>
                <w:lang w:eastAsia="zh-CN"/>
              </w:rPr>
              <w:t>四川洁安环境科技有限公司</w:t>
            </w:r>
          </w:p>
          <w:p w14:paraId="4C76C2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eastAsia="zh-CN"/>
              </w:rPr>
              <w:t>四川洁安环境科技有限公司油气田废水处理厂</w:t>
            </w:r>
            <w:r>
              <w:rPr>
                <w:rFonts w:hint="default" w:ascii="Times New Roman" w:hAnsi="Times New Roman" w:eastAsia="宋体" w:cs="Times New Roman"/>
                <w:b w:val="0"/>
                <w:bCs w:val="0"/>
                <w:color w:val="auto"/>
                <w:sz w:val="24"/>
              </w:rPr>
              <w:t>，位于巴州区光辉镇哨台村巴中循环经济产业园内，处理废水为压裂液、返排水等油气田废水，处理规模</w:t>
            </w:r>
            <w:r>
              <w:rPr>
                <w:rFonts w:hint="eastAsia" w:ascii="Times New Roman" w:hAnsi="Times New Roman" w:eastAsia="宋体" w:cs="Times New Roman"/>
                <w:b w:val="0"/>
                <w:bCs w:val="0"/>
                <w:color w:val="auto"/>
                <w:sz w:val="24"/>
                <w:lang w:val="en-US" w:eastAsia="zh-CN"/>
              </w:rPr>
              <w:t>12</w:t>
            </w:r>
            <w:r>
              <w:rPr>
                <w:rFonts w:hint="default" w:ascii="Times New Roman" w:hAnsi="Times New Roman" w:eastAsia="宋体" w:cs="Times New Roman"/>
                <w:b w:val="0"/>
                <w:bCs w:val="0"/>
                <w:color w:val="auto"/>
                <w:sz w:val="24"/>
              </w:rPr>
              <w:t>00m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w:t>
            </w:r>
            <w:r>
              <w:rPr>
                <w:rFonts w:hint="eastAsia" w:ascii="Times New Roman" w:hAnsi="Times New Roman" w:eastAsia="宋体" w:cs="Times New Roman"/>
                <w:b w:val="0"/>
                <w:bCs w:val="0"/>
                <w:color w:val="auto"/>
                <w:sz w:val="24"/>
                <w:lang w:eastAsia="zh-CN"/>
              </w:rPr>
              <w:t>，其中</w:t>
            </w:r>
            <w:r>
              <w:rPr>
                <w:rFonts w:hint="eastAsia" w:ascii="Times New Roman" w:hAnsi="Times New Roman" w:eastAsia="宋体" w:cs="Times New Roman"/>
                <w:b w:val="0"/>
                <w:bCs w:val="0"/>
                <w:color w:val="auto"/>
                <w:sz w:val="24"/>
                <w:lang w:val="en-US" w:eastAsia="zh-CN"/>
              </w:rPr>
              <w:t>600m³/d回注处理，600m³/d深度处理，但根据调查，因该油气田废水处理厂后端回注井无剩余回注容量，目前该废水处理厂废水处理后暂停回注处理，仅将油气田废水处理达标后排入巴河，且因该废水处理厂后端深度处理工艺设计处理规模为600m³/d，该油气田废水处理站目前实际废水处理规模为</w:t>
            </w:r>
            <w:r>
              <w:rPr>
                <w:rFonts w:hint="default" w:ascii="Times New Roman" w:hAnsi="Times New Roman" w:eastAsia="宋体" w:cs="Times New Roman"/>
                <w:b w:val="0"/>
                <w:bCs w:val="0"/>
                <w:color w:val="auto"/>
                <w:sz w:val="24"/>
                <w:lang w:val="en-US" w:eastAsia="zh-CN"/>
              </w:rPr>
              <w:t>600m³/d</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rPr>
              <w:t>该</w:t>
            </w:r>
            <w:r>
              <w:rPr>
                <w:rFonts w:hint="eastAsia" w:ascii="Times New Roman" w:hAnsi="Times New Roman" w:eastAsia="宋体" w:cs="Times New Roman"/>
                <w:b w:val="0"/>
                <w:bCs w:val="0"/>
                <w:color w:val="auto"/>
                <w:sz w:val="24"/>
                <w:lang w:eastAsia="zh-CN"/>
              </w:rPr>
              <w:t>废水处理厂</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3</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6</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21</w:t>
            </w:r>
            <w:r>
              <w:rPr>
                <w:rFonts w:hint="default" w:ascii="Times New Roman" w:hAnsi="Times New Roman" w:eastAsia="宋体" w:cs="Times New Roman"/>
                <w:b w:val="0"/>
                <w:bCs w:val="0"/>
                <w:color w:val="auto"/>
                <w:sz w:val="24"/>
              </w:rPr>
              <w:t>日取得</w:t>
            </w:r>
            <w:r>
              <w:rPr>
                <w:rFonts w:hint="eastAsia" w:ascii="Times New Roman" w:hAnsi="Times New Roman" w:eastAsia="宋体" w:cs="Times New Roman"/>
                <w:b w:val="0"/>
                <w:bCs w:val="0"/>
                <w:color w:val="auto"/>
                <w:sz w:val="24"/>
                <w:lang w:val="en-US" w:eastAsia="zh-CN"/>
              </w:rPr>
              <w:t>巴中</w:t>
            </w:r>
            <w:r>
              <w:rPr>
                <w:rFonts w:hint="default" w:ascii="Times New Roman" w:hAnsi="Times New Roman" w:eastAsia="宋体" w:cs="Times New Roman"/>
                <w:b w:val="0"/>
                <w:bCs w:val="0"/>
                <w:color w:val="auto"/>
                <w:sz w:val="24"/>
              </w:rPr>
              <w:t>市生态环境局《关于油气田废水处理厂建设项目环境影响报告书的批复》（巴环境审〔2023〕18号）</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5</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6</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18</w:t>
            </w:r>
            <w:r>
              <w:rPr>
                <w:rFonts w:hint="default" w:ascii="Times New Roman" w:hAnsi="Times New Roman" w:eastAsia="宋体" w:cs="Times New Roman"/>
                <w:b w:val="0"/>
                <w:bCs w:val="0"/>
                <w:color w:val="auto"/>
                <w:sz w:val="24"/>
              </w:rPr>
              <w:t>日</w:t>
            </w:r>
            <w:r>
              <w:rPr>
                <w:rFonts w:hint="eastAsia" w:ascii="Times New Roman" w:hAnsi="Times New Roman" w:eastAsia="宋体" w:cs="Times New Roman"/>
                <w:b w:val="0"/>
                <w:bCs w:val="0"/>
                <w:color w:val="auto"/>
                <w:sz w:val="24"/>
                <w:lang w:val="en-US" w:eastAsia="zh-CN"/>
              </w:rPr>
              <w:t>完成了</w:t>
            </w:r>
            <w:r>
              <w:rPr>
                <w:rFonts w:hint="default" w:ascii="Times New Roman" w:hAnsi="Times New Roman" w:eastAsia="宋体" w:cs="Times New Roman"/>
                <w:b w:val="0"/>
                <w:bCs w:val="0"/>
                <w:color w:val="auto"/>
                <w:sz w:val="24"/>
              </w:rPr>
              <w:t>四川洁安环境科技有限公司油气田废水处理厂建设项目（分期验收）</w:t>
            </w:r>
            <w:r>
              <w:rPr>
                <w:rFonts w:hint="eastAsia" w:ascii="Times New Roman" w:hAnsi="Times New Roman" w:eastAsia="宋体" w:cs="Times New Roman"/>
                <w:b w:val="0"/>
                <w:bCs w:val="0"/>
                <w:color w:val="auto"/>
                <w:sz w:val="24"/>
                <w:lang w:eastAsia="zh-CN"/>
              </w:rPr>
              <w:t>，</w:t>
            </w:r>
            <w:r>
              <w:rPr>
                <w:rFonts w:hint="eastAsia" w:ascii="Times New Roman" w:hAnsi="Times New Roman" w:eastAsia="宋体" w:cs="Times New Roman"/>
                <w:b w:val="0"/>
                <w:bCs w:val="0"/>
                <w:color w:val="auto"/>
                <w:sz w:val="24"/>
                <w:lang w:val="en-US" w:eastAsia="zh-CN"/>
              </w:rPr>
              <w:t>并取得竣工环境保护验收意见</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4</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12</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2</w:t>
            </w:r>
            <w:r>
              <w:rPr>
                <w:rFonts w:hint="default" w:ascii="Times New Roman" w:hAnsi="Times New Roman" w:eastAsia="宋体" w:cs="Times New Roman"/>
                <w:b w:val="0"/>
                <w:bCs w:val="0"/>
                <w:color w:val="auto"/>
                <w:sz w:val="24"/>
              </w:rPr>
              <w:t>日取得</w:t>
            </w:r>
            <w:r>
              <w:rPr>
                <w:rFonts w:hint="eastAsia" w:ascii="Times New Roman" w:hAnsi="Times New Roman" w:eastAsia="宋体" w:cs="Times New Roman"/>
                <w:b w:val="0"/>
                <w:bCs w:val="0"/>
                <w:color w:val="auto"/>
                <w:sz w:val="24"/>
                <w:lang w:val="en-US" w:eastAsia="zh-CN"/>
              </w:rPr>
              <w:t>巴中市</w:t>
            </w:r>
            <w:r>
              <w:rPr>
                <w:rFonts w:hint="default" w:ascii="Times New Roman" w:hAnsi="Times New Roman" w:eastAsia="宋体" w:cs="Times New Roman"/>
                <w:b w:val="0"/>
                <w:bCs w:val="0"/>
                <w:color w:val="auto"/>
                <w:sz w:val="24"/>
              </w:rPr>
              <w:t>生态环境局颁发的排污许可证（证书编号</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91511902MA64N52P8X001V）。</w:t>
            </w:r>
          </w:p>
          <w:p w14:paraId="4A20445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该</w:t>
            </w:r>
            <w:r>
              <w:rPr>
                <w:rFonts w:hint="eastAsia" w:ascii="Times New Roman" w:hAnsi="Times New Roman" w:cs="Times New Roman"/>
                <w:bCs/>
                <w:color w:val="auto"/>
                <w:sz w:val="24"/>
                <w:highlight w:val="none"/>
                <w:lang w:eastAsia="zh-CN"/>
              </w:rPr>
              <w:t>废水处理厂</w:t>
            </w:r>
            <w:r>
              <w:rPr>
                <w:rFonts w:hint="default" w:ascii="Times New Roman" w:hAnsi="Times New Roman" w:eastAsia="宋体" w:cs="Times New Roman"/>
                <w:color w:val="auto"/>
                <w:sz w:val="24"/>
                <w:highlight w:val="none"/>
              </w:rPr>
              <w:t>工艺为：</w:t>
            </w:r>
            <w:r>
              <w:rPr>
                <w:rFonts w:hint="eastAsia" w:ascii="Times New Roman" w:hAnsi="Times New Roman" w:cs="Times New Roman"/>
                <w:b w:val="0"/>
                <w:bCs w:val="0"/>
                <w:color w:val="auto"/>
                <w:sz w:val="24"/>
                <w:highlight w:val="none"/>
                <w:lang w:val="en-US" w:eastAsia="zh-CN"/>
              </w:rPr>
              <w:t>含油废水→调节隔油→溶气气浮→混凝沉淀→两级过滤（达到回注标准）→高级氧化→超滤→一级反渗透→（淡水）精制反渗透→达标排放</w:t>
            </w:r>
            <w:r>
              <w:rPr>
                <w:rFonts w:hint="default" w:ascii="Times New Roman" w:hAnsi="Times New Roman" w:eastAsia="宋体" w:cs="Times New Roman"/>
                <w:bCs/>
                <w:color w:val="auto"/>
                <w:sz w:val="24"/>
                <w:highlight w:val="none"/>
              </w:rPr>
              <w:t>。</w:t>
            </w:r>
          </w:p>
          <w:p w14:paraId="2D724F2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eastAsia="宋体" w:cs="Times New Roman"/>
                <w:b/>
                <w:bCs/>
                <w:color w:val="auto"/>
                <w:sz w:val="24"/>
                <w:szCs w:val="28"/>
                <w:lang w:val="en-US" w:eastAsia="zh-CN"/>
              </w:rPr>
            </w:pPr>
            <w:r>
              <w:rPr>
                <w:rFonts w:hint="eastAsia" w:ascii="Times New Roman" w:hAnsi="Times New Roman" w:cs="Times New Roman"/>
                <w:b/>
                <w:bCs/>
                <w:color w:val="auto"/>
                <w:sz w:val="24"/>
                <w:szCs w:val="28"/>
                <w:lang w:val="en-US" w:eastAsia="zh-CN"/>
              </w:rPr>
              <w:t>工艺概述：</w:t>
            </w:r>
          </w:p>
          <w:p w14:paraId="6612865C">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预处理</w:t>
            </w:r>
          </w:p>
          <w:p w14:paraId="5E2A28D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隔油调节：油气田废水为间断性排放油气田废水经由车辆运输进入卸车区，通过罐车自带卸车泵及管道直接卸入隔油调节池，进行水量调节和水质均衡，保证后续处理工艺的水质水量相对稳定，设置撇油装置，去除（回收）大部分浮油，同时降低COD指标。</w:t>
            </w:r>
          </w:p>
          <w:p w14:paraId="3B9A32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溶气气浮：将调节池废水定量提升进入溶气气浮单元，两级气浮装置分别设置两套设备并联运行，同时添加破乳剂破乳，后加入PAC、PAM，利用气浮原理将废水中的油进行去除（回收），较大颗粒的悬浮物进行沉淀去除，沉降的污泥用泵抽至污泥池。</w:t>
            </w:r>
          </w:p>
          <w:p w14:paraId="1AA2892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隔油池产生的油泥外运交由有资质的单位处理。</w:t>
            </w:r>
          </w:p>
          <w:p w14:paraId="0E8BF01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混凝沉淀：气浮池出水进入混凝沉淀系统，采用高密度澄清池，设置2套设备，并联运行。投加碳酸钠和氢氧化钠药剂去除废水中硬度，同时降低悬浮物杂质，沉降的污泥用泵抽至污泥池，出水进入沉淀产水池。</w:t>
            </w:r>
          </w:p>
          <w:p w14:paraId="2F11114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两级过滤：过滤单元采用核桃壳+纤维球组合过滤工艺，进一步降低废水中悬浮物和油分指标，使其达到回注水标准。</w:t>
            </w:r>
          </w:p>
          <w:p w14:paraId="6BD0524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高级氧化</w:t>
            </w:r>
          </w:p>
          <w:p w14:paraId="2996950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高级氧化采用电解催化氧化工艺，过滤产水池的水用泵定量提升进入电催化氧化反应器单元，对废水中的难降解有机大分子物质进行氧化分解。电催化氧化反应模组出水自流至高级氧化产水池。</w:t>
            </w:r>
          </w:p>
          <w:p w14:paraId="47D328C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超滤</w:t>
            </w:r>
          </w:p>
          <w:p w14:paraId="2624539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对废水中的悬浮物进行深度去除，去除原水中的大分子胶体、黏泥、微生物、有机物等能够对反渗透膜造成污堵的杂质，满足后续反渗透工艺进水要求，超滤产水进入超滤产水箱暂存。</w:t>
            </w:r>
          </w:p>
          <w:p w14:paraId="05864E6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两级RO、精制RO</w:t>
            </w:r>
          </w:p>
          <w:p w14:paraId="0447AF8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超滤产水池出水进入一级RO膜系统，一级RO膜产水进入RO膜产水箱，一级RO膜浓水进入一级RO浓水箱，浓水箱出水进入二级RO膜系统，二级RO膜系统产水进入RO膜产水箱，二级RO膜浓水进入二级膜浓水箱，浓水箱出水</w:t>
            </w:r>
            <w:r>
              <w:rPr>
                <w:rFonts w:hint="eastAsia" w:ascii="Times New Roman" w:hAnsi="Times New Roman" w:eastAsia="宋体" w:cs="Times New Roman"/>
                <w:b w:val="0"/>
                <w:bCs/>
                <w:color w:val="auto"/>
                <w:sz w:val="24"/>
                <w:highlight w:val="none"/>
                <w:lang w:eastAsia="zh-CN"/>
              </w:rPr>
              <w:t>交由四川兴澳环境技术服务有限公司进行处理</w:t>
            </w:r>
            <w:r>
              <w:rPr>
                <w:rFonts w:hint="default" w:ascii="Times New Roman" w:hAnsi="Times New Roman" w:eastAsia="宋体" w:cs="Times New Roman"/>
                <w:b w:val="0"/>
                <w:bCs/>
                <w:color w:val="auto"/>
                <w:sz w:val="24"/>
                <w:highlight w:val="none"/>
              </w:rPr>
              <w:t>。</w:t>
            </w:r>
          </w:p>
          <w:p w14:paraId="4A1124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RO产水箱出水进入精制RO系统，再次进行污染物截留，出水进入产水池，浓水回流至超滤产水箱进行暂存后循环此过程。</w:t>
            </w:r>
          </w:p>
          <w:p w14:paraId="211E20E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产水池出水，罐车运输至新建排口处外排巴河。</w:t>
            </w:r>
          </w:p>
          <w:p w14:paraId="0500CFE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B</w:t>
            </w:r>
            <w:r>
              <w:rPr>
                <w:rFonts w:hint="eastAsia" w:ascii="Times New Roman" w:hAnsi="Times New Roman" w:cs="Times New Roman"/>
                <w:b/>
                <w:bCs/>
                <w:color w:val="auto"/>
                <w:sz w:val="24"/>
                <w:szCs w:val="28"/>
                <w:lang w:val="en-US" w:eastAsia="zh-CN"/>
              </w:rPr>
              <w:t>.污水处理公司处理能力</w:t>
            </w:r>
            <w:r>
              <w:rPr>
                <w:rFonts w:hint="default" w:ascii="Times New Roman" w:hAnsi="Times New Roman" w:cs="Times New Roman"/>
                <w:b/>
                <w:bCs/>
                <w:color w:val="auto"/>
                <w:sz w:val="24"/>
                <w:szCs w:val="28"/>
              </w:rPr>
              <w:t>可行性分析</w:t>
            </w:r>
          </w:p>
          <w:p w14:paraId="0D755277">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cs="Times New Roman"/>
                <w:b/>
                <w:bCs/>
                <w:color w:val="auto"/>
                <w:sz w:val="24"/>
                <w:lang w:val="en-US" w:eastAsia="zh-CN"/>
              </w:rPr>
              <w:t>a.</w:t>
            </w:r>
            <w:r>
              <w:rPr>
                <w:rFonts w:hint="eastAsia" w:ascii="Times New Roman" w:hAnsi="Times New Roman" w:eastAsia="宋体" w:cs="Times New Roman"/>
                <w:b/>
                <w:bCs/>
                <w:color w:val="auto"/>
                <w:sz w:val="24"/>
                <w:lang w:eastAsia="zh-CN"/>
              </w:rPr>
              <w:t>四川鑫泓钻井废水处理有限公司</w:t>
            </w:r>
          </w:p>
          <w:p w14:paraId="1EBDCF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四川鑫泓钻井废水处理有限公司桥溪污水处理厂</w:t>
            </w:r>
            <w:r>
              <w:rPr>
                <w:rFonts w:hint="default" w:ascii="Times New Roman" w:hAnsi="Times New Roman" w:cs="Times New Roman"/>
                <w:bCs/>
                <w:color w:val="auto"/>
                <w:sz w:val="24"/>
              </w:rPr>
              <w:t>处理规模为7.2万m</w:t>
            </w:r>
            <w:r>
              <w:rPr>
                <w:rFonts w:hint="default" w:ascii="Times New Roman" w:hAnsi="Times New Roman" w:cs="Times New Roman"/>
                <w:bCs/>
                <w:color w:val="auto"/>
                <w:sz w:val="24"/>
                <w:vertAlign w:val="superscript"/>
              </w:rPr>
              <w:t>3</w:t>
            </w:r>
            <w:r>
              <w:rPr>
                <w:rFonts w:hint="default" w:ascii="Times New Roman" w:hAnsi="Times New Roman" w:cs="Times New Roman"/>
                <w:bCs/>
                <w:color w:val="auto"/>
                <w:sz w:val="24"/>
              </w:rPr>
              <w:t>/年</w:t>
            </w:r>
            <w:r>
              <w:rPr>
                <w:rFonts w:hint="eastAsia" w:ascii="Times New Roman" w:hAnsi="Times New Roman" w:cs="Times New Roman"/>
                <w:bCs/>
                <w:color w:val="auto"/>
                <w:sz w:val="24"/>
              </w:rPr>
              <w:t>，</w:t>
            </w:r>
            <w:r>
              <w:rPr>
                <w:rFonts w:hint="default" w:ascii="Times New Roman" w:hAnsi="Times New Roman" w:cs="Times New Roman"/>
                <w:bCs/>
                <w:color w:val="auto"/>
                <w:sz w:val="24"/>
              </w:rPr>
              <w:t>最大废水储存能力为900</w:t>
            </w:r>
            <w:r>
              <w:rPr>
                <w:rFonts w:hint="eastAsia" w:ascii="Times New Roman" w:hAnsi="Times New Roman" w:cs="Times New Roman"/>
                <w:bCs/>
                <w:color w:val="auto"/>
                <w:sz w:val="24"/>
              </w:rPr>
              <w:t>m</w:t>
            </w:r>
            <w:r>
              <w:rPr>
                <w:rFonts w:hint="eastAsia" w:ascii="Times New Roman" w:hAnsi="Times New Roman" w:cs="Times New Roman"/>
                <w:bCs/>
                <w:color w:val="auto"/>
                <w:sz w:val="24"/>
                <w:vertAlign w:val="superscript"/>
              </w:rPr>
              <w:t>3</w:t>
            </w:r>
            <w:r>
              <w:rPr>
                <w:rFonts w:hint="eastAsia" w:ascii="Times New Roman" w:hAnsi="Times New Roman" w:cs="Times New Roman"/>
                <w:bCs/>
                <w:color w:val="auto"/>
                <w:sz w:val="24"/>
              </w:rPr>
              <w:t>。根据调查，四川鑫泓钻井废水处理有限公司桥溪污水处理厂年处理量未达到饱和状态，处理厂目前废水处理量约180m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rPr>
              <w:t>/d，剩余处理能力60m³/d。</w:t>
            </w:r>
            <w:r>
              <w:rPr>
                <w:rFonts w:hint="default" w:ascii="Times New Roman" w:hAnsi="Times New Roman" w:cs="Times New Roman"/>
                <w:bCs/>
                <w:color w:val="auto"/>
                <w:sz w:val="24"/>
              </w:rPr>
              <w:t>根据工程分析</w:t>
            </w:r>
            <w:r>
              <w:rPr>
                <w:rFonts w:hint="eastAsia" w:ascii="Times New Roman" w:hAnsi="Times New Roman" w:cs="Times New Roman"/>
                <w:bCs/>
                <w:color w:val="auto"/>
                <w:sz w:val="24"/>
              </w:rPr>
              <w:t>，</w:t>
            </w: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钻井废水</w:t>
            </w:r>
            <w:r>
              <w:rPr>
                <w:rFonts w:hint="default" w:ascii="Times New Roman" w:hAnsi="Times New Roman" w:cs="Times New Roman"/>
                <w:bCs/>
                <w:color w:val="auto"/>
                <w:sz w:val="24"/>
              </w:rPr>
              <w:t>阶段性产生</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可在场地内污水池、放喷池中暂存</w:t>
            </w:r>
            <w:r>
              <w:rPr>
                <w:rFonts w:hint="default" w:ascii="Times New Roman" w:hAnsi="Times New Roman" w:cs="Times New Roman"/>
                <w:bCs/>
                <w:color w:val="auto"/>
                <w:sz w:val="24"/>
              </w:rPr>
              <w:t>，同时周边区域其余气井开发阶段不同，废水处理时间不重叠，因此四川鑫泓钻井废水有限公司有足够的处理能力</w:t>
            </w:r>
            <w:r>
              <w:rPr>
                <w:rFonts w:hint="eastAsia" w:ascii="Times New Roman" w:hAnsi="Times New Roman" w:cs="Times New Roman"/>
                <w:bCs/>
                <w:color w:val="auto"/>
                <w:sz w:val="24"/>
                <w:lang w:val="en-US" w:eastAsia="zh-CN"/>
              </w:rPr>
              <w:t>和缓冲时间用于本项目钻井废水的</w:t>
            </w:r>
            <w:r>
              <w:rPr>
                <w:rFonts w:hint="default" w:ascii="Times New Roman" w:hAnsi="Times New Roman" w:cs="Times New Roman"/>
                <w:bCs/>
                <w:color w:val="auto"/>
                <w:sz w:val="24"/>
              </w:rPr>
              <w:t>处理。</w:t>
            </w:r>
          </w:p>
          <w:p w14:paraId="14ADA453">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eastAsia="宋体" w:cs="Times New Roman"/>
                <w:b/>
                <w:bCs/>
                <w:color w:val="auto"/>
                <w:sz w:val="24"/>
                <w:lang w:val="en-US" w:eastAsia="zh-CN"/>
              </w:rPr>
              <w:t>b.</w:t>
            </w:r>
            <w:r>
              <w:rPr>
                <w:rFonts w:hint="eastAsia" w:ascii="Times New Roman" w:hAnsi="Times New Roman" w:eastAsia="宋体" w:cs="Times New Roman"/>
                <w:b/>
                <w:bCs/>
                <w:color w:val="auto"/>
                <w:sz w:val="24"/>
                <w:lang w:eastAsia="zh-CN"/>
              </w:rPr>
              <w:t>四川洁安环境科技有限公司</w:t>
            </w:r>
          </w:p>
          <w:p w14:paraId="660523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根据调查，</w:t>
            </w:r>
            <w:r>
              <w:rPr>
                <w:rFonts w:hint="eastAsia" w:ascii="Times New Roman" w:hAnsi="Times New Roman" w:eastAsia="宋体" w:cs="Times New Roman"/>
                <w:bCs/>
                <w:color w:val="auto"/>
                <w:sz w:val="24"/>
                <w:lang w:eastAsia="zh-CN"/>
              </w:rPr>
              <w:t>四川洁安环境科技有限公司油气田废水处理厂</w:t>
            </w:r>
            <w:r>
              <w:rPr>
                <w:rFonts w:hint="default" w:ascii="Times New Roman" w:hAnsi="Times New Roman" w:eastAsia="宋体" w:cs="Times New Roman"/>
                <w:bCs/>
                <w:color w:val="auto"/>
                <w:sz w:val="24"/>
              </w:rPr>
              <w:t>已建一座1</w:t>
            </w:r>
            <w:r>
              <w:rPr>
                <w:rFonts w:hint="eastAsia" w:ascii="Times New Roman" w:hAnsi="Times New Roman" w:eastAsia="宋体" w:cs="Times New Roman"/>
                <w:bCs/>
                <w:color w:val="auto"/>
                <w:sz w:val="24"/>
                <w:lang w:val="en-US" w:eastAsia="zh-CN"/>
              </w:rPr>
              <w:t>350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的调节池</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可对外来钻井完井废水进行储存，来水经过水质分析后，通过调整水质、水量后，能够实现对不同废水的处理能力。</w:t>
            </w:r>
          </w:p>
          <w:p w14:paraId="7006E6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目前，该</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暂未稳定接纳固定外来钻井废水，</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设计处理规模为</w:t>
            </w:r>
            <w:r>
              <w:rPr>
                <w:rFonts w:hint="eastAsia" w:ascii="Times New Roman" w:hAnsi="Times New Roman" w:eastAsia="宋体" w:cs="Times New Roman"/>
                <w:bCs/>
                <w:color w:val="auto"/>
                <w:sz w:val="24"/>
                <w:lang w:val="en-US" w:eastAsia="zh-CN"/>
              </w:rPr>
              <w:t>600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/d，实际处理废水量约</w:t>
            </w:r>
            <w:r>
              <w:rPr>
                <w:rFonts w:hint="eastAsia"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00m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/d，剩余处理能力约</w:t>
            </w:r>
            <w:r>
              <w:rPr>
                <w:rFonts w:hint="eastAsia"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00m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/d，现调节池内废水</w:t>
            </w:r>
            <w:r>
              <w:rPr>
                <w:rFonts w:hint="eastAsia" w:ascii="Times New Roman" w:hAnsi="Times New Roman" w:eastAsia="宋体" w:cs="Times New Roman"/>
                <w:bCs/>
                <w:color w:val="auto"/>
                <w:sz w:val="24"/>
                <w:lang w:eastAsia="zh-CN"/>
              </w:rPr>
              <w:t>及时</w:t>
            </w:r>
            <w:r>
              <w:rPr>
                <w:rFonts w:hint="default" w:ascii="Times New Roman" w:hAnsi="Times New Roman" w:eastAsia="宋体" w:cs="Times New Roman"/>
                <w:bCs/>
                <w:color w:val="auto"/>
                <w:sz w:val="24"/>
              </w:rPr>
              <w:t>处理达标后排放，剩余储存量接近1</w:t>
            </w:r>
            <w:r>
              <w:rPr>
                <w:rFonts w:hint="eastAsia" w:ascii="Times New Roman" w:hAnsi="Times New Roman" w:eastAsia="宋体" w:cs="Times New Roman"/>
                <w:bCs/>
                <w:color w:val="auto"/>
                <w:sz w:val="24"/>
                <w:lang w:val="en-US" w:eastAsia="zh-CN"/>
              </w:rPr>
              <w:t>350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，能够接纳大量废水进场暂存，且</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设施设备运行正常。</w:t>
            </w:r>
          </w:p>
          <w:p w14:paraId="5756E2A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根据工程分析，本项目钻井废水阶段性产生，可在场地内污水池、放喷池中暂存，同时周边区域其余气井开发阶段不同，废水处理时间不重叠，因此四川洁安环境科技有限公司有足够的处理能力和缓冲时间用于本项目钻井废水的处理。</w:t>
            </w:r>
          </w:p>
          <w:p w14:paraId="22D5F8B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default" w:ascii="Times New Roman" w:hAnsi="Times New Roman" w:eastAsia="宋体" w:cs="Times New Roman"/>
                <w:bCs/>
                <w:color w:val="auto"/>
                <w:sz w:val="24"/>
              </w:rPr>
              <w:t>综上，项目</w:t>
            </w:r>
            <w:r>
              <w:rPr>
                <w:rFonts w:hint="eastAsia" w:ascii="Times New Roman" w:hAnsi="Times New Roman" w:eastAsia="宋体" w:cs="Times New Roman"/>
                <w:bCs/>
                <w:color w:val="auto"/>
                <w:sz w:val="24"/>
                <w:lang w:val="en-US" w:eastAsia="zh-CN"/>
              </w:rPr>
              <w:t>钻井废水、</w:t>
            </w:r>
            <w:r>
              <w:rPr>
                <w:rFonts w:hint="default" w:ascii="Times New Roman" w:hAnsi="Times New Roman" w:eastAsia="宋体" w:cs="Times New Roman"/>
                <w:bCs/>
                <w:color w:val="auto"/>
                <w:sz w:val="24"/>
              </w:rPr>
              <w:t>压裂废水</w:t>
            </w:r>
            <w:r>
              <w:rPr>
                <w:rFonts w:hint="eastAsia" w:ascii="Times New Roman" w:hAnsi="Times New Roman" w:eastAsia="宋体" w:cs="Times New Roman"/>
                <w:bCs/>
                <w:color w:val="auto"/>
                <w:sz w:val="24"/>
                <w:lang w:val="en-US" w:eastAsia="zh-CN"/>
              </w:rPr>
              <w:t>等</w:t>
            </w:r>
            <w:r>
              <w:rPr>
                <w:rFonts w:hint="default" w:ascii="Times New Roman" w:hAnsi="Times New Roman" w:eastAsia="宋体" w:cs="Times New Roman"/>
                <w:bCs/>
                <w:color w:val="auto"/>
                <w:sz w:val="24"/>
              </w:rPr>
              <w:t>均能得到妥善处置，依托</w:t>
            </w:r>
            <w:r>
              <w:rPr>
                <w:rFonts w:hint="eastAsia" w:ascii="Times New Roman" w:hAnsi="Times New Roman" w:cs="Times New Roman"/>
                <w:bCs/>
                <w:color w:val="auto"/>
                <w:sz w:val="24"/>
              </w:rPr>
              <w:t>四川鑫泓钻井废水处理有限公司</w:t>
            </w:r>
            <w:r>
              <w:rPr>
                <w:rFonts w:hint="eastAsia" w:ascii="Times New Roman" w:hAnsi="Times New Roman" w:cs="Times New Roman"/>
                <w:bCs/>
                <w:color w:val="auto"/>
                <w:sz w:val="24"/>
                <w:lang w:eastAsia="zh-CN"/>
              </w:rPr>
              <w:t>、</w:t>
            </w:r>
            <w:r>
              <w:rPr>
                <w:rFonts w:hint="eastAsia" w:ascii="Times New Roman" w:hAnsi="Times New Roman" w:eastAsia="宋体" w:cs="Times New Roman"/>
                <w:bCs/>
                <w:color w:val="auto"/>
                <w:sz w:val="24"/>
                <w:lang w:eastAsia="zh-CN"/>
              </w:rPr>
              <w:t>四川洁安环境科技有限公司</w:t>
            </w:r>
            <w:r>
              <w:rPr>
                <w:rFonts w:hint="default" w:ascii="Times New Roman" w:hAnsi="Times New Roman" w:eastAsia="宋体" w:cs="Times New Roman"/>
                <w:bCs/>
                <w:color w:val="auto"/>
                <w:sz w:val="24"/>
              </w:rPr>
              <w:t>进行处理，在处理能力及工艺技术上均可行。</w:t>
            </w:r>
          </w:p>
          <w:p w14:paraId="7D42F7D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（3）废水收集、储存管理及可行性分析</w:t>
            </w:r>
          </w:p>
          <w:p w14:paraId="1B3687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1）钻井废水</w:t>
            </w:r>
            <w:r>
              <w:rPr>
                <w:rFonts w:hint="eastAsia" w:ascii="Times New Roman" w:hAnsi="Times New Roman" w:cs="Times New Roman"/>
                <w:bCs/>
                <w:color w:val="auto"/>
                <w:sz w:val="24"/>
              </w:rPr>
              <w:t>、洗井废水</w:t>
            </w:r>
            <w:r>
              <w:rPr>
                <w:rFonts w:hint="default" w:ascii="Times New Roman" w:hAnsi="Times New Roman" w:cs="Times New Roman"/>
                <w:bCs/>
                <w:color w:val="auto"/>
                <w:sz w:val="24"/>
              </w:rPr>
              <w:t>产生及收集情况见下表。</w:t>
            </w:r>
          </w:p>
          <w:p w14:paraId="5F24077A">
            <w:pPr>
              <w:keepNext w:val="0"/>
              <w:keepLines w:val="0"/>
              <w:numPr>
                <w:ilvl w:val="0"/>
                <w:numId w:val="18"/>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default" w:ascii="Times New Roman" w:hAnsi="Times New Roman" w:cs="Times New Roman"/>
                <w:b/>
                <w:color w:val="auto"/>
              </w:rPr>
              <w:t>废水产生及收集情况表</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28"/>
              <w:gridCol w:w="2868"/>
              <w:gridCol w:w="3035"/>
            </w:tblGrid>
            <w:tr w14:paraId="75653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14" w:type="pct"/>
                  <w:noWrap w:val="0"/>
                  <w:vAlign w:val="center"/>
                </w:tcPr>
                <w:p w14:paraId="291C0DC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平台</w:t>
                  </w:r>
                </w:p>
              </w:tc>
              <w:tc>
                <w:tcPr>
                  <w:tcW w:w="1742" w:type="pct"/>
                  <w:noWrap w:val="0"/>
                  <w:vAlign w:val="center"/>
                </w:tcPr>
                <w:p w14:paraId="48F3D49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钻井废水</w:t>
                  </w:r>
                  <w:r>
                    <w:rPr>
                      <w:rFonts w:hint="eastAsia" w:ascii="Times New Roman" w:hAnsi="Times New Roman" w:cs="Times New Roman"/>
                      <w:b/>
                      <w:color w:val="auto"/>
                      <w:szCs w:val="20"/>
                    </w:rPr>
                    <w:t>+洗井废水</w:t>
                  </w:r>
                </w:p>
              </w:tc>
              <w:tc>
                <w:tcPr>
                  <w:tcW w:w="1843" w:type="pct"/>
                  <w:noWrap w:val="0"/>
                  <w:vAlign w:val="center"/>
                </w:tcPr>
                <w:p w14:paraId="63934D3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Times New Roman"/>
                      <w:b/>
                      <w:color w:val="auto"/>
                      <w:szCs w:val="20"/>
                      <w:lang w:val="en-US" w:eastAsia="zh-CN"/>
                    </w:rPr>
                    <w:t>多功能网格池组</w:t>
                  </w:r>
                </w:p>
              </w:tc>
            </w:tr>
            <w:tr w14:paraId="66512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14" w:type="pct"/>
                  <w:noWrap w:val="0"/>
                  <w:vAlign w:val="center"/>
                </w:tcPr>
                <w:p w14:paraId="39EC622B">
                  <w:pPr>
                    <w:pStyle w:val="55"/>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元陆39井</w:t>
                  </w:r>
                </w:p>
              </w:tc>
              <w:tc>
                <w:tcPr>
                  <w:tcW w:w="1742" w:type="pct"/>
                  <w:noWrap w:val="0"/>
                  <w:vAlign w:val="center"/>
                </w:tcPr>
                <w:p w14:paraId="5A2237F5">
                  <w:pPr>
                    <w:pStyle w:val="55"/>
                    <w:keepNext w:val="0"/>
                    <w:keepLines w:val="0"/>
                    <w:suppressLineNumbers w:val="0"/>
                    <w:spacing w:before="0" w:beforeAutospacing="0" w:after="0" w:afterAutospacing="0"/>
                    <w:ind w:left="0" w:right="0"/>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200</w:t>
                  </w:r>
                  <w:r>
                    <w:rPr>
                      <w:rFonts w:ascii="Times New Roman" w:hAnsi="Times New Roman" w:eastAsia="宋体" w:cs="Times New Roman"/>
                      <w:color w:val="auto"/>
                    </w:rPr>
                    <w:t>m³</w:t>
                  </w:r>
                </w:p>
              </w:tc>
              <w:tc>
                <w:tcPr>
                  <w:tcW w:w="1843" w:type="pct"/>
                  <w:noWrap w:val="0"/>
                  <w:vAlign w:val="center"/>
                </w:tcPr>
                <w:p w14:paraId="62FAE285">
                  <w:pPr>
                    <w:pStyle w:val="55"/>
                    <w:keepNext w:val="0"/>
                    <w:keepLines w:val="0"/>
                    <w:suppressLineNumbers w:val="0"/>
                    <w:spacing w:before="0" w:beforeAutospacing="0" w:after="0" w:afterAutospacing="0"/>
                    <w:ind w:left="0" w:right="0"/>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20</w:t>
                  </w:r>
                  <w:r>
                    <w:rPr>
                      <w:rFonts w:hint="eastAsia" w:ascii="Times New Roman" w:hAnsi="Times New Roman" w:eastAsia="宋体" w:cs="Times New Roman"/>
                      <w:color w:val="auto"/>
                      <w:lang w:val="en-US" w:eastAsia="zh-CN"/>
                    </w:rPr>
                    <w:t>0</w:t>
                  </w:r>
                  <w:r>
                    <w:rPr>
                      <w:rFonts w:ascii="Times New Roman" w:hAnsi="Times New Roman" w:eastAsia="宋体" w:cs="Times New Roman"/>
                      <w:color w:val="auto"/>
                    </w:rPr>
                    <w:t>m³</w:t>
                  </w:r>
                </w:p>
              </w:tc>
            </w:tr>
          </w:tbl>
          <w:p w14:paraId="345109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可以看出，平台废水收集设施完全能够满足本项目施工作业时收纳废水的要求。</w:t>
            </w:r>
          </w:p>
          <w:p w14:paraId="51245FB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2）压裂废水收集、储存管理措施</w:t>
            </w:r>
          </w:p>
          <w:p w14:paraId="5A2911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压裂返排液引至放喷池暂存</w:t>
            </w:r>
            <w:r>
              <w:rPr>
                <w:rFonts w:hint="eastAsia" w:ascii="Times New Roman" w:hAnsi="Times New Roman" w:cs="Times New Roman"/>
                <w:bCs/>
                <w:color w:val="auto"/>
                <w:sz w:val="24"/>
                <w:lang w:eastAsia="zh-CN"/>
              </w:rPr>
              <w:t>，交由符合环保要求且有处理能力的钻井废水处理公司进行处理</w:t>
            </w:r>
            <w:r>
              <w:rPr>
                <w:rFonts w:hint="default" w:ascii="Times New Roman" w:hAnsi="Times New Roman" w:cs="Times New Roman"/>
                <w:bCs/>
                <w:color w:val="auto"/>
                <w:sz w:val="24"/>
              </w:rPr>
              <w:t>，不外排。</w:t>
            </w:r>
          </w:p>
          <w:p w14:paraId="7CF132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建设单位针对废水</w:t>
            </w:r>
            <w:r>
              <w:rPr>
                <w:rFonts w:hint="eastAsia" w:ascii="Times New Roman" w:hAnsi="Times New Roman" w:cs="Times New Roman"/>
                <w:bCs/>
                <w:color w:val="auto"/>
                <w:sz w:val="24"/>
                <w:lang w:eastAsia="zh-CN"/>
              </w:rPr>
              <w:t>储</w:t>
            </w:r>
            <w:r>
              <w:rPr>
                <w:rFonts w:hint="default" w:ascii="Times New Roman" w:hAnsi="Times New Roman" w:cs="Times New Roman"/>
                <w:bCs/>
                <w:color w:val="auto"/>
                <w:sz w:val="24"/>
              </w:rPr>
              <w:t>存采取了以下管理措施：</w:t>
            </w:r>
          </w:p>
          <w:p w14:paraId="5FFCB1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①井场应实施清污分流，清污分流管道应完善畅通，并确保废水全部进入</w:t>
            </w:r>
            <w:r>
              <w:rPr>
                <w:rFonts w:hint="eastAsia" w:ascii="Times New Roman" w:hAnsi="Times New Roman" w:cs="Times New Roman"/>
                <w:bCs/>
                <w:color w:val="auto"/>
                <w:sz w:val="24"/>
              </w:rPr>
              <w:t>污水池</w:t>
            </w:r>
            <w:r>
              <w:rPr>
                <w:rFonts w:hint="default" w:ascii="Times New Roman" w:hAnsi="Times New Roman" w:cs="Times New Roman"/>
                <w:bCs/>
                <w:color w:val="auto"/>
                <w:sz w:val="24"/>
              </w:rPr>
              <w:t>中。</w:t>
            </w:r>
          </w:p>
          <w:p w14:paraId="5E5759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②不得乱排乱放废水。</w:t>
            </w:r>
          </w:p>
          <w:p w14:paraId="06DCB7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③现场人员应定期对</w:t>
            </w:r>
            <w:r>
              <w:rPr>
                <w:rFonts w:hint="eastAsia" w:ascii="Times New Roman" w:hAnsi="Times New Roman" w:cs="Times New Roman"/>
                <w:bCs/>
                <w:color w:val="auto"/>
                <w:sz w:val="24"/>
                <w:lang w:val="en-US" w:eastAsia="zh-CN"/>
              </w:rPr>
              <w:t>污水池</w:t>
            </w:r>
            <w:r>
              <w:rPr>
                <w:rFonts w:hint="default" w:ascii="Times New Roman" w:hAnsi="Times New Roman" w:cs="Times New Roman"/>
                <w:bCs/>
                <w:color w:val="auto"/>
                <w:sz w:val="24"/>
              </w:rPr>
              <w:t>进行巡检，发现异常情况立即汇报和整改，并</w:t>
            </w:r>
            <w:r>
              <w:rPr>
                <w:rFonts w:hint="eastAsia" w:ascii="Times New Roman" w:hAnsi="Times New Roman" w:cs="Times New Roman"/>
                <w:bCs/>
                <w:color w:val="auto"/>
                <w:sz w:val="24"/>
                <w:lang w:eastAsia="zh-CN"/>
              </w:rPr>
              <w:t>做好</w:t>
            </w:r>
            <w:r>
              <w:rPr>
                <w:rFonts w:hint="default" w:ascii="Times New Roman" w:hAnsi="Times New Roman" w:cs="Times New Roman"/>
                <w:bCs/>
                <w:color w:val="auto"/>
                <w:sz w:val="24"/>
              </w:rPr>
              <w:t>记录。</w:t>
            </w:r>
          </w:p>
          <w:p w14:paraId="6B5F92B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④井场还应及时转运废水，以防止暴雨进入污水沟引起废水外溢从而导致环境污染。</w:t>
            </w:r>
          </w:p>
          <w:p w14:paraId="657F856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由此可见，本项目采取的废水收集、储存措施有效可行。</w:t>
            </w:r>
          </w:p>
          <w:p w14:paraId="648892D0">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（4）废水转运措施分析</w:t>
            </w:r>
          </w:p>
          <w:p w14:paraId="5BB137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本项目最终产生的废水</w:t>
            </w:r>
            <w:r>
              <w:rPr>
                <w:rFonts w:hint="eastAsia" w:ascii="Times New Roman" w:hAnsi="Times New Roman" w:cs="Times New Roman"/>
                <w:bCs/>
                <w:color w:val="auto"/>
                <w:sz w:val="24"/>
              </w:rPr>
              <w:t>交由符合环保要求且有处理能力的钻井废水处理公司进行处理</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建设单位针对废水转运采取的管理措施为：</w:t>
            </w:r>
          </w:p>
          <w:p w14:paraId="5B409F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①制定科学合理的车辆运输，根据管道输送和车辆运输实施相应的管理。</w:t>
            </w:r>
          </w:p>
          <w:p w14:paraId="661843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②废水承运单位为非建设单位所属单位，承运方</w:t>
            </w:r>
            <w:r>
              <w:rPr>
                <w:rFonts w:hint="eastAsia" w:ascii="Times New Roman" w:hAnsi="Times New Roman" w:cs="Times New Roman"/>
                <w:bCs/>
                <w:color w:val="auto"/>
                <w:sz w:val="24"/>
                <w:lang w:eastAsia="zh-CN"/>
              </w:rPr>
              <w:t>须具备</w:t>
            </w:r>
            <w:r>
              <w:rPr>
                <w:rFonts w:hint="default" w:ascii="Times New Roman" w:hAnsi="Times New Roman" w:cs="Times New Roman"/>
                <w:bCs/>
                <w:color w:val="auto"/>
                <w:sz w:val="24"/>
              </w:rPr>
              <w:t>建设单位HSE准入资格和相应的运输服务准入资格。</w:t>
            </w:r>
          </w:p>
          <w:p w14:paraId="056B86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废水承运单位在开展运输工作之前，应对运输人员进行相关安全环保知识培训，废水运输车辆、装卸工具必须符合安全环保要求，装卸和运输废水过程中不得溢出和渗漏。严禁任意倾倒、排放或向第三方转移废水。</w:t>
            </w:r>
          </w:p>
          <w:p w14:paraId="16F7DE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④废水承运人员进入井场装卸废水，必须遵守有关安全环保管理规定，并服从井站值班人员的管理，不得擅自进入生产装置区和操作井场设备设施。</w:t>
            </w:r>
          </w:p>
          <w:p w14:paraId="281C79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⑤废水运输严格执行签认制度。签认单复印件报属地管理单位安全部门和承运单位备查，保存期不得少于</w:t>
            </w:r>
            <w:r>
              <w:rPr>
                <w:rFonts w:hint="eastAsia" w:cs="Times New Roman"/>
                <w:bCs/>
                <w:color w:val="auto"/>
                <w:sz w:val="24"/>
                <w:lang w:eastAsia="zh-CN"/>
              </w:rPr>
              <w:t>两年</w:t>
            </w:r>
            <w:r>
              <w:rPr>
                <w:rFonts w:hint="default" w:ascii="Times New Roman" w:hAnsi="Times New Roman" w:cs="Times New Roman"/>
                <w:bCs/>
                <w:color w:val="auto"/>
                <w:sz w:val="24"/>
              </w:rPr>
              <w:t>。</w:t>
            </w:r>
          </w:p>
          <w:p w14:paraId="7474EB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⑥废水转运时采取罐车密闭输送。</w:t>
            </w:r>
          </w:p>
          <w:p w14:paraId="65F8686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⑦尽量避免在雨天和大雾天转运。</w:t>
            </w:r>
          </w:p>
          <w:p w14:paraId="6452305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为确保本工程废水得到妥善处理，本着切实保护环境的原则，建议在本工程废水转运过程中，增加如下措施：</w:t>
            </w:r>
          </w:p>
          <w:p w14:paraId="0AEF75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①建设单位应当加强对废水承运单位的监管和沟通，督促其严格监管废水转运车辆，以防废水承运人员半途随意倾倒废水造成环境污染。</w:t>
            </w:r>
          </w:p>
          <w:p w14:paraId="50ECAA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②对承包废水转运的承包商实施车辆登记制度。</w:t>
            </w:r>
          </w:p>
          <w:p w14:paraId="4CACC08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③转运过</w:t>
            </w:r>
            <w:r>
              <w:rPr>
                <w:rFonts w:hint="eastAsia" w:ascii="Times New Roman" w:hAnsi="Times New Roman" w:cs="Times New Roman"/>
                <w:bCs/>
                <w:color w:val="auto"/>
                <w:sz w:val="24"/>
                <w:lang w:eastAsia="zh-CN"/>
              </w:rPr>
              <w:t>程中</w:t>
            </w:r>
            <w:r>
              <w:rPr>
                <w:rFonts w:hint="default" w:ascii="Times New Roman" w:hAnsi="Times New Roman" w:cs="Times New Roman"/>
                <w:bCs/>
                <w:color w:val="auto"/>
                <w:sz w:val="24"/>
              </w:rPr>
              <w:t>做好台账，严格实施交接清单制度。</w:t>
            </w:r>
          </w:p>
          <w:p w14:paraId="6335F9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由此可见，本项目采取的废水转运措施有效可行。</w:t>
            </w:r>
          </w:p>
          <w:p w14:paraId="59A352E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3、噪声控制措施及可行性</w:t>
            </w:r>
          </w:p>
          <w:p w14:paraId="7B2BA4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项目在勘探过程中的钻井作业、压裂作业应通过合理安排施工时间，采取网电开展钻井和压裂施工活动，对于无法避开</w:t>
            </w:r>
            <w:r>
              <w:rPr>
                <w:rFonts w:hint="eastAsia" w:ascii="Times New Roman" w:hAnsi="Times New Roman" w:cs="Times New Roman"/>
                <w:bCs/>
                <w:color w:val="auto"/>
                <w:sz w:val="24"/>
                <w:lang w:eastAsia="zh-CN"/>
              </w:rPr>
              <w:t>居民点</w:t>
            </w:r>
            <w:r>
              <w:rPr>
                <w:rFonts w:hint="default" w:ascii="Times New Roman" w:hAnsi="Times New Roman" w:cs="Times New Roman"/>
                <w:bCs/>
                <w:color w:val="auto"/>
                <w:sz w:val="24"/>
              </w:rPr>
              <w:t>的施工作业，应采取降噪措施、临时疏散、补偿或置换等措施。</w:t>
            </w:r>
          </w:p>
          <w:p w14:paraId="03633C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本项目采用电动钻机和</w:t>
            </w:r>
            <w:r>
              <w:rPr>
                <w:rFonts w:hint="eastAsia" w:ascii="Times New Roman" w:hAnsi="Times New Roman" w:cs="Times New Roman"/>
                <w:bCs/>
                <w:color w:val="auto"/>
                <w:sz w:val="24"/>
                <w:lang w:eastAsia="zh-CN"/>
              </w:rPr>
              <w:t>电网</w:t>
            </w:r>
            <w:r>
              <w:rPr>
                <w:rFonts w:hint="default" w:ascii="Times New Roman" w:hAnsi="Times New Roman" w:cs="Times New Roman"/>
                <w:bCs/>
                <w:color w:val="auto"/>
                <w:sz w:val="24"/>
              </w:rPr>
              <w:t>开展钻井和压裂施工活动，停电时采用柴油发电机发电，对于钻井及压裂作业噪声，主要是选用低噪声设备和对井场布局来减轻噪声的影响，对噪声源采取噪声防治措施，设备安装减震垫、消声器等措施：泥浆泵可加衬弹性垫料和安装消声装置以达到减噪目的。此外，在管理和作业过程中平稳操作，施工期间加强施工管理，钻机、泥浆泵等设备应做好日常维护，同时在操作时做到平稳操作，避免特种作业时产生非正常的噪声等。对噪声受影响的农户采取沟通宣传和耐心解释等方式，征得其支持谅解，同时施工方在钻井施工前应与受影响居民协商达成一致，采取临时撤离等措施解决噪声超标问题，待作业结束后返回，确保不噪声扰民。</w:t>
            </w:r>
          </w:p>
          <w:p w14:paraId="6B28FBE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测试放喷时产生的气流噪声通过放喷池的三面墙阻隔可起到一定的降噪作用。在测试放喷前，通知井场周边居民，严禁居民靠近</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同时</w:t>
            </w:r>
            <w:r>
              <w:rPr>
                <w:rFonts w:hint="default" w:ascii="Times New Roman" w:hAnsi="Times New Roman" w:cs="Times New Roman"/>
                <w:bCs/>
                <w:color w:val="auto"/>
                <w:sz w:val="24"/>
              </w:rPr>
              <w:t>测试放喷时间较短。因此，测试放喷噪声对周围居民影响较小。事故放喷时，本工程采用将气体通过放喷管线引至放喷池内点火，通过放喷池的屏蔽作用，有效减轻了放喷噪声和</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w:t>
            </w:r>
            <w:r>
              <w:rPr>
                <w:rFonts w:hint="default" w:ascii="Times New Roman" w:hAnsi="Times New Roman" w:cs="Times New Roman"/>
                <w:bCs/>
                <w:color w:val="auto"/>
                <w:sz w:val="24"/>
              </w:rPr>
              <w:t>的影响。</w:t>
            </w:r>
          </w:p>
          <w:p w14:paraId="5C0281C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4、固废处理措施及可行性</w:t>
            </w:r>
          </w:p>
          <w:p w14:paraId="73206E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本项目钻井过程中产生的固废主要有</w:t>
            </w:r>
            <w:r>
              <w:rPr>
                <w:rFonts w:hint="eastAsia" w:ascii="Times New Roman" w:hAnsi="Times New Roman" w:cs="Times New Roman"/>
                <w:bCs/>
                <w:color w:val="auto"/>
                <w:sz w:val="24"/>
              </w:rPr>
              <w:t>钻井固废（钻井岩屑、废钻井泥浆）、沉淀污泥、废油、含油污染物、生活垃圾和废包装材料</w:t>
            </w:r>
            <w:r>
              <w:rPr>
                <w:rFonts w:hint="eastAsia" w:cs="Times New Roman"/>
                <w:bCs/>
                <w:color w:val="auto"/>
                <w:sz w:val="24"/>
                <w:lang w:val="en-US" w:eastAsia="zh-CN"/>
              </w:rPr>
              <w:t>等，</w:t>
            </w:r>
            <w:r>
              <w:rPr>
                <w:rFonts w:hint="default" w:ascii="Times New Roman" w:hAnsi="Times New Roman" w:cs="Times New Roman"/>
                <w:bCs/>
                <w:color w:val="auto"/>
                <w:sz w:val="24"/>
              </w:rPr>
              <w:t>项目固体废弃物产生量及处置情况见下表。</w:t>
            </w:r>
          </w:p>
          <w:p w14:paraId="7D8314BF">
            <w:pPr>
              <w:keepNext w:val="0"/>
              <w:keepLines w:val="0"/>
              <w:numPr>
                <w:ilvl w:val="0"/>
                <w:numId w:val="18"/>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rPr>
            </w:pPr>
            <w:r>
              <w:rPr>
                <w:rFonts w:hint="default" w:ascii="Times New Roman" w:hAnsi="Times New Roman" w:cs="Times New Roman"/>
                <w:b/>
                <w:color w:val="auto"/>
              </w:rPr>
              <w:t>项目固体废物产生及处置情况一览表</w:t>
            </w:r>
          </w:p>
          <w:tbl>
            <w:tblPr>
              <w:tblStyle w:val="23"/>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80"/>
              <w:gridCol w:w="1159"/>
              <w:gridCol w:w="2884"/>
            </w:tblGrid>
            <w:tr w14:paraId="5936F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noWrap w:val="0"/>
                  <w:vAlign w:val="center"/>
                </w:tcPr>
                <w:p w14:paraId="344FBEC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固废类型</w:t>
                  </w:r>
                </w:p>
              </w:tc>
              <w:tc>
                <w:tcPr>
                  <w:tcW w:w="704" w:type="pct"/>
                  <w:noWrap w:val="0"/>
                  <w:vAlign w:val="center"/>
                </w:tcPr>
                <w:p w14:paraId="564C6C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产生量</w:t>
                  </w:r>
                </w:p>
              </w:tc>
              <w:tc>
                <w:tcPr>
                  <w:tcW w:w="1753" w:type="pct"/>
                  <w:noWrap w:val="0"/>
                  <w:vAlign w:val="center"/>
                </w:tcPr>
                <w:p w14:paraId="257B06A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处置措施及去向</w:t>
                  </w:r>
                </w:p>
              </w:tc>
            </w:tr>
            <w:tr w14:paraId="4F78E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tcBorders>
                    <w:bottom w:val="single" w:color="auto" w:sz="4" w:space="0"/>
                  </w:tcBorders>
                  <w:noWrap w:val="0"/>
                  <w:vAlign w:val="center"/>
                </w:tcPr>
                <w:p w14:paraId="48348C3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钻井岩屑</w:t>
                  </w:r>
                </w:p>
              </w:tc>
              <w:tc>
                <w:tcPr>
                  <w:tcW w:w="704" w:type="pct"/>
                  <w:tcBorders>
                    <w:bottom w:val="single" w:color="auto" w:sz="4" w:space="0"/>
                  </w:tcBorders>
                  <w:noWrap w:val="0"/>
                  <w:vAlign w:val="center"/>
                </w:tcPr>
                <w:p w14:paraId="4F5482A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rPr>
                  </w:pPr>
                  <w:r>
                    <w:rPr>
                      <w:rFonts w:hint="eastAsia" w:cs="Times New Roman"/>
                      <w:bCs/>
                      <w:color w:val="auto"/>
                      <w:szCs w:val="21"/>
                      <w:lang w:val="en-US" w:eastAsia="zh-CN"/>
                    </w:rPr>
                    <w:t>2519</w:t>
                  </w:r>
                  <w:r>
                    <w:rPr>
                      <w:rFonts w:hint="eastAsia" w:ascii="Times New Roman" w:hAnsi="Times New Roman" w:cs="Times New Roman"/>
                      <w:bCs/>
                      <w:color w:val="auto"/>
                      <w:szCs w:val="21"/>
                    </w:rPr>
                    <w:t>t</w:t>
                  </w:r>
                </w:p>
              </w:tc>
              <w:tc>
                <w:tcPr>
                  <w:tcW w:w="1753" w:type="pct"/>
                  <w:vMerge w:val="restart"/>
                  <w:noWrap w:val="0"/>
                  <w:vAlign w:val="center"/>
                </w:tcPr>
                <w:p w14:paraId="7647345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bCs/>
                      <w:color w:val="auto"/>
                      <w:sz w:val="21"/>
                      <w:szCs w:val="21"/>
                      <w:lang w:val="en-US" w:eastAsia="zh-CN"/>
                    </w:rPr>
                    <w:t>板框压滤</w:t>
                  </w:r>
                  <w:r>
                    <w:rPr>
                      <w:rFonts w:hint="default" w:ascii="Times New Roman" w:hAnsi="Times New Roman" w:eastAsia="宋体" w:cs="Times New Roman"/>
                      <w:bCs/>
                      <w:color w:val="auto"/>
                      <w:sz w:val="21"/>
                      <w:szCs w:val="21"/>
                    </w:rPr>
                    <w:t>脱水后（含水率低于60%）收集至岩屑罐暂存</w:t>
                  </w:r>
                  <w:r>
                    <w:rPr>
                      <w:rFonts w:ascii="Times New Roman" w:hAnsi="Times New Roman" w:eastAsia="宋体" w:cs="Times New Roman"/>
                      <w:color w:val="auto"/>
                    </w:rPr>
                    <w:t>，</w:t>
                  </w:r>
                  <w:r>
                    <w:rPr>
                      <w:rFonts w:hint="eastAsia" w:ascii="Times New Roman" w:hAnsi="Times New Roman" w:eastAsia="宋体" w:cs="Times New Roman"/>
                      <w:color w:val="auto"/>
                    </w:rPr>
                    <w:t>转运至符合环保要求且有处理能</w:t>
                  </w:r>
                  <w:r>
                    <w:rPr>
                      <w:rFonts w:ascii="Times New Roman" w:hAnsi="Times New Roman" w:eastAsia="宋体" w:cs="Times New Roman"/>
                      <w:color w:val="auto"/>
                      <w:kern w:val="0"/>
                    </w:rPr>
                    <w:t>力的砖厂、水泥厂</w:t>
                  </w:r>
                  <w:r>
                    <w:rPr>
                      <w:rFonts w:hint="eastAsia" w:ascii="Times New Roman" w:hAnsi="Times New Roman" w:eastAsia="宋体" w:cs="Times New Roman"/>
                      <w:color w:val="auto"/>
                      <w:kern w:val="0"/>
                      <w:lang w:val="en-US" w:eastAsia="zh-CN"/>
                    </w:rPr>
                    <w:t>等进行资源化</w:t>
                  </w:r>
                  <w:r>
                    <w:rPr>
                      <w:rFonts w:ascii="Times New Roman" w:hAnsi="Times New Roman" w:eastAsia="宋体" w:cs="Times New Roman"/>
                      <w:color w:val="auto"/>
                      <w:kern w:val="0"/>
                    </w:rPr>
                    <w:t>利用</w:t>
                  </w:r>
                </w:p>
              </w:tc>
            </w:tr>
            <w:tr w14:paraId="5A65C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tcBorders>
                    <w:top w:val="single" w:color="auto" w:sz="4" w:space="0"/>
                    <w:bottom w:val="single" w:color="auto" w:sz="4" w:space="0"/>
                  </w:tcBorders>
                  <w:noWrap w:val="0"/>
                  <w:vAlign w:val="center"/>
                </w:tcPr>
                <w:p w14:paraId="3C5928C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废钻井泥浆</w:t>
                  </w:r>
                </w:p>
              </w:tc>
              <w:tc>
                <w:tcPr>
                  <w:tcW w:w="704" w:type="pct"/>
                  <w:tcBorders>
                    <w:top w:val="single" w:color="auto" w:sz="4" w:space="0"/>
                    <w:bottom w:val="single" w:color="auto" w:sz="4" w:space="0"/>
                  </w:tcBorders>
                  <w:noWrap w:val="0"/>
                  <w:vAlign w:val="center"/>
                </w:tcPr>
                <w:p w14:paraId="24886E55">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rPr>
                  </w:pPr>
                  <w:r>
                    <w:rPr>
                      <w:rFonts w:hint="eastAsia" w:cs="Times New Roman"/>
                      <w:bCs/>
                      <w:color w:val="auto"/>
                      <w:szCs w:val="21"/>
                      <w:lang w:val="en-US" w:eastAsia="zh-CN"/>
                    </w:rPr>
                    <w:t>51.6</w:t>
                  </w:r>
                  <w:r>
                    <w:rPr>
                      <w:rFonts w:hint="eastAsia" w:ascii="Times New Roman" w:hAnsi="Times New Roman" w:cs="Times New Roman"/>
                      <w:bCs/>
                      <w:color w:val="auto"/>
                      <w:szCs w:val="21"/>
                    </w:rPr>
                    <w:t>t</w:t>
                  </w:r>
                </w:p>
              </w:tc>
              <w:tc>
                <w:tcPr>
                  <w:tcW w:w="1753" w:type="pct"/>
                  <w:vMerge w:val="continue"/>
                  <w:noWrap w:val="0"/>
                  <w:vAlign w:val="center"/>
                </w:tcPr>
                <w:p w14:paraId="170AB480">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r>
            <w:tr w14:paraId="613C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tcBorders>
                    <w:top w:val="single" w:color="auto" w:sz="4" w:space="0"/>
                    <w:bottom w:val="single" w:color="auto" w:sz="4" w:space="0"/>
                  </w:tcBorders>
                  <w:noWrap w:val="0"/>
                  <w:vAlign w:val="center"/>
                </w:tcPr>
                <w:p w14:paraId="45042F9B">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cs="Times New Roman"/>
                      <w:bCs/>
                      <w:color w:val="auto"/>
                    </w:rPr>
                    <w:t>沉淀污泥</w:t>
                  </w:r>
                </w:p>
              </w:tc>
              <w:tc>
                <w:tcPr>
                  <w:tcW w:w="704" w:type="pct"/>
                  <w:tcBorders>
                    <w:top w:val="single" w:color="auto" w:sz="4" w:space="0"/>
                    <w:bottom w:val="single" w:color="auto" w:sz="4" w:space="0"/>
                  </w:tcBorders>
                  <w:noWrap w:val="0"/>
                  <w:vAlign w:val="center"/>
                </w:tcPr>
                <w:p w14:paraId="7ACE4DA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bCs/>
                      <w:color w:val="auto"/>
                      <w:lang w:val="en-US" w:eastAsia="zh-CN"/>
                    </w:rPr>
                    <w:t>60</w:t>
                  </w:r>
                  <w:r>
                    <w:rPr>
                      <w:rFonts w:ascii="Times New Roman" w:hAnsi="Times New Roman" w:cs="Times New Roman"/>
                      <w:bCs/>
                      <w:color w:val="auto"/>
                    </w:rPr>
                    <w:t>t</w:t>
                  </w:r>
                </w:p>
              </w:tc>
              <w:tc>
                <w:tcPr>
                  <w:tcW w:w="1753" w:type="pct"/>
                  <w:vMerge w:val="continue"/>
                  <w:noWrap w:val="0"/>
                  <w:vAlign w:val="center"/>
                </w:tcPr>
                <w:p w14:paraId="72445CB6">
                  <w:pPr>
                    <w:pStyle w:val="55"/>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r>
            <w:tr w14:paraId="537B5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tcBorders>
                    <w:top w:val="single" w:color="auto" w:sz="4" w:space="0"/>
                  </w:tcBorders>
                  <w:noWrap w:val="0"/>
                  <w:vAlign w:val="center"/>
                </w:tcPr>
                <w:p w14:paraId="428D454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废油</w:t>
                  </w:r>
                </w:p>
              </w:tc>
              <w:tc>
                <w:tcPr>
                  <w:tcW w:w="704" w:type="pct"/>
                  <w:tcBorders>
                    <w:top w:val="single" w:color="auto" w:sz="4" w:space="0"/>
                  </w:tcBorders>
                  <w:noWrap w:val="0"/>
                  <w:vAlign w:val="center"/>
                </w:tcPr>
                <w:p w14:paraId="67252281">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2</w:t>
                  </w:r>
                  <w:r>
                    <w:rPr>
                      <w:rFonts w:ascii="Times New Roman" w:hAnsi="Times New Roman" w:cs="Times New Roman"/>
                      <w:color w:val="auto"/>
                    </w:rPr>
                    <w:t>5</w:t>
                  </w:r>
                  <w:r>
                    <w:rPr>
                      <w:rFonts w:ascii="Times New Roman" w:hAnsi="Times New Roman" w:eastAsia="宋体" w:cs="Times New Roman"/>
                      <w:color w:val="auto"/>
                    </w:rPr>
                    <w:t>t</w:t>
                  </w:r>
                </w:p>
              </w:tc>
              <w:tc>
                <w:tcPr>
                  <w:tcW w:w="1753" w:type="pct"/>
                  <w:vMerge w:val="restart"/>
                  <w:noWrap w:val="0"/>
                  <w:vAlign w:val="center"/>
                </w:tcPr>
                <w:p w14:paraId="4A4AE0C6">
                  <w:pPr>
                    <w:pStyle w:val="55"/>
                    <w:keepNext w:val="0"/>
                    <w:keepLines w:val="0"/>
                    <w:suppressLineNumbers w:val="0"/>
                    <w:spacing w:before="0" w:beforeAutospacing="0" w:after="0" w:afterAutospacing="0"/>
                    <w:ind w:left="0" w:right="0"/>
                    <w:rPr>
                      <w:rFonts w:ascii="Times New Roman" w:hAnsi="Times New Roman" w:eastAsia="宋体" w:cs="Times New Roman"/>
                      <w:bCs/>
                      <w:color w:val="auto"/>
                    </w:rPr>
                  </w:pPr>
                  <w:r>
                    <w:rPr>
                      <w:rFonts w:ascii="Times New Roman" w:hAnsi="Times New Roman" w:eastAsia="宋体" w:cs="Times New Roman"/>
                      <w:color w:val="auto"/>
                    </w:rPr>
                    <w:t>作为危险废物收集后，交有危废处置资质的单位处置</w:t>
                  </w:r>
                </w:p>
              </w:tc>
            </w:tr>
            <w:tr w14:paraId="3E61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tcBorders>
                    <w:top w:val="single" w:color="auto" w:sz="4" w:space="0"/>
                  </w:tcBorders>
                  <w:noWrap w:val="0"/>
                  <w:vAlign w:val="center"/>
                </w:tcPr>
                <w:p w14:paraId="09987A4E">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含油污染物</w:t>
                  </w:r>
                </w:p>
              </w:tc>
              <w:tc>
                <w:tcPr>
                  <w:tcW w:w="704" w:type="pct"/>
                  <w:tcBorders>
                    <w:top w:val="single" w:color="auto" w:sz="4" w:space="0"/>
                  </w:tcBorders>
                  <w:noWrap w:val="0"/>
                  <w:vAlign w:val="center"/>
                </w:tcPr>
                <w:p w14:paraId="3B6EC361">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5t</w:t>
                  </w:r>
                </w:p>
              </w:tc>
              <w:tc>
                <w:tcPr>
                  <w:tcW w:w="1753" w:type="pct"/>
                  <w:vMerge w:val="continue"/>
                  <w:noWrap w:val="0"/>
                  <w:vAlign w:val="center"/>
                </w:tcPr>
                <w:p w14:paraId="7B86FDC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p>
              </w:tc>
            </w:tr>
            <w:tr w14:paraId="6EB6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noWrap w:val="0"/>
                  <w:vAlign w:val="center"/>
                </w:tcPr>
                <w:p w14:paraId="0E7EBD0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生活垃圾</w:t>
                  </w:r>
                </w:p>
              </w:tc>
              <w:tc>
                <w:tcPr>
                  <w:tcW w:w="704" w:type="pct"/>
                  <w:noWrap w:val="0"/>
                  <w:vAlign w:val="center"/>
                </w:tcPr>
                <w:p w14:paraId="36CD7817">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8.25</w:t>
                  </w:r>
                  <w:r>
                    <w:rPr>
                      <w:rFonts w:ascii="Times New Roman" w:hAnsi="Times New Roman" w:eastAsia="宋体" w:cs="Times New Roman"/>
                      <w:color w:val="auto"/>
                    </w:rPr>
                    <w:t>t</w:t>
                  </w:r>
                </w:p>
              </w:tc>
              <w:tc>
                <w:tcPr>
                  <w:tcW w:w="1753" w:type="pct"/>
                  <w:noWrap w:val="0"/>
                  <w:vAlign w:val="center"/>
                </w:tcPr>
                <w:p w14:paraId="5C89385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交由当地环卫部门清运处置</w:t>
                  </w:r>
                </w:p>
              </w:tc>
            </w:tr>
            <w:tr w14:paraId="2B49D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41" w:type="pct"/>
                  <w:noWrap w:val="0"/>
                  <w:vAlign w:val="center"/>
                </w:tcPr>
                <w:p w14:paraId="363CCCD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废包装材料</w:t>
                  </w:r>
                </w:p>
              </w:tc>
              <w:tc>
                <w:tcPr>
                  <w:tcW w:w="704" w:type="pct"/>
                  <w:noWrap w:val="0"/>
                  <w:vAlign w:val="center"/>
                </w:tcPr>
                <w:p w14:paraId="5DAA8BC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0.</w:t>
                  </w:r>
                  <w:r>
                    <w:rPr>
                      <w:rFonts w:ascii="Times New Roman" w:hAnsi="Times New Roman" w:eastAsia="宋体" w:cs="Times New Roman"/>
                      <w:color w:val="auto"/>
                    </w:rPr>
                    <w:t>5t</w:t>
                  </w:r>
                </w:p>
              </w:tc>
              <w:tc>
                <w:tcPr>
                  <w:tcW w:w="1753" w:type="pct"/>
                  <w:noWrap w:val="0"/>
                  <w:vAlign w:val="center"/>
                </w:tcPr>
                <w:p w14:paraId="361DA63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集中收集后外售资源化利用</w:t>
                  </w:r>
                </w:p>
              </w:tc>
            </w:tr>
          </w:tbl>
          <w:p w14:paraId="030A3E7D">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（1）一般工业固废处置措施</w:t>
            </w:r>
          </w:p>
          <w:p w14:paraId="1879A6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1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①</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一般工业固废收集要求</w:t>
            </w:r>
          </w:p>
          <w:p w14:paraId="609F87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1"/>
              </w:rPr>
            </w:pPr>
            <w:r>
              <w:rPr>
                <w:rFonts w:hint="default" w:ascii="Times New Roman" w:hAnsi="Times New Roman" w:cs="Times New Roman"/>
                <w:bCs/>
                <w:color w:val="auto"/>
                <w:sz w:val="24"/>
              </w:rPr>
              <w:t>根据</w:t>
            </w:r>
            <w:r>
              <w:rPr>
                <w:rFonts w:hint="default" w:ascii="Times New Roman" w:hAnsi="Times New Roman" w:cs="Times New Roman"/>
                <w:bCs/>
                <w:color w:val="auto"/>
                <w:sz w:val="24"/>
                <w:szCs w:val="21"/>
              </w:rPr>
              <w:t>《陆上石油天然气开采水基钻井废弃物处理处置及资源化利用技术规范》（SY/T</w:t>
            </w:r>
            <w:r>
              <w:rPr>
                <w:rFonts w:hint="eastAsia" w:ascii="Times New Roman" w:hAnsi="Times New Roman" w:cs="Times New Roman"/>
                <w:bCs/>
                <w:color w:val="auto"/>
                <w:sz w:val="24"/>
                <w:szCs w:val="21"/>
                <w:lang w:val="en-US" w:eastAsia="zh-CN"/>
              </w:rPr>
              <w:t xml:space="preserve"> </w:t>
            </w:r>
            <w:r>
              <w:rPr>
                <w:rFonts w:hint="default" w:ascii="Times New Roman" w:hAnsi="Times New Roman" w:cs="Times New Roman"/>
                <w:bCs/>
                <w:color w:val="auto"/>
                <w:sz w:val="24"/>
                <w:szCs w:val="21"/>
              </w:rPr>
              <w:t>7466-2020），水基钻井废弃物处理技术要求如下：</w:t>
            </w:r>
          </w:p>
          <w:p w14:paraId="6FFBC8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w:t>
            </w:r>
            <w:r>
              <w:rPr>
                <w:rFonts w:hint="eastAsia" w:ascii="Times New Roman" w:hAnsi="Times New Roman" w:cs="Times New Roman"/>
                <w:bCs/>
                <w:color w:val="auto"/>
                <w:sz w:val="24"/>
              </w:rPr>
              <w:t>、</w:t>
            </w:r>
            <w:r>
              <w:rPr>
                <w:rFonts w:hint="default" w:ascii="Times New Roman" w:hAnsi="Times New Roman" w:cs="Times New Roman"/>
                <w:bCs/>
                <w:color w:val="auto"/>
                <w:sz w:val="24"/>
              </w:rPr>
              <w:t>水基钻井废弃物已进行分类收集：</w:t>
            </w:r>
          </w:p>
          <w:p w14:paraId="080A6B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从钻井固相控制系统中的振动筛等排出的水基钻井废弃物，宜采用螺旋输送器、溜槽等接触面较大的收集输送装置进行随钻收集，防止水基钻井废弃物在收集时溢流到地面。收集后的水基钻井废弃物宜立即进行固液分离处理。固液分离后产生的固体废物含水率宜不大于60%且不呈流动态。</w:t>
            </w:r>
          </w:p>
          <w:p w14:paraId="40DD34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对从钻井固相控制系统中除砂除泥器、离心机等排出的水基钻井废弃物，宜采用固相输送泵等装置收集。收集后的钻井废弃物宜直接输送至钻井储存池中进行暂存，然后根据现场要求及时进行处理、处置。</w:t>
            </w:r>
          </w:p>
          <w:p w14:paraId="269D37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w:t>
            </w:r>
            <w:r>
              <w:rPr>
                <w:rFonts w:hint="eastAsia" w:ascii="Times New Roman" w:hAnsi="Times New Roman" w:cs="Times New Roman"/>
                <w:bCs/>
                <w:color w:val="auto"/>
                <w:sz w:val="24"/>
              </w:rPr>
              <w:t>、</w:t>
            </w:r>
            <w:r>
              <w:rPr>
                <w:rFonts w:hint="default" w:ascii="Times New Roman" w:hAnsi="Times New Roman" w:cs="Times New Roman"/>
                <w:bCs/>
                <w:color w:val="auto"/>
                <w:sz w:val="24"/>
              </w:rPr>
              <w:t>收集后的水基钻井废弃物若不能及时处理、处置，宜按体系进行分类集中暂存。</w:t>
            </w:r>
          </w:p>
          <w:p w14:paraId="451DA1E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w:t>
            </w:r>
            <w:r>
              <w:rPr>
                <w:rFonts w:hint="eastAsia" w:ascii="Times New Roman" w:hAnsi="Times New Roman" w:cs="Times New Roman"/>
                <w:bCs/>
                <w:color w:val="auto"/>
                <w:sz w:val="24"/>
              </w:rPr>
              <w:t>、</w:t>
            </w:r>
            <w:r>
              <w:rPr>
                <w:rFonts w:hint="default" w:ascii="Times New Roman" w:hAnsi="Times New Roman" w:cs="Times New Roman"/>
                <w:bCs/>
                <w:color w:val="auto"/>
                <w:sz w:val="24"/>
              </w:rPr>
              <w:t>钻井现场设置收集橇/罐或者废液罐进行废弃物暂存。</w:t>
            </w:r>
          </w:p>
          <w:p w14:paraId="5A25B6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rPr>
              <w:t>、</w:t>
            </w:r>
            <w:r>
              <w:rPr>
                <w:rFonts w:hint="default" w:ascii="Times New Roman" w:hAnsi="Times New Roman" w:cs="Times New Roman"/>
                <w:bCs/>
                <w:color w:val="auto"/>
                <w:sz w:val="24"/>
              </w:rPr>
              <w:t>井队固控系统下方宜选择合适高效的清砂设备与三角钻井罐/尖罐相连，根据泥砂沉积情况及时抽吸清罐，防止钻井罐下部泥砂沉积。</w:t>
            </w:r>
          </w:p>
          <w:p w14:paraId="6AAEE3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本工程产生的一般工业固废为水基岩屑、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废钻井泥浆均用岩屑收集罐进行收集，采取随钻处理的方式</w:t>
            </w:r>
            <w:r>
              <w:rPr>
                <w:rFonts w:hint="eastAsia" w:ascii="Times New Roman" w:hAnsi="Times New Roman" w:cs="Times New Roman"/>
                <w:bCs/>
                <w:color w:val="auto"/>
                <w:sz w:val="24"/>
              </w:rPr>
              <w:t>转运至符合环保要求且有处理能力的砖厂、水泥厂</w:t>
            </w:r>
            <w:r>
              <w:rPr>
                <w:rFonts w:hint="eastAsia" w:ascii="Times New Roman" w:hAnsi="Times New Roman" w:cs="Times New Roman"/>
                <w:bCs/>
                <w:color w:val="auto"/>
                <w:sz w:val="24"/>
                <w:lang w:val="en-US" w:eastAsia="zh-CN"/>
              </w:rPr>
              <w:t>等进行资源化</w:t>
            </w:r>
            <w:r>
              <w:rPr>
                <w:rFonts w:hint="eastAsia" w:ascii="Times New Roman" w:hAnsi="Times New Roman" w:cs="Times New Roman"/>
                <w:bCs/>
                <w:color w:val="auto"/>
                <w:sz w:val="24"/>
              </w:rPr>
              <w:t>利用</w:t>
            </w:r>
            <w:r>
              <w:rPr>
                <w:rFonts w:hint="default" w:ascii="Times New Roman" w:hAnsi="Times New Roman" w:cs="Times New Roman"/>
                <w:bCs/>
                <w:color w:val="auto"/>
                <w:sz w:val="24"/>
              </w:rPr>
              <w:t>。</w:t>
            </w:r>
          </w:p>
          <w:p w14:paraId="2205E9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2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②</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一般工业固废台账管理要求</w:t>
            </w:r>
          </w:p>
          <w:p w14:paraId="59CAEE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根据</w:t>
            </w:r>
            <w:r>
              <w:rPr>
                <w:rFonts w:hint="default" w:ascii="Times New Roman" w:hAnsi="Times New Roman" w:cs="Times New Roman"/>
                <w:bCs/>
                <w:color w:val="auto"/>
                <w:sz w:val="24"/>
                <w:szCs w:val="21"/>
              </w:rPr>
              <w:t>《一般工业固体废物管理台账制定指南（试行）》（公告 2021年 第82号），为规范工业固体废物流向，实现工业固体废物过程管理的基础性、保障性制度。产生工业固体废弃物的单位应建立工业固体废弃物管理台账如实记录工业固体废物的种类、数量、流向、贮存、利用、处置等信息，可以实现工业固体废物可追溯、可查询的目的，推动企业提升固体废物管理水平。一般工业固废台账管理要求如下：</w:t>
            </w:r>
          </w:p>
          <w:p w14:paraId="28E628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A一般工业固体废物管理台账实施分级管理。需要记录固体废物的基础信息及流向信息，按月填写记录固体废物的产生、贮存、利用、处置数量和利用、处置方式等信息。</w:t>
            </w:r>
          </w:p>
          <w:p w14:paraId="172BC06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B要记录固废在产废单位内部的贮存、利用、处置等信息；</w:t>
            </w:r>
          </w:p>
          <w:p w14:paraId="3917F43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C产废单位填写台账记录表时，应当根据自身固体废物产生情况，从《一般工业固体废物分类表》中选择对应的固体废物种类和代码，并根据固体废物种类确定固体废物的具体名称；</w:t>
            </w:r>
          </w:p>
          <w:p w14:paraId="4C7147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D鼓励产废单位采用国家建立的一般工业固体废物管理电子台账，简化数据填写、台账管理等工作。地方和企业自行开发的电子台账要实现与国家系统对接。建立电子台账的产废单位，可不再记录纸质台账；</w:t>
            </w:r>
          </w:p>
          <w:p w14:paraId="5D1B3B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E台账记录表各表单的负责人对记录信息的真实性、完整性和规范性负责；</w:t>
            </w:r>
          </w:p>
          <w:p w14:paraId="3AA9AB6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F产废单位应当设立专人负责台账的管理与归档，一般工业固体废物管理台账保存期限不少于5年；</w:t>
            </w:r>
          </w:p>
          <w:p w14:paraId="7FE8E4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G鼓励有条件的产废单位在固体废物产生场所、贮存场所及磅秤位置等关键点位设置视频监控，提高台账记录信息的准确性。</w:t>
            </w:r>
          </w:p>
          <w:p w14:paraId="7BA55D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3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③</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一般工业固废处置要求</w:t>
            </w:r>
          </w:p>
          <w:p w14:paraId="47C85F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钻井过程中产生的钻井岩屑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废泥浆通过岩屑暂存罐进行收集，由压滤设备压成泥饼后</w:t>
            </w:r>
            <w:r>
              <w:rPr>
                <w:rFonts w:hint="eastAsia" w:ascii="Times New Roman" w:hAnsi="Times New Roman" w:cs="Times New Roman"/>
                <w:bCs/>
                <w:color w:val="auto"/>
                <w:sz w:val="24"/>
              </w:rPr>
              <w:t>转运至符合环保要求且有处理能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1EA96B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4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④</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一般工业固废资源化处理流程</w:t>
            </w:r>
          </w:p>
          <w:p w14:paraId="4CBC54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本项目平台钻井作业期间产生的钻井岩屑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废泥浆由建设单位委托本项目项目部全权负责拉运处理工作。</w:t>
            </w:r>
          </w:p>
          <w:p w14:paraId="6CC913A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5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⑤</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一般固废处置的可行性分析</w:t>
            </w:r>
          </w:p>
          <w:p w14:paraId="5247223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本项目现场对</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岩屑和废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泥浆进行“不落地”工艺板框压滤脱水处理，项目钻井期间产生的岩屑、废钻井泥浆</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采取随钻处理后及时</w:t>
            </w:r>
            <w:r>
              <w:rPr>
                <w:rFonts w:hint="eastAsia" w:ascii="Times New Roman" w:hAnsi="Times New Roman" w:cs="Times New Roman"/>
                <w:bCs/>
                <w:color w:val="auto"/>
                <w:sz w:val="24"/>
              </w:rPr>
              <w:t>转运至符合环保要求且有处理能力的砖厂、水泥厂</w:t>
            </w:r>
            <w:r>
              <w:rPr>
                <w:rFonts w:hint="eastAsia" w:ascii="Times New Roman" w:hAnsi="Times New Roman" w:cs="Times New Roman"/>
                <w:bCs/>
                <w:color w:val="auto"/>
                <w:sz w:val="24"/>
                <w:lang w:val="en-US" w:eastAsia="zh-CN"/>
              </w:rPr>
              <w:t>等进行资源化</w:t>
            </w:r>
            <w:r>
              <w:rPr>
                <w:rFonts w:hint="eastAsia" w:ascii="Times New Roman" w:hAnsi="Times New Roman" w:cs="Times New Roman"/>
                <w:bCs/>
                <w:color w:val="auto"/>
                <w:sz w:val="24"/>
              </w:rPr>
              <w:t>。</w:t>
            </w:r>
          </w:p>
          <w:p w14:paraId="45DBCAB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制作烧结砖处理工艺可行性：钻井岩屑及废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泥浆制作烧结砖</w:t>
            </w:r>
            <w:r>
              <w:rPr>
                <w:rFonts w:hint="eastAsia" w:ascii="Times New Roman" w:hAnsi="Times New Roman" w:cs="Times New Roman"/>
                <w:bCs/>
                <w:color w:val="auto"/>
                <w:sz w:val="24"/>
                <w:lang w:val="en-US" w:eastAsia="zh-CN"/>
              </w:rPr>
              <w:t>主要工艺为</w:t>
            </w:r>
            <w:r>
              <w:rPr>
                <w:rFonts w:hint="default" w:ascii="Times New Roman" w:hAnsi="Times New Roman" w:cs="Times New Roman"/>
                <w:bCs/>
                <w:color w:val="auto"/>
                <w:sz w:val="24"/>
              </w:rPr>
              <w:t>，钻井岩屑及废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与</w:t>
            </w:r>
            <w:r>
              <w:rPr>
                <w:rFonts w:hint="default" w:ascii="Times New Roman" w:hAnsi="Times New Roman" w:cs="Times New Roman"/>
                <w:bCs/>
                <w:color w:val="auto"/>
                <w:sz w:val="24"/>
              </w:rPr>
              <w:t>页岩和内燃煤混合均匀，</w:t>
            </w:r>
            <w:r>
              <w:rPr>
                <w:rFonts w:hint="eastAsia" w:ascii="Times New Roman" w:hAnsi="Times New Roman" w:cs="Times New Roman"/>
                <w:bCs/>
                <w:color w:val="auto"/>
                <w:sz w:val="24"/>
                <w:lang w:val="en-US" w:eastAsia="zh-CN"/>
              </w:rPr>
              <w:t>再将</w:t>
            </w:r>
            <w:r>
              <w:rPr>
                <w:rFonts w:hint="default" w:ascii="Times New Roman" w:hAnsi="Times New Roman" w:cs="Times New Roman"/>
                <w:bCs/>
                <w:color w:val="auto"/>
                <w:sz w:val="24"/>
              </w:rPr>
              <w:t>混合物进行破碎</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练泥</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成型</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干燥</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焙烧</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砖烧结成品合格冷却至室温后出窑形成产品砖。该工艺为传统成熟的工艺，且在四川境内</w:t>
            </w:r>
            <w:r>
              <w:rPr>
                <w:rFonts w:hint="eastAsia" w:ascii="Times New Roman" w:hAnsi="Times New Roman" w:cs="Times New Roman"/>
                <w:bCs/>
                <w:color w:val="auto"/>
                <w:sz w:val="24"/>
                <w:lang w:val="en-US" w:eastAsia="zh-CN"/>
              </w:rPr>
              <w:t>多家砖厂</w:t>
            </w:r>
            <w:r>
              <w:rPr>
                <w:rFonts w:hint="default" w:ascii="Times New Roman" w:hAnsi="Times New Roman" w:cs="Times New Roman"/>
                <w:bCs/>
                <w:color w:val="auto"/>
                <w:sz w:val="24"/>
              </w:rPr>
              <w:t>已经得到了广泛运用。因此，本项目钻井时产生的一般工业固废做烧砖处理在工艺上是可行的。</w:t>
            </w:r>
          </w:p>
          <w:p w14:paraId="200DAF5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eastAsia="zh-CN"/>
              </w:rPr>
            </w:pPr>
            <w:r>
              <w:rPr>
                <w:rFonts w:hint="default" w:ascii="Times New Roman" w:hAnsi="Times New Roman" w:cs="Times New Roman"/>
                <w:bCs/>
                <w:color w:val="auto"/>
                <w:sz w:val="24"/>
              </w:rPr>
              <w:t>制作水泥</w:t>
            </w:r>
            <w:r>
              <w:rPr>
                <w:rFonts w:hint="eastAsia" w:ascii="Times New Roman" w:hAnsi="Times New Roman" w:cs="Times New Roman"/>
                <w:bCs/>
                <w:color w:val="auto"/>
                <w:sz w:val="24"/>
                <w:lang w:val="en-US" w:eastAsia="zh-CN"/>
              </w:rPr>
              <w:t>处理工艺可行性</w:t>
            </w:r>
            <w:r>
              <w:rPr>
                <w:rFonts w:hint="default" w:ascii="Times New Roman" w:hAnsi="Times New Roman" w:cs="Times New Roman"/>
                <w:bCs/>
                <w:color w:val="auto"/>
                <w:sz w:val="24"/>
              </w:rPr>
              <w:t>：钻井岩屑及废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与水泥厂生料按照一定比例进行混合，然后进行破碎、研磨、焙烧等工序生产水泥</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满足</w:t>
            </w:r>
            <w:r>
              <w:rPr>
                <w:rFonts w:hint="default" w:ascii="Times New Roman" w:hAnsi="Times New Roman" w:cs="Times New Roman"/>
                <w:color w:val="auto"/>
                <w:sz w:val="24"/>
                <w:szCs w:val="24"/>
              </w:rPr>
              <w:t>《一般工业固体废物环境管理工作指南》</w:t>
            </w:r>
            <w:r>
              <w:rPr>
                <w:rFonts w:hint="eastAsia" w:ascii="宋体" w:hAnsi="宋体" w:eastAsia="宋体" w:cs="宋体"/>
                <w:color w:val="auto"/>
                <w:sz w:val="24"/>
                <w:szCs w:val="24"/>
              </w:rPr>
              <w:t>(</w:t>
            </w:r>
            <w:r>
              <w:rPr>
                <w:rFonts w:hint="default" w:ascii="Times New Roman" w:hAnsi="Times New Roman" w:cs="Times New Roman"/>
                <w:color w:val="auto"/>
                <w:sz w:val="24"/>
                <w:szCs w:val="24"/>
              </w:rPr>
              <w:t>环办固体函</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2026〕18号</w:t>
            </w:r>
            <w:r>
              <w:rPr>
                <w:rFonts w:hint="eastAsia" w:ascii="宋体" w:hAnsi="宋体" w:eastAsia="宋体" w:cs="宋体"/>
                <w:color w:val="auto"/>
                <w:sz w:val="24"/>
                <w:szCs w:val="24"/>
              </w:rPr>
              <w:t>)</w:t>
            </w:r>
            <w:r>
              <w:rPr>
                <w:rFonts w:hint="default" w:ascii="Times New Roman" w:hAnsi="Times New Roman" w:cs="Times New Roman"/>
                <w:color w:val="auto"/>
                <w:sz w:val="24"/>
                <w:szCs w:val="24"/>
              </w:rPr>
              <w:t>附表七</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委托他人运输、利用、处置管理</w:t>
            </w:r>
            <w:r>
              <w:rPr>
                <w:rFonts w:hint="eastAsia" w:ascii="Times New Roman" w:hAnsi="Times New Roman" w:cs="Times New Roman"/>
                <w:color w:val="auto"/>
                <w:sz w:val="24"/>
                <w:szCs w:val="24"/>
                <w:lang w:val="en-US" w:eastAsia="zh-CN"/>
              </w:rPr>
              <w:t>相关</w:t>
            </w:r>
            <w:r>
              <w:rPr>
                <w:rFonts w:hint="default" w:ascii="Times New Roman" w:hAnsi="Times New Roman" w:cs="Times New Roman"/>
                <w:color w:val="auto"/>
                <w:sz w:val="24"/>
                <w:szCs w:val="24"/>
              </w:rPr>
              <w:t>要求</w:t>
            </w:r>
            <w:r>
              <w:rPr>
                <w:rFonts w:hint="eastAsia" w:ascii="Times New Roman" w:hAnsi="Times New Roman" w:cs="Times New Roman"/>
                <w:color w:val="auto"/>
                <w:sz w:val="24"/>
                <w:szCs w:val="24"/>
                <w:lang w:eastAsia="zh-CN"/>
              </w:rPr>
              <w:t>。</w:t>
            </w:r>
          </w:p>
          <w:p w14:paraId="35A3BA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综上所述，本项目钻井过程中产生的一般工业固废用于制备烧结砖和制水泥的方式是可行的。</w:t>
            </w:r>
          </w:p>
          <w:p w14:paraId="636121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cs="Times New Roman"/>
                <w:bCs/>
                <w:color w:val="auto"/>
                <w:sz w:val="24"/>
                <w:lang w:val="en-US" w:eastAsia="zh-CN"/>
              </w:rPr>
              <w:t>建设单位</w:t>
            </w:r>
            <w:r>
              <w:rPr>
                <w:rFonts w:hint="eastAsia" w:ascii="Times New Roman" w:hAnsi="Times New Roman" w:cs="Times New Roman"/>
                <w:bCs/>
                <w:color w:val="auto"/>
                <w:sz w:val="24"/>
              </w:rPr>
              <w:t>目前正在对此进行招标，将选择符合环保要求且有处理能力的砖厂、水泥厂</w:t>
            </w:r>
            <w:r>
              <w:rPr>
                <w:rFonts w:hint="eastAsia" w:ascii="Times New Roman" w:hAnsi="Times New Roman" w:cs="Times New Roman"/>
                <w:bCs/>
                <w:color w:val="auto"/>
                <w:sz w:val="24"/>
                <w:lang w:val="en-US" w:eastAsia="zh-CN"/>
              </w:rPr>
              <w:t>等</w:t>
            </w:r>
            <w:r>
              <w:rPr>
                <w:rFonts w:hint="eastAsia" w:ascii="Times New Roman" w:hAnsi="Times New Roman" w:cs="Times New Roman"/>
                <w:bCs/>
                <w:color w:val="auto"/>
                <w:sz w:val="24"/>
              </w:rPr>
              <w:t>作为</w:t>
            </w:r>
            <w:r>
              <w:rPr>
                <w:rFonts w:hint="eastAsia" w:ascii="Times New Roman" w:hAnsi="Times New Roman" w:cs="Times New Roman"/>
                <w:bCs/>
                <w:color w:val="auto"/>
                <w:sz w:val="24"/>
                <w:lang w:eastAsia="zh-CN"/>
              </w:rPr>
              <w:t>接收</w:t>
            </w:r>
            <w:r>
              <w:rPr>
                <w:rFonts w:hint="eastAsia" w:ascii="Times New Roman" w:hAnsi="Times New Roman" w:cs="Times New Roman"/>
                <w:bCs/>
                <w:color w:val="auto"/>
                <w:sz w:val="24"/>
              </w:rPr>
              <w:t>本项目一般固废的单位</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项目区域满足处理要求的砖厂基本情况</w:t>
            </w:r>
            <w:r>
              <w:rPr>
                <w:rFonts w:hint="eastAsia" w:ascii="Times New Roman" w:hAnsi="Times New Roman" w:eastAsia="宋体" w:cs="Times New Roman"/>
                <w:bCs/>
                <w:color w:val="auto"/>
                <w:sz w:val="24"/>
                <w:lang w:val="en-US" w:eastAsia="zh-CN"/>
              </w:rPr>
              <w:t>如下表所示。</w:t>
            </w:r>
          </w:p>
          <w:p w14:paraId="669F07D1">
            <w:pPr>
              <w:keepNext w:val="0"/>
              <w:keepLines w:val="0"/>
              <w:numPr>
                <w:ilvl w:val="0"/>
                <w:numId w:val="18"/>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lang w:val="en-US" w:eastAsia="zh-CN"/>
              </w:rPr>
              <w:t>钻井岩屑</w:t>
            </w:r>
            <w:r>
              <w:rPr>
                <w:rFonts w:hint="eastAsia" w:cs="Times New Roman"/>
                <w:b/>
                <w:color w:val="auto"/>
                <w:lang w:val="en-US" w:eastAsia="zh-CN"/>
              </w:rPr>
              <w:t>处理</w:t>
            </w:r>
            <w:r>
              <w:rPr>
                <w:rFonts w:hint="eastAsia" w:ascii="Times New Roman" w:hAnsi="Times New Roman" w:cs="Times New Roman"/>
                <w:b/>
                <w:color w:val="auto"/>
                <w:lang w:val="en-US" w:eastAsia="zh-CN"/>
              </w:rPr>
              <w:t>公司相关信息一览表</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8"/>
              <w:gridCol w:w="1749"/>
              <w:gridCol w:w="1519"/>
              <w:gridCol w:w="1497"/>
              <w:gridCol w:w="1843"/>
              <w:gridCol w:w="1115"/>
            </w:tblGrid>
            <w:tr w14:paraId="36A1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2A6CFDF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1749" w:type="dxa"/>
                  <w:noWrap w:val="0"/>
                  <w:vAlign w:val="center"/>
                </w:tcPr>
                <w:p w14:paraId="6999AE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单位名称</w:t>
                  </w:r>
                </w:p>
              </w:tc>
              <w:tc>
                <w:tcPr>
                  <w:tcW w:w="1519" w:type="dxa"/>
                  <w:noWrap w:val="0"/>
                  <w:vAlign w:val="center"/>
                </w:tcPr>
                <w:p w14:paraId="42EDBF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单位地址</w:t>
                  </w:r>
                </w:p>
              </w:tc>
              <w:tc>
                <w:tcPr>
                  <w:tcW w:w="1497" w:type="dxa"/>
                  <w:noWrap w:val="0"/>
                  <w:vAlign w:val="center"/>
                </w:tcPr>
                <w:p w14:paraId="3ED1BE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cs="Times New Roman"/>
                      <w:b/>
                      <w:bCs/>
                      <w:color w:val="auto"/>
                      <w:sz w:val="21"/>
                      <w:szCs w:val="21"/>
                      <w:vertAlign w:val="baseline"/>
                      <w:lang w:val="en-US" w:eastAsia="zh-CN"/>
                    </w:rPr>
                    <w:t>处置</w:t>
                  </w:r>
                  <w:r>
                    <w:rPr>
                      <w:rFonts w:hint="default" w:ascii="Times New Roman" w:hAnsi="Times New Roman" w:eastAsia="宋体" w:cs="Times New Roman"/>
                      <w:b/>
                      <w:bCs/>
                      <w:color w:val="auto"/>
                      <w:sz w:val="21"/>
                      <w:szCs w:val="21"/>
                      <w:vertAlign w:val="baseline"/>
                      <w:lang w:val="en-US" w:eastAsia="zh-CN"/>
                    </w:rPr>
                    <w:t>工艺</w:t>
                  </w:r>
                </w:p>
              </w:tc>
              <w:tc>
                <w:tcPr>
                  <w:tcW w:w="1843" w:type="dxa"/>
                  <w:noWrap w:val="0"/>
                  <w:vAlign w:val="center"/>
                </w:tcPr>
                <w:p w14:paraId="6EE0AF5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ascii="Times New Roman" w:hAnsi="Times New Roman" w:eastAsia="宋体" w:cs="Times New Roman"/>
                      <w:b/>
                      <w:bCs/>
                      <w:color w:val="auto"/>
                      <w:sz w:val="21"/>
                      <w:szCs w:val="21"/>
                      <w:vertAlign w:val="baseline"/>
                      <w:lang w:val="en-US" w:eastAsia="zh-CN"/>
                    </w:rPr>
                    <w:t>企业产能</w:t>
                  </w:r>
                </w:p>
              </w:tc>
              <w:tc>
                <w:tcPr>
                  <w:tcW w:w="1115" w:type="dxa"/>
                  <w:noWrap w:val="0"/>
                  <w:vAlign w:val="center"/>
                </w:tcPr>
                <w:p w14:paraId="62E3FE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cs="Times New Roman"/>
                      <w:b/>
                      <w:bCs/>
                      <w:color w:val="auto"/>
                      <w:sz w:val="21"/>
                      <w:szCs w:val="21"/>
                      <w:vertAlign w:val="baseline"/>
                      <w:lang w:val="en-US" w:eastAsia="zh-CN"/>
                    </w:rPr>
                    <w:t>处置</w:t>
                  </w:r>
                  <w:r>
                    <w:rPr>
                      <w:rFonts w:hint="eastAsia" w:ascii="Times New Roman" w:hAnsi="Times New Roman" w:eastAsia="宋体" w:cs="Times New Roman"/>
                      <w:b/>
                      <w:bCs/>
                      <w:color w:val="auto"/>
                      <w:sz w:val="21"/>
                      <w:szCs w:val="21"/>
                      <w:vertAlign w:val="baseline"/>
                      <w:lang w:val="en-US" w:eastAsia="zh-CN"/>
                    </w:rPr>
                    <w:t>岩屑能力</w:t>
                  </w:r>
                </w:p>
              </w:tc>
            </w:tr>
            <w:tr w14:paraId="6B6A3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B3916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1</w:t>
                  </w:r>
                </w:p>
              </w:tc>
              <w:tc>
                <w:tcPr>
                  <w:tcW w:w="1749" w:type="dxa"/>
                  <w:noWrap w:val="0"/>
                  <w:vAlign w:val="center"/>
                </w:tcPr>
                <w:p w14:paraId="1C5BB95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巴中市鼎立建材有限公司</w:t>
                  </w:r>
                </w:p>
              </w:tc>
              <w:tc>
                <w:tcPr>
                  <w:tcW w:w="1519" w:type="dxa"/>
                  <w:noWrap w:val="0"/>
                  <w:vAlign w:val="center"/>
                </w:tcPr>
                <w:p w14:paraId="5BC70650">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巴州区水宁寺镇香炉村四社</w:t>
                  </w:r>
                </w:p>
              </w:tc>
              <w:tc>
                <w:tcPr>
                  <w:tcW w:w="1497" w:type="dxa"/>
                  <w:noWrap w:val="0"/>
                  <w:vAlign w:val="center"/>
                </w:tcPr>
                <w:p w14:paraId="64ED9979">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4478B3B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4000万匹标砖/</w:t>
                  </w:r>
                  <w:r>
                    <w:rPr>
                      <w:rFonts w:hint="eastAsia" w:ascii="Times New Roman" w:hAnsi="Times New Roman" w:eastAsia="宋体" w:cs="Times New Roman"/>
                      <w:bCs/>
                      <w:color w:val="auto"/>
                      <w:sz w:val="21"/>
                      <w:szCs w:val="21"/>
                      <w:lang w:val="en-US" w:eastAsia="zh-CN"/>
                    </w:rPr>
                    <w:t>a</w:t>
                  </w:r>
                </w:p>
              </w:tc>
              <w:tc>
                <w:tcPr>
                  <w:tcW w:w="1115" w:type="dxa"/>
                  <w:noWrap w:val="0"/>
                  <w:vAlign w:val="center"/>
                </w:tcPr>
                <w:p w14:paraId="6330E6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2.5万t/a</w:t>
                  </w:r>
                </w:p>
              </w:tc>
            </w:tr>
            <w:tr w14:paraId="550F6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12B766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2</w:t>
                  </w:r>
                </w:p>
              </w:tc>
              <w:tc>
                <w:tcPr>
                  <w:tcW w:w="1749" w:type="dxa"/>
                  <w:noWrap w:val="0"/>
                  <w:vAlign w:val="center"/>
                </w:tcPr>
                <w:p w14:paraId="13D6E26B">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通江县昊丰建筑工程有限公司</w:t>
                  </w:r>
                </w:p>
              </w:tc>
              <w:tc>
                <w:tcPr>
                  <w:tcW w:w="1519" w:type="dxa"/>
                  <w:noWrap w:val="0"/>
                  <w:vAlign w:val="center"/>
                </w:tcPr>
                <w:p w14:paraId="7DE86D52">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通江县铁佛镇平坝村七社</w:t>
                  </w:r>
                </w:p>
              </w:tc>
              <w:tc>
                <w:tcPr>
                  <w:tcW w:w="1497" w:type="dxa"/>
                  <w:noWrap w:val="0"/>
                  <w:vAlign w:val="center"/>
                </w:tcPr>
                <w:p w14:paraId="1E3276C3">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572187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3800万匹标砖/</w:t>
                  </w:r>
                  <w:r>
                    <w:rPr>
                      <w:rFonts w:hint="eastAsia" w:ascii="Times New Roman" w:hAnsi="Times New Roman" w:eastAsia="宋体" w:cs="Times New Roman"/>
                      <w:bCs/>
                      <w:color w:val="auto"/>
                      <w:sz w:val="21"/>
                      <w:szCs w:val="21"/>
                      <w:lang w:val="en-US" w:eastAsia="zh-CN"/>
                    </w:rPr>
                    <w:t>a</w:t>
                  </w:r>
                </w:p>
              </w:tc>
              <w:tc>
                <w:tcPr>
                  <w:tcW w:w="1115" w:type="dxa"/>
                  <w:noWrap w:val="0"/>
                  <w:vAlign w:val="center"/>
                </w:tcPr>
                <w:p w14:paraId="1E85C3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2.7万t</w:t>
                  </w:r>
                </w:p>
              </w:tc>
            </w:tr>
            <w:tr w14:paraId="199C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084B9C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1749" w:type="dxa"/>
                  <w:noWrap w:val="0"/>
                  <w:vAlign w:val="center"/>
                </w:tcPr>
                <w:p w14:paraId="61734392">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平昌县罐寨山建材销售有限公司</w:t>
                  </w:r>
                </w:p>
              </w:tc>
              <w:tc>
                <w:tcPr>
                  <w:tcW w:w="1519" w:type="dxa"/>
                  <w:noWrap w:val="0"/>
                  <w:vAlign w:val="center"/>
                </w:tcPr>
                <w:p w14:paraId="5B801DF1">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平昌县金宝街道办红庙社区4组江口镇三房村3社</w:t>
                  </w:r>
                </w:p>
              </w:tc>
              <w:tc>
                <w:tcPr>
                  <w:tcW w:w="1497" w:type="dxa"/>
                  <w:noWrap w:val="0"/>
                  <w:vAlign w:val="center"/>
                </w:tcPr>
                <w:p w14:paraId="503A1A75">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Cs/>
                      <w:color w:val="auto"/>
                      <w:sz w:val="21"/>
                      <w:szCs w:val="21"/>
                      <w:lang w:val="en-US" w:eastAsia="zh-CN"/>
                    </w:rPr>
                    <w:t>将水基岩屑</w:t>
                  </w:r>
                  <w:r>
                    <w:rPr>
                      <w:rFonts w:hint="eastAsia" w:cs="Times New Roman"/>
                      <w:bCs/>
                      <w:color w:val="auto"/>
                      <w:sz w:val="21"/>
                      <w:szCs w:val="21"/>
                      <w:lang w:val="en-US" w:eastAsia="zh-CN"/>
                    </w:rPr>
                    <w:t>筛分、冲洗、脱水后作为建材</w:t>
                  </w:r>
                </w:p>
              </w:tc>
              <w:tc>
                <w:tcPr>
                  <w:tcW w:w="1843" w:type="dxa"/>
                  <w:noWrap w:val="0"/>
                  <w:vAlign w:val="center"/>
                </w:tcPr>
                <w:p w14:paraId="7F230F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vertAlign w:val="baseline"/>
                      <w:lang w:val="en-US" w:eastAsia="zh-CN"/>
                    </w:rPr>
                    <w:t>建材</w:t>
                  </w:r>
                  <w:r>
                    <w:rPr>
                      <w:rFonts w:hint="default" w:ascii="Times New Roman" w:hAnsi="Times New Roman" w:eastAsia="宋体" w:cs="Times New Roman"/>
                      <w:color w:val="auto"/>
                      <w:sz w:val="21"/>
                      <w:szCs w:val="21"/>
                      <w:vertAlign w:val="baseline"/>
                      <w:lang w:val="en-US" w:eastAsia="zh-CN"/>
                    </w:rPr>
                    <w:t>20万t/a</w:t>
                  </w:r>
                </w:p>
              </w:tc>
              <w:tc>
                <w:tcPr>
                  <w:tcW w:w="1115" w:type="dxa"/>
                  <w:noWrap w:val="0"/>
                  <w:vAlign w:val="center"/>
                </w:tcPr>
                <w:p w14:paraId="6553C8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20万t/a</w:t>
                  </w:r>
                </w:p>
              </w:tc>
            </w:tr>
            <w:tr w14:paraId="1CA7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AEACC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1749" w:type="dxa"/>
                  <w:noWrap w:val="0"/>
                  <w:vAlign w:val="center"/>
                </w:tcPr>
                <w:p w14:paraId="07508A07">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恩阳区星兴建材有限责任公司</w:t>
                  </w:r>
                </w:p>
              </w:tc>
              <w:tc>
                <w:tcPr>
                  <w:tcW w:w="1519" w:type="dxa"/>
                  <w:noWrap w:val="0"/>
                  <w:vAlign w:val="center"/>
                </w:tcPr>
                <w:p w14:paraId="6668A87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恩阳区茶坝镇药铺店村</w:t>
                  </w:r>
                </w:p>
              </w:tc>
              <w:tc>
                <w:tcPr>
                  <w:tcW w:w="1497" w:type="dxa"/>
                  <w:noWrap w:val="0"/>
                  <w:vAlign w:val="center"/>
                </w:tcPr>
                <w:p w14:paraId="5931EBA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3A28E4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7300万匹标砖/a</w:t>
                  </w:r>
                </w:p>
              </w:tc>
              <w:tc>
                <w:tcPr>
                  <w:tcW w:w="1115" w:type="dxa"/>
                  <w:noWrap w:val="0"/>
                  <w:vAlign w:val="center"/>
                </w:tcPr>
                <w:p w14:paraId="6DBABDB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4万t/a</w:t>
                  </w:r>
                </w:p>
              </w:tc>
            </w:tr>
            <w:tr w14:paraId="1DB8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6B44F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1749" w:type="dxa"/>
                  <w:noWrap w:val="0"/>
                  <w:vAlign w:val="center"/>
                </w:tcPr>
                <w:p w14:paraId="476B7A5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巴州区鑫同利建材加工厂</w:t>
                  </w:r>
                </w:p>
              </w:tc>
              <w:tc>
                <w:tcPr>
                  <w:tcW w:w="1519" w:type="dxa"/>
                  <w:noWrap w:val="0"/>
                  <w:vAlign w:val="center"/>
                </w:tcPr>
                <w:p w14:paraId="63FD49E4">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巴州区</w:t>
                  </w:r>
                  <w:r>
                    <w:rPr>
                      <w:rFonts w:hint="default" w:ascii="Times New Roman" w:hAnsi="Times New Roman" w:eastAsia="宋体" w:cs="Times New Roman"/>
                      <w:bCs/>
                      <w:color w:val="auto"/>
                      <w:sz w:val="21"/>
                      <w:szCs w:val="21"/>
                      <w:lang w:val="en-US" w:eastAsia="zh-CN"/>
                    </w:rPr>
                    <w:t>玉堂街道办事处桥炉</w:t>
                  </w:r>
                  <w:r>
                    <w:rPr>
                      <w:rFonts w:hint="default" w:ascii="Times New Roman" w:hAnsi="Times New Roman" w:eastAsia="宋体" w:cs="Times New Roman"/>
                      <w:bCs/>
                      <w:color w:val="auto"/>
                      <w:sz w:val="21"/>
                      <w:szCs w:val="21"/>
                    </w:rPr>
                    <w:t>村</w:t>
                  </w:r>
                  <w:r>
                    <w:rPr>
                      <w:rFonts w:hint="default" w:ascii="Times New Roman" w:hAnsi="Times New Roman" w:eastAsia="宋体" w:cs="Times New Roman"/>
                      <w:bCs/>
                      <w:color w:val="auto"/>
                      <w:sz w:val="21"/>
                      <w:szCs w:val="21"/>
                      <w:lang w:val="en-US" w:eastAsia="zh-CN"/>
                    </w:rPr>
                    <w:t>三</w:t>
                  </w:r>
                  <w:r>
                    <w:rPr>
                      <w:rFonts w:hint="default" w:ascii="Times New Roman" w:hAnsi="Times New Roman" w:eastAsia="宋体" w:cs="Times New Roman"/>
                      <w:bCs/>
                      <w:color w:val="auto"/>
                      <w:sz w:val="21"/>
                      <w:szCs w:val="21"/>
                    </w:rPr>
                    <w:t>社</w:t>
                  </w:r>
                </w:p>
              </w:tc>
              <w:tc>
                <w:tcPr>
                  <w:tcW w:w="1497" w:type="dxa"/>
                  <w:noWrap w:val="0"/>
                  <w:vAlign w:val="center"/>
                </w:tcPr>
                <w:p w14:paraId="5BA4E460">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7B7F84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10000万匹标砖/a</w:t>
                  </w:r>
                </w:p>
              </w:tc>
              <w:tc>
                <w:tcPr>
                  <w:tcW w:w="1115" w:type="dxa"/>
                  <w:noWrap w:val="0"/>
                  <w:vAlign w:val="center"/>
                </w:tcPr>
                <w:p w14:paraId="53BCB0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3万t/a</w:t>
                  </w:r>
                </w:p>
              </w:tc>
            </w:tr>
            <w:tr w14:paraId="7BA4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2B85C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1749" w:type="dxa"/>
                  <w:noWrap w:val="0"/>
                  <w:vAlign w:val="center"/>
                </w:tcPr>
                <w:p w14:paraId="65481A6F">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巴中瑞成环保科技有限公司</w:t>
                  </w:r>
                </w:p>
              </w:tc>
              <w:tc>
                <w:tcPr>
                  <w:tcW w:w="1519" w:type="dxa"/>
                  <w:noWrap w:val="0"/>
                  <w:vAlign w:val="center"/>
                </w:tcPr>
                <w:p w14:paraId="590105E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平昌县经济开发区星光工业园</w:t>
                  </w:r>
                </w:p>
              </w:tc>
              <w:tc>
                <w:tcPr>
                  <w:tcW w:w="1497" w:type="dxa"/>
                  <w:noWrap w:val="0"/>
                  <w:vAlign w:val="center"/>
                </w:tcPr>
                <w:p w14:paraId="2BA983B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将水基岩屑用于制免烧砖、水泥掺合料</w:t>
                  </w:r>
                </w:p>
              </w:tc>
              <w:tc>
                <w:tcPr>
                  <w:tcW w:w="1843" w:type="dxa"/>
                  <w:noWrap w:val="0"/>
                  <w:vAlign w:val="center"/>
                </w:tcPr>
                <w:p w14:paraId="3C249E0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vertAlign w:val="baseline"/>
                      <w:lang w:val="en-US" w:eastAsia="zh-CN"/>
                    </w:rPr>
                    <w:t>免烧建筑基材2.76万吨</w:t>
                  </w:r>
                  <w:r>
                    <w:rPr>
                      <w:rFonts w:hint="eastAsia" w:ascii="Times New Roman" w:hAnsi="Times New Roman" w:eastAsia="宋体" w:cs="Times New Roman"/>
                      <w:color w:val="auto"/>
                      <w:sz w:val="21"/>
                      <w:szCs w:val="21"/>
                      <w:vertAlign w:val="baseline"/>
                      <w:lang w:val="en-US" w:eastAsia="zh-CN"/>
                    </w:rPr>
                    <w:t>/a</w:t>
                  </w:r>
                  <w:r>
                    <w:rPr>
                      <w:rFonts w:hint="default" w:ascii="Times New Roman" w:hAnsi="Times New Roman" w:eastAsia="宋体" w:cs="Times New Roman"/>
                      <w:color w:val="auto"/>
                      <w:sz w:val="21"/>
                      <w:szCs w:val="21"/>
                      <w:vertAlign w:val="baseline"/>
                      <w:lang w:val="en-US" w:eastAsia="zh-CN"/>
                    </w:rPr>
                    <w:t>；水泥掺合料2.67万吨</w:t>
                  </w:r>
                  <w:r>
                    <w:rPr>
                      <w:rFonts w:hint="eastAsia" w:ascii="Times New Roman" w:hAnsi="Times New Roman" w:eastAsia="宋体" w:cs="Times New Roman"/>
                      <w:color w:val="auto"/>
                      <w:sz w:val="21"/>
                      <w:szCs w:val="21"/>
                      <w:vertAlign w:val="baseline"/>
                      <w:lang w:val="en-US" w:eastAsia="zh-CN"/>
                    </w:rPr>
                    <w:t>/a</w:t>
                  </w:r>
                </w:p>
              </w:tc>
              <w:tc>
                <w:tcPr>
                  <w:tcW w:w="1115" w:type="dxa"/>
                  <w:noWrap w:val="0"/>
                  <w:vAlign w:val="center"/>
                </w:tcPr>
                <w:p w14:paraId="4ED4B41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30万t/a</w:t>
                  </w:r>
                </w:p>
              </w:tc>
            </w:tr>
            <w:tr w14:paraId="2DCE5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191A20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w:t>
                  </w:r>
                </w:p>
              </w:tc>
              <w:tc>
                <w:tcPr>
                  <w:tcW w:w="1749" w:type="dxa"/>
                  <w:noWrap w:val="0"/>
                  <w:vAlign w:val="center"/>
                </w:tcPr>
                <w:p w14:paraId="14BA8AAE">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南江新矿再生资源综合利用有限责任公司</w:t>
                  </w:r>
                </w:p>
              </w:tc>
              <w:tc>
                <w:tcPr>
                  <w:tcW w:w="1519" w:type="dxa"/>
                  <w:noWrap w:val="0"/>
                  <w:vAlign w:val="center"/>
                </w:tcPr>
                <w:p w14:paraId="69F6FB6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南江县集洲街道杨家河社区东山坡路18号</w:t>
                  </w:r>
                </w:p>
              </w:tc>
              <w:tc>
                <w:tcPr>
                  <w:tcW w:w="1497" w:type="dxa"/>
                  <w:noWrap w:val="0"/>
                  <w:vAlign w:val="center"/>
                </w:tcPr>
                <w:p w14:paraId="281FE893">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将水基岩屑用于制砖</w:t>
                  </w:r>
                </w:p>
              </w:tc>
              <w:tc>
                <w:tcPr>
                  <w:tcW w:w="1843" w:type="dxa"/>
                  <w:noWrap w:val="0"/>
                  <w:vAlign w:val="center"/>
                </w:tcPr>
                <w:p w14:paraId="523489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6000万匹标砖/a</w:t>
                  </w:r>
                </w:p>
              </w:tc>
              <w:tc>
                <w:tcPr>
                  <w:tcW w:w="1115" w:type="dxa"/>
                  <w:noWrap w:val="0"/>
                  <w:vAlign w:val="center"/>
                </w:tcPr>
                <w:p w14:paraId="45E5F4D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4738</w:t>
                  </w:r>
                  <w:r>
                    <w:rPr>
                      <w:rFonts w:hint="eastAsia" w:ascii="Times New Roman" w:hAnsi="Times New Roman" w:eastAsia="宋体" w:cs="Times New Roman"/>
                      <w:color w:val="auto"/>
                      <w:sz w:val="21"/>
                      <w:szCs w:val="21"/>
                      <w:vertAlign w:val="baseline"/>
                      <w:lang w:val="en-US" w:eastAsia="zh-CN"/>
                    </w:rPr>
                    <w:t>t/a</w:t>
                  </w:r>
                </w:p>
              </w:tc>
            </w:tr>
            <w:tr w14:paraId="33365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72C9BE0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w:t>
                  </w:r>
                </w:p>
              </w:tc>
              <w:tc>
                <w:tcPr>
                  <w:tcW w:w="1749" w:type="dxa"/>
                  <w:noWrap w:val="0"/>
                  <w:vAlign w:val="center"/>
                </w:tcPr>
                <w:p w14:paraId="5FFB106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四川勇辉新型建材商贸有限公司</w:t>
                  </w:r>
                </w:p>
              </w:tc>
              <w:tc>
                <w:tcPr>
                  <w:tcW w:w="1519" w:type="dxa"/>
                  <w:noWrap w:val="0"/>
                  <w:vAlign w:val="center"/>
                </w:tcPr>
                <w:p w14:paraId="1F6FF72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巴州区曾口镇硐坪村</w:t>
                  </w:r>
                </w:p>
              </w:tc>
              <w:tc>
                <w:tcPr>
                  <w:tcW w:w="1497" w:type="dxa"/>
                  <w:noWrap w:val="0"/>
                  <w:vAlign w:val="center"/>
                </w:tcPr>
                <w:p w14:paraId="5B2B8E0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将水基岩屑用于制砖</w:t>
                  </w:r>
                </w:p>
              </w:tc>
              <w:tc>
                <w:tcPr>
                  <w:tcW w:w="1843" w:type="dxa"/>
                  <w:noWrap w:val="0"/>
                  <w:vAlign w:val="center"/>
                </w:tcPr>
                <w:p w14:paraId="2E41FA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4000万匹标砖/a</w:t>
                  </w:r>
                </w:p>
              </w:tc>
              <w:tc>
                <w:tcPr>
                  <w:tcW w:w="1115" w:type="dxa"/>
                  <w:noWrap w:val="0"/>
                  <w:vAlign w:val="center"/>
                </w:tcPr>
                <w:p w14:paraId="2AF463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1.92万t/a</w:t>
                  </w:r>
                </w:p>
              </w:tc>
            </w:tr>
          </w:tbl>
          <w:p w14:paraId="137C79E8">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（2）危险废物处置措施</w:t>
            </w:r>
          </w:p>
          <w:p w14:paraId="14F6D60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bCs/>
                <w:color w:val="auto"/>
                <w:sz w:val="24"/>
              </w:rPr>
              <w:t>参考《</w:t>
            </w: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HYPERLINK "https://www.mee.gov.cn/xxgk2018/xxgk/xxgk01/202112/W020211227380770207106.pdf"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危险废物环境管理指南 陆上石油天然气开采</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w:t>
            </w:r>
            <w:r>
              <w:rPr>
                <w:rFonts w:hint="default" w:ascii="Times New Roman" w:hAnsi="Times New Roman" w:cs="Times New Roman"/>
                <w:bCs/>
                <w:color w:val="auto"/>
                <w:sz w:val="24"/>
                <w:szCs w:val="21"/>
              </w:rPr>
              <w:t>（公告2021年第74）中表2常规天然气开采过程中产生的主要危险废物信息，</w:t>
            </w:r>
            <w:r>
              <w:rPr>
                <w:rFonts w:hint="default" w:ascii="Times New Roman" w:hAnsi="Times New Roman" w:cs="Times New Roman"/>
                <w:bCs/>
                <w:color w:val="auto"/>
                <w:sz w:val="24"/>
              </w:rPr>
              <w:t>本项目产生的危险废物主要为废油</w:t>
            </w:r>
            <w:r>
              <w:rPr>
                <w:rFonts w:hint="eastAsia" w:ascii="Times New Roman" w:hAnsi="Times New Roman" w:cs="Times New Roman"/>
                <w:bCs/>
                <w:color w:val="auto"/>
                <w:kern w:val="0"/>
                <w:sz w:val="24"/>
                <w:szCs w:val="21"/>
              </w:rPr>
              <w:t>、含油污染物（</w:t>
            </w:r>
            <w:r>
              <w:rPr>
                <w:rFonts w:hint="default" w:ascii="Times New Roman" w:hAnsi="Times New Roman" w:cs="Times New Roman"/>
                <w:bCs/>
                <w:color w:val="auto"/>
                <w:sz w:val="24"/>
              </w:rPr>
              <w:t>现场废弃的含油抹布、棉纱、劳动用品</w:t>
            </w:r>
            <w:r>
              <w:rPr>
                <w:rFonts w:hint="eastAsia" w:ascii="Times New Roman" w:hAnsi="Times New Roman" w:cs="Times New Roman"/>
                <w:bCs/>
                <w:color w:val="auto"/>
                <w:kern w:val="0"/>
                <w:sz w:val="24"/>
                <w:szCs w:val="21"/>
              </w:rPr>
              <w:t>）</w:t>
            </w:r>
            <w:r>
              <w:rPr>
                <w:rFonts w:hint="eastAsia" w:ascii="Times New Roman" w:hAnsi="Times New Roman" w:cs="Times New Roman"/>
                <w:color w:val="auto"/>
                <w:kern w:val="0"/>
                <w:sz w:val="24"/>
              </w:rPr>
              <w:t>。</w:t>
            </w:r>
          </w:p>
          <w:p w14:paraId="7D616FF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废油属于</w:t>
            </w:r>
            <w:r>
              <w:rPr>
                <w:rFonts w:hint="eastAsia" w:ascii="Times New Roman" w:hAnsi="Times New Roman" w:cs="Times New Roman"/>
                <w:bCs/>
                <w:color w:val="auto"/>
                <w:kern w:val="0"/>
                <w:sz w:val="24"/>
                <w:szCs w:val="21"/>
              </w:rPr>
              <w:t>《国家危险废物名录》（2025年版）</w:t>
            </w:r>
            <w:r>
              <w:rPr>
                <w:rFonts w:hint="default" w:ascii="Times New Roman" w:hAnsi="Times New Roman" w:cs="Times New Roman"/>
                <w:bCs/>
                <w:color w:val="auto"/>
                <w:kern w:val="0"/>
                <w:sz w:val="24"/>
                <w:szCs w:val="21"/>
              </w:rPr>
              <w:t>中“HW08废矿物油与含矿物油废物/非特定行业900-210-08含油废水处理中隔油、气浮、沉淀等处理过程中产生的浮油、浮渣和污泥（不包括废水生化处理污泥）”“HW08废矿物油与含矿物油废物/非特定行业900-249-08其他生产、销售、使用过程中产生的废矿物油及沾染矿物油的废弃包装物”</w:t>
            </w:r>
            <w:r>
              <w:rPr>
                <w:rFonts w:hint="eastAsia" w:ascii="Times New Roman" w:hAnsi="Times New Roman" w:cs="Times New Roman"/>
                <w:bCs/>
                <w:color w:val="auto"/>
                <w:kern w:val="0"/>
                <w:sz w:val="24"/>
                <w:szCs w:val="21"/>
              </w:rPr>
              <w:t>。</w:t>
            </w:r>
          </w:p>
          <w:p w14:paraId="1447F9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kern w:val="0"/>
                <w:sz w:val="24"/>
                <w:szCs w:val="21"/>
              </w:rPr>
              <w:t>含油污染物</w:t>
            </w:r>
            <w:r>
              <w:rPr>
                <w:rFonts w:hint="default" w:ascii="Times New Roman" w:hAnsi="Times New Roman" w:cs="Times New Roman"/>
                <w:bCs/>
                <w:color w:val="auto"/>
                <w:kern w:val="0"/>
                <w:sz w:val="24"/>
                <w:szCs w:val="21"/>
              </w:rPr>
              <w:t>属于</w:t>
            </w:r>
            <w:r>
              <w:rPr>
                <w:rFonts w:hint="eastAsia" w:ascii="Times New Roman" w:hAnsi="Times New Roman" w:cs="Times New Roman"/>
                <w:bCs/>
                <w:color w:val="auto"/>
                <w:kern w:val="0"/>
                <w:sz w:val="24"/>
                <w:szCs w:val="21"/>
              </w:rPr>
              <w:t>《国家危险废物名录》（2025年版）</w:t>
            </w:r>
            <w:r>
              <w:rPr>
                <w:rFonts w:hint="default" w:ascii="Times New Roman" w:hAnsi="Times New Roman" w:cs="Times New Roman"/>
                <w:bCs/>
                <w:color w:val="auto"/>
                <w:kern w:val="0"/>
                <w:sz w:val="24"/>
                <w:szCs w:val="21"/>
              </w:rPr>
              <w:t>中</w:t>
            </w:r>
            <w:r>
              <w:rPr>
                <w:rFonts w:hint="eastAsia" w:ascii="Times New Roman" w:hAnsi="Times New Roman" w:cs="Times New Roman"/>
                <w:bCs/>
                <w:color w:val="auto"/>
                <w:kern w:val="0"/>
                <w:sz w:val="24"/>
                <w:szCs w:val="21"/>
              </w:rPr>
              <w:t>“</w:t>
            </w:r>
            <w:r>
              <w:rPr>
                <w:rFonts w:hint="default" w:ascii="Times New Roman" w:hAnsi="Times New Roman" w:cs="Times New Roman"/>
                <w:bCs/>
                <w:color w:val="auto"/>
                <w:kern w:val="0"/>
                <w:sz w:val="24"/>
                <w:szCs w:val="21"/>
              </w:rPr>
              <w:t>HW49其</w:t>
            </w:r>
            <w:r>
              <w:rPr>
                <w:rFonts w:hint="default" w:ascii="Times New Roman" w:hAnsi="Times New Roman" w:cs="Times New Roman"/>
                <w:bCs/>
                <w:color w:val="auto"/>
                <w:sz w:val="24"/>
              </w:rPr>
              <w:t>他废物/非特定行业900-041-49含有或沾染毒性、感染性危险废物的废弃包装物、容器、过滤吸附介质</w:t>
            </w:r>
            <w:r>
              <w:rPr>
                <w:rFonts w:hint="eastAsia" w:ascii="Times New Roman" w:hAnsi="Times New Roman" w:cs="Times New Roman"/>
                <w:bCs/>
                <w:color w:val="auto"/>
                <w:sz w:val="24"/>
              </w:rPr>
              <w:t>”。</w:t>
            </w:r>
          </w:p>
          <w:p w14:paraId="7CF03DFD">
            <w:pPr>
              <w:keepNext w:val="0"/>
              <w:keepLines w:val="0"/>
              <w:numPr>
                <w:ilvl w:val="0"/>
                <w:numId w:val="18"/>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rPr>
            </w:pPr>
            <w:r>
              <w:rPr>
                <w:rFonts w:hint="default" w:ascii="Times New Roman" w:hAnsi="Times New Roman" w:cs="Times New Roman"/>
                <w:b/>
                <w:color w:val="auto"/>
              </w:rPr>
              <w:t>危险废物</w:t>
            </w:r>
            <w:r>
              <w:rPr>
                <w:rFonts w:hint="eastAsia" w:ascii="Times New Roman" w:hAnsi="Times New Roman" w:cs="Times New Roman"/>
                <w:b/>
                <w:color w:val="auto"/>
              </w:rPr>
              <w:t>贮存设置情况</w:t>
            </w:r>
            <w:r>
              <w:rPr>
                <w:rFonts w:hint="default" w:ascii="Times New Roman" w:hAnsi="Times New Roman" w:cs="Times New Roman"/>
                <w:b/>
                <w:color w:val="auto"/>
              </w:rPr>
              <w:t>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656"/>
              <w:gridCol w:w="1458"/>
              <w:gridCol w:w="954"/>
              <w:gridCol w:w="655"/>
              <w:gridCol w:w="655"/>
              <w:gridCol w:w="451"/>
              <w:gridCol w:w="566"/>
              <w:gridCol w:w="437"/>
              <w:gridCol w:w="574"/>
              <w:gridCol w:w="1133"/>
            </w:tblGrid>
            <w:tr w14:paraId="1639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431A3CF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危险废物名称</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4E7B78D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危险废物类别</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3A479AF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危险废物代码</w:t>
                  </w:r>
                </w:p>
              </w:tc>
              <w:tc>
                <w:tcPr>
                  <w:tcW w:w="580" w:type="pct"/>
                  <w:tcBorders>
                    <w:top w:val="single" w:color="auto" w:sz="4" w:space="0"/>
                    <w:left w:val="single" w:color="auto" w:sz="4" w:space="0"/>
                    <w:right w:val="single" w:color="auto" w:sz="4" w:space="0"/>
                  </w:tcBorders>
                  <w:noWrap w:val="0"/>
                  <w:vAlign w:val="center"/>
                </w:tcPr>
                <w:p w14:paraId="739699B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产生量</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49044F9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产生工序及装置</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57DB9E3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物理性状</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41F6A17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主要成分</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26EA406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有害成分</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364EC87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产废周期</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2D95406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危险特性</w:t>
                  </w:r>
                </w:p>
              </w:tc>
              <w:tc>
                <w:tcPr>
                  <w:tcW w:w="688" w:type="pct"/>
                  <w:tcBorders>
                    <w:top w:val="single" w:color="auto" w:sz="4" w:space="0"/>
                    <w:left w:val="single" w:color="auto" w:sz="4" w:space="0"/>
                    <w:bottom w:val="single" w:color="auto" w:sz="4" w:space="0"/>
                    <w:right w:val="single" w:color="auto" w:sz="4" w:space="0"/>
                  </w:tcBorders>
                  <w:noWrap w:val="0"/>
                  <w:vAlign w:val="center"/>
                </w:tcPr>
                <w:p w14:paraId="2871892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污染物防治措施</w:t>
                  </w:r>
                </w:p>
              </w:tc>
            </w:tr>
            <w:tr w14:paraId="69BE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51359B0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废油</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28FF542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HW08</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2970FC7B">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900-210-08、900-249-08</w:t>
                  </w:r>
                </w:p>
              </w:tc>
              <w:tc>
                <w:tcPr>
                  <w:tcW w:w="580" w:type="pct"/>
                  <w:tcBorders>
                    <w:top w:val="single" w:color="auto" w:sz="4" w:space="0"/>
                    <w:left w:val="single" w:color="auto" w:sz="4" w:space="0"/>
                    <w:bottom w:val="single" w:color="auto" w:sz="4" w:space="0"/>
                    <w:right w:val="single" w:color="auto" w:sz="4" w:space="0"/>
                  </w:tcBorders>
                  <w:noWrap w:val="0"/>
                  <w:vAlign w:val="center"/>
                </w:tcPr>
                <w:p w14:paraId="5732E63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bidi="ar"/>
                    </w:rPr>
                    <w:t>2</w:t>
                  </w:r>
                  <w:r>
                    <w:rPr>
                      <w:rFonts w:hint="default" w:ascii="Times New Roman" w:hAnsi="Times New Roman" w:eastAsia="宋体" w:cs="Times New Roman"/>
                      <w:color w:val="auto"/>
                      <w:sz w:val="21"/>
                      <w:szCs w:val="21"/>
                      <w:lang w:bidi="ar"/>
                    </w:rPr>
                    <w:t>5t</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1D8D610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bidi="ar"/>
                    </w:rPr>
                    <w:t>勘探过程</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0DF91D8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固态、液态</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41BAD47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矿物油</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7142D4C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石油类</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49EF0EE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1个月</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01BDBC1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T、I</w:t>
                  </w:r>
                </w:p>
              </w:tc>
              <w:tc>
                <w:tcPr>
                  <w:tcW w:w="688" w:type="pct"/>
                  <w:vMerge w:val="restart"/>
                  <w:tcBorders>
                    <w:top w:val="single" w:color="auto" w:sz="4" w:space="0"/>
                    <w:left w:val="single" w:color="auto" w:sz="4" w:space="0"/>
                    <w:right w:val="single" w:color="auto" w:sz="4" w:space="0"/>
                  </w:tcBorders>
                  <w:noWrap w:val="0"/>
                  <w:vAlign w:val="center"/>
                </w:tcPr>
                <w:p w14:paraId="38FCDF1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暂存于危废暂存间，交危废资质单位处置</w:t>
                  </w:r>
                </w:p>
              </w:tc>
            </w:tr>
            <w:tr w14:paraId="22D3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3060D1C6">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含油污染物</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7C67AAD7">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HW49</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6D05CA0B">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900-041-49</w:t>
                  </w:r>
                </w:p>
              </w:tc>
              <w:tc>
                <w:tcPr>
                  <w:tcW w:w="580" w:type="pct"/>
                  <w:tcBorders>
                    <w:top w:val="single" w:color="auto" w:sz="4" w:space="0"/>
                    <w:left w:val="single" w:color="auto" w:sz="4" w:space="0"/>
                    <w:bottom w:val="single" w:color="auto" w:sz="4" w:space="0"/>
                    <w:right w:val="single" w:color="auto" w:sz="4" w:space="0"/>
                  </w:tcBorders>
                  <w:noWrap w:val="0"/>
                  <w:vAlign w:val="center"/>
                </w:tcPr>
                <w:p w14:paraId="066C7C66">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5t</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00113A38">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设备维护</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2236A021">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固态</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62D1E829">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矿物油</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61E48AF2">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石油类</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4009C023">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1个月</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2B898D4E">
                  <w:pPr>
                    <w:pStyle w:val="55"/>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T、I</w:t>
                  </w:r>
                </w:p>
              </w:tc>
              <w:tc>
                <w:tcPr>
                  <w:tcW w:w="688" w:type="pct"/>
                  <w:vMerge w:val="continue"/>
                  <w:tcBorders>
                    <w:left w:val="single" w:color="auto" w:sz="4" w:space="0"/>
                    <w:right w:val="single" w:color="auto" w:sz="4" w:space="0"/>
                  </w:tcBorders>
                  <w:noWrap w:val="0"/>
                  <w:vAlign w:val="center"/>
                </w:tcPr>
                <w:p w14:paraId="29DCFE49">
                  <w:pPr>
                    <w:pStyle w:val="55"/>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lang w:bidi="ar"/>
                    </w:rPr>
                  </w:pPr>
                </w:p>
              </w:tc>
            </w:tr>
          </w:tbl>
          <w:p w14:paraId="041F8B2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上述危险废物在井场危废暂存间临时储存，危废暂存间拟采取轻钢棚等结构，采用防渗有盖铁桶封闭存放，并将铁桶设置于围堰内，粘贴危险废物标识，临时收集储存设施应做好“防风、防晒、防雨、防漏、防渗、防腐”要求，并设置警示标识。</w:t>
            </w:r>
          </w:p>
          <w:p w14:paraId="799CDF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rPr>
            </w:pPr>
            <w:r>
              <w:rPr>
                <w:rFonts w:hint="eastAsia" w:ascii="Times New Roman" w:hAnsi="Times New Roman" w:eastAsia="宋体" w:cs="Times New Roman"/>
                <w:b w:val="0"/>
                <w:bCs/>
                <w:color w:val="auto"/>
                <w:sz w:val="24"/>
              </w:rPr>
              <w:t>①危险废物识别标志设置</w:t>
            </w:r>
          </w:p>
          <w:p w14:paraId="050986A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按照《危险废物识别标志设置技术规范》（HJ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1276-2022）设置识别标志，具体要求如下所示：</w:t>
            </w:r>
          </w:p>
          <w:p w14:paraId="1100EC0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1）总体要求</w:t>
            </w:r>
          </w:p>
          <w:p w14:paraId="0EABD9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识别标志的设置应具有足够的警示性，以提醒相关人员在从事收集、贮存、利用、处置危险废物经营活动时注意防范危险废物的环境风险。②危险废物识别标志应设置在醒目的位置，避免被其他固定物体遮挡，并与周边的环境特点相协调。③危险废物识别标志与其他标志宜保持视觉上的分离。危险废物识别标志与其他标志相近设置时，宜确保危险废物识别标志在视觉上的识别和信息的读取不受其他标志的影响。④同一场所内，同一种类危险废物识别标志的尺寸、设置位置、设置方式和设置高度等宜保持一致。⑤危险废物识别标志的设置除应满足本标准的要求外，还应执行国家安全生产、消防等有关</w:t>
            </w:r>
            <w:r>
              <w:rPr>
                <w:rFonts w:hint="eastAsia" w:ascii="Times New Roman" w:hAnsi="Times New Roman" w:cs="Times New Roman"/>
                <w:bCs/>
                <w:color w:val="auto"/>
                <w:sz w:val="24"/>
              </w:rPr>
              <w:t>法律法规</w:t>
            </w:r>
            <w:r>
              <w:rPr>
                <w:rFonts w:hint="default" w:ascii="Times New Roman" w:hAnsi="Times New Roman" w:cs="Times New Roman"/>
                <w:bCs/>
                <w:color w:val="auto"/>
                <w:sz w:val="24"/>
              </w:rPr>
              <w:t>和标准的要求。</w:t>
            </w:r>
          </w:p>
          <w:p w14:paraId="18AF1B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2）危险废物标签的内容要求</w:t>
            </w:r>
          </w:p>
          <w:p w14:paraId="334050C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①危险废物标签应以醒目的字样标注</w:t>
            </w:r>
            <w:r>
              <w:rPr>
                <w:rFonts w:hint="eastAsia" w:ascii="宋体" w:hAnsi="宋体" w:cs="Times New Roman"/>
                <w:bCs/>
                <w:color w:val="auto"/>
                <w:sz w:val="24"/>
              </w:rPr>
              <w:t>“</w:t>
            </w:r>
            <w:r>
              <w:rPr>
                <w:rFonts w:hint="default" w:ascii="宋体" w:hAnsi="宋体" w:cs="Times New Roman"/>
                <w:bCs/>
                <w:color w:val="auto"/>
                <w:sz w:val="24"/>
              </w:rPr>
              <w:t>危险废物”</w:t>
            </w:r>
            <w:r>
              <w:rPr>
                <w:rFonts w:hint="default" w:ascii="Times New Roman" w:hAnsi="Times New Roman" w:cs="Times New Roman"/>
                <w:bCs/>
                <w:color w:val="auto"/>
                <w:sz w:val="24"/>
              </w:rPr>
              <w:t>。②危险废物标签应包含废物名称、废物类别、废物代码、废物形态、危险特性、主要成分、有害成分、注意事项、产生/收集单位名称、联系人、联系方式、产生日期、废物重量和备注。③危险废物标签宜设置危险废物数字识别码和二维码。</w:t>
            </w:r>
          </w:p>
          <w:p w14:paraId="0F81828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3）危险废物贮存分区标志</w:t>
            </w:r>
          </w:p>
          <w:p w14:paraId="2FE280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①危险废物贮存分区标志应以醒目的方式标注</w:t>
            </w:r>
            <w:r>
              <w:rPr>
                <w:rFonts w:hint="eastAsia" w:ascii="宋体" w:hAnsi="宋体" w:cs="Times New Roman"/>
                <w:bCs/>
                <w:color w:val="auto"/>
                <w:sz w:val="24"/>
              </w:rPr>
              <w:t>“</w:t>
            </w:r>
            <w:r>
              <w:rPr>
                <w:rFonts w:hint="default" w:ascii="宋体" w:hAnsi="宋体" w:cs="Times New Roman"/>
                <w:bCs/>
                <w:color w:val="auto"/>
                <w:sz w:val="24"/>
              </w:rPr>
              <w:t>危险废物贮存分区标志”</w:t>
            </w:r>
            <w:r>
              <w:rPr>
                <w:rFonts w:hint="default" w:ascii="Times New Roman" w:hAnsi="Times New Roman" w:cs="Times New Roman"/>
                <w:bCs/>
                <w:color w:val="auto"/>
                <w:sz w:val="24"/>
              </w:rPr>
              <w:t>字样。②危险废物贮存分区标志应包含但不限于设施内部所有贮存分区的平面分布、各分区存放的危险废物信息、本贮存分区的具体位置、环境应急物资所在位置以及进出口位置和方向。③危险废物贮存单位可根据自身贮存设施建设情况，在危险废物贮存分区标志中添加收集池、导流沟和通道等信息。④危险废物贮存分区标志的信息应随着设施内废物贮存情况的变化及时调整。</w:t>
            </w:r>
          </w:p>
          <w:p w14:paraId="4BEF9D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4）危险废物贮存、利用、处置设施标志</w:t>
            </w:r>
          </w:p>
          <w:p w14:paraId="1E1815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①危险废物贮存、利用、处置设施标志应包含三角形警告性图形标志和文字性辅助标志，其中三角形警告性图形标志应符合GB 15562.2中的要求。②危险废物贮存、利用、处置设施标志应以醒目的文字标注危险废物设施的类型。③危险废物贮存、利用、处置设施标志还应包含危险废物设施所属的单位名称、设施编码、负责人及联系方式。④危险废物贮存、利用、处置设施标志宜设置二维码，对设施使用情况进行信息化管理。</w:t>
            </w:r>
          </w:p>
          <w:tbl>
            <w:tblPr>
              <w:tblStyle w:val="23"/>
              <w:tblW w:w="5000" w:type="pct"/>
              <w:jc w:val="center"/>
              <w:tblLayout w:type="fixed"/>
              <w:tblCellMar>
                <w:top w:w="0" w:type="dxa"/>
                <w:left w:w="108" w:type="dxa"/>
                <w:bottom w:w="0" w:type="dxa"/>
                <w:right w:w="108" w:type="dxa"/>
              </w:tblCellMar>
            </w:tblPr>
            <w:tblGrid>
              <w:gridCol w:w="4121"/>
              <w:gridCol w:w="4120"/>
            </w:tblGrid>
            <w:tr w14:paraId="7DBAF614">
              <w:tblPrEx>
                <w:tblCellMar>
                  <w:top w:w="0" w:type="dxa"/>
                  <w:left w:w="108" w:type="dxa"/>
                  <w:bottom w:w="0" w:type="dxa"/>
                  <w:right w:w="108" w:type="dxa"/>
                </w:tblCellMar>
              </w:tblPrEx>
              <w:trPr>
                <w:jc w:val="center"/>
              </w:trPr>
              <w:tc>
                <w:tcPr>
                  <w:tcW w:w="4611" w:type="dxa"/>
                  <w:noWrap w:val="0"/>
                  <w:vAlign w:val="center"/>
                </w:tcPr>
                <w:p w14:paraId="64764EAE">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rPr>
                  </w:pPr>
                  <w:r>
                    <w:rPr>
                      <w:rFonts w:hint="default" w:ascii="Times New Roman" w:hAnsi="Times New Roman" w:cs="Times New Roman"/>
                      <w:color w:val="auto"/>
                    </w:rPr>
                    <w:drawing>
                      <wp:inline distT="0" distB="0" distL="114300" distR="114300">
                        <wp:extent cx="2351405" cy="2306320"/>
                        <wp:effectExtent l="0" t="0" r="9525" b="5080"/>
                        <wp:docPr id="2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5"/>
                                <pic:cNvPicPr>
                                  <a:picLocks noChangeAspect="1"/>
                                </pic:cNvPicPr>
                              </pic:nvPicPr>
                              <pic:blipFill>
                                <a:blip r:embed="rId56"/>
                                <a:stretch>
                                  <a:fillRect/>
                                </a:stretch>
                              </pic:blipFill>
                              <pic:spPr>
                                <a:xfrm>
                                  <a:off x="0" y="0"/>
                                  <a:ext cx="2351405" cy="2306320"/>
                                </a:xfrm>
                                <a:prstGeom prst="rect">
                                  <a:avLst/>
                                </a:prstGeom>
                                <a:noFill/>
                                <a:ln>
                                  <a:noFill/>
                                </a:ln>
                              </pic:spPr>
                            </pic:pic>
                          </a:graphicData>
                        </a:graphic>
                      </wp:inline>
                    </w:drawing>
                  </w:r>
                </w:p>
              </w:tc>
              <w:tc>
                <w:tcPr>
                  <w:tcW w:w="4611" w:type="dxa"/>
                  <w:noWrap w:val="0"/>
                  <w:vAlign w:val="center"/>
                </w:tcPr>
                <w:p w14:paraId="12A3DB0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rPr>
                  </w:pPr>
                  <w:r>
                    <w:rPr>
                      <w:rFonts w:hint="default" w:ascii="Times New Roman" w:hAnsi="Times New Roman" w:cs="Times New Roman"/>
                      <w:color w:val="auto"/>
                    </w:rPr>
                    <w:drawing>
                      <wp:inline distT="0" distB="0" distL="114300" distR="114300">
                        <wp:extent cx="2580640" cy="2152650"/>
                        <wp:effectExtent l="0" t="0" r="11430" b="10160"/>
                        <wp:docPr id="3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9"/>
                                <pic:cNvPicPr>
                                  <a:picLocks noChangeAspect="1"/>
                                </pic:cNvPicPr>
                              </pic:nvPicPr>
                              <pic:blipFill>
                                <a:blip r:embed="rId57"/>
                                <a:stretch>
                                  <a:fillRect/>
                                </a:stretch>
                              </pic:blipFill>
                              <pic:spPr>
                                <a:xfrm>
                                  <a:off x="0" y="0"/>
                                  <a:ext cx="2580640" cy="2152650"/>
                                </a:xfrm>
                                <a:prstGeom prst="rect">
                                  <a:avLst/>
                                </a:prstGeom>
                                <a:noFill/>
                                <a:ln>
                                  <a:noFill/>
                                </a:ln>
                              </pic:spPr>
                            </pic:pic>
                          </a:graphicData>
                        </a:graphic>
                      </wp:inline>
                    </w:drawing>
                  </w:r>
                </w:p>
              </w:tc>
            </w:tr>
            <w:tr w14:paraId="63A41067">
              <w:tblPrEx>
                <w:tblCellMar>
                  <w:top w:w="0" w:type="dxa"/>
                  <w:left w:w="108" w:type="dxa"/>
                  <w:bottom w:w="0" w:type="dxa"/>
                  <w:right w:w="108" w:type="dxa"/>
                </w:tblCellMar>
              </w:tblPrEx>
              <w:trPr>
                <w:jc w:val="center"/>
              </w:trPr>
              <w:tc>
                <w:tcPr>
                  <w:tcW w:w="4611" w:type="dxa"/>
                  <w:noWrap w:val="0"/>
                  <w:vAlign w:val="center"/>
                </w:tcPr>
                <w:p w14:paraId="7723A0E4">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bCs/>
                      <w:color w:val="auto"/>
                    </w:rPr>
                    <w:t>危险废物标签样式示意图</w:t>
                  </w:r>
                </w:p>
              </w:tc>
              <w:tc>
                <w:tcPr>
                  <w:tcW w:w="4611" w:type="dxa"/>
                  <w:noWrap w:val="0"/>
                  <w:vAlign w:val="center"/>
                </w:tcPr>
                <w:p w14:paraId="59BAA43A">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危险废物贮存分区标志样式示意图</w:t>
                  </w:r>
                </w:p>
              </w:tc>
            </w:tr>
            <w:tr w14:paraId="02B73AAE">
              <w:tblPrEx>
                <w:tblCellMar>
                  <w:top w:w="0" w:type="dxa"/>
                  <w:left w:w="108" w:type="dxa"/>
                  <w:bottom w:w="0" w:type="dxa"/>
                  <w:right w:w="108" w:type="dxa"/>
                </w:tblCellMar>
              </w:tblPrEx>
              <w:trPr>
                <w:jc w:val="center"/>
              </w:trPr>
              <w:tc>
                <w:tcPr>
                  <w:tcW w:w="4611" w:type="dxa"/>
                  <w:noWrap w:val="0"/>
                  <w:vAlign w:val="center"/>
                </w:tcPr>
                <w:p w14:paraId="71FBA40A">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color w:val="auto"/>
                    </w:rPr>
                    <w:drawing>
                      <wp:inline distT="0" distB="0" distL="114300" distR="114300">
                        <wp:extent cx="2574290" cy="1658620"/>
                        <wp:effectExtent l="0" t="0" r="1270" b="8890"/>
                        <wp:docPr id="3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7"/>
                                <pic:cNvPicPr>
                                  <a:picLocks noChangeAspect="1"/>
                                </pic:cNvPicPr>
                              </pic:nvPicPr>
                              <pic:blipFill>
                                <a:blip r:embed="rId58"/>
                                <a:stretch>
                                  <a:fillRect/>
                                </a:stretch>
                              </pic:blipFill>
                              <pic:spPr>
                                <a:xfrm>
                                  <a:off x="0" y="0"/>
                                  <a:ext cx="2574290" cy="1658620"/>
                                </a:xfrm>
                                <a:prstGeom prst="rect">
                                  <a:avLst/>
                                </a:prstGeom>
                                <a:noFill/>
                                <a:ln>
                                  <a:noFill/>
                                </a:ln>
                              </pic:spPr>
                            </pic:pic>
                          </a:graphicData>
                        </a:graphic>
                      </wp:inline>
                    </w:drawing>
                  </w:r>
                </w:p>
              </w:tc>
              <w:tc>
                <w:tcPr>
                  <w:tcW w:w="4611" w:type="dxa"/>
                  <w:noWrap w:val="0"/>
                  <w:vAlign w:val="center"/>
                </w:tcPr>
                <w:p w14:paraId="04542B20">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color w:val="auto"/>
                    </w:rPr>
                    <w:drawing>
                      <wp:inline distT="0" distB="0" distL="114300" distR="114300">
                        <wp:extent cx="2562860" cy="1637030"/>
                        <wp:effectExtent l="0" t="0" r="12700" b="13970"/>
                        <wp:docPr id="3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8"/>
                                <pic:cNvPicPr>
                                  <a:picLocks noChangeAspect="1"/>
                                </pic:cNvPicPr>
                              </pic:nvPicPr>
                              <pic:blipFill>
                                <a:blip r:embed="rId59"/>
                                <a:stretch>
                                  <a:fillRect/>
                                </a:stretch>
                              </pic:blipFill>
                              <pic:spPr>
                                <a:xfrm>
                                  <a:off x="0" y="0"/>
                                  <a:ext cx="2562860" cy="1637030"/>
                                </a:xfrm>
                                <a:prstGeom prst="rect">
                                  <a:avLst/>
                                </a:prstGeom>
                                <a:noFill/>
                                <a:ln>
                                  <a:noFill/>
                                </a:ln>
                              </pic:spPr>
                            </pic:pic>
                          </a:graphicData>
                        </a:graphic>
                      </wp:inline>
                    </w:drawing>
                  </w:r>
                </w:p>
              </w:tc>
            </w:tr>
            <w:tr w14:paraId="43E719FE">
              <w:tblPrEx>
                <w:tblCellMar>
                  <w:top w:w="0" w:type="dxa"/>
                  <w:left w:w="108" w:type="dxa"/>
                  <w:bottom w:w="0" w:type="dxa"/>
                  <w:right w:w="108" w:type="dxa"/>
                </w:tblCellMar>
              </w:tblPrEx>
              <w:trPr>
                <w:jc w:val="center"/>
              </w:trPr>
              <w:tc>
                <w:tcPr>
                  <w:tcW w:w="4611" w:type="dxa"/>
                  <w:noWrap w:val="0"/>
                  <w:vAlign w:val="center"/>
                </w:tcPr>
                <w:p w14:paraId="699DC148">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贮存设施标志</w:t>
                  </w:r>
                </w:p>
              </w:tc>
              <w:tc>
                <w:tcPr>
                  <w:tcW w:w="4611" w:type="dxa"/>
                  <w:noWrap w:val="0"/>
                  <w:vAlign w:val="center"/>
                </w:tcPr>
                <w:p w14:paraId="02259D63">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处置设施标志</w:t>
                  </w:r>
                </w:p>
              </w:tc>
            </w:tr>
          </w:tbl>
          <w:p w14:paraId="2F147A2E">
            <w:pPr>
              <w:keepNext w:val="0"/>
              <w:keepLines w:val="0"/>
              <w:numPr>
                <w:ilvl w:val="0"/>
                <w:numId w:val="1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default" w:ascii="Times New Roman" w:hAnsi="Times New Roman" w:cs="Times New Roman"/>
                <w:b/>
                <w:color w:val="auto"/>
              </w:rPr>
              <w:t>危险废物识别标志</w:t>
            </w:r>
          </w:p>
          <w:p w14:paraId="0351DC76">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3</w:t>
            </w: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危废储存、暂存、管理</w:t>
            </w:r>
            <w:r>
              <w:rPr>
                <w:rFonts w:hint="default" w:ascii="Times New Roman" w:hAnsi="Times New Roman" w:cs="Times New Roman"/>
                <w:b w:val="0"/>
                <w:bCs w:val="0"/>
                <w:color w:val="auto"/>
                <w:sz w:val="24"/>
                <w:szCs w:val="28"/>
              </w:rPr>
              <w:t>措施</w:t>
            </w:r>
          </w:p>
          <w:p w14:paraId="59F4EE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项目钻井过程中产生的</w:t>
            </w:r>
            <w:r>
              <w:rPr>
                <w:rFonts w:hint="eastAsia" w:ascii="Times New Roman" w:hAnsi="Times New Roman" w:cs="Times New Roman"/>
                <w:color w:val="auto"/>
                <w:sz w:val="24"/>
              </w:rPr>
              <w:t>危废</w:t>
            </w:r>
            <w:r>
              <w:rPr>
                <w:rFonts w:hint="default" w:ascii="Times New Roman" w:hAnsi="Times New Roman" w:cs="Times New Roman"/>
                <w:color w:val="auto"/>
                <w:sz w:val="24"/>
              </w:rPr>
              <w:t>集中收集于危废暂存间，废油的收集、贮存、运输应满足《危险废物收集</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贮存</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运输技术规范》（HJ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2025-2012）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《危险废物贮存污染控制标准》（GB 18597-2023）等相关要求，钻井结束后交</w:t>
            </w:r>
            <w:r>
              <w:rPr>
                <w:rFonts w:hint="eastAsia" w:ascii="Times New Roman" w:hAnsi="Times New Roman" w:cs="Times New Roman"/>
                <w:color w:val="auto"/>
                <w:sz w:val="24"/>
                <w:lang w:val="en-US" w:eastAsia="zh-CN"/>
              </w:rPr>
              <w:t>由</w:t>
            </w:r>
            <w:r>
              <w:rPr>
                <w:rFonts w:hint="default" w:ascii="Times New Roman" w:hAnsi="Times New Roman" w:cs="Times New Roman"/>
                <w:color w:val="auto"/>
                <w:sz w:val="24"/>
              </w:rPr>
              <w:t>有危废资质单位进行处置。</w:t>
            </w:r>
          </w:p>
          <w:p w14:paraId="1DB3CF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32"/>
              </w:rPr>
            </w:pPr>
            <w:r>
              <w:rPr>
                <w:rFonts w:hint="eastAsia" w:ascii="Times New Roman" w:hAnsi="Times New Roman" w:cs="Times New Roman"/>
                <w:b w:val="0"/>
                <w:bCs w:val="0"/>
                <w:color w:val="auto"/>
                <w:sz w:val="24"/>
                <w:szCs w:val="32"/>
              </w:rPr>
              <w:t>（4）危废转运措施</w:t>
            </w:r>
          </w:p>
          <w:p w14:paraId="74021A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1）危险废物运输应由持危险废物经营许可证的单位按照其许可证的经营范围组织实施，承担危险废物运输的单位应获得交通运输部门颁发的危险货物运输资质，转移、运输按《道路危险货物运输管理规定》执行，运输工具须用危险货物专用车辆进行运输，并按《道路运输危险货物车辆标志》设置车辆标志。</w:t>
            </w:r>
          </w:p>
          <w:p w14:paraId="7EBE882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2）危险废物在转移、运输前运输单位要制定详细的运输方案及路线，并制定事故应急预案。</w:t>
            </w:r>
          </w:p>
          <w:p w14:paraId="7C02688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3）转移、运输时应按照《危险废物转移管理办法》的规定填写危险废物转移联单；如实记录转移起始位置、数量、车辆车牌号、经办人员等信息。</w:t>
            </w:r>
          </w:p>
          <w:p w14:paraId="5730B28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4）危险货物运输车辆驾驶员和押运人员等必须经过危险废物和应急救援方面的培训，包括防火、防泄漏以及应急联络等。</w:t>
            </w:r>
          </w:p>
          <w:p w14:paraId="1FCC40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szCs w:val="32"/>
              </w:rPr>
              <w:t>5）危险废物运输路线应避开饮用水源保护区、生态保护红线区、自然保护区、人口密集城镇等特殊环境敏感区。</w:t>
            </w:r>
          </w:p>
          <w:p w14:paraId="10564E20">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5</w:t>
            </w:r>
            <w:r>
              <w:rPr>
                <w:rFonts w:hint="default" w:ascii="Times New Roman" w:hAnsi="Times New Roman" w:cs="Times New Roman"/>
                <w:b w:val="0"/>
                <w:bCs w:val="0"/>
                <w:color w:val="auto"/>
                <w:sz w:val="24"/>
                <w:szCs w:val="28"/>
              </w:rPr>
              <w:t>）生活垃圾处置措施</w:t>
            </w:r>
          </w:p>
          <w:p w14:paraId="3EF93F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钻井队作业人员</w:t>
            </w:r>
            <w:r>
              <w:rPr>
                <w:rFonts w:hint="eastAsia" w:ascii="Times New Roman" w:hAnsi="Times New Roman" w:cs="Times New Roman"/>
                <w:bCs/>
                <w:color w:val="auto"/>
                <w:sz w:val="24"/>
                <w:lang w:val="en-US" w:eastAsia="zh-CN"/>
              </w:rPr>
              <w:t>产生的</w:t>
            </w:r>
            <w:r>
              <w:rPr>
                <w:rFonts w:hint="default" w:ascii="Times New Roman" w:hAnsi="Times New Roman" w:cs="Times New Roman"/>
                <w:bCs/>
                <w:color w:val="auto"/>
                <w:sz w:val="24"/>
              </w:rPr>
              <w:t>生活垃圾分类储存于垃圾箱，交由当地环卫部门处理，措施可行。</w:t>
            </w:r>
          </w:p>
          <w:p w14:paraId="38A2571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6</w:t>
            </w:r>
            <w:r>
              <w:rPr>
                <w:rFonts w:hint="default" w:ascii="Times New Roman" w:hAnsi="Times New Roman" w:cs="Times New Roman"/>
                <w:b w:val="0"/>
                <w:bCs w:val="0"/>
                <w:color w:val="auto"/>
                <w:sz w:val="24"/>
                <w:szCs w:val="28"/>
              </w:rPr>
              <w:t>）废包装材料处置措施</w:t>
            </w:r>
          </w:p>
          <w:p w14:paraId="3448EFC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钻井期间产生的废包装材料主要为各原辅材料的包装袋，为一般废物，废包装材料</w:t>
            </w:r>
            <w:r>
              <w:rPr>
                <w:rFonts w:hint="eastAsia" w:ascii="Times New Roman" w:hAnsi="Times New Roman" w:cs="Times New Roman"/>
                <w:bCs/>
                <w:color w:val="auto"/>
                <w:sz w:val="24"/>
                <w:lang w:val="en-US" w:eastAsia="zh-CN"/>
              </w:rPr>
              <w:t>集中收集后外售资源化利用</w:t>
            </w:r>
            <w:r>
              <w:rPr>
                <w:rFonts w:hint="default" w:ascii="Times New Roman" w:hAnsi="Times New Roman" w:cs="Times New Roman"/>
                <w:bCs/>
                <w:color w:val="auto"/>
                <w:sz w:val="24"/>
              </w:rPr>
              <w:t>。</w:t>
            </w:r>
          </w:p>
          <w:p w14:paraId="4D87BB9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5、土壤保护措施及可行性</w:t>
            </w:r>
          </w:p>
          <w:p w14:paraId="569642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针对可能对土壤造成的影响，本项目拟采取以下措施：</w:t>
            </w:r>
          </w:p>
          <w:p w14:paraId="5B7C0D1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源头控制措施</w:t>
            </w:r>
          </w:p>
          <w:p w14:paraId="646FE1CD">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0"/>
              </w:rPr>
            </w:pPr>
            <w:r>
              <w:rPr>
                <w:rFonts w:hint="default" w:ascii="Times New Roman" w:hAnsi="Times New Roman" w:cs="Times New Roman"/>
                <w:color w:val="auto"/>
                <w:sz w:val="24"/>
              </w:rPr>
              <w:t>根据本工程特点，</w:t>
            </w:r>
            <w:r>
              <w:rPr>
                <w:rFonts w:hint="default" w:ascii="Times New Roman" w:hAnsi="Times New Roman" w:eastAsia="宋体" w:cs="Times New Roman"/>
                <w:color w:val="auto"/>
                <w:sz w:val="24"/>
                <w:szCs w:val="20"/>
              </w:rPr>
              <w:t>结合项目的生态影响特征</w:t>
            </w:r>
            <w:r>
              <w:rPr>
                <w:rFonts w:hint="eastAsia"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按照生态系统功能优化的理念、坚持高效适用的原则提出源头防控措施。</w:t>
            </w:r>
          </w:p>
          <w:p w14:paraId="734BD36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①钻前施工期</w:t>
            </w:r>
          </w:p>
          <w:p w14:paraId="48F7D28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减少施工作业带范围，合理规划施工场地，尽量减少对土壤的扰动范围。缩短施工周期，减少对</w:t>
            </w:r>
            <w:r>
              <w:rPr>
                <w:rFonts w:hint="default" w:ascii="Times New Roman" w:hAnsi="Times New Roman" w:cs="Times New Roman"/>
                <w:color w:val="auto"/>
                <w:sz w:val="24"/>
              </w:rPr>
              <w:t>占地范围及占地范围外1</w:t>
            </w:r>
            <w:r>
              <w:rPr>
                <w:rFonts w:hint="eastAsia" w:ascii="Times New Roman" w:hAnsi="Times New Roman" w:cs="Times New Roman"/>
                <w:color w:val="auto"/>
                <w:sz w:val="24"/>
                <w:lang w:val="en-US" w:eastAsia="zh-CN"/>
              </w:rPr>
              <w:t>km</w:t>
            </w:r>
            <w:r>
              <w:rPr>
                <w:rFonts w:hint="default" w:ascii="Times New Roman" w:hAnsi="Times New Roman" w:cs="Times New Roman"/>
                <w:color w:val="auto"/>
                <w:sz w:val="24"/>
              </w:rPr>
              <w:t>内的耕地、居民点</w:t>
            </w:r>
            <w:r>
              <w:rPr>
                <w:rFonts w:hint="eastAsia" w:ascii="Times New Roman" w:hAnsi="Times New Roman" w:cs="Times New Roman"/>
                <w:color w:val="auto"/>
                <w:sz w:val="24"/>
                <w:lang w:val="en-US" w:eastAsia="zh-CN"/>
              </w:rPr>
              <w:t>的影响。</w:t>
            </w:r>
          </w:p>
          <w:p w14:paraId="3997332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植被保护：</w:t>
            </w:r>
            <w:r>
              <w:rPr>
                <w:rFonts w:hint="eastAsia" w:ascii="Times New Roman" w:hAnsi="Times New Roman" w:cs="Times New Roman"/>
                <w:color w:val="auto"/>
                <w:sz w:val="24"/>
              </w:rPr>
              <w:t>在施工前进行表土剥离，将表层富含养分的土壤单独堆放，</w:t>
            </w:r>
            <w:r>
              <w:rPr>
                <w:rFonts w:hint="eastAsia" w:ascii="Times New Roman" w:hAnsi="Times New Roman" w:cs="Times New Roman"/>
                <w:color w:val="auto"/>
                <w:sz w:val="24"/>
                <w:lang w:val="en-US" w:eastAsia="zh-CN"/>
              </w:rPr>
              <w:t>对开挖的土壤进行分层堆放，以便施工结束后按原层次进行回填，恢复土壤的原有结构。</w:t>
            </w:r>
            <w:r>
              <w:rPr>
                <w:rFonts w:hint="eastAsia" w:ascii="Times New Roman" w:hAnsi="Times New Roman" w:cs="Times New Roman"/>
                <w:color w:val="auto"/>
                <w:sz w:val="24"/>
              </w:rPr>
              <w:t>并采取防护措施，防止雨水冲刷和流失。施工结束后，利用剥离的表土进行植被恢复，选择本地适生植物品种进行种植，促进植被快速恢复。</w:t>
            </w:r>
          </w:p>
          <w:p w14:paraId="18652F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水土流失防控：在井场和道路建设过程中，对开挖面及时进行防护。在开挖边坡设置挡土墙，挡土墙采用浆砌石或混凝土结构，根据边坡坡度和高度合理设计挡土墙的尺寸和强度。同时，在边坡顶部和底部设置截排水沟，截排水沟采用浆砌石或混凝土浇筑，确保排水畅通。</w:t>
            </w:r>
          </w:p>
          <w:p w14:paraId="2532A04B">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rPr>
              <w:t>施工废水处理：</w:t>
            </w:r>
            <w:r>
              <w:rPr>
                <w:rFonts w:hint="default" w:ascii="Times New Roman" w:hAnsi="Times New Roman" w:cs="Times New Roman"/>
                <w:color w:val="auto"/>
                <w:sz w:val="24"/>
              </w:rPr>
              <w:t>施工废水经沉淀处理后回用于场地洒水抑尘，不外排；生活污水通过环保厕所（内置集粪桶）收集，转运至</w:t>
            </w:r>
            <w:r>
              <w:rPr>
                <w:rFonts w:hint="eastAsia" w:cs="Times New Roman"/>
                <w:color w:val="auto"/>
                <w:sz w:val="24"/>
                <w:lang w:eastAsia="zh-CN"/>
              </w:rPr>
              <w:t>上八庙镇</w:t>
            </w:r>
            <w:r>
              <w:rPr>
                <w:rFonts w:hint="eastAsia" w:ascii="Times New Roman" w:hAnsi="Times New Roman" w:cs="Times New Roman"/>
                <w:color w:val="auto"/>
                <w:sz w:val="24"/>
                <w:lang w:eastAsia="zh-CN"/>
              </w:rPr>
              <w:t>污水处理站</w:t>
            </w:r>
            <w:r>
              <w:rPr>
                <w:rFonts w:hint="default" w:ascii="Times New Roman" w:hAnsi="Times New Roman" w:cs="Times New Roman"/>
                <w:color w:val="auto"/>
                <w:sz w:val="24"/>
              </w:rPr>
              <w:t>进行处理</w:t>
            </w:r>
            <w:r>
              <w:rPr>
                <w:rFonts w:hint="eastAsia" w:ascii="Times New Roman" w:hAnsi="Times New Roman" w:cs="Times New Roman"/>
                <w:color w:val="auto"/>
                <w:sz w:val="24"/>
                <w:lang w:eastAsia="zh-CN"/>
              </w:rPr>
              <w:t>。</w:t>
            </w:r>
          </w:p>
          <w:p w14:paraId="00AF3055">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val="en-US" w:eastAsia="zh-CN"/>
              </w:rPr>
              <w:t>②</w:t>
            </w:r>
            <w:r>
              <w:rPr>
                <w:rFonts w:hint="eastAsia" w:ascii="Times New Roman" w:hAnsi="Times New Roman" w:cs="Times New Roman"/>
                <w:color w:val="auto"/>
                <w:sz w:val="24"/>
                <w:lang w:eastAsia="zh-CN"/>
              </w:rPr>
              <w:t>钻井施工期</w:t>
            </w:r>
          </w:p>
          <w:p w14:paraId="2911B1C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钻井液选择与管理：选用对环境影响较小的水基钻井液体系，在钻井液配方设计阶段，充分考虑</w:t>
            </w:r>
            <w:r>
              <w:rPr>
                <w:rFonts w:hint="eastAsia" w:ascii="Times New Roman" w:hAnsi="Times New Roman" w:cs="Times New Roman"/>
                <w:color w:val="auto"/>
                <w:sz w:val="24"/>
                <w:lang w:val="en-US" w:eastAsia="zh-CN"/>
              </w:rPr>
              <w:t>土壤理化性质</w:t>
            </w:r>
            <w:r>
              <w:rPr>
                <w:rFonts w:hint="eastAsia" w:ascii="Times New Roman" w:hAnsi="Times New Roman" w:cs="Times New Roman"/>
                <w:color w:val="auto"/>
                <w:sz w:val="24"/>
                <w:lang w:eastAsia="zh-CN"/>
              </w:rPr>
              <w:t>和环境保护要求，优化配方，降低钻井液中有害物质的含量。</w:t>
            </w:r>
            <w:r>
              <w:rPr>
                <w:rFonts w:hint="eastAsia" w:ascii="Times New Roman" w:hAnsi="Times New Roman" w:cs="Times New Roman"/>
                <w:bCs/>
                <w:color w:val="auto"/>
                <w:sz w:val="24"/>
              </w:rPr>
              <w:t>钻井液成分</w:t>
            </w:r>
            <w:r>
              <w:rPr>
                <w:rFonts w:hint="eastAsia" w:ascii="Times New Roman" w:hAnsi="Times New Roman" w:cs="Times New Roman"/>
                <w:bCs/>
                <w:color w:val="auto"/>
                <w:sz w:val="24"/>
                <w:lang w:val="en-US" w:eastAsia="zh-CN"/>
              </w:rPr>
              <w:t>选用</w:t>
            </w:r>
            <w:r>
              <w:rPr>
                <w:rFonts w:hint="eastAsia" w:ascii="Times New Roman" w:hAnsi="Times New Roman" w:cs="Times New Roman"/>
                <w:bCs/>
                <w:color w:val="auto"/>
                <w:sz w:val="24"/>
              </w:rPr>
              <w:t>不含持久性有机污染物、重金属等有毒有害物质，</w:t>
            </w:r>
            <w:r>
              <w:rPr>
                <w:rFonts w:hint="eastAsia" w:ascii="Times New Roman" w:hAnsi="Times New Roman" w:cs="Times New Roman"/>
                <w:bCs/>
                <w:color w:val="auto"/>
                <w:sz w:val="24"/>
                <w:lang w:val="en-US" w:eastAsia="zh-CN"/>
              </w:rPr>
              <w:t>选用</w:t>
            </w:r>
            <w:r>
              <w:rPr>
                <w:rFonts w:hint="default" w:ascii="Times New Roman" w:hAnsi="Times New Roman" w:cs="Times New Roman"/>
                <w:bCs/>
                <w:color w:val="auto"/>
                <w:sz w:val="24"/>
              </w:rPr>
              <w:t>组成物质化学性质稳定的钻井液，</w:t>
            </w:r>
            <w:r>
              <w:rPr>
                <w:rFonts w:hint="eastAsia" w:ascii="Times New Roman" w:hAnsi="Times New Roman" w:cs="Times New Roman"/>
                <w:bCs/>
                <w:color w:val="auto"/>
                <w:sz w:val="24"/>
                <w:lang w:val="en-US" w:eastAsia="zh-CN"/>
              </w:rPr>
              <w:t>尽量减少</w:t>
            </w:r>
            <w:r>
              <w:rPr>
                <w:rFonts w:hint="default" w:ascii="Times New Roman" w:hAnsi="Times New Roman" w:cs="Times New Roman"/>
                <w:bCs/>
                <w:color w:val="auto"/>
                <w:sz w:val="24"/>
              </w:rPr>
              <w:t>无机盐</w:t>
            </w:r>
            <w:r>
              <w:rPr>
                <w:rFonts w:hint="eastAsia" w:ascii="Times New Roman" w:hAnsi="Times New Roman" w:cs="Times New Roman"/>
                <w:bCs/>
                <w:color w:val="auto"/>
                <w:sz w:val="24"/>
                <w:lang w:val="en-US" w:eastAsia="zh-CN"/>
              </w:rPr>
              <w:t>的使用。</w:t>
            </w:r>
            <w:r>
              <w:rPr>
                <w:rFonts w:hint="eastAsia" w:ascii="Times New Roman" w:hAnsi="Times New Roman" w:cs="Times New Roman"/>
                <w:color w:val="auto"/>
                <w:sz w:val="24"/>
                <w:lang w:val="en-US" w:eastAsia="zh-CN"/>
              </w:rPr>
              <w:t>同时采用</w:t>
            </w:r>
            <w:r>
              <w:rPr>
                <w:rFonts w:hint="eastAsia" w:ascii="Times New Roman" w:hAnsi="Times New Roman" w:cs="Times New Roman"/>
                <w:color w:val="auto"/>
                <w:sz w:val="24"/>
                <w:lang w:eastAsia="zh-CN"/>
              </w:rPr>
              <w:t>钻井液循环工艺</w:t>
            </w:r>
            <w:r>
              <w:rPr>
                <w:rFonts w:hint="eastAsia" w:ascii="Times New Roman" w:hAnsi="Times New Roman" w:cs="Times New Roman"/>
                <w:color w:val="auto"/>
                <w:sz w:val="24"/>
                <w:lang w:val="en-US" w:eastAsia="zh-CN"/>
              </w:rPr>
              <w:t>和</w:t>
            </w:r>
            <w:r>
              <w:rPr>
                <w:rFonts w:hint="eastAsia" w:ascii="Times New Roman" w:hAnsi="Times New Roman" w:cs="Times New Roman"/>
                <w:color w:val="auto"/>
                <w:sz w:val="24"/>
                <w:lang w:eastAsia="zh-CN"/>
              </w:rPr>
              <w:t>泥浆不落地工艺，污染物随钻随处理，不落地处理技术。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cs="Times New Roman"/>
                <w:color w:val="auto"/>
                <w:sz w:val="24"/>
                <w:lang w:val="en-US" w:eastAsia="zh-CN"/>
              </w:rPr>
              <w:t>对产生的各类废水和固体废物进行严格管理，确保不发生泄漏和随意丢弃现象。</w:t>
            </w:r>
          </w:p>
          <w:p w14:paraId="4AB56D76">
            <w:pPr>
              <w:keepNext w:val="0"/>
              <w:keepLines w:val="0"/>
              <w:suppressLineNumbers w:val="0"/>
              <w:snapToGrid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采用先进清洁生产技术：减少</w:t>
            </w:r>
            <w:r>
              <w:rPr>
                <w:rFonts w:hint="eastAsia" w:ascii="Times New Roman" w:hAnsi="Times New Roman" w:cs="Times New Roman"/>
                <w:color w:val="auto"/>
                <w:sz w:val="24"/>
                <w:lang w:val="en-US" w:eastAsia="zh-CN"/>
              </w:rPr>
              <w:t>钻井</w:t>
            </w:r>
            <w:r>
              <w:rPr>
                <w:rFonts w:hint="eastAsia" w:ascii="Times New Roman" w:hAnsi="Times New Roman" w:cs="Times New Roman"/>
                <w:color w:val="auto"/>
                <w:sz w:val="24"/>
                <w:lang w:eastAsia="zh-CN"/>
              </w:rPr>
              <w:t>环节中污染物的产生和排放，对产生的废钻井液、废水、岩屑、污油等污染物进行无害化处置和资源化利用，防止有毒有害物质污染土壤。</w:t>
            </w:r>
            <w:r>
              <w:rPr>
                <w:rFonts w:hint="eastAsia" w:ascii="Times New Roman" w:hAnsi="Times New Roman" w:cs="Times New Roman"/>
                <w:color w:val="auto"/>
                <w:sz w:val="24"/>
                <w:lang w:val="en-US" w:eastAsia="zh-CN"/>
              </w:rPr>
              <w:t>建设单位应加强区</w:t>
            </w:r>
            <w:r>
              <w:rPr>
                <w:rFonts w:hint="eastAsia" w:ascii="Times New Roman" w:hAnsi="Times New Roman" w:cs="Times New Roman"/>
                <w:color w:val="auto"/>
                <w:sz w:val="24"/>
                <w:lang w:eastAsia="zh-CN"/>
              </w:rPr>
              <w:t>域土壤污染防治的监督管理，落实</w:t>
            </w:r>
            <w:r>
              <w:rPr>
                <w:rFonts w:hint="eastAsia" w:ascii="Times New Roman" w:hAnsi="Times New Roman" w:cs="Times New Roman"/>
                <w:color w:val="auto"/>
                <w:sz w:val="24"/>
                <w:lang w:val="en-US" w:eastAsia="zh-CN"/>
              </w:rPr>
              <w:t>土壤</w:t>
            </w:r>
            <w:r>
              <w:rPr>
                <w:rFonts w:hint="eastAsia" w:ascii="Times New Roman" w:hAnsi="Times New Roman" w:cs="Times New Roman"/>
                <w:color w:val="auto"/>
                <w:sz w:val="24"/>
                <w:lang w:eastAsia="zh-CN"/>
              </w:rPr>
              <w:t>污染防治主体责任。</w:t>
            </w:r>
          </w:p>
          <w:p w14:paraId="641C72A3">
            <w:pPr>
              <w:keepNext w:val="0"/>
              <w:keepLines w:val="0"/>
              <w:suppressLineNumbers w:val="0"/>
              <w:snapToGrid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eastAsia="zh-CN"/>
              </w:rPr>
              <w:t>地下水与土壤污染防控：按照“源头控制、分区防控、污染监控</w:t>
            </w:r>
            <w:r>
              <w:rPr>
                <w:rFonts w:hint="eastAsia" w:ascii="Times New Roman" w:hAnsi="Times New Roman" w:cs="Times New Roman"/>
                <w:color w:val="auto"/>
                <w:sz w:val="24"/>
                <w:szCs w:val="20"/>
                <w:lang w:eastAsia="zh-CN"/>
              </w:rPr>
              <w:t>、应急响应”相结合的原则，对</w:t>
            </w:r>
            <w:r>
              <w:rPr>
                <w:rFonts w:hint="eastAsia" w:ascii="Times New Roman" w:hAnsi="Times New Roman" w:cs="Times New Roman"/>
                <w:color w:val="auto"/>
                <w:sz w:val="24"/>
                <w:szCs w:val="20"/>
                <w:lang w:val="en-US" w:eastAsia="zh-CN"/>
              </w:rPr>
              <w:t>井场后场的井架基础</w:t>
            </w:r>
            <w:r>
              <w:rPr>
                <w:rFonts w:hint="eastAsia" w:ascii="Times New Roman" w:hAnsi="Times New Roman" w:cs="Times New Roman"/>
                <w:color w:val="auto"/>
                <w:sz w:val="24"/>
                <w:szCs w:val="20"/>
              </w:rPr>
              <w:t>、泥浆泵基础</w:t>
            </w:r>
            <w:r>
              <w:rPr>
                <w:rFonts w:hint="eastAsia" w:ascii="Times New Roman" w:hAnsi="Times New Roman" w:cs="Times New Roman"/>
                <w:color w:val="auto"/>
                <w:sz w:val="24"/>
                <w:szCs w:val="20"/>
                <w:lang w:eastAsia="zh-CN"/>
              </w:rPr>
              <w:t>（</w:t>
            </w:r>
            <w:r>
              <w:rPr>
                <w:rFonts w:hint="eastAsia" w:ascii="Times New Roman" w:hAnsi="Times New Roman" w:cs="Times New Roman"/>
                <w:color w:val="auto"/>
                <w:sz w:val="24"/>
                <w:szCs w:val="20"/>
                <w:lang w:val="en-US" w:eastAsia="zh-CN"/>
              </w:rPr>
              <w:t>泵房基础</w:t>
            </w:r>
            <w:r>
              <w:rPr>
                <w:rFonts w:hint="eastAsia" w:ascii="Times New Roman" w:hAnsi="Times New Roman" w:cs="Times New Roman"/>
                <w:color w:val="auto"/>
                <w:sz w:val="24"/>
                <w:szCs w:val="20"/>
                <w:lang w:eastAsia="zh-CN"/>
              </w:rPr>
              <w:t>）</w:t>
            </w:r>
            <w:r>
              <w:rPr>
                <w:rFonts w:hint="eastAsia" w:ascii="Times New Roman" w:hAnsi="Times New Roman" w:cs="Times New Roman"/>
                <w:color w:val="auto"/>
                <w:sz w:val="24"/>
                <w:szCs w:val="20"/>
              </w:rPr>
              <w:t>、</w:t>
            </w:r>
            <w:r>
              <w:rPr>
                <w:rFonts w:hint="default" w:ascii="Times New Roman" w:hAnsi="Times New Roman" w:cs="Times New Roman"/>
                <w:color w:val="auto"/>
                <w:sz w:val="24"/>
                <w:szCs w:val="20"/>
              </w:rPr>
              <w:t>循环罐基础、储备罐基础（泥浆储备）、泥浆不落地基础（环保装置区）、机房基础（发电机房及高低压配电房基础）</w:t>
            </w:r>
            <w:r>
              <w:rPr>
                <w:rFonts w:hint="eastAsia" w:ascii="Times New Roman" w:hAnsi="Times New Roman" w:cs="Times New Roman"/>
                <w:color w:val="auto"/>
                <w:sz w:val="24"/>
                <w:szCs w:val="20"/>
                <w:lang w:val="en-US" w:eastAsia="zh-CN"/>
              </w:rPr>
              <w:t>、危废暂存间，井场外的油罐区、放喷池、污水池（多功能网格池组）等</w:t>
            </w:r>
            <w:r>
              <w:rPr>
                <w:rFonts w:hint="default" w:ascii="Times New Roman" w:hAnsi="Times New Roman" w:cs="Times New Roman"/>
                <w:color w:val="auto"/>
                <w:sz w:val="24"/>
                <w:szCs w:val="20"/>
              </w:rPr>
              <w:t>区域采取重点防渗措施</w:t>
            </w:r>
            <w:r>
              <w:rPr>
                <w:rFonts w:hint="eastAsia" w:cs="Times New Roman"/>
                <w:color w:val="auto"/>
                <w:sz w:val="24"/>
                <w:szCs w:val="20"/>
                <w:lang w:eastAsia="zh-CN"/>
              </w:rPr>
              <w:t>；</w:t>
            </w:r>
            <w:r>
              <w:rPr>
                <w:rFonts w:hint="eastAsia" w:ascii="Times New Roman" w:hAnsi="Times New Roman" w:cs="Times New Roman"/>
                <w:color w:val="auto"/>
                <w:sz w:val="24"/>
                <w:szCs w:val="20"/>
                <w:lang w:val="en-US" w:eastAsia="zh-CN"/>
              </w:rPr>
              <w:t>井场后场内除重点防渗区外的其他井场作业区、材料棚、</w:t>
            </w:r>
            <w:r>
              <w:rPr>
                <w:rFonts w:hint="eastAsia" w:cs="Times New Roman"/>
                <w:color w:val="auto"/>
                <w:sz w:val="24"/>
                <w:szCs w:val="20"/>
                <w:lang w:val="en-US" w:eastAsia="zh-CN"/>
              </w:rPr>
              <w:t>环状雨水沟、井场集</w:t>
            </w:r>
            <w:r>
              <w:rPr>
                <w:rFonts w:hint="eastAsia" w:ascii="Times New Roman" w:hAnsi="Times New Roman" w:cs="Times New Roman"/>
                <w:color w:val="auto"/>
                <w:sz w:val="24"/>
                <w:szCs w:val="20"/>
                <w:lang w:val="en-US" w:eastAsia="zh-CN"/>
              </w:rPr>
              <w:t>污沟、</w:t>
            </w:r>
            <w:r>
              <w:rPr>
                <w:rFonts w:hint="eastAsia" w:cs="Times New Roman"/>
                <w:color w:val="auto"/>
                <w:sz w:val="24"/>
                <w:szCs w:val="20"/>
                <w:lang w:val="en-US" w:eastAsia="zh-CN"/>
              </w:rPr>
              <w:t>监控池、</w:t>
            </w:r>
            <w:r>
              <w:rPr>
                <w:rFonts w:hint="eastAsia" w:ascii="Times New Roman" w:hAnsi="Times New Roman" w:cs="Times New Roman"/>
                <w:color w:val="auto"/>
                <w:sz w:val="24"/>
                <w:szCs w:val="20"/>
                <w:lang w:val="en-US" w:eastAsia="zh-CN"/>
              </w:rPr>
              <w:t>生活污水处理设施等区域采取一般防渗措施</w:t>
            </w:r>
            <w:r>
              <w:rPr>
                <w:rFonts w:hint="eastAsia" w:cs="Times New Roman"/>
                <w:color w:val="auto"/>
                <w:sz w:val="24"/>
                <w:szCs w:val="20"/>
                <w:lang w:val="en-US" w:eastAsia="zh-CN"/>
              </w:rPr>
              <w:t>；</w:t>
            </w:r>
            <w:r>
              <w:rPr>
                <w:rFonts w:hint="eastAsia" w:ascii="Times New Roman" w:hAnsi="Times New Roman" w:cs="Times New Roman"/>
                <w:color w:val="auto"/>
                <w:sz w:val="24"/>
                <w:szCs w:val="20"/>
                <w:lang w:val="en-US" w:eastAsia="zh-CN"/>
              </w:rPr>
              <w:t>井场前场区域、清水池、生活营地、场外截水沟及清水沟</w:t>
            </w:r>
            <w:r>
              <w:rPr>
                <w:rFonts w:hint="eastAsia" w:cs="Times New Roman"/>
                <w:color w:val="auto"/>
                <w:sz w:val="24"/>
                <w:szCs w:val="20"/>
                <w:lang w:val="en-US" w:eastAsia="zh-CN"/>
              </w:rPr>
              <w:t>等区域</w:t>
            </w:r>
            <w:r>
              <w:rPr>
                <w:rFonts w:hint="eastAsia" w:ascii="Times New Roman" w:hAnsi="Times New Roman" w:eastAsia="宋体" w:cs="Times New Roman"/>
                <w:color w:val="auto"/>
                <w:kern w:val="0"/>
                <w:sz w:val="24"/>
                <w:szCs w:val="24"/>
                <w:lang w:val="en-US" w:eastAsia="zh-CN"/>
              </w:rPr>
              <w:t>采取简单防渗措施</w:t>
            </w:r>
            <w:r>
              <w:rPr>
                <w:rFonts w:hint="eastAsia" w:ascii="Times New Roman" w:hAnsi="Times New Roman" w:cs="Times New Roman"/>
                <w:color w:val="auto"/>
                <w:sz w:val="24"/>
                <w:szCs w:val="20"/>
              </w:rPr>
              <w:t>。</w:t>
            </w:r>
            <w:r>
              <w:rPr>
                <w:rFonts w:hint="default" w:ascii="Times New Roman" w:hAnsi="Times New Roman" w:cs="Times New Roman"/>
                <w:bCs/>
                <w:color w:val="auto"/>
                <w:sz w:val="24"/>
              </w:rPr>
              <w:t>采取分区防渗措施，可有效防止污染物渗入地下，并及时地将泄漏、渗漏的污染物收集并进行集中处理。</w:t>
            </w:r>
            <w:r>
              <w:rPr>
                <w:rFonts w:hint="eastAsia" w:ascii="Times New Roman" w:hAnsi="Times New Roman" w:cs="Times New Roman"/>
                <w:color w:val="auto"/>
                <w:sz w:val="24"/>
                <w:lang w:eastAsia="zh-CN"/>
              </w:rPr>
              <w:t>防止钻井液和其他污染物泄漏进入地下水和土壤。同时，设置地下水监测井，定期对地下水水质进行监测，及时发现可能存在的污染问题，并采取相应的治理措施，</w:t>
            </w:r>
            <w:r>
              <w:rPr>
                <w:rFonts w:hint="eastAsia" w:ascii="Times New Roman" w:hAnsi="Times New Roman" w:cs="Times New Roman"/>
                <w:color w:val="auto"/>
                <w:sz w:val="24"/>
                <w:lang w:val="en-US" w:eastAsia="zh-CN"/>
              </w:rPr>
              <w:t>从而减少对土壤环境的影响。</w:t>
            </w:r>
          </w:p>
          <w:p w14:paraId="4D990AB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过程控制措施</w:t>
            </w:r>
          </w:p>
          <w:p w14:paraId="5211A48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w:t>
            </w:r>
            <w:r>
              <w:rPr>
                <w:rFonts w:hint="eastAsia" w:cs="Times New Roman"/>
                <w:color w:val="auto"/>
                <w:sz w:val="24"/>
                <w:lang w:val="en-US" w:eastAsia="zh-CN"/>
              </w:rPr>
              <w:t>项目</w:t>
            </w:r>
            <w:r>
              <w:rPr>
                <w:rFonts w:hint="default" w:ascii="Times New Roman" w:hAnsi="Times New Roman" w:cs="Times New Roman"/>
                <w:color w:val="auto"/>
                <w:sz w:val="24"/>
              </w:rPr>
              <w:t>采取过程阻断、污染物削减和分区防控措施保护土壤环境。</w:t>
            </w:r>
          </w:p>
          <w:p w14:paraId="1BEF1C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eastAsia" w:ascii="Times New Roman" w:hAnsi="Times New Roman" w:cs="Times New Roman"/>
                <w:bCs/>
                <w:color w:val="auto"/>
                <w:sz w:val="24"/>
                <w:lang w:val="en-US" w:eastAsia="zh-CN"/>
              </w:rPr>
              <w:t>①</w:t>
            </w:r>
            <w:r>
              <w:rPr>
                <w:rFonts w:hint="default" w:ascii="Times New Roman" w:hAnsi="Times New Roman" w:cs="Times New Roman"/>
                <w:bCs/>
                <w:color w:val="auto"/>
                <w:sz w:val="24"/>
              </w:rPr>
              <w:t>加强排水系统建设，避免地下水位过高，减少盐分渗入土壤表层。本项目井场采用清污分流、雨污分流制，</w:t>
            </w:r>
            <w:r>
              <w:rPr>
                <w:rFonts w:hint="eastAsia" w:ascii="Times New Roman" w:hAnsi="Times New Roman" w:cs="Times New Roman"/>
                <w:bCs/>
                <w:color w:val="auto"/>
                <w:sz w:val="24"/>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组），后期清洁雨水通过重力流排向周边环境。</w:t>
            </w:r>
            <w:r>
              <w:rPr>
                <w:rFonts w:hint="default" w:ascii="Times New Roman" w:hAnsi="Times New Roman" w:cs="Times New Roman"/>
                <w:bCs/>
                <w:color w:val="auto"/>
                <w:sz w:val="24"/>
                <w:lang w:val="en-US" w:eastAsia="zh-CN"/>
              </w:rPr>
              <w:t>井场外</w:t>
            </w:r>
            <w:r>
              <w:rPr>
                <w:rFonts w:hint="eastAsia" w:ascii="Times New Roman" w:hAnsi="Times New Roman" w:cs="Times New Roman"/>
                <w:bCs/>
                <w:color w:val="auto"/>
                <w:sz w:val="24"/>
                <w:lang w:val="en-US" w:eastAsia="zh-CN"/>
              </w:rPr>
              <w:t>北侧</w:t>
            </w:r>
            <w:r>
              <w:rPr>
                <w:rFonts w:hint="default" w:ascii="Times New Roman" w:hAnsi="Times New Roman" w:cs="Times New Roman"/>
                <w:bCs/>
                <w:color w:val="auto"/>
                <w:sz w:val="24"/>
                <w:lang w:val="en-US" w:eastAsia="zh-CN"/>
              </w:rPr>
              <w:t>设截水沟</w:t>
            </w:r>
            <w:r>
              <w:rPr>
                <w:rFonts w:hint="eastAsia" w:ascii="Times New Roman" w:hAnsi="Times New Roman" w:cs="Times New Roman"/>
                <w:bCs/>
                <w:color w:val="auto"/>
                <w:sz w:val="24"/>
                <w:lang w:val="en-US" w:eastAsia="zh-CN"/>
              </w:rPr>
              <w:t>及场外清水沟</w:t>
            </w:r>
            <w:r>
              <w:rPr>
                <w:rFonts w:hint="default" w:ascii="Times New Roman" w:hAnsi="Times New Roman" w:cs="Times New Roman"/>
                <w:bCs/>
                <w:color w:val="auto"/>
                <w:sz w:val="24"/>
                <w:lang w:val="en-US" w:eastAsia="zh-CN"/>
              </w:rPr>
              <w:t>，</w:t>
            </w:r>
            <w:r>
              <w:rPr>
                <w:rFonts w:hint="eastAsia" w:ascii="Times New Roman" w:hAnsi="Times New Roman" w:cs="Times New Roman"/>
                <w:bCs/>
                <w:color w:val="auto"/>
                <w:sz w:val="24"/>
                <w:lang w:val="en-US" w:eastAsia="zh-CN"/>
              </w:rPr>
              <w:t>井场外</w:t>
            </w:r>
            <w:r>
              <w:rPr>
                <w:rFonts w:hint="default" w:ascii="Times New Roman" w:hAnsi="Times New Roman" w:cs="Times New Roman"/>
                <w:bCs/>
                <w:color w:val="auto"/>
                <w:sz w:val="24"/>
              </w:rPr>
              <w:t>雨水</w:t>
            </w:r>
            <w:r>
              <w:rPr>
                <w:rFonts w:hint="eastAsia" w:ascii="Times New Roman" w:hAnsi="Times New Roman" w:cs="Times New Roman"/>
                <w:bCs/>
                <w:color w:val="auto"/>
                <w:sz w:val="24"/>
                <w:lang w:val="en-US" w:eastAsia="zh-CN"/>
              </w:rPr>
              <w:t>由</w:t>
            </w:r>
            <w:r>
              <w:rPr>
                <w:rFonts w:hint="default" w:ascii="Times New Roman" w:hAnsi="Times New Roman" w:cs="Times New Roman"/>
                <w:bCs/>
                <w:color w:val="auto"/>
                <w:sz w:val="24"/>
              </w:rPr>
              <w:t>截水沟</w:t>
            </w:r>
            <w:r>
              <w:rPr>
                <w:rFonts w:hint="eastAsia" w:ascii="Times New Roman" w:hAnsi="Times New Roman" w:cs="Times New Roman"/>
                <w:bCs/>
                <w:color w:val="auto"/>
                <w:sz w:val="24"/>
                <w:lang w:val="en-US" w:eastAsia="zh-CN"/>
              </w:rPr>
              <w:t>截留</w:t>
            </w:r>
            <w:r>
              <w:rPr>
                <w:rFonts w:hint="default" w:ascii="Times New Roman" w:hAnsi="Times New Roman" w:cs="Times New Roman"/>
                <w:bCs/>
                <w:color w:val="auto"/>
                <w:sz w:val="24"/>
              </w:rPr>
              <w:t>，再</w:t>
            </w:r>
            <w:r>
              <w:rPr>
                <w:rFonts w:hint="eastAsia" w:ascii="Times New Roman" w:hAnsi="Times New Roman" w:cs="Times New Roman"/>
                <w:bCs/>
                <w:color w:val="auto"/>
                <w:sz w:val="24"/>
                <w:lang w:val="en-US" w:eastAsia="zh-CN"/>
              </w:rPr>
              <w:t>通过场外清水沟</w:t>
            </w:r>
            <w:r>
              <w:rPr>
                <w:rFonts w:hint="default" w:ascii="Times New Roman" w:hAnsi="Times New Roman" w:cs="Times New Roman"/>
                <w:bCs/>
                <w:color w:val="auto"/>
                <w:sz w:val="24"/>
              </w:rPr>
              <w:t>排向</w:t>
            </w:r>
            <w:r>
              <w:rPr>
                <w:rFonts w:hint="eastAsia" w:ascii="Times New Roman" w:hAnsi="Times New Roman" w:cs="Times New Roman"/>
                <w:bCs/>
                <w:color w:val="auto"/>
                <w:sz w:val="24"/>
              </w:rPr>
              <w:t>周边</w:t>
            </w:r>
            <w:r>
              <w:rPr>
                <w:rFonts w:hint="eastAsia" w:ascii="Times New Roman" w:hAnsi="Times New Roman" w:cs="Times New Roman"/>
                <w:bCs/>
                <w:color w:val="auto"/>
                <w:sz w:val="24"/>
                <w:lang w:val="en-US" w:eastAsia="zh-CN"/>
              </w:rPr>
              <w:t>环境，以</w:t>
            </w:r>
            <w:r>
              <w:rPr>
                <w:rFonts w:hint="default" w:ascii="Times New Roman" w:hAnsi="Times New Roman" w:cs="Times New Roman"/>
                <w:bCs/>
                <w:color w:val="auto"/>
                <w:sz w:val="24"/>
                <w:lang w:val="en-US" w:eastAsia="zh-CN"/>
              </w:rPr>
              <w:t>防止场外雨水通过地面漫流等形式进入井场内</w:t>
            </w:r>
            <w:r>
              <w:rPr>
                <w:rFonts w:hint="eastAsia" w:cs="Times New Roman"/>
                <w:bCs/>
                <w:color w:val="auto"/>
                <w:sz w:val="24"/>
                <w:lang w:val="en-US" w:eastAsia="zh-CN"/>
              </w:rPr>
              <w:t>。</w:t>
            </w:r>
          </w:p>
          <w:p w14:paraId="4BF5B43C">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sz w:val="24"/>
                <w:lang w:val="en-US" w:eastAsia="zh-CN"/>
              </w:rPr>
            </w:pPr>
            <w:r>
              <w:rPr>
                <w:rFonts w:hint="eastAsia" w:ascii="Times New Roman" w:hAnsi="Times New Roman" w:eastAsia="宋体" w:cs="Times New Roman"/>
                <w:color w:val="auto"/>
                <w:sz w:val="24"/>
                <w:szCs w:val="20"/>
                <w:lang w:val="en-US" w:eastAsia="zh-CN"/>
              </w:rPr>
              <w:t>②</w:t>
            </w:r>
            <w:r>
              <w:rPr>
                <w:rFonts w:hint="eastAsia" w:ascii="Times New Roman" w:hAnsi="Times New Roman" w:cs="Times New Roman"/>
                <w:color w:val="auto"/>
                <w:sz w:val="24"/>
                <w:lang w:eastAsia="zh-CN"/>
              </w:rPr>
              <w:t>在项目结束后，对井场和周边区域的土壤进行监测和评估，</w:t>
            </w:r>
            <w:r>
              <w:rPr>
                <w:rFonts w:hint="eastAsia" w:ascii="Times New Roman" w:hAnsi="Times New Roman" w:cs="Times New Roman"/>
                <w:color w:val="auto"/>
                <w:sz w:val="24"/>
                <w:lang w:val="en-US" w:eastAsia="zh-CN"/>
              </w:rPr>
              <w:t>及时发现土壤污染问题并采取相应的修复措施。</w:t>
            </w:r>
            <w:r>
              <w:rPr>
                <w:rFonts w:hint="eastAsia" w:ascii="Times New Roman" w:hAnsi="Times New Roman" w:eastAsia="宋体" w:cs="Times New Roman"/>
                <w:color w:val="auto"/>
                <w:sz w:val="24"/>
                <w:szCs w:val="20"/>
                <w:lang w:val="en-US" w:eastAsia="zh-CN"/>
              </w:rPr>
              <w:t>如涉及</w:t>
            </w:r>
            <w:r>
              <w:rPr>
                <w:rFonts w:hint="default" w:ascii="Times New Roman" w:hAnsi="Times New Roman" w:eastAsia="宋体" w:cs="Times New Roman"/>
                <w:color w:val="auto"/>
                <w:sz w:val="24"/>
                <w:szCs w:val="20"/>
              </w:rPr>
              <w:t>盐化影响的，可采取排水排盐或降低地下水位等措施，以减轻土壤盐化的程度。</w:t>
            </w:r>
            <w:r>
              <w:rPr>
                <w:rFonts w:hint="eastAsia" w:ascii="Times New Roman" w:hAnsi="Times New Roman" w:cs="Times New Roman"/>
                <w:color w:val="auto"/>
                <w:sz w:val="24"/>
                <w:lang w:eastAsia="zh-CN"/>
              </w:rPr>
              <w:t>若发现土壤污染，制定土壤修复方案，进行土壤修复。</w:t>
            </w:r>
          </w:p>
          <w:p w14:paraId="67118E4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③</w:t>
            </w:r>
            <w:r>
              <w:rPr>
                <w:rFonts w:hint="default" w:ascii="Times New Roman" w:hAnsi="Times New Roman" w:cs="Times New Roman"/>
                <w:bCs/>
                <w:color w:val="auto"/>
                <w:sz w:val="24"/>
              </w:rPr>
              <w:t>进行植被恢复</w:t>
            </w:r>
            <w:r>
              <w:rPr>
                <w:rFonts w:hint="eastAsia" w:ascii="Times New Roman" w:hAnsi="Times New Roman" w:cs="Times New Roman"/>
                <w:bCs/>
                <w:color w:val="auto"/>
                <w:sz w:val="24"/>
              </w:rPr>
              <w:t>时，</w:t>
            </w:r>
            <w:r>
              <w:rPr>
                <w:rFonts w:hint="eastAsia" w:ascii="Times New Roman" w:hAnsi="Times New Roman" w:cs="Times New Roman"/>
                <w:color w:val="auto"/>
                <w:sz w:val="24"/>
                <w:lang w:val="en-US" w:eastAsia="zh-CN"/>
              </w:rPr>
              <w:t>选择适宜的植物品种进行种植，</w:t>
            </w:r>
            <w:r>
              <w:rPr>
                <w:rFonts w:hint="eastAsia" w:ascii="Times New Roman" w:hAnsi="Times New Roman" w:cs="Times New Roman"/>
                <w:color w:val="auto"/>
                <w:sz w:val="24"/>
              </w:rPr>
              <w:t>可</w:t>
            </w: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"https://wenku.baidu.com/view/ab41b89093c69ec3d5bbfd0a79563c1ec4dad7c0.html" \t "https://cn.bing.com/_blank"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选择种植适合耐盐的植物，提高土壤的植被覆盖率。</w:t>
            </w:r>
            <w:r>
              <w:rPr>
                <w:rFonts w:hint="default" w:ascii="Times New Roman" w:hAnsi="Times New Roman" w:cs="Times New Roman"/>
                <w:color w:val="auto"/>
                <w:sz w:val="24"/>
              </w:rPr>
              <w:fldChar w:fldCharType="end"/>
            </w:r>
          </w:p>
          <w:p w14:paraId="6D7ED26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④在钻井工程结束后，及时开展土地复垦工作。对井场进行平整，将分层堆放的土壤进行回填，并进行翻耕等措施，恢复土壤肥力。同时，加强对复垦土地的后期管理和监测，确保复垦效果。</w:t>
            </w:r>
          </w:p>
          <w:p w14:paraId="2DA27CD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综上，</w:t>
            </w:r>
            <w:r>
              <w:rPr>
                <w:rFonts w:hint="eastAsia" w:cs="Times New Roman"/>
                <w:color w:val="auto"/>
                <w:sz w:val="24"/>
                <w:lang w:val="en-US" w:eastAsia="zh-CN"/>
              </w:rPr>
              <w:t>在</w:t>
            </w:r>
            <w:r>
              <w:rPr>
                <w:rFonts w:hint="default" w:ascii="Times New Roman" w:hAnsi="Times New Roman" w:cs="Times New Roman"/>
                <w:color w:val="auto"/>
                <w:sz w:val="24"/>
              </w:rPr>
              <w:t>采取源头控制、过程防控</w:t>
            </w:r>
            <w:r>
              <w:rPr>
                <w:rFonts w:hint="eastAsia" w:ascii="Times New Roman" w:hAnsi="Times New Roman" w:cs="Times New Roman"/>
                <w:color w:val="auto"/>
                <w:sz w:val="24"/>
                <w:lang w:val="en-US" w:eastAsia="zh-CN"/>
              </w:rPr>
              <w:t>等</w:t>
            </w:r>
            <w:r>
              <w:rPr>
                <w:rFonts w:hint="default" w:ascii="Times New Roman" w:hAnsi="Times New Roman" w:cs="Times New Roman"/>
                <w:color w:val="auto"/>
                <w:sz w:val="24"/>
              </w:rPr>
              <w:t>有效措施后可减轻对土壤环境的影响。</w:t>
            </w:r>
          </w:p>
          <w:p w14:paraId="7ACE1659">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6、生态保护措施及可行性</w:t>
            </w:r>
          </w:p>
          <w:p w14:paraId="69C9DC1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待项目结束后及时拆除设施，对临时占地迹地进行植被恢复和复垦，减缓并消除项目带来的生态影响。</w:t>
            </w:r>
          </w:p>
          <w:p w14:paraId="47D2DAC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临时占地生态恢复措施</w:t>
            </w:r>
          </w:p>
          <w:p w14:paraId="096723F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占地属于临时用地，在井场完井搬迁后，对临时占用的土地放喷池、泥浆储备罐区、活动板房等进行土地的恢复；完井测试结果若表明该井不产油气或无工业开采价值，则将井筒用水泥封固并进行完井后的完井设备搬迁工作，将井场恢复。由于机械和人工作业的缘故，土壤一般比较紧实，采用耙、深松翻等措施，调高</w:t>
            </w:r>
            <w:r>
              <w:rPr>
                <w:rFonts w:hint="eastAsia" w:ascii="Times New Roman" w:hAnsi="Times New Roman" w:cs="Times New Roman"/>
                <w:color w:val="auto"/>
                <w:sz w:val="24"/>
                <w:lang w:eastAsia="zh-CN"/>
              </w:rPr>
              <w:t>土壤孔隙度</w:t>
            </w:r>
            <w:r>
              <w:rPr>
                <w:rFonts w:hint="default" w:ascii="Times New Roman" w:hAnsi="Times New Roman" w:cs="Times New Roman"/>
                <w:color w:val="auto"/>
                <w:sz w:val="24"/>
              </w:rPr>
              <w:t>，改良土壤结构；可增施肥料，加强灌溉等，把有机肥和化肥结合起来用，以改良土壤结构及其理化性质，提高土壤的保肥保水能力，以恢复土壤生产能力。完井后对临时用地进行复垦。</w:t>
            </w:r>
          </w:p>
          <w:p w14:paraId="200742B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针对项目临时占地区，在落实工程各项水土保持防治措施后，对临时占用的耕地采取全面复耕措施，对临时占用的林地，应采用乔、灌、草等本地物种综合绿化恢复植被覆盖，其中乔灌采</w:t>
            </w:r>
            <w:r>
              <w:rPr>
                <w:rFonts w:hint="eastAsia" w:ascii="Times New Roman" w:hAnsi="Times New Roman" w:eastAsia="宋体" w:cs="Times New Roman"/>
                <w:color w:val="auto"/>
                <w:sz w:val="24"/>
              </w:rPr>
              <w:t>取“植苗造林”恢复，草本采取“撒播”的方</w:t>
            </w:r>
            <w:r>
              <w:rPr>
                <w:rFonts w:hint="default" w:ascii="Times New Roman" w:hAnsi="Times New Roman" w:eastAsia="宋体" w:cs="Times New Roman"/>
                <w:color w:val="auto"/>
                <w:sz w:val="24"/>
              </w:rPr>
              <w:t>式，可较好地恢复占地区的地表植被，有效控制工程建设引起的水土流失，有效减缓工程建设对区域生态环境的不利影响</w:t>
            </w:r>
            <w:r>
              <w:rPr>
                <w:rFonts w:hint="default" w:ascii="Times New Roman" w:hAnsi="Times New Roman" w:eastAsia="宋体" w:cs="Times New Roman"/>
                <w:color w:val="auto"/>
                <w:sz w:val="24"/>
                <w:lang w:eastAsia="zh-CN"/>
              </w:rPr>
              <w:t>。</w:t>
            </w:r>
          </w:p>
          <w:p w14:paraId="42852C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建议将本项目临时占地区的植被恢复过程中，首先以原占地区自然植被为恢复目标，避免均质化的植树造林，同时针对不同海拔梯度、立地条件的临时占地区分类提出不同的植被恢复物种配置方式及恢复方案。</w:t>
            </w:r>
          </w:p>
          <w:p w14:paraId="348827A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土地复垦</w:t>
            </w:r>
          </w:p>
          <w:p w14:paraId="46D72C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合理进行施工布置，精心组织施工管理，尽量减少对土壤及生态环境的影响范围和程度；合理安排开采计划和作业时间，尽量减少项目区域内植被的破坏，同时，采取一定的生物措施，有效保持水土和改善生态环境。根据《土地复垦条例》，钻井工程完工后须进行土地复垦，编制土地复垦方案，土地复垦应当坚持科学规划、因地制宜、综合治理、经济可行、合理利用的原则。井场所在地域地表植被茂盛，大气质量和地下水、地表水水质均较好。复垦方向应以农用地优先为主，以恢复生态环境为辅，因地制宜</w:t>
            </w:r>
            <w:r>
              <w:rPr>
                <w:rFonts w:hint="eastAsia" w:ascii="Times New Roman" w:hAnsi="Times New Roman" w:cs="Times New Roman"/>
                <w:color w:val="auto"/>
                <w:sz w:val="24"/>
                <w:lang w:eastAsia="zh-CN"/>
              </w:rPr>
              <w:t>地</w:t>
            </w:r>
            <w:r>
              <w:rPr>
                <w:rFonts w:hint="default" w:ascii="Times New Roman" w:hAnsi="Times New Roman" w:cs="Times New Roman"/>
                <w:color w:val="auto"/>
                <w:sz w:val="24"/>
              </w:rPr>
              <w:t>建立</w:t>
            </w:r>
            <w:r>
              <w:rPr>
                <w:rFonts w:hint="eastAsia" w:ascii="Times New Roman" w:hAnsi="Times New Roman" w:cs="Times New Roman"/>
                <w:color w:val="auto"/>
                <w:sz w:val="24"/>
                <w:lang w:eastAsia="zh-CN"/>
              </w:rPr>
              <w:t>植被</w:t>
            </w:r>
            <w:r>
              <w:rPr>
                <w:rFonts w:hint="default" w:ascii="Times New Roman" w:hAnsi="Times New Roman" w:cs="Times New Roman"/>
                <w:color w:val="auto"/>
                <w:sz w:val="24"/>
              </w:rPr>
              <w:t>恢复体系，同时遵循破坏土地与周边现状保持一致的原则。环评要求所临时占用所损坏的土地和可能性闭井时，必须按照土地复垦方案的相关要求进行。</w:t>
            </w:r>
          </w:p>
          <w:p w14:paraId="623B1A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提升耕地质量，紧缩耕地面积。评价区内所在区域农民耕作重点</w:t>
            </w:r>
            <w:r>
              <w:rPr>
                <w:rFonts w:hint="eastAsia" w:ascii="Times New Roman" w:hAnsi="Times New Roman" w:eastAsia="宋体" w:cs="Times New Roman"/>
                <w:color w:val="auto"/>
                <w:sz w:val="24"/>
                <w:lang w:eastAsia="zh-CN"/>
              </w:rPr>
              <w:t>以</w:t>
            </w:r>
            <w:r>
              <w:rPr>
                <w:rFonts w:hint="default" w:ascii="Times New Roman" w:hAnsi="Times New Roman" w:eastAsia="宋体" w:cs="Times New Roman"/>
                <w:color w:val="auto"/>
                <w:sz w:val="24"/>
              </w:rPr>
              <w:t>数量为主，对耕地面积的需求高。</w:t>
            </w:r>
            <w:r>
              <w:rPr>
                <w:rFonts w:hint="default" w:ascii="Times New Roman" w:hAnsi="Times New Roman" w:eastAsia="宋体" w:cs="Times New Roman"/>
                <w:color w:val="auto"/>
                <w:sz w:val="24"/>
                <w:lang w:val="en-US" w:eastAsia="zh-CN"/>
              </w:rPr>
              <w:t>对于</w:t>
            </w:r>
            <w:r>
              <w:rPr>
                <w:rFonts w:hint="default" w:ascii="Times New Roman" w:hAnsi="Times New Roman" w:eastAsia="宋体" w:cs="Times New Roman"/>
                <w:color w:val="auto"/>
                <w:sz w:val="24"/>
              </w:rPr>
              <w:t>工程占用</w:t>
            </w:r>
            <w:r>
              <w:rPr>
                <w:rFonts w:hint="default"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rPr>
              <w:t>耕地可以根据相关规定对其进行补偿，建设结束后进行复垦，以此减小影响。</w:t>
            </w:r>
            <w:bookmarkStart w:id="61" w:name="_Hlk71100526"/>
            <w:r>
              <w:rPr>
                <w:rFonts w:hint="default" w:ascii="Times New Roman" w:hAnsi="Times New Roman" w:eastAsia="宋体" w:cs="Times New Roman"/>
                <w:color w:val="auto"/>
                <w:sz w:val="24"/>
              </w:rPr>
              <w:t>在施工征用期间按耕地年产值逐年补偿。施工期满后，根据工程征用各耕地地块的实际情况，采取复垦恢复措施，复垦规划各项技术指标参照《土地复垦条例》（国务院令592号，2011年2月）、《中华人民共和国土地管理法》（2020年1月）执行，</w:t>
            </w:r>
            <w:bookmarkEnd w:id="61"/>
            <w:r>
              <w:rPr>
                <w:rFonts w:hint="default" w:ascii="Times New Roman" w:hAnsi="Times New Roman" w:eastAsia="宋体" w:cs="Times New Roman"/>
                <w:color w:val="auto"/>
                <w:sz w:val="24"/>
              </w:rPr>
              <w:t>土地复垦应达到土厚度为自然沉实土壤0.5m以上，地面坡度不超过5°，排水设施满足场地要求，防洪满足当地标准，三年后复垦区耕地单位亩产量，不低于当地中等产量水平，通过工程措施</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土地整理措施</w:t>
            </w:r>
            <w:r>
              <w:rPr>
                <w:rFonts w:hint="default" w:ascii="Times New Roman" w:hAnsi="Times New Roman" w:eastAsia="宋体" w:cs="Times New Roman"/>
                <w:color w:val="auto"/>
                <w:sz w:val="24"/>
                <w:lang w:val="en-US" w:eastAsia="zh-CN"/>
              </w:rPr>
              <w:t>等</w:t>
            </w:r>
            <w:r>
              <w:rPr>
                <w:rFonts w:hint="default" w:ascii="Times New Roman" w:hAnsi="Times New Roman" w:eastAsia="宋体" w:cs="Times New Roman"/>
                <w:color w:val="auto"/>
                <w:sz w:val="24"/>
              </w:rPr>
              <w:t>恢复耕地生产条件。</w:t>
            </w:r>
          </w:p>
          <w:p w14:paraId="5C2849B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项目林地恢复以恢复林地土壤、恢复原有植被为主要目标，实行原地、同面积等质量恢复，防止水土流失，避免立地条件恶化。</w:t>
            </w:r>
          </w:p>
          <w:p w14:paraId="63B10AF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a.</w:t>
            </w:r>
            <w:r>
              <w:rPr>
                <w:rFonts w:hint="default" w:ascii="Times New Roman" w:hAnsi="Times New Roman" w:cs="Times New Roman"/>
                <w:color w:val="auto"/>
                <w:sz w:val="24"/>
                <w:highlight w:val="none"/>
              </w:rPr>
              <w:t>补种原则。补种树木，以确保森林面积不减少、森林质量不下降为主要目标，通过在原地或者异地种植不少于被盗伐、滥伐、毁坏、烧毁的林木株数的树木，恢复森林植被，修复森林生态。</w:t>
            </w:r>
          </w:p>
          <w:p w14:paraId="2D2A170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b.</w:t>
            </w:r>
            <w:r>
              <w:rPr>
                <w:rFonts w:hint="default" w:ascii="Times New Roman" w:hAnsi="Times New Roman" w:cs="Times New Roman"/>
                <w:color w:val="auto"/>
                <w:sz w:val="24"/>
                <w:highlight w:val="none"/>
              </w:rPr>
              <w:t>补种地点。补种树木优先在原地进行，原地无法满足补种株数要求的，超出株数可以异地补种。异地补种地点应当符合土地利用总体规划和林地保护利用、造林绿化等专项规划，权属清楚，相对集中连片，一般限定在同一县级行政区域内。原地补种的，林种应当与原用途保持一致；异地补种造林的，林种按照有关规划确定。</w:t>
            </w:r>
          </w:p>
          <w:p w14:paraId="6A09CF7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c.</w:t>
            </w:r>
            <w:r>
              <w:rPr>
                <w:rFonts w:hint="default" w:ascii="Times New Roman" w:hAnsi="Times New Roman" w:cs="Times New Roman"/>
                <w:color w:val="auto"/>
                <w:sz w:val="24"/>
                <w:highlight w:val="none"/>
              </w:rPr>
              <w:t>补种工序要求和质量标准。补种树木的树种选择、工序要求、质量标准等，参照《造林技术规程》（</w:t>
            </w:r>
            <w:r>
              <w:rPr>
                <w:rFonts w:hint="eastAsia" w:ascii="Times New Roman" w:hAnsi="Times New Roman" w:cs="Times New Roman"/>
                <w:color w:val="auto"/>
                <w:sz w:val="24"/>
                <w:highlight w:val="none"/>
                <w:lang w:eastAsia="zh-CN"/>
              </w:rPr>
              <w:t>GB/T 15776-2023</w:t>
            </w:r>
            <w:r>
              <w:rPr>
                <w:rFonts w:hint="default" w:ascii="Times New Roman" w:hAnsi="Times New Roman" w:cs="Times New Roman"/>
                <w:color w:val="auto"/>
                <w:sz w:val="24"/>
                <w:highlight w:val="none"/>
              </w:rPr>
              <w:t>）等标准、规范确定。原地补种的，优先选择原树种或者本地乡土树种；异地补种的，根据补种地点周边森林类型和立地条件选择树种。植物（林木）种子、苗木的质量应当达到相关国家强制性标准的最低等级要求。</w:t>
            </w:r>
          </w:p>
          <w:p w14:paraId="2E2AF9C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d.</w:t>
            </w:r>
            <w:r>
              <w:rPr>
                <w:rFonts w:hint="default" w:ascii="Times New Roman" w:hAnsi="Times New Roman" w:cs="Times New Roman"/>
                <w:color w:val="auto"/>
                <w:sz w:val="24"/>
                <w:highlight w:val="none"/>
              </w:rPr>
              <w:t>补种期限。补种树木的期限根据当地造林季节确定。</w:t>
            </w:r>
          </w:p>
          <w:p w14:paraId="305750E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3</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施工管理</w:t>
            </w:r>
          </w:p>
          <w:p w14:paraId="1BD727E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color w:val="auto"/>
                <w:sz w:val="24"/>
              </w:rPr>
            </w:pPr>
            <w:r>
              <w:rPr>
                <w:rFonts w:hint="default" w:ascii="Times New Roman" w:hAnsi="Times New Roman" w:cs="Times New Roman"/>
                <w:color w:val="auto"/>
                <w:sz w:val="24"/>
              </w:rPr>
              <w:t>施工中严格执行HSE管理，控制人员、车辆按照预定线路行动，文明施工，有序作业，尽量减少农作物的损失。加强动土作业管理及巡查，</w:t>
            </w:r>
            <w:r>
              <w:rPr>
                <w:rFonts w:hint="eastAsia" w:ascii="Times New Roman" w:hAnsi="Times New Roman" w:cs="Times New Roman"/>
                <w:color w:val="auto"/>
                <w:sz w:val="24"/>
                <w:lang w:eastAsia="zh-CN"/>
              </w:rPr>
              <w:t>防止</w:t>
            </w:r>
            <w:r>
              <w:rPr>
                <w:rFonts w:hint="default" w:ascii="Times New Roman" w:hAnsi="Times New Roman" w:cs="Times New Roman"/>
                <w:color w:val="auto"/>
                <w:sz w:val="24"/>
              </w:rPr>
              <w:t>环境风险事故影响当地生态环境。尽量避开雨季施工。缩短施工工期。</w:t>
            </w:r>
          </w:p>
          <w:p w14:paraId="03A1DCD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7、地下水污染防治措施及可行性</w:t>
            </w:r>
          </w:p>
          <w:p w14:paraId="190BB27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sz w:val="24"/>
              </w:rPr>
              <w:t>本项目</w:t>
            </w:r>
            <w:bookmarkStart w:id="62" w:name="OLE_LINK22"/>
            <w:r>
              <w:rPr>
                <w:rFonts w:hint="eastAsia" w:ascii="Times New Roman" w:hAnsi="Times New Roman" w:cs="Times New Roman"/>
                <w:bCs/>
                <w:color w:val="auto"/>
                <w:sz w:val="24"/>
              </w:rPr>
              <w:t>在</w:t>
            </w:r>
            <w:r>
              <w:rPr>
                <w:rFonts w:hint="default" w:ascii="Times New Roman" w:hAnsi="Times New Roman" w:cs="Times New Roman"/>
                <w:bCs/>
                <w:color w:val="auto"/>
                <w:sz w:val="24"/>
              </w:rPr>
              <w:t>工艺、设备、污</w:t>
            </w:r>
            <w:bookmarkEnd w:id="62"/>
            <w:r>
              <w:rPr>
                <w:rFonts w:hint="default" w:ascii="Times New Roman" w:hAnsi="Times New Roman" w:cs="Times New Roman"/>
                <w:bCs/>
                <w:color w:val="auto"/>
                <w:sz w:val="24"/>
              </w:rPr>
              <w:t>水储存及处理构筑物采取相应措施，防止和</w:t>
            </w:r>
            <w:r>
              <w:rPr>
                <w:rFonts w:hint="eastAsia" w:ascii="Times New Roman" w:hAnsi="Times New Roman" w:cs="Times New Roman"/>
                <w:bCs/>
                <w:color w:val="auto"/>
                <w:sz w:val="24"/>
              </w:rPr>
              <w:t>减少</w:t>
            </w:r>
            <w:r>
              <w:rPr>
                <w:rFonts w:hint="default" w:ascii="Times New Roman" w:hAnsi="Times New Roman" w:cs="Times New Roman"/>
                <w:bCs/>
                <w:color w:val="auto"/>
                <w:sz w:val="24"/>
              </w:rPr>
              <w:t>污染物跑、冒、滴、漏，将污染物泄漏的环境风险事故降到最低限度</w:t>
            </w:r>
            <w:r>
              <w:rPr>
                <w:rFonts w:hint="eastAsia" w:ascii="Times New Roman" w:hAnsi="Times New Roman" w:cs="Times New Roman"/>
                <w:bCs/>
                <w:color w:val="auto"/>
                <w:sz w:val="24"/>
              </w:rPr>
              <w:t>。井场</w:t>
            </w:r>
            <w:r>
              <w:rPr>
                <w:rFonts w:hint="default" w:ascii="Times New Roman" w:hAnsi="Times New Roman" w:cs="Times New Roman"/>
                <w:bCs/>
                <w:color w:val="auto"/>
                <w:sz w:val="24"/>
                <w:szCs w:val="32"/>
              </w:rPr>
              <w:t>划分为重点防渗区、一般防渗区</w:t>
            </w:r>
            <w:r>
              <w:rPr>
                <w:rFonts w:hint="eastAsia" w:ascii="Times New Roman" w:hAnsi="Times New Roman" w:cs="Times New Roman"/>
                <w:bCs/>
                <w:color w:val="auto"/>
                <w:sz w:val="24"/>
                <w:szCs w:val="32"/>
                <w:lang w:eastAsia="zh-CN"/>
              </w:rPr>
              <w:t>、</w:t>
            </w:r>
            <w:r>
              <w:rPr>
                <w:rFonts w:hint="eastAsia" w:ascii="Times New Roman" w:hAnsi="Times New Roman" w:cs="Times New Roman"/>
                <w:bCs/>
                <w:color w:val="auto"/>
                <w:sz w:val="24"/>
                <w:szCs w:val="32"/>
                <w:lang w:val="en-US" w:eastAsia="zh-CN"/>
              </w:rPr>
              <w:t>简单防渗区</w:t>
            </w:r>
            <w:r>
              <w:rPr>
                <w:rFonts w:hint="eastAsia" w:ascii="Times New Roman" w:hAnsi="Times New Roman" w:cs="Times New Roman"/>
                <w:bCs/>
                <w:color w:val="auto"/>
                <w:sz w:val="24"/>
                <w:szCs w:val="32"/>
              </w:rPr>
              <w:t>。同时</w:t>
            </w:r>
            <w:r>
              <w:rPr>
                <w:rFonts w:hint="default" w:ascii="Times New Roman" w:hAnsi="Times New Roman" w:cs="Times New Roman"/>
                <w:bCs/>
                <w:color w:val="auto"/>
                <w:kern w:val="0"/>
                <w:sz w:val="24"/>
              </w:rPr>
              <w:t>为了及时准确掌握项目区及下游地区地下水环境质量状况和地下水体中污染物的动态变化，本项目拟建立覆盖项目区的地下水长期监控系统，包括科学、合理地设置地下水污染监控井，建立完善的监测制度，配备先进的检测仪器和设备，以便及时发现并及时控制。</w:t>
            </w:r>
          </w:p>
          <w:p w14:paraId="5D8EF704">
            <w:pPr>
              <w:keepNext w:val="0"/>
              <w:keepLines w:val="0"/>
              <w:suppressLineNumbers w:val="0"/>
              <w:snapToGrid w:val="0"/>
              <w:spacing w:before="0" w:beforeAutospacing="0" w:after="0" w:afterAutospacing="0" w:line="360" w:lineRule="auto"/>
              <w:ind w:left="0" w:right="0" w:firstLine="480" w:firstLineChars="200"/>
              <w:rPr>
                <w:rFonts w:hint="eastAsia" w:ascii="Times New Roman" w:hAnsi="Times New Roman" w:cs="Times New Roman"/>
                <w:bCs/>
                <w:color w:val="auto"/>
                <w:kern w:val="0"/>
                <w:sz w:val="24"/>
              </w:rPr>
            </w:pPr>
            <w:r>
              <w:rPr>
                <w:rFonts w:hint="eastAsia" w:ascii="Times New Roman" w:hAnsi="Times New Roman" w:cs="Times New Roman"/>
                <w:bCs/>
                <w:color w:val="auto"/>
                <w:kern w:val="0"/>
                <w:sz w:val="24"/>
              </w:rPr>
              <w:t>本次评价建议设置地下水监测点位，详见地下水专项。</w:t>
            </w:r>
          </w:p>
          <w:p w14:paraId="23E766E8">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ascii="Times New Roman" w:hAnsi="Times New Roman" w:eastAsia="宋体" w:cs="Times New Roman"/>
                <w:b/>
                <w:bCs/>
                <w:color w:val="auto"/>
                <w:sz w:val="24"/>
                <w:szCs w:val="28"/>
                <w:highlight w:val="none"/>
                <w:lang w:val="en-US" w:eastAsia="zh-CN"/>
              </w:rPr>
              <w:t>8</w:t>
            </w:r>
            <w:r>
              <w:rPr>
                <w:rFonts w:hint="default" w:ascii="Times New Roman" w:hAnsi="Times New Roman" w:eastAsia="宋体" w:cs="Times New Roman"/>
                <w:b/>
                <w:bCs/>
                <w:color w:val="auto"/>
                <w:sz w:val="24"/>
                <w:szCs w:val="28"/>
                <w:highlight w:val="none"/>
              </w:rPr>
              <w:t>、</w:t>
            </w:r>
            <w:r>
              <w:rPr>
                <w:rFonts w:hint="eastAsia" w:ascii="Times New Roman" w:hAnsi="Times New Roman" w:cs="Times New Roman"/>
                <w:b/>
                <w:bCs/>
                <w:color w:val="auto"/>
                <w:sz w:val="24"/>
                <w:szCs w:val="28"/>
              </w:rPr>
              <w:t>弃井或</w:t>
            </w:r>
            <w:r>
              <w:rPr>
                <w:rFonts w:hint="default" w:ascii="Times New Roman" w:hAnsi="Times New Roman" w:cs="Times New Roman"/>
                <w:b/>
                <w:bCs/>
                <w:color w:val="auto"/>
                <w:sz w:val="24"/>
                <w:szCs w:val="28"/>
              </w:rPr>
              <w:t>退役期污染防治要求</w:t>
            </w:r>
          </w:p>
          <w:p w14:paraId="078978F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若测试无开采价值，应按《废弃井及长停井处置指南》（SY/T</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6646-2017）《废弃井封井回填技术指南（试行）》（环办土壤函〔2020〕72号）</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szCs w:val="24"/>
              </w:rPr>
              <w:t>《油气田开采废弃井永久性封井处置作业规程》（GB/T</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43672-2024）</w:t>
            </w:r>
            <w:r>
              <w:rPr>
                <w:rFonts w:hint="default" w:ascii="Times New Roman" w:hAnsi="Times New Roman" w:cs="Times New Roman"/>
                <w:color w:val="auto"/>
                <w:sz w:val="24"/>
              </w:rPr>
              <w:t>等相关行业规范进行封井作业。并设置醒目的警示标志，加强保护和巡查、监控。封场应在钻井完成后4个月内完成。</w:t>
            </w:r>
          </w:p>
          <w:p w14:paraId="770CDB7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（1）退役期大气污染防治措施</w:t>
            </w:r>
          </w:p>
          <w:p w14:paraId="29C8022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若该井不具备开采价值，首先利用钻井过程中套管及套管壁用水泥固封天然气产层，防止天然气串入其他地层。同时在油管射孔段的上部注水泥形成水泥塞面封隔气井，防止天然气泄漏，对环境的影响很小。</w:t>
            </w:r>
          </w:p>
          <w:p w14:paraId="3018BB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封堵后，定期检测封堵井的井口压力、检查井口周围地表是否窜气，形成台账便于后期跟踪管理。封堵井正常井每季度巡检一次。</w:t>
            </w:r>
          </w:p>
          <w:p w14:paraId="7148C6A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（2）退役期水污染防治措施</w:t>
            </w:r>
          </w:p>
          <w:p w14:paraId="1E5162D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进入退役期时对井口进行封堵，并对井场进行生态恢复，该过程无废水产生和</w:t>
            </w:r>
            <w:r>
              <w:rPr>
                <w:rFonts w:hint="eastAsia" w:ascii="Times New Roman" w:hAnsi="Times New Roman" w:cs="Times New Roman"/>
                <w:color w:val="auto"/>
                <w:sz w:val="24"/>
                <w:lang w:eastAsia="zh-CN"/>
              </w:rPr>
              <w:t>泄漏</w:t>
            </w:r>
            <w:r>
              <w:rPr>
                <w:rFonts w:hint="default" w:ascii="Times New Roman" w:hAnsi="Times New Roman" w:cs="Times New Roman"/>
                <w:color w:val="auto"/>
                <w:sz w:val="24"/>
              </w:rPr>
              <w:t>，不会对区域水环境造成影响。</w:t>
            </w:r>
          </w:p>
          <w:p w14:paraId="04FC885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（3）退役期噪声污染防治措施</w:t>
            </w:r>
          </w:p>
          <w:p w14:paraId="7A2D73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项目结束后，将对退役站场实施永久封堵和废弃，井场内噪声源将不存在，其周围声环境质量将恢复到项目建设前的水平。</w:t>
            </w:r>
          </w:p>
          <w:p w14:paraId="7DD290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（4）退役期固废处置措施</w:t>
            </w:r>
          </w:p>
          <w:p w14:paraId="01484A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勘探井封井后，对井台和测试管线进行拆除，对废弃井的井眼进行封堵。井口和管线拆除作业过程中产生的落地油和受污染的土壤，集中收集后交有危废处置资质的单位处置，不可随意丢弃或就地掩埋，以避免对浅层地下水造成污染；拆除过程中产生的其它垃圾及时外运，送至指定的垃圾处置场处理，其中建筑垃圾送当地指定的建渣场处置。</w:t>
            </w:r>
          </w:p>
          <w:p w14:paraId="1B1D95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（5）</w:t>
            </w:r>
            <w:r>
              <w:rPr>
                <w:rFonts w:hint="default" w:ascii="Times New Roman" w:hAnsi="Times New Roman" w:cs="Times New Roman"/>
                <w:color w:val="auto"/>
                <w:sz w:val="24"/>
              </w:rPr>
              <w:t>退役期土壤环境及生态环境保护措施</w:t>
            </w:r>
          </w:p>
          <w:p w14:paraId="16F8A75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封堵后对地面设施拆除、永久性占地范围内水泥平台或砂砾石铺垫清理，随后进行复垦。硬化物拆除以后，平整场地，</w:t>
            </w:r>
            <w:r>
              <w:rPr>
                <w:rFonts w:hint="eastAsia" w:ascii="Times New Roman" w:hAnsi="Times New Roman" w:cs="Times New Roman"/>
                <w:color w:val="auto"/>
                <w:sz w:val="24"/>
              </w:rPr>
              <w:t>覆土</w:t>
            </w:r>
            <w:r>
              <w:rPr>
                <w:rFonts w:hint="eastAsia" w:cs="Times New Roman"/>
                <w:color w:val="auto"/>
                <w:sz w:val="24"/>
                <w:lang w:val="en-US" w:eastAsia="zh-CN"/>
              </w:rPr>
              <w:t>中耕地覆土4</w:t>
            </w:r>
            <w:r>
              <w:rPr>
                <w:rFonts w:hint="eastAsia" w:ascii="Times New Roman" w:hAnsi="Times New Roman" w:cs="Times New Roman"/>
                <w:color w:val="auto"/>
                <w:sz w:val="24"/>
              </w:rPr>
              <w:t>0cm，</w:t>
            </w:r>
            <w:r>
              <w:rPr>
                <w:rFonts w:hint="default" w:ascii="Times New Roman" w:hAnsi="Times New Roman" w:cs="Times New Roman"/>
                <w:color w:val="auto"/>
                <w:sz w:val="24"/>
              </w:rPr>
              <w:t>最后种植农作物，区块损毁土地尽可能地复垦为原土地利用类型，对区域土壤环境和生态环境属于有利影响。</w:t>
            </w:r>
          </w:p>
          <w:p w14:paraId="290ABD8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9</w:t>
            </w:r>
            <w:r>
              <w:rPr>
                <w:rFonts w:hint="default" w:ascii="Times New Roman" w:hAnsi="Times New Roman" w:cs="Times New Roman"/>
                <w:b/>
                <w:bCs/>
                <w:color w:val="auto"/>
                <w:sz w:val="24"/>
                <w:szCs w:val="28"/>
              </w:rPr>
              <w:t>、生态恢复措施</w:t>
            </w:r>
          </w:p>
          <w:p w14:paraId="08CC27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①复垦方向：总体复垦为耕地，对边坡等不具备复垦旱地条件的种植草本植物恢复生态。</w:t>
            </w:r>
          </w:p>
          <w:p w14:paraId="773157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②复垦率及工期、植被恢复期。复垦率100%，钻井完工后进行复垦，施工期3个月</w:t>
            </w:r>
            <w:r>
              <w:rPr>
                <w:rFonts w:hint="eastAsia" w:ascii="Times New Roman" w:hAnsi="Times New Roman" w:cs="Times New Roman"/>
                <w:bCs/>
                <w:color w:val="auto"/>
                <w:kern w:val="0"/>
                <w:sz w:val="24"/>
                <w:szCs w:val="21"/>
                <w:lang w:eastAsia="zh-CN"/>
              </w:rPr>
              <w:t>，</w:t>
            </w:r>
            <w:r>
              <w:rPr>
                <w:rFonts w:hint="default" w:ascii="Times New Roman" w:hAnsi="Times New Roman" w:cs="Times New Roman"/>
                <w:bCs/>
                <w:color w:val="auto"/>
                <w:kern w:val="0"/>
                <w:sz w:val="24"/>
                <w:szCs w:val="21"/>
              </w:rPr>
              <w:t>复垦种植恢复期2年。</w:t>
            </w:r>
          </w:p>
          <w:p w14:paraId="5A30DC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③复垦土壤：主要采用临时</w:t>
            </w:r>
            <w:r>
              <w:rPr>
                <w:rFonts w:hint="eastAsia" w:ascii="Times New Roman" w:hAnsi="Times New Roman" w:cs="Times New Roman"/>
                <w:bCs/>
                <w:color w:val="auto"/>
                <w:kern w:val="0"/>
                <w:sz w:val="24"/>
                <w:szCs w:val="21"/>
              </w:rPr>
              <w:t>表土临时堆场</w:t>
            </w:r>
            <w:r>
              <w:rPr>
                <w:rFonts w:hint="default" w:ascii="Times New Roman" w:hAnsi="Times New Roman" w:cs="Times New Roman"/>
                <w:bCs/>
                <w:color w:val="auto"/>
                <w:kern w:val="0"/>
                <w:sz w:val="24"/>
                <w:szCs w:val="21"/>
              </w:rPr>
              <w:t>耕植土以及其他临时占地原有耕植土。</w:t>
            </w:r>
          </w:p>
          <w:p w14:paraId="678E4D3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④复垦范围：若无开采价值，井场除保留井口封井装置区外全部拆除，平整、翻耕、培肥改良复垦。若后续具有开发价值，根据后续地面集输工程征用占地，对占地墙外的区域全部拆除，平整、翻耕、培肥改良复垦。包括井场及井场外的泥浆罐区、生活营地、放喷池、泥浆不落地操作平台、清水池以及边坡等。</w:t>
            </w:r>
          </w:p>
          <w:p w14:paraId="434F775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pacing w:val="10"/>
                <w:sz w:val="24"/>
              </w:rPr>
            </w:pPr>
            <w:r>
              <w:rPr>
                <w:rFonts w:hint="default" w:ascii="Times New Roman" w:hAnsi="Times New Roman" w:cs="Times New Roman"/>
                <w:bCs/>
                <w:color w:val="auto"/>
                <w:kern w:val="0"/>
                <w:sz w:val="24"/>
                <w:szCs w:val="21"/>
              </w:rPr>
              <w:t>⑤复垦要求：对土壤进行翻耕、平整及培肥改良。满足《土地复垦质量控制标准》（TD/T</w:t>
            </w:r>
            <w:r>
              <w:rPr>
                <w:rFonts w:hint="eastAsia" w:ascii="Times New Roman" w:hAnsi="Times New Roman" w:cs="Times New Roman"/>
                <w:bCs/>
                <w:color w:val="auto"/>
                <w:kern w:val="0"/>
                <w:sz w:val="24"/>
                <w:szCs w:val="21"/>
                <w:lang w:val="en-US" w:eastAsia="zh-CN"/>
              </w:rPr>
              <w:t xml:space="preserve"> </w:t>
            </w:r>
            <w:r>
              <w:rPr>
                <w:rFonts w:hint="default" w:ascii="Times New Roman" w:hAnsi="Times New Roman" w:cs="Times New Roman"/>
                <w:bCs/>
                <w:color w:val="auto"/>
                <w:kern w:val="0"/>
                <w:sz w:val="24"/>
                <w:szCs w:val="21"/>
              </w:rPr>
              <w:t>1036-2013）中规定的要求。复垦方案经过专门设计，满足相关要求，技术上可行。</w:t>
            </w:r>
            <w:r>
              <w:rPr>
                <w:rFonts w:hint="eastAsia" w:ascii="Times New Roman" w:hAnsi="Times New Roman" w:cs="Times New Roman"/>
                <w:bCs/>
                <w:color w:val="auto"/>
                <w:kern w:val="0"/>
                <w:sz w:val="24"/>
                <w:szCs w:val="21"/>
                <w:lang w:eastAsia="zh-CN"/>
              </w:rPr>
              <w:t>投资</w:t>
            </w:r>
            <w:r>
              <w:rPr>
                <w:rFonts w:hint="default" w:ascii="Times New Roman" w:hAnsi="Times New Roman" w:cs="Times New Roman"/>
                <w:bCs/>
                <w:color w:val="auto"/>
                <w:kern w:val="0"/>
                <w:sz w:val="24"/>
                <w:szCs w:val="21"/>
              </w:rPr>
              <w:t>较少，经济上可行。可有效恢复生态环境。</w:t>
            </w:r>
          </w:p>
        </w:tc>
      </w:tr>
      <w:tr w14:paraId="56900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0074B2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运营期生态环境保护措施</w:t>
            </w:r>
          </w:p>
        </w:tc>
        <w:tc>
          <w:tcPr>
            <w:tcW w:w="8457" w:type="dxa"/>
            <w:noWrap w:val="0"/>
            <w:vAlign w:val="center"/>
          </w:tcPr>
          <w:p w14:paraId="4E7BF479">
            <w:pPr>
              <w:keepNext w:val="0"/>
              <w:keepLines w:val="0"/>
              <w:suppressLineNumbers w:val="0"/>
              <w:adjustRightInd w:val="0"/>
              <w:snapToGrid w:val="0"/>
              <w:spacing w:before="0" w:beforeAutospacing="0" w:after="0" w:afterAutospacing="0"/>
              <w:ind w:left="0" w:right="0" w:firstLine="520" w:firstLineChars="200"/>
              <w:jc w:val="both"/>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本项目不涉及运营期。</w:t>
            </w:r>
          </w:p>
        </w:tc>
      </w:tr>
      <w:tr w14:paraId="03CB1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3962DC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其他</w:t>
            </w:r>
          </w:p>
        </w:tc>
        <w:tc>
          <w:tcPr>
            <w:tcW w:w="8457" w:type="dxa"/>
            <w:noWrap w:val="0"/>
            <w:vAlign w:val="center"/>
          </w:tcPr>
          <w:p w14:paraId="2555EFF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一、环境管理及监测计划</w:t>
            </w:r>
          </w:p>
          <w:p w14:paraId="7D473BE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1、</w:t>
            </w:r>
            <w:r>
              <w:rPr>
                <w:rFonts w:hint="default" w:ascii="Times New Roman" w:hAnsi="Times New Roman" w:cs="Times New Roman"/>
                <w:b/>
                <w:bCs/>
                <w:color w:val="auto"/>
                <w:sz w:val="24"/>
                <w:szCs w:val="28"/>
              </w:rPr>
              <w:t>开展环境管理</w:t>
            </w:r>
          </w:p>
          <w:p w14:paraId="7AAC6F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本项目仅为钻探工程，不涉及运营期相关内容。故项目环境管理主要为施工期环境管理。</w:t>
            </w:r>
          </w:p>
          <w:p w14:paraId="45C583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业主单位应严格执行建设项目的“三同时”制度，强化工程的环境保护工作。工程竣工后，各项环保措施需进行环保验收。同时业主单位应落实环境管理体系，严格落实环境管理人员的环保职责要求</w:t>
            </w:r>
            <w:r>
              <w:rPr>
                <w:rFonts w:hint="eastAsia" w:ascii="Times New Roman" w:hAnsi="Times New Roman" w:cs="Times New Roman"/>
                <w:bCs/>
                <w:color w:val="auto"/>
                <w:sz w:val="24"/>
              </w:rPr>
              <w:t>；</w:t>
            </w:r>
            <w:r>
              <w:rPr>
                <w:rFonts w:hint="default" w:ascii="Times New Roman" w:hAnsi="Times New Roman" w:cs="Times New Roman"/>
                <w:bCs/>
                <w:color w:val="auto"/>
                <w:sz w:val="24"/>
              </w:rPr>
              <w:t>各项环保设施运行和污染物处置应设立台账。</w:t>
            </w:r>
          </w:p>
          <w:p w14:paraId="7379C0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业主单位设专人负责监督施工单位在施工过程中的环境保护工作，同时监督施工单位落实环境保护措施。</w:t>
            </w:r>
          </w:p>
          <w:p w14:paraId="7CAFF70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和施工单位应协作在施工前制定环境保护方案，如在施工场地的踏勘和清理中，要求在保证安全和顺利施工的前提下，尽量限制作业带外植被的人为破坏，禁止施工人员捕杀野生动物，挖掘土石方应堆放在指定场所，并修建拦挡设施防止水土流失。同时应在施工前对施工人员进行环境保护培训。钻井队应完善钻井期间的环境管理工作</w:t>
            </w:r>
            <w:r>
              <w:rPr>
                <w:rFonts w:hint="eastAsia" w:ascii="Times New Roman" w:hAnsi="Times New Roman" w:cs="Times New Roman"/>
                <w:bCs/>
                <w:color w:val="auto"/>
                <w:sz w:val="24"/>
                <w:lang w:eastAsia="zh-CN"/>
              </w:rPr>
              <w:t>，对</w:t>
            </w:r>
            <w:r>
              <w:rPr>
                <w:rFonts w:hint="default" w:ascii="Times New Roman" w:hAnsi="Times New Roman" w:cs="Times New Roman"/>
                <w:bCs/>
                <w:color w:val="auto"/>
                <w:sz w:val="24"/>
              </w:rPr>
              <w:t>钻井材料的油料集中管理，</w:t>
            </w:r>
            <w:r>
              <w:rPr>
                <w:rFonts w:hint="eastAsia" w:ascii="Times New Roman" w:hAnsi="Times New Roman" w:cs="Times New Roman"/>
                <w:bCs/>
                <w:color w:val="auto"/>
                <w:sz w:val="24"/>
                <w:lang w:eastAsia="zh-CN"/>
              </w:rPr>
              <w:t>减少</w:t>
            </w:r>
            <w:r>
              <w:rPr>
                <w:rFonts w:hint="default" w:ascii="Times New Roman" w:hAnsi="Times New Roman" w:cs="Times New Roman"/>
                <w:bCs/>
                <w:color w:val="auto"/>
                <w:sz w:val="24"/>
              </w:rPr>
              <w:t>散失和漏失，对被污染的土壤及时妥善处理；所有泥浆材料和化学处理剂应由专人负责严格管理，整齐堆放，防止破损散失和下雨流失，有毒化学处理剂设明显标志，建立收发登记制度</w:t>
            </w:r>
            <w:r>
              <w:rPr>
                <w:rFonts w:hint="eastAsia" w:ascii="Times New Roman" w:hAnsi="Times New Roman" w:cs="Times New Roman"/>
                <w:bCs/>
                <w:color w:val="auto"/>
                <w:sz w:val="24"/>
              </w:rPr>
              <w:t>；</w:t>
            </w:r>
            <w:r>
              <w:rPr>
                <w:rFonts w:hint="default" w:ascii="Times New Roman" w:hAnsi="Times New Roman" w:cs="Times New Roman"/>
                <w:bCs/>
                <w:color w:val="auto"/>
                <w:sz w:val="24"/>
              </w:rPr>
              <w:t>经常检查储油容器及其管线，阀门的工作状况，防止油料漏失污染环境，钻井废水外运实行转移联单制度，填报交接清单。</w:t>
            </w:r>
          </w:p>
          <w:p w14:paraId="7468D0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在钻前施工承包合同中，应该包括有关环境保护条款，如生态保护措施，水土保持措施，施工设备排放的废气、噪声控制措施和环境保护目标，环境监控措施，环保专项资金的落实等。</w:t>
            </w:r>
          </w:p>
          <w:p w14:paraId="56DE4B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1</w:t>
            </w:r>
            <w:r>
              <w:rPr>
                <w:rFonts w:hint="eastAsia" w:ascii="Times New Roman" w:hAnsi="Times New Roman" w:cs="Times New Roman"/>
                <w:bCs/>
                <w:color w:val="auto"/>
                <w:sz w:val="24"/>
              </w:rPr>
              <w:t>）</w:t>
            </w:r>
            <w:r>
              <w:rPr>
                <w:rFonts w:hint="default" w:ascii="Times New Roman" w:hAnsi="Times New Roman" w:cs="Times New Roman"/>
                <w:bCs/>
                <w:color w:val="auto"/>
                <w:sz w:val="24"/>
              </w:rPr>
              <w:t>建立有效的管理机构</w:t>
            </w:r>
          </w:p>
          <w:p w14:paraId="3DD4D9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建设方应设专人负责施工作业HSE的贯彻执行，主要职责在于监督承包商履行承包合同，监督施工作业进程。制定施工作业的环境保护规定。根据施工作业合同中有关环保要求和</w:t>
            </w:r>
            <w:r>
              <w:rPr>
                <w:rFonts w:hint="eastAsia" w:ascii="Times New Roman" w:hAnsi="Times New Roman" w:cs="Times New Roman"/>
                <w:bCs/>
                <w:color w:val="auto"/>
                <w:sz w:val="24"/>
                <w:lang w:eastAsia="zh-CN"/>
              </w:rPr>
              <w:t>各项</w:t>
            </w:r>
            <w:r>
              <w:rPr>
                <w:rFonts w:hint="default" w:ascii="Times New Roman" w:hAnsi="Times New Roman" w:cs="Times New Roman"/>
                <w:bCs/>
                <w:color w:val="auto"/>
                <w:sz w:val="24"/>
              </w:rPr>
              <w:t>作业特点，分别制定各项环保措施。如在施工过程中，要求在保证安全和顺利施工的情况下，尽量限制作业带的宽度，减少对土地的征用及植被、作物的人为破坏，禁止猎杀野生动物；挖掘出的土石方堆放要选择合适场所，不能堵塞自然排水沟，并修筑必要的</w:t>
            </w:r>
            <w:r>
              <w:rPr>
                <w:rFonts w:hint="eastAsia" w:ascii="Times New Roman" w:hAnsi="Times New Roman" w:cs="Times New Roman"/>
                <w:bCs/>
                <w:color w:val="auto"/>
                <w:sz w:val="24"/>
                <w:lang w:eastAsia="zh-CN"/>
              </w:rPr>
              <w:t>拦挡</w:t>
            </w:r>
            <w:r>
              <w:rPr>
                <w:rFonts w:hint="default" w:ascii="Times New Roman" w:hAnsi="Times New Roman" w:cs="Times New Roman"/>
                <w:bCs/>
                <w:color w:val="auto"/>
                <w:sz w:val="24"/>
              </w:rPr>
              <w:t>设施以防止水土流失：在车辆运输中，要事先确定路线，防止车辆油料及物料装运的泄漏等。</w:t>
            </w:r>
          </w:p>
          <w:p w14:paraId="2B2B11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2</w:t>
            </w:r>
            <w:r>
              <w:rPr>
                <w:rFonts w:hint="eastAsia" w:ascii="Times New Roman" w:hAnsi="Times New Roman" w:cs="Times New Roman"/>
                <w:bCs/>
                <w:color w:val="auto"/>
                <w:sz w:val="24"/>
              </w:rPr>
              <w:t>）</w:t>
            </w:r>
            <w:r>
              <w:rPr>
                <w:rFonts w:hint="default" w:ascii="Times New Roman" w:hAnsi="Times New Roman" w:cs="Times New Roman"/>
                <w:bCs/>
                <w:color w:val="auto"/>
                <w:sz w:val="24"/>
              </w:rPr>
              <w:t>建立完善的环保工作计划</w:t>
            </w:r>
          </w:p>
          <w:p w14:paraId="0BFF55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①在施工前制定环境保护规划</w:t>
            </w:r>
          </w:p>
          <w:p w14:paraId="32D0F92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收集施工地区现有的自然生态环境、社会环境状况以及当地政府有关环境保护的法规等，作为制定规划的依据。重点考虑生态、野生动物、植物等。</w:t>
            </w:r>
          </w:p>
          <w:p w14:paraId="662FA1B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②进行环境保护培训在施工前需对全体员工进行环境保护知识和环保意识培训。并结合施工计划提出具体的环保措施。</w:t>
            </w:r>
          </w:p>
          <w:p w14:paraId="2CDCCF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③紧急情况处理计划</w:t>
            </w:r>
          </w:p>
          <w:p w14:paraId="25C0D9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计划中要考虑施工中可能出现的紧急情况，并明确处理紧急情况的协调及提交相关的恢复措施报告。</w:t>
            </w:r>
          </w:p>
          <w:p w14:paraId="6DD6EF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④施工结束后的恢复计划</w:t>
            </w:r>
          </w:p>
          <w:p w14:paraId="27606A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施工前必须制定恢复计划，主要包括：收集所有的施工材料废弃物和生活废弃物、填实污水坑并用土压实，尽量恢复工区内的自然排水通道，营地</w:t>
            </w:r>
            <w:r>
              <w:rPr>
                <w:rFonts w:hint="eastAsia" w:ascii="Times New Roman" w:hAnsi="Times New Roman" w:cs="Times New Roman"/>
                <w:bCs/>
                <w:color w:val="auto"/>
                <w:sz w:val="24"/>
                <w:lang w:eastAsia="zh-CN"/>
              </w:rPr>
              <w:t>拆除</w:t>
            </w:r>
            <w:r>
              <w:rPr>
                <w:rFonts w:hint="default" w:ascii="Times New Roman" w:hAnsi="Times New Roman" w:cs="Times New Roman"/>
                <w:bCs/>
                <w:color w:val="auto"/>
                <w:sz w:val="24"/>
              </w:rPr>
              <w:t>后不留废弃物品，并对现场作业环境和营地环境恢复情况进行回访等。</w:t>
            </w:r>
          </w:p>
          <w:p w14:paraId="5B13DC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3</w:t>
            </w:r>
            <w:r>
              <w:rPr>
                <w:rFonts w:hint="eastAsia" w:ascii="Times New Roman" w:hAnsi="Times New Roman" w:cs="Times New Roman"/>
                <w:bCs/>
                <w:color w:val="auto"/>
                <w:sz w:val="24"/>
              </w:rPr>
              <w:t>）</w:t>
            </w:r>
            <w:r>
              <w:rPr>
                <w:rFonts w:hint="default" w:ascii="Times New Roman" w:hAnsi="Times New Roman" w:cs="Times New Roman"/>
                <w:bCs/>
                <w:color w:val="auto"/>
                <w:sz w:val="24"/>
              </w:rPr>
              <w:t>严格执行环境监督和审查制度</w:t>
            </w:r>
          </w:p>
          <w:p w14:paraId="1DB426D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①施工全过程的监督</w:t>
            </w:r>
          </w:p>
          <w:p w14:paraId="244C53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施工过程中应经常对施工单位及施工状况进行监督核查，保证制定环保规划的实施和对潜在问题的预防，评估环境保护计划实施的效果。</w:t>
            </w:r>
          </w:p>
          <w:p w14:paraId="70728B8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②环境保护审查</w:t>
            </w:r>
          </w:p>
          <w:p w14:paraId="602617A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施工完成后，提出施工中的环境影响报告，对工程进行环境保护审查。</w:t>
            </w:r>
          </w:p>
          <w:p w14:paraId="35314D3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2、</w:t>
            </w:r>
            <w:r>
              <w:rPr>
                <w:rFonts w:hint="default" w:ascii="Times New Roman" w:hAnsi="Times New Roman" w:cs="Times New Roman"/>
                <w:b/>
                <w:color w:val="auto"/>
                <w:sz w:val="24"/>
              </w:rPr>
              <w:t>环境监测计划</w:t>
            </w:r>
          </w:p>
          <w:p w14:paraId="0DC429B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本项目钻井废水、井场内</w:t>
            </w:r>
            <w:r>
              <w:rPr>
                <w:rFonts w:hint="eastAsia" w:cs="Times New Roman"/>
                <w:bCs/>
                <w:color w:val="auto"/>
                <w:sz w:val="24"/>
                <w:lang w:eastAsia="zh-CN"/>
              </w:rPr>
              <w:t>初期雨水优先回用于</w:t>
            </w:r>
            <w:r>
              <w:rPr>
                <w:rFonts w:hint="eastAsia" w:ascii="Times New Roman" w:hAnsi="Times New Roman" w:cs="Times New Roman"/>
                <w:bCs/>
                <w:color w:val="auto"/>
                <w:sz w:val="24"/>
              </w:rPr>
              <w:t>钻井泥浆</w:t>
            </w:r>
            <w:r>
              <w:rPr>
                <w:rFonts w:hint="eastAsia" w:cs="Times New Roman"/>
                <w:bCs/>
                <w:color w:val="auto"/>
                <w:sz w:val="24"/>
                <w:lang w:eastAsia="zh-CN"/>
              </w:rPr>
              <w:t>配制</w:t>
            </w:r>
            <w:r>
              <w:rPr>
                <w:rFonts w:hint="eastAsia" w:ascii="Times New Roman" w:hAnsi="Times New Roman" w:cs="Times New Roman"/>
                <w:bCs/>
                <w:color w:val="auto"/>
                <w:sz w:val="24"/>
              </w:rPr>
              <w:t>，未能回用的钻井废水和井场内</w:t>
            </w:r>
            <w:r>
              <w:rPr>
                <w:rFonts w:hint="eastAsia" w:cs="Times New Roman"/>
                <w:bCs/>
                <w:color w:val="auto"/>
                <w:sz w:val="24"/>
                <w:lang w:eastAsia="zh-CN"/>
              </w:rPr>
              <w:t>初期雨水</w:t>
            </w:r>
            <w:r>
              <w:rPr>
                <w:rFonts w:hint="eastAsia" w:ascii="Times New Roman" w:hAnsi="Times New Roman" w:cs="Times New Roman"/>
                <w:bCs/>
                <w:color w:val="auto"/>
                <w:sz w:val="24"/>
              </w:rPr>
              <w:t>、洗井废水、压裂废水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eastAsia" w:ascii="Times New Roman" w:hAnsi="Times New Roman" w:cs="Times New Roman"/>
                <w:bCs/>
                <w:color w:val="auto"/>
                <w:sz w:val="24"/>
              </w:rPr>
              <w:t>交由符合环保要求且有处理能力的钻井废水处理公司进行处理</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生活污水通过环保厕所收集后转运至</w:t>
            </w:r>
            <w:r>
              <w:rPr>
                <w:rFonts w:hint="eastAsia" w:cs="Times New Roman"/>
                <w:bCs/>
                <w:color w:val="auto"/>
                <w:sz w:val="24"/>
                <w:lang w:eastAsia="zh-CN"/>
              </w:rPr>
              <w:t>上八庙镇</w:t>
            </w:r>
            <w:r>
              <w:rPr>
                <w:rFonts w:hint="eastAsia" w:ascii="Times New Roman" w:hAnsi="Times New Roman" w:cs="Times New Roman"/>
                <w:bCs/>
                <w:color w:val="auto"/>
                <w:sz w:val="24"/>
              </w:rPr>
              <w:t>污水处理站处理</w:t>
            </w:r>
            <w:r>
              <w:rPr>
                <w:rFonts w:hint="default" w:ascii="Times New Roman" w:hAnsi="Times New Roman" w:cs="Times New Roman"/>
                <w:bCs/>
                <w:color w:val="auto"/>
                <w:sz w:val="24"/>
              </w:rPr>
              <w:t>；钻井期间废气均为无组织排</w:t>
            </w:r>
            <w:r>
              <w:rPr>
                <w:rFonts w:hint="default" w:ascii="Times New Roman" w:hAnsi="Times New Roman" w:cs="Times New Roman"/>
                <w:b w:val="0"/>
                <w:bCs/>
                <w:color w:val="auto"/>
                <w:sz w:val="24"/>
              </w:rPr>
              <w:t>放</w:t>
            </w:r>
            <w:r>
              <w:rPr>
                <w:rFonts w:hint="default" w:ascii="Times New Roman" w:hAnsi="Times New Roman" w:cs="Times New Roman"/>
                <w:b w:val="0"/>
                <w:bCs/>
                <w:color w:val="auto"/>
                <w:sz w:val="24"/>
                <w:highlight w:val="none"/>
              </w:rPr>
              <w:t>，本项目为</w:t>
            </w:r>
            <w:r>
              <w:rPr>
                <w:rFonts w:hint="eastAsia" w:ascii="Times New Roman" w:hAnsi="Times New Roman" w:cs="Times New Roman"/>
                <w:b w:val="0"/>
                <w:bCs/>
                <w:color w:val="auto"/>
                <w:sz w:val="24"/>
                <w:highlight w:val="none"/>
                <w:lang w:val="en-US" w:eastAsia="zh-CN"/>
              </w:rPr>
              <w:t>不</w:t>
            </w:r>
            <w:r>
              <w:rPr>
                <w:rFonts w:hint="default" w:ascii="Times New Roman" w:hAnsi="Times New Roman" w:cs="Times New Roman"/>
                <w:b w:val="0"/>
                <w:bCs/>
                <w:color w:val="auto"/>
                <w:sz w:val="24"/>
                <w:highlight w:val="none"/>
              </w:rPr>
              <w:t>含硫天然气井</w:t>
            </w:r>
            <w:r>
              <w:rPr>
                <w:rFonts w:hint="default" w:ascii="Times New Roman" w:hAnsi="Times New Roman" w:cs="Times New Roman"/>
                <w:bCs/>
                <w:color w:val="auto"/>
                <w:sz w:val="24"/>
              </w:rPr>
              <w:t>。同时，本项目仅为钻探工程，不涉及运营期相关内容，各类污染物随着项目的完成而消失</w:t>
            </w:r>
            <w:r>
              <w:rPr>
                <w:rFonts w:hint="eastAsia" w:cs="Times New Roman"/>
                <w:bCs/>
                <w:color w:val="auto"/>
                <w:sz w:val="24"/>
                <w:lang w:eastAsia="zh-CN"/>
              </w:rPr>
              <w:t>。</w:t>
            </w:r>
            <w:r>
              <w:rPr>
                <w:rFonts w:hint="eastAsia" w:ascii="Times New Roman" w:hAnsi="Times New Roman" w:eastAsia="宋体" w:cs="Times New Roman"/>
                <w:bCs/>
                <w:color w:val="auto"/>
                <w:sz w:val="24"/>
              </w:rPr>
              <w:t>针对本项目特征，根据《环境影响评价技术导则 地下水环境》（HJ610-2016），在其钻井期间</w:t>
            </w:r>
            <w:r>
              <w:rPr>
                <w:rFonts w:hint="eastAsia" w:ascii="Times New Roman" w:hAnsi="Times New Roman" w:eastAsia="宋体" w:cs="Times New Roman"/>
                <w:bCs/>
                <w:color w:val="auto"/>
                <w:sz w:val="24"/>
                <w:lang w:val="en-US" w:eastAsia="zh-CN"/>
              </w:rPr>
              <w:t>需</w:t>
            </w:r>
            <w:r>
              <w:rPr>
                <w:rFonts w:hint="eastAsia" w:ascii="Times New Roman" w:hAnsi="Times New Roman" w:eastAsia="宋体" w:cs="Times New Roman"/>
                <w:bCs/>
                <w:color w:val="auto"/>
                <w:sz w:val="24"/>
              </w:rPr>
              <w:t>建立地下水污染监控体系参照《工业企业土壤和地下水自行监测 技术指南（试行）》（HJ 1209-2021）和《排污单位自行监测技术指南 陆上石油天然气开采工业》（HJ 1248-2022）进行地下水监测</w:t>
            </w:r>
            <w:r>
              <w:rPr>
                <w:rFonts w:hint="eastAsia" w:ascii="Times New Roman" w:hAnsi="Times New Roman" w:eastAsia="宋体" w:cs="Times New Roman"/>
                <w:bCs/>
                <w:color w:val="auto"/>
                <w:sz w:val="24"/>
                <w:lang w:eastAsia="zh-CN"/>
              </w:rPr>
              <w:t>。</w:t>
            </w:r>
            <w:r>
              <w:rPr>
                <w:rFonts w:hint="default" w:ascii="Times New Roman" w:hAnsi="Times New Roman" w:cs="Times New Roman"/>
                <w:bCs/>
                <w:color w:val="auto"/>
                <w:sz w:val="24"/>
              </w:rPr>
              <w:t>当发生突发环境事件时建设单位应根据《突发环境事件应急监测技术规范》（HJ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589-2021）开展监测。</w:t>
            </w:r>
          </w:p>
          <w:p w14:paraId="184416CC">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eastAsia" w:ascii="Times New Roman" w:hAnsi="Times New Roman" w:eastAsia="宋体" w:cs="Times New Roman"/>
                <w:bCs/>
                <w:color w:val="auto"/>
                <w:sz w:val="24"/>
                <w:lang w:val="en-US" w:eastAsia="zh-CN"/>
              </w:rPr>
              <w:t>建设单位在</w:t>
            </w:r>
            <w:r>
              <w:rPr>
                <w:rFonts w:hint="default" w:ascii="Times New Roman" w:hAnsi="Times New Roman" w:eastAsia="宋体" w:cs="Times New Roman"/>
                <w:bCs/>
                <w:color w:val="auto"/>
                <w:sz w:val="24"/>
              </w:rPr>
              <w:t>作业现场应配备</w:t>
            </w:r>
            <w:r>
              <w:rPr>
                <w:rFonts w:hint="eastAsia" w:ascii="Times New Roman" w:hAnsi="Times New Roman" w:eastAsia="宋体" w:cs="Times New Roman"/>
                <w:bCs/>
                <w:color w:val="auto"/>
                <w:sz w:val="24"/>
                <w:lang w:val="en-US" w:eastAsia="zh-CN"/>
              </w:rPr>
              <w:t>充足的</w:t>
            </w:r>
            <w:r>
              <w:rPr>
                <w:rFonts w:hint="default" w:ascii="Times New Roman" w:hAnsi="Times New Roman" w:eastAsia="宋体" w:cs="Times New Roman"/>
                <w:bCs/>
                <w:color w:val="auto"/>
                <w:sz w:val="24"/>
              </w:rPr>
              <w:t>甲烷</w:t>
            </w:r>
            <w:r>
              <w:rPr>
                <w:rFonts w:hint="eastAsia" w:ascii="Times New Roman" w:hAnsi="Times New Roman" w:eastAsia="宋体" w:cs="Times New Roman"/>
                <w:bCs/>
                <w:color w:val="auto"/>
                <w:sz w:val="24"/>
                <w:lang w:val="en-US" w:eastAsia="zh-CN"/>
              </w:rPr>
              <w:t>检测</w:t>
            </w:r>
            <w:r>
              <w:rPr>
                <w:rFonts w:hint="default" w:ascii="Times New Roman" w:hAnsi="Times New Roman" w:eastAsia="宋体" w:cs="Times New Roman"/>
                <w:bCs/>
                <w:color w:val="auto"/>
                <w:sz w:val="24"/>
              </w:rPr>
              <w:t>仪、可燃气体</w:t>
            </w:r>
            <w:r>
              <w:rPr>
                <w:rFonts w:hint="eastAsia" w:ascii="Times New Roman" w:hAnsi="Times New Roman" w:eastAsia="宋体" w:cs="Times New Roman"/>
                <w:bCs/>
                <w:color w:val="auto"/>
                <w:sz w:val="24"/>
                <w:lang w:val="en-US" w:eastAsia="zh-CN"/>
              </w:rPr>
              <w:t>检测</w:t>
            </w:r>
            <w:r>
              <w:rPr>
                <w:rFonts w:hint="default" w:ascii="Times New Roman" w:hAnsi="Times New Roman" w:eastAsia="宋体" w:cs="Times New Roman"/>
                <w:bCs/>
                <w:color w:val="auto"/>
                <w:sz w:val="24"/>
              </w:rPr>
              <w:t>仪</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硫化氢检测仪</w:t>
            </w:r>
            <w:r>
              <w:rPr>
                <w:rFonts w:hint="default" w:ascii="Times New Roman" w:hAnsi="Times New Roman" w:eastAsia="宋体" w:cs="Times New Roman"/>
                <w:bCs/>
                <w:color w:val="auto"/>
                <w:sz w:val="24"/>
              </w:rPr>
              <w:t>。</w:t>
            </w:r>
            <w:r>
              <w:rPr>
                <w:rFonts w:hint="eastAsia" w:ascii="Times New Roman" w:hAnsi="Times New Roman" w:eastAsia="宋体" w:cs="Times New Roman"/>
                <w:bCs/>
                <w:color w:val="auto"/>
                <w:sz w:val="24"/>
                <w:lang w:val="en-US" w:eastAsia="zh-CN"/>
              </w:rPr>
              <w:t>各检测</w:t>
            </w:r>
            <w:r>
              <w:rPr>
                <w:rFonts w:hint="default" w:ascii="Times New Roman" w:hAnsi="Times New Roman" w:eastAsia="宋体" w:cs="Times New Roman"/>
                <w:bCs/>
                <w:color w:val="auto"/>
                <w:sz w:val="24"/>
              </w:rPr>
              <w:t>仪应在钻台、方井、振动筛、循环罐处设置</w:t>
            </w:r>
            <w:r>
              <w:rPr>
                <w:rFonts w:hint="eastAsia" w:ascii="Times New Roman" w:hAnsi="Times New Roman" w:eastAsia="宋体" w:cs="Times New Roman"/>
                <w:bCs/>
                <w:color w:val="auto"/>
                <w:sz w:val="24"/>
                <w:lang w:eastAsia="zh-CN"/>
              </w:rPr>
              <w:t>，并</w:t>
            </w:r>
            <w:r>
              <w:rPr>
                <w:rFonts w:hint="eastAsia" w:eastAsia="宋体" w:cs="Times New Roman"/>
                <w:bCs/>
                <w:color w:val="auto"/>
                <w:sz w:val="24"/>
                <w:lang w:val="en-US" w:eastAsia="zh-CN"/>
              </w:rPr>
              <w:t>定期进行</w:t>
            </w:r>
            <w:r>
              <w:rPr>
                <w:rFonts w:hint="eastAsia" w:ascii="Times New Roman" w:hAnsi="Times New Roman" w:eastAsia="宋体" w:cs="Times New Roman"/>
                <w:bCs/>
                <w:color w:val="auto"/>
                <w:sz w:val="24"/>
                <w:lang w:eastAsia="zh-CN"/>
              </w:rPr>
              <w:t>检查</w:t>
            </w:r>
            <w:r>
              <w:rPr>
                <w:rFonts w:hint="default" w:ascii="Times New Roman" w:hAnsi="Times New Roman" w:eastAsia="宋体" w:cs="Times New Roman"/>
                <w:bCs/>
                <w:color w:val="auto"/>
                <w:sz w:val="24"/>
              </w:rPr>
              <w:t>。</w:t>
            </w:r>
          </w:p>
        </w:tc>
      </w:tr>
      <w:tr w14:paraId="4778D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61" w:hRule="atLeast"/>
          <w:jc w:val="center"/>
        </w:trPr>
        <w:tc>
          <w:tcPr>
            <w:tcW w:w="753" w:type="dxa"/>
            <w:noWrap w:val="0"/>
            <w:vAlign w:val="center"/>
          </w:tcPr>
          <w:p w14:paraId="10275C8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环保投资</w:t>
            </w:r>
          </w:p>
        </w:tc>
        <w:tc>
          <w:tcPr>
            <w:tcW w:w="8457" w:type="dxa"/>
            <w:noWrap w:val="0"/>
            <w:vAlign w:val="top"/>
          </w:tcPr>
          <w:p w14:paraId="782AE21F">
            <w:pPr>
              <w:pStyle w:val="58"/>
              <w:keepNext w:val="0"/>
              <w:keepLines w:val="0"/>
              <w:suppressLineNumbers w:val="0"/>
              <w:spacing w:before="0" w:beforeAutospacing="0" w:after="0" w:afterAutospacing="0" w:line="360" w:lineRule="auto"/>
              <w:ind w:left="0" w:right="0"/>
              <w:rPr>
                <w:rFonts w:hint="default" w:ascii="Times New Roman" w:hAnsi="Times New Roman" w:cs="Times New Roman"/>
                <w:color w:val="auto"/>
                <w:sz w:val="24"/>
              </w:rPr>
            </w:pPr>
            <w:r>
              <w:rPr>
                <w:rFonts w:hint="default" w:ascii="Times New Roman" w:hAnsi="Times New Roman" w:cs="Times New Roman"/>
                <w:color w:val="auto"/>
                <w:sz w:val="24"/>
              </w:rPr>
              <w:t>本项目总投资</w:t>
            </w:r>
            <w:r>
              <w:rPr>
                <w:rFonts w:hint="eastAsia" w:cs="Times New Roman"/>
                <w:color w:val="auto"/>
                <w:sz w:val="24"/>
                <w:lang w:val="en-US" w:eastAsia="zh-CN"/>
              </w:rPr>
              <w:t>5500</w:t>
            </w:r>
            <w:r>
              <w:rPr>
                <w:rFonts w:hint="default" w:ascii="Times New Roman" w:hAnsi="Times New Roman" w:cs="Times New Roman"/>
                <w:color w:val="auto"/>
                <w:sz w:val="24"/>
              </w:rPr>
              <w:t>万元，其中环保总投资估算为</w:t>
            </w:r>
            <w:r>
              <w:rPr>
                <w:rFonts w:hint="eastAsia" w:ascii="Times New Roman" w:hAnsi="Times New Roman" w:cs="Times New Roman"/>
                <w:color w:val="auto"/>
                <w:sz w:val="24"/>
                <w:lang w:val="en-US" w:eastAsia="zh-CN"/>
              </w:rPr>
              <w:t>23</w:t>
            </w:r>
            <w:r>
              <w:rPr>
                <w:rFonts w:hint="eastAsia" w:cs="Times New Roman"/>
                <w:color w:val="auto"/>
                <w:sz w:val="24"/>
                <w:lang w:val="en-US" w:eastAsia="zh-CN"/>
              </w:rPr>
              <w:t>4</w:t>
            </w:r>
            <w:r>
              <w:rPr>
                <w:rFonts w:hint="default" w:ascii="Times New Roman" w:hAnsi="Times New Roman" w:cs="Times New Roman"/>
                <w:color w:val="auto"/>
                <w:sz w:val="24"/>
              </w:rPr>
              <w:t>万元，占总投资的</w:t>
            </w:r>
            <w:r>
              <w:rPr>
                <w:rFonts w:hint="eastAsia" w:cs="Times New Roman"/>
                <w:color w:val="auto"/>
                <w:sz w:val="24"/>
                <w:lang w:val="en-US" w:eastAsia="zh-CN"/>
              </w:rPr>
              <w:t>4.25</w:t>
            </w:r>
            <w:r>
              <w:rPr>
                <w:rFonts w:hint="default" w:ascii="Times New Roman" w:hAnsi="Times New Roman" w:cs="Times New Roman"/>
                <w:color w:val="auto"/>
                <w:sz w:val="24"/>
              </w:rPr>
              <w:t>%，详见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7E6F9750">
            <w:pPr>
              <w:keepNext w:val="0"/>
              <w:keepLines w:val="0"/>
              <w:numPr>
                <w:ilvl w:val="0"/>
                <w:numId w:val="18"/>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rPr>
              <w:t xml:space="preserve"> </w:t>
            </w:r>
            <w:r>
              <w:rPr>
                <w:rFonts w:hint="default" w:ascii="Times New Roman" w:hAnsi="Times New Roman" w:cs="Times New Roman"/>
                <w:b/>
                <w:color w:val="auto"/>
              </w:rPr>
              <w:t>拟建项目环保投资及风险防范措施投资估算</w:t>
            </w:r>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
              <w:gridCol w:w="1669"/>
              <w:gridCol w:w="4734"/>
              <w:gridCol w:w="965"/>
            </w:tblGrid>
            <w:tr w14:paraId="4E0D6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noWrap w:val="0"/>
                  <w:vAlign w:val="center"/>
                </w:tcPr>
                <w:p w14:paraId="54862A09">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污染源</w:t>
                  </w:r>
                </w:p>
              </w:tc>
              <w:tc>
                <w:tcPr>
                  <w:tcW w:w="1013" w:type="pct"/>
                  <w:noWrap w:val="0"/>
                  <w:vAlign w:val="center"/>
                </w:tcPr>
                <w:p w14:paraId="71BC1DCF">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污染类型</w:t>
                  </w:r>
                </w:p>
              </w:tc>
              <w:tc>
                <w:tcPr>
                  <w:tcW w:w="2875" w:type="pct"/>
                  <w:noWrap w:val="0"/>
                  <w:vAlign w:val="center"/>
                </w:tcPr>
                <w:p w14:paraId="2B55F4E8">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586" w:type="pct"/>
                  <w:noWrap w:val="0"/>
                  <w:vAlign w:val="center"/>
                </w:tcPr>
                <w:p w14:paraId="263BB420">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投资</w:t>
                  </w:r>
                </w:p>
                <w:p w14:paraId="20CE9FD2">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（万元）</w:t>
                  </w:r>
                </w:p>
              </w:tc>
            </w:tr>
            <w:tr w14:paraId="236C2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35972CA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废水</w:t>
                  </w:r>
                </w:p>
              </w:tc>
              <w:tc>
                <w:tcPr>
                  <w:tcW w:w="1013" w:type="pct"/>
                  <w:noWrap w:val="0"/>
                  <w:vAlign w:val="center"/>
                </w:tcPr>
                <w:p w14:paraId="3542C2B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废水收集、清污分流</w:t>
                  </w:r>
                </w:p>
              </w:tc>
              <w:tc>
                <w:tcPr>
                  <w:tcW w:w="2875" w:type="pct"/>
                  <w:noWrap w:val="0"/>
                  <w:vAlign w:val="center"/>
                </w:tcPr>
                <w:p w14:paraId="1A6B359C">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p w14:paraId="74591E79">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设截水沟128m、场外清水沟233m，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p>
              </w:tc>
              <w:tc>
                <w:tcPr>
                  <w:tcW w:w="586" w:type="pct"/>
                  <w:vMerge w:val="restart"/>
                  <w:noWrap w:val="0"/>
                  <w:vAlign w:val="center"/>
                </w:tcPr>
                <w:p w14:paraId="747CC3C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35</w:t>
                  </w:r>
                </w:p>
              </w:tc>
            </w:tr>
            <w:tr w14:paraId="54A0F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049411D6">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2DC6B71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井场内雨水、</w:t>
                  </w:r>
                  <w:r>
                    <w:rPr>
                      <w:rFonts w:hint="eastAsia" w:ascii="Times New Roman" w:hAnsi="Times New Roman" w:eastAsia="宋体" w:cs="Times New Roman"/>
                      <w:color w:val="auto"/>
                    </w:rPr>
                    <w:t>洗井</w:t>
                  </w:r>
                  <w:r>
                    <w:rPr>
                      <w:rFonts w:ascii="Times New Roman" w:hAnsi="Times New Roman" w:eastAsia="宋体" w:cs="Times New Roman"/>
                      <w:color w:val="auto"/>
                    </w:rPr>
                    <w:t>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ascii="Times New Roman" w:hAnsi="Times New Roman" w:eastAsia="宋体" w:cs="Times New Roman"/>
                      <w:color w:val="auto"/>
                    </w:rPr>
                    <w:t>处理</w:t>
                  </w:r>
                  <w:r>
                    <w:rPr>
                      <w:rFonts w:hint="eastAsia" w:ascii="Times New Roman" w:hAnsi="Times New Roman" w:eastAsia="宋体" w:cs="Times New Roman"/>
                      <w:color w:val="auto"/>
                      <w:lang w:val="en-US" w:eastAsia="zh-CN"/>
                    </w:rPr>
                    <w:t>措施</w:t>
                  </w:r>
                </w:p>
              </w:tc>
              <w:tc>
                <w:tcPr>
                  <w:tcW w:w="2875" w:type="pct"/>
                  <w:noWrap w:val="0"/>
                  <w:vAlign w:val="center"/>
                </w:tcPr>
                <w:p w14:paraId="35D551B5">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eastAsia="zh-CN"/>
                    </w:rPr>
                    <w:t>初期雨水优先回用于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eastAsia="zh-CN"/>
                    </w:rPr>
                    <w:t>初期雨水</w:t>
                  </w:r>
                  <w:r>
                    <w:rPr>
                      <w:rFonts w:hint="eastAsia" w:ascii="Times New Roman" w:hAnsi="Times New Roman" w:eastAsia="宋体" w:cs="Times New Roman"/>
                      <w:color w:val="auto"/>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w:t>
                  </w:r>
                </w:p>
              </w:tc>
              <w:tc>
                <w:tcPr>
                  <w:tcW w:w="586" w:type="pct"/>
                  <w:vMerge w:val="continue"/>
                  <w:noWrap w:val="0"/>
                  <w:vAlign w:val="center"/>
                </w:tcPr>
                <w:p w14:paraId="4E952C9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0B09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5A50D57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D0065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生活污水</w:t>
                  </w:r>
                </w:p>
              </w:tc>
              <w:tc>
                <w:tcPr>
                  <w:tcW w:w="2875" w:type="pct"/>
                  <w:noWrap w:val="0"/>
                  <w:vAlign w:val="center"/>
                </w:tcPr>
                <w:p w14:paraId="1C0EAAE0">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rPr>
                    <w:t>生活污水通过环保厕所（内置集粪桶）收集，转运至</w:t>
                  </w:r>
                  <w:r>
                    <w:rPr>
                      <w:rFonts w:hint="eastAsia" w:ascii="Times New Roman" w:hAnsi="Times New Roman" w:eastAsia="宋体" w:cs="Times New Roman"/>
                      <w:color w:val="auto"/>
                      <w:lang w:eastAsia="zh-CN"/>
                    </w:rPr>
                    <w:t>上八庙镇污水处理站</w:t>
                  </w:r>
                  <w:r>
                    <w:rPr>
                      <w:rFonts w:hint="eastAsia" w:ascii="Times New Roman" w:hAnsi="Times New Roman" w:eastAsia="宋体" w:cs="Times New Roman"/>
                      <w:color w:val="auto"/>
                    </w:rPr>
                    <w:t>进行处理</w:t>
                  </w:r>
                </w:p>
              </w:tc>
              <w:tc>
                <w:tcPr>
                  <w:tcW w:w="586" w:type="pct"/>
                  <w:noWrap w:val="0"/>
                  <w:vAlign w:val="center"/>
                </w:tcPr>
                <w:p w14:paraId="3D009DF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5</w:t>
                  </w:r>
                </w:p>
              </w:tc>
            </w:tr>
            <w:tr w14:paraId="79A9B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5EDC219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废气</w:t>
                  </w:r>
                </w:p>
              </w:tc>
              <w:tc>
                <w:tcPr>
                  <w:tcW w:w="1013" w:type="pct"/>
                  <w:noWrap w:val="0"/>
                  <w:vAlign w:val="center"/>
                </w:tcPr>
                <w:p w14:paraId="4A733DC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施工粉尘</w:t>
                  </w:r>
                </w:p>
              </w:tc>
              <w:tc>
                <w:tcPr>
                  <w:tcW w:w="2875" w:type="pct"/>
                  <w:noWrap w:val="0"/>
                  <w:vAlign w:val="center"/>
                </w:tcPr>
                <w:p w14:paraId="5B18615D">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硬化</w:t>
                  </w:r>
                  <w:r>
                    <w:rPr>
                      <w:rFonts w:hint="eastAsia" w:ascii="Times New Roman" w:hAnsi="Times New Roman" w:eastAsia="宋体" w:cs="Times New Roman"/>
                      <w:color w:val="auto"/>
                      <w:lang w:val="en-US" w:eastAsia="zh-CN"/>
                    </w:rPr>
                    <w:t>井场</w:t>
                  </w:r>
                  <w:r>
                    <w:rPr>
                      <w:rFonts w:ascii="Times New Roman" w:hAnsi="Times New Roman" w:eastAsia="宋体" w:cs="Times New Roman"/>
                      <w:color w:val="auto"/>
                    </w:rPr>
                    <w:t>进出口并采取冲洗、洒水等措施控制扬尘。设置车辆冲洗设施对驶出工地的车辆进行冲洗。对露天堆放的河沙、石粉等易扬撒的物料予以覆盖。对开挖施工作业面（点）洒水降尘。临时堆场洒水、覆盖降尘。密闭运输渣土、砂石等易撒漏扬散物质</w:t>
                  </w:r>
                </w:p>
              </w:tc>
              <w:tc>
                <w:tcPr>
                  <w:tcW w:w="586" w:type="pct"/>
                  <w:noWrap w:val="0"/>
                  <w:vAlign w:val="center"/>
                </w:tcPr>
                <w:p w14:paraId="3B636E3E">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w:t>
                  </w:r>
                </w:p>
              </w:tc>
            </w:tr>
            <w:tr w14:paraId="238E1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CC33D7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CF31E4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测试放喷废气</w:t>
                  </w:r>
                </w:p>
              </w:tc>
              <w:tc>
                <w:tcPr>
                  <w:tcW w:w="2875" w:type="pct"/>
                  <w:noWrap w:val="0"/>
                  <w:vAlign w:val="center"/>
                </w:tcPr>
                <w:p w14:paraId="4BE1AD6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宋体" w:hAnsi="宋体" w:eastAsia="宋体" w:cs="宋体"/>
                      <w:color w:val="auto"/>
                    </w:rPr>
                    <w:t>经专用放喷管线引至放喷池后点火燃烧</w:t>
                  </w:r>
                </w:p>
              </w:tc>
              <w:tc>
                <w:tcPr>
                  <w:tcW w:w="586" w:type="pct"/>
                  <w:noWrap w:val="0"/>
                  <w:vAlign w:val="center"/>
                </w:tcPr>
                <w:p w14:paraId="5A3DFF4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15D1B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03E61B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1229AD8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柴油发电机废气</w:t>
                  </w:r>
                </w:p>
              </w:tc>
              <w:tc>
                <w:tcPr>
                  <w:tcW w:w="2875" w:type="pct"/>
                  <w:noWrap w:val="0"/>
                  <w:vAlign w:val="center"/>
                </w:tcPr>
                <w:p w14:paraId="0AF8E3E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经自带尾气净化装置处理后</w:t>
                  </w:r>
                  <w:r>
                    <w:rPr>
                      <w:rFonts w:ascii="Times New Roman" w:hAnsi="Times New Roman" w:eastAsia="宋体" w:cs="Times New Roman"/>
                      <w:color w:val="auto"/>
                    </w:rPr>
                    <w:t>排气筒排放</w:t>
                  </w:r>
                </w:p>
              </w:tc>
              <w:tc>
                <w:tcPr>
                  <w:tcW w:w="586" w:type="pct"/>
                  <w:noWrap w:val="0"/>
                  <w:vAlign w:val="center"/>
                </w:tcPr>
                <w:p w14:paraId="310E135D">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纳入工程投资</w:t>
                  </w:r>
                </w:p>
              </w:tc>
            </w:tr>
            <w:tr w14:paraId="6959E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56BF84F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725F707">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锅炉烟气</w:t>
                  </w:r>
                </w:p>
              </w:tc>
              <w:tc>
                <w:tcPr>
                  <w:tcW w:w="2875" w:type="pct"/>
                  <w:noWrap w:val="0"/>
                  <w:vAlign w:val="center"/>
                </w:tcPr>
                <w:p w14:paraId="1931CF48">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通过排气筒（8m）排放</w:t>
                  </w:r>
                </w:p>
              </w:tc>
              <w:tc>
                <w:tcPr>
                  <w:tcW w:w="586" w:type="pct"/>
                  <w:noWrap w:val="0"/>
                  <w:vAlign w:val="center"/>
                </w:tcPr>
                <w:p w14:paraId="7173A418">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纳入工程投资</w:t>
                  </w:r>
                </w:p>
              </w:tc>
            </w:tr>
            <w:tr w14:paraId="58C0E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6809599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噪声</w:t>
                  </w:r>
                </w:p>
              </w:tc>
              <w:tc>
                <w:tcPr>
                  <w:tcW w:w="1013" w:type="pct"/>
                  <w:noWrap w:val="0"/>
                  <w:vAlign w:val="center"/>
                </w:tcPr>
                <w:p w14:paraId="7421BB3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减震、隔声、降噪</w:t>
                  </w:r>
                </w:p>
              </w:tc>
              <w:tc>
                <w:tcPr>
                  <w:tcW w:w="2875" w:type="pct"/>
                  <w:noWrap w:val="0"/>
                  <w:vAlign w:val="center"/>
                </w:tcPr>
                <w:p w14:paraId="756BC871">
                  <w:pPr>
                    <w:pStyle w:val="55"/>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选用低噪声设备、</w:t>
                  </w:r>
                  <w:r>
                    <w:rPr>
                      <w:rFonts w:ascii="Times New Roman" w:hAnsi="Times New Roman" w:eastAsia="宋体" w:cs="Times New Roman"/>
                      <w:color w:val="auto"/>
                    </w:rPr>
                    <w:t>噪声设备设置基础</w:t>
                  </w:r>
                  <w:r>
                    <w:rPr>
                      <w:rFonts w:hint="eastAsia" w:ascii="Times New Roman" w:hAnsi="Times New Roman" w:eastAsia="宋体" w:cs="Times New Roman"/>
                      <w:color w:val="auto"/>
                      <w:lang w:eastAsia="zh-CN"/>
                    </w:rPr>
                    <w:t>减振，</w:t>
                  </w:r>
                  <w:r>
                    <w:rPr>
                      <w:rFonts w:hint="eastAsia" w:ascii="Times New Roman" w:hAnsi="Times New Roman" w:eastAsia="宋体" w:cs="Times New Roman"/>
                      <w:color w:val="auto"/>
                      <w:lang w:val="en-US" w:eastAsia="zh-CN"/>
                    </w:rPr>
                    <w:t>优化平面布置，高噪声设备尽量远离声环境敏感点</w:t>
                  </w:r>
                </w:p>
              </w:tc>
              <w:tc>
                <w:tcPr>
                  <w:tcW w:w="586" w:type="pct"/>
                  <w:noWrap w:val="0"/>
                  <w:vAlign w:val="center"/>
                </w:tcPr>
                <w:p w14:paraId="03FEECF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5876A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60F9F8D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24DD184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声环境敏感点</w:t>
                  </w:r>
                </w:p>
                <w:p w14:paraId="12C4B7A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防护</w:t>
                  </w:r>
                </w:p>
              </w:tc>
              <w:tc>
                <w:tcPr>
                  <w:tcW w:w="2875" w:type="pct"/>
                  <w:noWrap w:val="0"/>
                  <w:vAlign w:val="center"/>
                </w:tcPr>
                <w:p w14:paraId="387E1FF5">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对噪声影响超标的农户通过临时租用房屋、临时撤离、加强沟通协调等方式，</w:t>
                  </w:r>
                  <w:r>
                    <w:rPr>
                      <w:rFonts w:hint="eastAsia" w:ascii="Times New Roman" w:hAnsi="Times New Roman" w:eastAsia="宋体" w:cs="Times New Roman"/>
                      <w:color w:val="auto"/>
                      <w:lang w:val="en-US" w:eastAsia="zh-CN"/>
                    </w:rPr>
                    <w:t>以</w:t>
                  </w:r>
                  <w:r>
                    <w:rPr>
                      <w:rFonts w:ascii="Times New Roman" w:hAnsi="Times New Roman" w:eastAsia="宋体" w:cs="Times New Roman"/>
                      <w:color w:val="auto"/>
                    </w:rPr>
                    <w:t>取得居民谅解，避免环保纠纷</w:t>
                  </w:r>
                </w:p>
              </w:tc>
              <w:tc>
                <w:tcPr>
                  <w:tcW w:w="586" w:type="pct"/>
                  <w:noWrap w:val="0"/>
                  <w:vAlign w:val="center"/>
                </w:tcPr>
                <w:p w14:paraId="1019A566">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0</w:t>
                  </w:r>
                </w:p>
              </w:tc>
            </w:tr>
            <w:tr w14:paraId="62F81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62D8BC2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固体废物</w:t>
                  </w:r>
                </w:p>
              </w:tc>
              <w:tc>
                <w:tcPr>
                  <w:tcW w:w="1013" w:type="pct"/>
                  <w:noWrap w:val="0"/>
                  <w:vAlign w:val="center"/>
                </w:tcPr>
                <w:p w14:paraId="2A4A313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lang w:val="en-US" w:eastAsia="zh-CN"/>
                    </w:rPr>
                    <w:t>固废</w:t>
                  </w:r>
                </w:p>
              </w:tc>
              <w:tc>
                <w:tcPr>
                  <w:tcW w:w="2875" w:type="pct"/>
                  <w:noWrap w:val="0"/>
                  <w:vAlign w:val="center"/>
                </w:tcPr>
                <w:p w14:paraId="06EC9567">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color w:val="auto"/>
                      <w:highlight w:val="none"/>
                    </w:rPr>
                    <w:t>由岩屑收集罐进行收集，泥浆不落地系统</w:t>
                  </w:r>
                  <w:r>
                    <w:rPr>
                      <w:rFonts w:hint="eastAsia" w:ascii="Times New Roman" w:hAnsi="Times New Roman" w:eastAsia="宋体" w:cs="Times New Roman"/>
                      <w:color w:val="auto"/>
                      <w:highlight w:val="none"/>
                      <w:lang w:val="en-US" w:eastAsia="zh-CN"/>
                    </w:rPr>
                    <w:t>板框压滤</w:t>
                  </w:r>
                  <w:r>
                    <w:rPr>
                      <w:rFonts w:hint="default" w:ascii="Times New Roman" w:hAnsi="Times New Roman" w:eastAsia="宋体" w:cs="Times New Roman"/>
                      <w:color w:val="auto"/>
                      <w:highlight w:val="none"/>
                    </w:rPr>
                    <w:t>脱水后暂存岩屑暂</w:t>
                  </w:r>
                  <w:r>
                    <w:rPr>
                      <w:rFonts w:hint="eastAsia" w:ascii="Times New Roman" w:hAnsi="Times New Roman" w:eastAsia="宋体" w:cs="Times New Roman"/>
                      <w:color w:val="auto"/>
                      <w:highlight w:val="none"/>
                      <w:lang w:eastAsia="zh-CN"/>
                    </w:rPr>
                    <w:t>存罐</w:t>
                  </w:r>
                  <w:r>
                    <w:rPr>
                      <w:rFonts w:ascii="Times New Roman" w:hAnsi="Times New Roman" w:eastAsia="宋体" w:cs="Times New Roman"/>
                      <w:color w:val="auto"/>
                    </w:rPr>
                    <w:t>，转运至符合环保要求且有处理能力的砖厂、水泥厂</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b w:val="0"/>
                      <w:color w:val="auto"/>
                      <w:lang w:val="en-US" w:eastAsia="zh-CN"/>
                    </w:rPr>
                    <w:t>进行资源化</w:t>
                  </w:r>
                </w:p>
              </w:tc>
              <w:tc>
                <w:tcPr>
                  <w:tcW w:w="586" w:type="pct"/>
                  <w:noWrap w:val="0"/>
                  <w:vAlign w:val="center"/>
                </w:tcPr>
                <w:p w14:paraId="3590429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6</w:t>
                  </w:r>
                  <w:r>
                    <w:rPr>
                      <w:rFonts w:ascii="Times New Roman" w:hAnsi="Times New Roman" w:cs="Times New Roman"/>
                      <w:color w:val="auto"/>
                    </w:rPr>
                    <w:t>0</w:t>
                  </w:r>
                </w:p>
              </w:tc>
            </w:tr>
            <w:tr w14:paraId="25678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0CBB0C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C43087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废油</w:t>
                  </w:r>
                </w:p>
              </w:tc>
              <w:tc>
                <w:tcPr>
                  <w:tcW w:w="2875" w:type="pct"/>
                  <w:noWrap w:val="0"/>
                  <w:vAlign w:val="center"/>
                </w:tcPr>
                <w:p w14:paraId="2D49FD6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桶中暂存后委托有危废处理资质单位处置</w:t>
                  </w:r>
                </w:p>
              </w:tc>
              <w:tc>
                <w:tcPr>
                  <w:tcW w:w="586" w:type="pct"/>
                  <w:noWrap w:val="0"/>
                  <w:vAlign w:val="center"/>
                </w:tcPr>
                <w:p w14:paraId="7313E92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r>
            <w:tr w14:paraId="1062A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AE2FDF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4F3EA7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含油污染物</w:t>
                  </w:r>
                </w:p>
              </w:tc>
              <w:tc>
                <w:tcPr>
                  <w:tcW w:w="2875" w:type="pct"/>
                  <w:noWrap w:val="0"/>
                  <w:vAlign w:val="center"/>
                </w:tcPr>
                <w:p w14:paraId="7E3AE81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桶中暂存</w:t>
                  </w:r>
                  <w:r>
                    <w:rPr>
                      <w:rFonts w:ascii="Times New Roman" w:hAnsi="Times New Roman" w:eastAsia="宋体" w:cs="Times New Roman"/>
                      <w:color w:val="auto"/>
                    </w:rPr>
                    <w:t>后委托有危废处理资质单位处置</w:t>
                  </w:r>
                </w:p>
              </w:tc>
              <w:tc>
                <w:tcPr>
                  <w:tcW w:w="586" w:type="pct"/>
                  <w:noWrap w:val="0"/>
                  <w:vAlign w:val="center"/>
                </w:tcPr>
                <w:p w14:paraId="272C4832">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1</w:t>
                  </w:r>
                </w:p>
              </w:tc>
            </w:tr>
            <w:tr w14:paraId="60D80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9B3A5C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71983C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生活垃圾</w:t>
                  </w:r>
                </w:p>
              </w:tc>
              <w:tc>
                <w:tcPr>
                  <w:tcW w:w="2875" w:type="pct"/>
                  <w:noWrap w:val="0"/>
                  <w:vAlign w:val="center"/>
                </w:tcPr>
                <w:p w14:paraId="7EC3383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集中收集后由</w:t>
                  </w:r>
                  <w:r>
                    <w:rPr>
                      <w:rFonts w:ascii="Times New Roman" w:hAnsi="Times New Roman" w:eastAsia="宋体" w:cs="Times New Roman"/>
                      <w:color w:val="auto"/>
                    </w:rPr>
                    <w:t>环卫部门统一</w:t>
                  </w:r>
                  <w:r>
                    <w:rPr>
                      <w:rFonts w:hint="eastAsia" w:ascii="Times New Roman" w:hAnsi="Times New Roman" w:eastAsia="宋体" w:cs="Times New Roman"/>
                      <w:color w:val="auto"/>
                      <w:lang w:val="en-US" w:eastAsia="zh-CN"/>
                    </w:rPr>
                    <w:t>清运处理</w:t>
                  </w:r>
                </w:p>
              </w:tc>
              <w:tc>
                <w:tcPr>
                  <w:tcW w:w="586" w:type="pct"/>
                  <w:noWrap w:val="0"/>
                  <w:vAlign w:val="center"/>
                </w:tcPr>
                <w:p w14:paraId="5EB94A45">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1</w:t>
                  </w:r>
                </w:p>
              </w:tc>
            </w:tr>
            <w:tr w14:paraId="5EBBB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4BC75C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066D11B5">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废包装材料</w:t>
                  </w:r>
                </w:p>
              </w:tc>
              <w:tc>
                <w:tcPr>
                  <w:tcW w:w="2875" w:type="pct"/>
                  <w:noWrap w:val="0"/>
                  <w:vAlign w:val="center"/>
                </w:tcPr>
                <w:p w14:paraId="4E106519">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sz w:val="21"/>
                      <w:szCs w:val="21"/>
                      <w:lang w:val="en-US" w:eastAsia="zh-CN"/>
                    </w:rPr>
                    <w:t>集中收集后外售资源化利用</w:t>
                  </w:r>
                </w:p>
              </w:tc>
              <w:tc>
                <w:tcPr>
                  <w:tcW w:w="586" w:type="pct"/>
                  <w:noWrap w:val="0"/>
                  <w:vAlign w:val="center"/>
                </w:tcPr>
                <w:p w14:paraId="23AAA21C">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r w14:paraId="2F6A8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6330368F">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地下水</w:t>
                  </w:r>
                  <w:r>
                    <w:rPr>
                      <w:rFonts w:hint="eastAsia" w:ascii="Times New Roman" w:hAnsi="Times New Roman" w:eastAsia="宋体" w:cs="Times New Roman"/>
                      <w:color w:val="auto"/>
                    </w:rPr>
                    <w:t>及土壤</w:t>
                  </w:r>
                </w:p>
              </w:tc>
              <w:tc>
                <w:tcPr>
                  <w:tcW w:w="1013" w:type="pct"/>
                  <w:noWrap w:val="0"/>
                  <w:vAlign w:val="center"/>
                </w:tcPr>
                <w:p w14:paraId="20C7477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源头控制</w:t>
                  </w:r>
                </w:p>
              </w:tc>
              <w:tc>
                <w:tcPr>
                  <w:tcW w:w="2875" w:type="pct"/>
                  <w:noWrap w:val="0"/>
                  <w:vAlign w:val="center"/>
                </w:tcPr>
                <w:p w14:paraId="529AD5C1">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钻井设计中采取先进的钻井方案和清洁钻井液体系。应在循环罐区、主要设备区、材料房等区域设置雨棚，雨棚边缘应超出下方围堰不小于</w:t>
                  </w:r>
                  <w:r>
                    <w:rPr>
                      <w:rFonts w:ascii="Times New Roman" w:hAnsi="Times New Roman" w:cs="Times New Roman"/>
                      <w:color w:val="auto"/>
                    </w:rPr>
                    <w:t>0.5m</w:t>
                  </w:r>
                  <w:r>
                    <w:rPr>
                      <w:rFonts w:ascii="Times New Roman" w:hAnsi="Times New Roman" w:eastAsia="宋体" w:cs="Times New Roman"/>
                      <w:color w:val="auto"/>
                    </w:rPr>
                    <w:t>，雨棚的导流槽设计应将雨水导出场外</w:t>
                  </w:r>
                </w:p>
              </w:tc>
              <w:tc>
                <w:tcPr>
                  <w:tcW w:w="586" w:type="pct"/>
                  <w:noWrap w:val="0"/>
                  <w:vAlign w:val="center"/>
                </w:tcPr>
                <w:p w14:paraId="6A60306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526F4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6CF9C8D6">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5B3C46F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防渗分区</w:t>
                  </w:r>
                </w:p>
                <w:p w14:paraId="44C38EC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和防渗措施</w:t>
                  </w:r>
                </w:p>
              </w:tc>
              <w:tc>
                <w:tcPr>
                  <w:tcW w:w="2875" w:type="pct"/>
                  <w:noWrap w:val="0"/>
                  <w:vAlign w:val="center"/>
                </w:tcPr>
                <w:p w14:paraId="17766FFF">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重点防渗区防渗要求：</w:t>
                  </w:r>
                  <w:r>
                    <w:rPr>
                      <w:rFonts w:hint="default" w:ascii="Times New Roman" w:hAnsi="Times New Roman" w:eastAsia="宋体" w:cs="Times New Roman"/>
                      <w:color w:val="auto"/>
                      <w:szCs w:val="21"/>
                    </w:rPr>
                    <w:t>危废暂存间</w:t>
                  </w:r>
                  <w:r>
                    <w:rPr>
                      <w:rFonts w:hint="default" w:ascii="Times New Roman" w:hAnsi="Times New Roman" w:eastAsia="宋体" w:cs="Times New Roman"/>
                      <w:bCs/>
                      <w:color w:val="auto"/>
                      <w:kern w:val="0"/>
                      <w:szCs w:val="21"/>
                    </w:rPr>
                    <w:t>地面参考GB18597的要求，应铺设至少1m厚黏土层（渗透系数不大于10</w:t>
                  </w:r>
                  <w:r>
                    <w:rPr>
                      <w:rFonts w:hint="default" w:ascii="Times New Roman" w:hAnsi="Times New Roman" w:eastAsia="宋体" w:cs="Times New Roman"/>
                      <w:bCs/>
                      <w:color w:val="auto"/>
                      <w:kern w:val="0"/>
                      <w:szCs w:val="21"/>
                      <w:vertAlign w:val="superscript"/>
                    </w:rPr>
                    <w:t>-7</w:t>
                  </w:r>
                  <w:r>
                    <w:rPr>
                      <w:rFonts w:hint="default" w:ascii="Times New Roman" w:hAnsi="Times New Roman" w:eastAsia="宋体" w:cs="Times New Roman"/>
                      <w:bCs/>
                      <w:color w:val="auto"/>
                      <w:kern w:val="0"/>
                      <w:szCs w:val="21"/>
                    </w:rPr>
                    <w:t>cm/s），或至少2mm厚高密度聚乙烯膜等人工防渗材料（渗透系数不大于10</w:t>
                  </w:r>
                  <w:r>
                    <w:rPr>
                      <w:rFonts w:hint="default" w:ascii="Times New Roman" w:hAnsi="Times New Roman" w:eastAsia="宋体" w:cs="Times New Roman"/>
                      <w:bCs/>
                      <w:color w:val="auto"/>
                      <w:kern w:val="0"/>
                      <w:szCs w:val="21"/>
                      <w:vertAlign w:val="superscript"/>
                    </w:rPr>
                    <w:t>-10</w:t>
                  </w:r>
                  <w:r>
                    <w:rPr>
                      <w:rFonts w:hint="default" w:ascii="Times New Roman" w:hAnsi="Times New Roman" w:eastAsia="宋体" w:cs="Times New Roman"/>
                      <w:bCs/>
                      <w:color w:val="auto"/>
                      <w:kern w:val="0"/>
                      <w:szCs w:val="21"/>
                    </w:rPr>
                    <w:t>cm/s），或其他防渗性能等效的材料。其他根据</w:t>
                  </w:r>
                  <w:r>
                    <w:rPr>
                      <w:rFonts w:hint="default" w:ascii="Times New Roman" w:hAnsi="Times New Roman" w:eastAsia="宋体" w:cs="Times New Roman"/>
                      <w:bCs/>
                      <w:color w:val="auto"/>
                      <w:szCs w:val="21"/>
                    </w:rPr>
                    <w:t>（HJ610-2016）</w:t>
                  </w:r>
                  <w:r>
                    <w:rPr>
                      <w:rFonts w:hint="default" w:ascii="Times New Roman" w:hAnsi="Times New Roman" w:eastAsia="宋体" w:cs="Times New Roman"/>
                      <w:color w:val="auto"/>
                      <w:szCs w:val="21"/>
                    </w:rPr>
                    <w:t>，等效黏土防渗层Mb≥6.0m，K≤1.0×10</w:t>
                  </w:r>
                  <w:r>
                    <w:rPr>
                      <w:rFonts w:hint="default" w:ascii="Times New Roman" w:hAnsi="Times New Roman" w:eastAsia="宋体" w:cs="Times New Roman"/>
                      <w:color w:val="auto"/>
                      <w:szCs w:val="21"/>
                      <w:vertAlign w:val="superscript"/>
                    </w:rPr>
                    <w:t>-7</w:t>
                  </w:r>
                  <w:r>
                    <w:rPr>
                      <w:rFonts w:hint="default" w:ascii="Times New Roman" w:hAnsi="Times New Roman" w:eastAsia="宋体" w:cs="Times New Roman"/>
                      <w:color w:val="auto"/>
                      <w:szCs w:val="21"/>
                    </w:rPr>
                    <w:t>cm/s</w:t>
                  </w:r>
                  <w:r>
                    <w:rPr>
                      <w:rFonts w:hint="default" w:ascii="Times New Roman" w:hAnsi="Times New Roman" w:eastAsia="宋体" w:cs="Times New Roman"/>
                      <w:bCs/>
                      <w:color w:val="auto"/>
                      <w:kern w:val="0"/>
                      <w:szCs w:val="21"/>
                    </w:rPr>
                    <w:t>。</w:t>
                  </w:r>
                  <w:r>
                    <w:rPr>
                      <w:rFonts w:hint="default" w:ascii="Times New Roman" w:hAnsi="Times New Roman" w:eastAsia="宋体" w:cs="Times New Roman"/>
                      <w:bCs/>
                      <w:color w:val="auto"/>
                      <w:kern w:val="0"/>
                    </w:rPr>
                    <w:t>一般防渗区</w:t>
                  </w:r>
                  <w:r>
                    <w:rPr>
                      <w:rFonts w:hint="default" w:ascii="Times New Roman" w:hAnsi="Times New Roman" w:eastAsia="宋体" w:cs="Times New Roman"/>
                      <w:color w:val="auto"/>
                    </w:rPr>
                    <w:t>防渗要求</w:t>
                  </w:r>
                  <w:r>
                    <w:rPr>
                      <w:rFonts w:hint="default" w:ascii="Times New Roman" w:hAnsi="Times New Roman" w:eastAsia="宋体" w:cs="Times New Roman"/>
                      <w:bCs/>
                      <w:color w:val="auto"/>
                      <w:kern w:val="0"/>
                    </w:rPr>
                    <w:t>：</w:t>
                  </w:r>
                  <w:r>
                    <w:rPr>
                      <w:rFonts w:hint="default" w:ascii="Times New Roman" w:hAnsi="Times New Roman" w:eastAsia="宋体" w:cs="Times New Roman"/>
                      <w:bCs/>
                      <w:color w:val="auto"/>
                    </w:rPr>
                    <w:t>满足等效黏土防渗层Mb≧1.5m，渗透系数K≤1×10</w:t>
                  </w:r>
                  <w:r>
                    <w:rPr>
                      <w:rFonts w:hint="default" w:ascii="Times New Roman" w:hAnsi="Times New Roman" w:eastAsia="宋体" w:cs="Times New Roman"/>
                      <w:bCs/>
                      <w:color w:val="auto"/>
                      <w:vertAlign w:val="superscript"/>
                    </w:rPr>
                    <w:t>-7</w:t>
                  </w:r>
                  <w:r>
                    <w:rPr>
                      <w:rFonts w:hint="default" w:ascii="Times New Roman" w:hAnsi="Times New Roman" w:eastAsia="宋体" w:cs="Times New Roman"/>
                      <w:bCs/>
                      <w:color w:val="auto"/>
                    </w:rPr>
                    <w:t>cm/s的防渗性能</w:t>
                  </w:r>
                  <w:r>
                    <w:rPr>
                      <w:rFonts w:hint="default" w:ascii="Times New Roman" w:hAnsi="Times New Roman" w:eastAsia="宋体" w:cs="Times New Roman"/>
                      <w:bCs/>
                      <w:color w:val="auto"/>
                      <w:lang w:eastAsia="zh-CN"/>
                    </w:rPr>
                    <w:t>；</w:t>
                  </w:r>
                  <w:r>
                    <w:rPr>
                      <w:rFonts w:hint="default" w:ascii="Times New Roman" w:hAnsi="Times New Roman" w:eastAsia="宋体" w:cs="Times New Roman"/>
                      <w:bCs/>
                      <w:color w:val="auto"/>
                      <w:lang w:val="en-US" w:eastAsia="zh-CN"/>
                    </w:rPr>
                    <w:t>简单防渗区采取</w:t>
                  </w:r>
                  <w:r>
                    <w:rPr>
                      <w:rFonts w:hint="default" w:ascii="Times New Roman" w:hAnsi="Times New Roman" w:eastAsia="宋体" w:cs="Times New Roman"/>
                      <w:bCs/>
                      <w:color w:val="auto"/>
                      <w:kern w:val="0"/>
                      <w:sz w:val="21"/>
                      <w:szCs w:val="21"/>
                      <w:lang w:val="en-US" w:eastAsia="zh-CN"/>
                    </w:rPr>
                    <w:t>一般硬化措施</w:t>
                  </w:r>
                </w:p>
              </w:tc>
              <w:tc>
                <w:tcPr>
                  <w:tcW w:w="586" w:type="pct"/>
                  <w:noWrap w:val="0"/>
                  <w:vAlign w:val="center"/>
                </w:tcPr>
                <w:p w14:paraId="6403E13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5244B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0FDD55E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7C58693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地下水跟踪监测</w:t>
                  </w:r>
                </w:p>
              </w:tc>
              <w:tc>
                <w:tcPr>
                  <w:tcW w:w="2875" w:type="pct"/>
                  <w:noWrap w:val="0"/>
                  <w:vAlign w:val="center"/>
                </w:tcPr>
                <w:p w14:paraId="3ED729A8">
                  <w:pPr>
                    <w:pStyle w:val="55"/>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钻井期间在井场北侧、污水池西南侧、放喷池东南侧、井场南侧分别设置监测井，对地下水水质进行跟踪监测</w:t>
                  </w:r>
                </w:p>
              </w:tc>
              <w:tc>
                <w:tcPr>
                  <w:tcW w:w="586" w:type="pct"/>
                  <w:noWrap w:val="0"/>
                  <w:vAlign w:val="center"/>
                </w:tcPr>
                <w:p w14:paraId="4044FDEE">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r>
            <w:tr w14:paraId="2B62D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144CD3E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w:t>
                  </w:r>
                </w:p>
              </w:tc>
              <w:tc>
                <w:tcPr>
                  <w:tcW w:w="1013" w:type="pct"/>
                  <w:noWrap w:val="0"/>
                  <w:vAlign w:val="center"/>
                </w:tcPr>
                <w:p w14:paraId="076136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生态保护</w:t>
                  </w:r>
                </w:p>
              </w:tc>
              <w:tc>
                <w:tcPr>
                  <w:tcW w:w="2875" w:type="pct"/>
                  <w:noWrap w:val="0"/>
                  <w:vAlign w:val="center"/>
                </w:tcPr>
                <w:p w14:paraId="2B6831C3">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b w:val="0"/>
                      <w:color w:val="auto"/>
                      <w:lang w:val="en-US" w:eastAsia="zh-CN"/>
                    </w:rPr>
                    <w:t>对占地进行表土剥离用于完井后复垦用的耕作土，</w:t>
                  </w:r>
                  <w:r>
                    <w:rPr>
                      <w:rFonts w:hint="eastAsia" w:ascii="Times New Roman" w:hAnsi="Times New Roman" w:eastAsia="宋体" w:cs="Times New Roman"/>
                      <w:color w:val="auto"/>
                      <w:lang w:val="en-US" w:eastAsia="zh-CN"/>
                    </w:rPr>
                    <w:t>并对表土，</w:t>
                  </w:r>
                  <w:r>
                    <w:rPr>
                      <w:rFonts w:ascii="Times New Roman" w:hAnsi="Times New Roman" w:eastAsia="宋体" w:cs="Times New Roman"/>
                      <w:color w:val="auto"/>
                    </w:rPr>
                    <w:t>对</w:t>
                  </w:r>
                  <w:r>
                    <w:rPr>
                      <w:rFonts w:hint="eastAsia" w:ascii="Times New Roman" w:hAnsi="Times New Roman" w:eastAsia="宋体" w:cs="Times New Roman"/>
                      <w:color w:val="auto"/>
                      <w:lang w:val="en-US" w:eastAsia="zh-CN"/>
                    </w:rPr>
                    <w:t>高温</w:t>
                  </w:r>
                  <w:r>
                    <w:rPr>
                      <w:rFonts w:hint="default" w:ascii="Times New Roman" w:hAnsi="Times New Roman" w:eastAsia="宋体" w:cs="Times New Roman"/>
                      <w:color w:val="auto"/>
                    </w:rPr>
                    <w:t>热辐射</w:t>
                  </w:r>
                  <w:r>
                    <w:rPr>
                      <w:rFonts w:ascii="Times New Roman" w:hAnsi="Times New Roman" w:eastAsia="宋体" w:cs="Times New Roman"/>
                      <w:color w:val="auto"/>
                    </w:rPr>
                    <w:t>破坏的植被进行补偿。井场设置挡墙、截排水沟、沉沙措施</w:t>
                  </w:r>
                </w:p>
              </w:tc>
              <w:tc>
                <w:tcPr>
                  <w:tcW w:w="586" w:type="pct"/>
                  <w:noWrap w:val="0"/>
                  <w:vAlign w:val="center"/>
                </w:tcPr>
                <w:p w14:paraId="46527BC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60493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3300AF6">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1934C7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生态恢复</w:t>
                  </w:r>
                </w:p>
              </w:tc>
              <w:tc>
                <w:tcPr>
                  <w:tcW w:w="2875" w:type="pct"/>
                  <w:noWrap w:val="0"/>
                  <w:vAlign w:val="center"/>
                </w:tcPr>
                <w:p w14:paraId="4090D986">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lang w:val="en-US" w:eastAsia="zh-CN"/>
                    </w:rPr>
                    <w:t>对施工迹地进行</w:t>
                  </w:r>
                  <w:r>
                    <w:rPr>
                      <w:rFonts w:ascii="Times New Roman" w:hAnsi="Times New Roman" w:eastAsia="宋体" w:cs="Times New Roman"/>
                      <w:color w:val="auto"/>
                    </w:rPr>
                    <w:t>复垦，种植草本植物恢复生态，满足《土地复垦质量控制标准》（</w:t>
                  </w:r>
                  <w:r>
                    <w:rPr>
                      <w:rFonts w:ascii="Times New Roman" w:hAnsi="Times New Roman" w:cs="Times New Roman"/>
                      <w:color w:val="auto"/>
                    </w:rPr>
                    <w:t>TD/T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1036-2013</w:t>
                  </w:r>
                  <w:r>
                    <w:rPr>
                      <w:rFonts w:ascii="Times New Roman" w:hAnsi="Times New Roman" w:eastAsia="宋体" w:cs="Times New Roman"/>
                      <w:color w:val="auto"/>
                    </w:rPr>
                    <w:t>）中规定的要求</w:t>
                  </w:r>
                </w:p>
              </w:tc>
              <w:tc>
                <w:tcPr>
                  <w:tcW w:w="586" w:type="pct"/>
                  <w:noWrap w:val="0"/>
                  <w:vAlign w:val="center"/>
                </w:tcPr>
                <w:p w14:paraId="4681360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55</w:t>
                  </w:r>
                </w:p>
              </w:tc>
            </w:tr>
            <w:tr w14:paraId="731F6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7AE1042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w:t>
                  </w:r>
                </w:p>
              </w:tc>
              <w:tc>
                <w:tcPr>
                  <w:tcW w:w="2875" w:type="pct"/>
                  <w:noWrap w:val="0"/>
                  <w:vAlign w:val="center"/>
                </w:tcPr>
                <w:p w14:paraId="7CFB148F">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p w14:paraId="796D9F7F">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设截水沟128m、场外清水沟233m，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p>
              </w:tc>
              <w:tc>
                <w:tcPr>
                  <w:tcW w:w="586" w:type="pct"/>
                  <w:noWrap w:val="0"/>
                  <w:vAlign w:val="center"/>
                </w:tcPr>
                <w:p w14:paraId="2A97D31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已</w:t>
                  </w:r>
                  <w:r>
                    <w:rPr>
                      <w:rFonts w:ascii="Times New Roman" w:hAnsi="Times New Roman" w:eastAsia="宋体" w:cs="Times New Roman"/>
                      <w:color w:val="auto"/>
                    </w:rPr>
                    <w:t>纳入</w:t>
                  </w:r>
                  <w:r>
                    <w:rPr>
                      <w:rFonts w:hint="eastAsia" w:ascii="Times New Roman" w:hAnsi="Times New Roman" w:eastAsia="宋体" w:cs="Times New Roman"/>
                      <w:color w:val="auto"/>
                      <w:lang w:val="en-US" w:eastAsia="zh-CN"/>
                    </w:rPr>
                    <w:t>废水措施投资</w:t>
                  </w:r>
                </w:p>
              </w:tc>
            </w:tr>
            <w:tr w14:paraId="61A12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6695F5A6">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环境风险</w:t>
                  </w:r>
                </w:p>
              </w:tc>
              <w:tc>
                <w:tcPr>
                  <w:tcW w:w="2875" w:type="pct"/>
                  <w:noWrap w:val="0"/>
                  <w:vAlign w:val="center"/>
                </w:tcPr>
                <w:p w14:paraId="7DFC7EA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落实风险措施及应急预案</w:t>
                  </w:r>
                </w:p>
              </w:tc>
              <w:tc>
                <w:tcPr>
                  <w:tcW w:w="586" w:type="pct"/>
                  <w:noWrap w:val="0"/>
                  <w:vAlign w:val="center"/>
                </w:tcPr>
                <w:p w14:paraId="75ADFC27">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56</w:t>
                  </w:r>
                </w:p>
              </w:tc>
            </w:tr>
            <w:tr w14:paraId="39D66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21014AF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合计</w:t>
                  </w:r>
                </w:p>
              </w:tc>
              <w:tc>
                <w:tcPr>
                  <w:tcW w:w="2875" w:type="pct"/>
                  <w:noWrap w:val="0"/>
                  <w:vAlign w:val="center"/>
                </w:tcPr>
                <w:p w14:paraId="0A8DE3F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86" w:type="pct"/>
                  <w:noWrap w:val="0"/>
                  <w:vAlign w:val="center"/>
                </w:tcPr>
                <w:p w14:paraId="1266E8F2">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234</w:t>
                  </w:r>
                </w:p>
              </w:tc>
            </w:tr>
          </w:tbl>
          <w:p w14:paraId="624A5DA3">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bCs/>
                <w:color w:val="auto"/>
                <w:spacing w:val="10"/>
                <w:sz w:val="24"/>
              </w:rPr>
            </w:pPr>
          </w:p>
        </w:tc>
      </w:tr>
    </w:tbl>
    <w:p w14:paraId="05AA191C">
      <w:pPr>
        <w:pStyle w:val="19"/>
        <w:jc w:val="center"/>
        <w:rPr>
          <w:rFonts w:ascii="Times New Roman" w:hAnsi="Times New Roman" w:eastAsia="黑体"/>
          <w:snapToGrid w:val="0"/>
          <w:color w:val="auto"/>
          <w:sz w:val="30"/>
          <w:szCs w:val="30"/>
        </w:rPr>
      </w:pPr>
    </w:p>
    <w:p w14:paraId="4CFC64D2">
      <w:pPr>
        <w:rPr>
          <w:color w:val="auto"/>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15210FFC">
      <w:pPr>
        <w:pStyle w:val="19"/>
        <w:jc w:val="center"/>
        <w:outlineLvl w:val="0"/>
        <w:rPr>
          <w:rFonts w:ascii="Times New Roman" w:hAnsi="Times New Roman" w:eastAsia="黑体"/>
          <w:snapToGrid w:val="0"/>
          <w:color w:val="auto"/>
          <w:sz w:val="30"/>
          <w:szCs w:val="30"/>
        </w:rPr>
      </w:pPr>
      <w:bookmarkStart w:id="63" w:name="_Toc11701"/>
      <w:bookmarkStart w:id="64" w:name="_Toc28485"/>
      <w:bookmarkStart w:id="65" w:name="_Toc5253"/>
      <w:bookmarkStart w:id="66" w:name="_Toc22993"/>
      <w:bookmarkStart w:id="67" w:name="_Toc23696"/>
      <w:bookmarkStart w:id="68" w:name="_Toc25"/>
      <w:r>
        <w:rPr>
          <w:rFonts w:ascii="Times New Roman" w:hAnsi="Times New Roman" w:eastAsia="黑体"/>
          <w:snapToGrid w:val="0"/>
          <w:color w:val="auto"/>
          <w:sz w:val="30"/>
          <w:szCs w:val="30"/>
        </w:rPr>
        <w:t>六、生态环境保护措施监督检查清单</w:t>
      </w:r>
      <w:bookmarkEnd w:id="63"/>
      <w:bookmarkEnd w:id="64"/>
      <w:bookmarkEnd w:id="65"/>
      <w:bookmarkEnd w:id="66"/>
      <w:bookmarkEnd w:id="67"/>
      <w:bookmarkEnd w:id="68"/>
    </w:p>
    <w:tbl>
      <w:tblPr>
        <w:tblStyle w:val="2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7"/>
        <w:gridCol w:w="2055"/>
        <w:gridCol w:w="3837"/>
        <w:gridCol w:w="856"/>
        <w:gridCol w:w="707"/>
      </w:tblGrid>
      <w:tr w14:paraId="4B1F2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tcBorders>
              <w:tl2br w:val="single" w:color="auto" w:sz="4" w:space="0"/>
            </w:tcBorders>
            <w:noWrap w:val="0"/>
            <w:vAlign w:val="center"/>
          </w:tcPr>
          <w:p w14:paraId="641FA8C8">
            <w:pPr>
              <w:pStyle w:val="50"/>
              <w:keepNext w:val="0"/>
              <w:keepLines w:val="0"/>
              <w:suppressLineNumbers w:val="0"/>
              <w:spacing w:before="0" w:beforeAutospacing="0" w:after="0" w:afterAutospacing="0"/>
              <w:ind w:left="0" w:right="0"/>
              <w:jc w:val="right"/>
              <w:rPr>
                <w:rFonts w:hint="default" w:ascii="Times New Roman" w:hAnsi="Times New Roman" w:cs="Times New Roman"/>
                <w:color w:val="auto"/>
              </w:rPr>
            </w:pPr>
            <w:r>
              <w:rPr>
                <w:rFonts w:hint="default" w:ascii="Times New Roman" w:hAnsi="Times New Roman" w:cs="Times New Roman"/>
                <w:color w:val="auto"/>
              </w:rPr>
              <w:t xml:space="preserve">   内容</w:t>
            </w:r>
          </w:p>
          <w:p w14:paraId="72B44394">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p>
          <w:p w14:paraId="76F7CB52">
            <w:pPr>
              <w:pStyle w:val="50"/>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rPr>
              <w:t>要素</w:t>
            </w:r>
          </w:p>
        </w:tc>
        <w:tc>
          <w:tcPr>
            <w:tcW w:w="3456" w:type="pct"/>
            <w:gridSpan w:val="2"/>
            <w:noWrap w:val="0"/>
            <w:vAlign w:val="center"/>
          </w:tcPr>
          <w:p w14:paraId="2B4FF121">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施工期</w:t>
            </w:r>
          </w:p>
        </w:tc>
        <w:tc>
          <w:tcPr>
            <w:tcW w:w="917" w:type="pct"/>
            <w:gridSpan w:val="2"/>
            <w:noWrap w:val="0"/>
            <w:vAlign w:val="center"/>
          </w:tcPr>
          <w:p w14:paraId="5713E4BB">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运营期</w:t>
            </w:r>
          </w:p>
        </w:tc>
      </w:tr>
      <w:tr w14:paraId="364E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E698907">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p>
        </w:tc>
        <w:tc>
          <w:tcPr>
            <w:tcW w:w="1205" w:type="pct"/>
            <w:noWrap w:val="0"/>
            <w:vAlign w:val="center"/>
          </w:tcPr>
          <w:p w14:paraId="599564DC">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2251" w:type="pct"/>
            <w:noWrap w:val="0"/>
            <w:vAlign w:val="center"/>
          </w:tcPr>
          <w:p w14:paraId="47EE2B16">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验收要求</w:t>
            </w:r>
          </w:p>
        </w:tc>
        <w:tc>
          <w:tcPr>
            <w:tcW w:w="502" w:type="pct"/>
            <w:noWrap w:val="0"/>
            <w:vAlign w:val="center"/>
          </w:tcPr>
          <w:p w14:paraId="075F4E0D">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414" w:type="pct"/>
            <w:noWrap w:val="0"/>
            <w:vAlign w:val="center"/>
          </w:tcPr>
          <w:p w14:paraId="13435687">
            <w:pPr>
              <w:pStyle w:val="50"/>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验收要求</w:t>
            </w:r>
          </w:p>
        </w:tc>
      </w:tr>
      <w:tr w14:paraId="33568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7A4FBB8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陆生生态</w:t>
            </w:r>
          </w:p>
        </w:tc>
        <w:tc>
          <w:tcPr>
            <w:tcW w:w="1205" w:type="pct"/>
            <w:noWrap w:val="0"/>
            <w:vAlign w:val="center"/>
          </w:tcPr>
          <w:p w14:paraId="088A04B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生态保护</w:t>
            </w:r>
          </w:p>
        </w:tc>
        <w:tc>
          <w:tcPr>
            <w:tcW w:w="2251" w:type="pct"/>
            <w:noWrap w:val="0"/>
            <w:vAlign w:val="center"/>
          </w:tcPr>
          <w:p w14:paraId="51EB4AE5">
            <w:pPr>
              <w:pStyle w:val="55"/>
              <w:keepNext w:val="0"/>
              <w:keepLines w:val="0"/>
              <w:suppressLineNumbers w:val="0"/>
              <w:spacing w:before="0" w:beforeAutospacing="0" w:after="0" w:afterAutospacing="0"/>
              <w:ind w:left="0" w:right="0" w:firstLine="0" w:firstLineChars="0"/>
              <w:jc w:val="left"/>
              <w:rPr>
                <w:rFonts w:ascii="Times New Roman" w:hAnsi="Times New Roman" w:cs="Times New Roman"/>
                <w:color w:val="auto"/>
              </w:rPr>
            </w:pPr>
            <w:r>
              <w:rPr>
                <w:rFonts w:hint="eastAsia" w:ascii="Times New Roman" w:hAnsi="Times New Roman" w:eastAsia="宋体" w:cs="Times New Roman"/>
                <w:b w:val="0"/>
                <w:color w:val="auto"/>
                <w:lang w:val="en-US" w:eastAsia="zh-CN"/>
              </w:rPr>
              <w:t>对占地进行表土剥离用于完井后复垦用的耕作土，</w:t>
            </w:r>
            <w:r>
              <w:rPr>
                <w:rFonts w:hint="eastAsia" w:ascii="Times New Roman" w:hAnsi="Times New Roman" w:eastAsia="宋体" w:cs="Times New Roman"/>
                <w:color w:val="auto"/>
                <w:lang w:val="en-US" w:eastAsia="zh-CN"/>
              </w:rPr>
              <w:t>并对表土，</w:t>
            </w:r>
            <w:r>
              <w:rPr>
                <w:rFonts w:ascii="Times New Roman" w:hAnsi="Times New Roman" w:eastAsia="宋体" w:cs="Times New Roman"/>
                <w:color w:val="auto"/>
              </w:rPr>
              <w:t>对</w:t>
            </w:r>
            <w:r>
              <w:rPr>
                <w:rFonts w:hint="eastAsia" w:ascii="Times New Roman" w:hAnsi="Times New Roman" w:eastAsia="宋体" w:cs="Times New Roman"/>
                <w:color w:val="auto"/>
                <w:lang w:val="en-US" w:eastAsia="zh-CN"/>
              </w:rPr>
              <w:t>高温</w:t>
            </w:r>
            <w:r>
              <w:rPr>
                <w:rFonts w:hint="default" w:ascii="Times New Roman" w:hAnsi="Times New Roman" w:eastAsia="宋体" w:cs="Times New Roman"/>
                <w:color w:val="auto"/>
              </w:rPr>
              <w:t>热辐射</w:t>
            </w:r>
            <w:r>
              <w:rPr>
                <w:rFonts w:ascii="Times New Roman" w:hAnsi="Times New Roman" w:eastAsia="宋体" w:cs="Times New Roman"/>
                <w:color w:val="auto"/>
              </w:rPr>
              <w:t>破坏的植被进行补偿。井场设置挡墙、截排水沟、沉沙措施</w:t>
            </w:r>
          </w:p>
        </w:tc>
        <w:tc>
          <w:tcPr>
            <w:tcW w:w="502" w:type="pct"/>
            <w:vMerge w:val="restart"/>
            <w:noWrap w:val="0"/>
            <w:vAlign w:val="center"/>
          </w:tcPr>
          <w:p w14:paraId="16DAE67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32D0E73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0D8BA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77C275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65C93C1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生态恢复</w:t>
            </w:r>
          </w:p>
        </w:tc>
        <w:tc>
          <w:tcPr>
            <w:tcW w:w="2251" w:type="pct"/>
            <w:noWrap w:val="0"/>
            <w:vAlign w:val="center"/>
          </w:tcPr>
          <w:p w14:paraId="653267C1">
            <w:pPr>
              <w:pStyle w:val="55"/>
              <w:keepNext w:val="0"/>
              <w:keepLines w:val="0"/>
              <w:suppressLineNumbers w:val="0"/>
              <w:spacing w:before="0" w:beforeAutospacing="0" w:after="0" w:afterAutospacing="0"/>
              <w:ind w:left="0" w:right="0" w:firstLine="0" w:firstLineChars="0"/>
              <w:jc w:val="left"/>
              <w:rPr>
                <w:rFonts w:ascii="Times New Roman" w:hAnsi="Times New Roman" w:cs="Times New Roman"/>
                <w:color w:val="auto"/>
              </w:rPr>
            </w:pPr>
            <w:r>
              <w:rPr>
                <w:rFonts w:hint="eastAsia" w:ascii="Times New Roman" w:hAnsi="Times New Roman" w:eastAsia="宋体" w:cs="Times New Roman"/>
                <w:color w:val="auto"/>
                <w:lang w:val="en-US" w:eastAsia="zh-CN"/>
              </w:rPr>
              <w:t>对施工迹地进行</w:t>
            </w:r>
            <w:r>
              <w:rPr>
                <w:rFonts w:ascii="Times New Roman" w:hAnsi="Times New Roman" w:eastAsia="宋体" w:cs="Times New Roman"/>
                <w:color w:val="auto"/>
              </w:rPr>
              <w:t>复垦，种植草本植物恢复生态，满足《土地复垦质量控制标准》（</w:t>
            </w:r>
            <w:r>
              <w:rPr>
                <w:rFonts w:ascii="Times New Roman" w:hAnsi="Times New Roman" w:cs="Times New Roman"/>
                <w:color w:val="auto"/>
              </w:rPr>
              <w:t>TD/T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1036-2013</w:t>
            </w:r>
            <w:r>
              <w:rPr>
                <w:rFonts w:ascii="Times New Roman" w:hAnsi="Times New Roman" w:eastAsia="宋体" w:cs="Times New Roman"/>
                <w:color w:val="auto"/>
              </w:rPr>
              <w:t>）中规定的要求</w:t>
            </w:r>
          </w:p>
        </w:tc>
        <w:tc>
          <w:tcPr>
            <w:tcW w:w="502" w:type="pct"/>
            <w:vMerge w:val="continue"/>
            <w:noWrap w:val="0"/>
            <w:vAlign w:val="center"/>
          </w:tcPr>
          <w:p w14:paraId="4CFC22B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1DD05CA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FCC2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6E6E313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水生生态</w:t>
            </w:r>
          </w:p>
        </w:tc>
        <w:tc>
          <w:tcPr>
            <w:tcW w:w="1205" w:type="pct"/>
            <w:noWrap w:val="0"/>
            <w:vAlign w:val="center"/>
          </w:tcPr>
          <w:p w14:paraId="1564460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5B0CB40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2A5FB2F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5C7D074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4317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71C09023">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地表水</w:t>
            </w:r>
          </w:p>
          <w:p w14:paraId="70FB625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w:t>
            </w:r>
          </w:p>
        </w:tc>
        <w:tc>
          <w:tcPr>
            <w:tcW w:w="1205" w:type="pct"/>
            <w:noWrap w:val="0"/>
            <w:vAlign w:val="center"/>
          </w:tcPr>
          <w:p w14:paraId="38F8A5D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清污分流措施</w:t>
            </w:r>
          </w:p>
        </w:tc>
        <w:tc>
          <w:tcPr>
            <w:tcW w:w="2251" w:type="pct"/>
            <w:noWrap w:val="0"/>
            <w:vAlign w:val="center"/>
          </w:tcPr>
          <w:p w14:paraId="43C613C8">
            <w:pPr>
              <w:pStyle w:val="55"/>
              <w:keepNext w:val="0"/>
              <w:keepLines w:val="0"/>
              <w:suppressLineNumbers w:val="0"/>
              <w:spacing w:before="0" w:beforeAutospacing="0" w:after="0" w:afterAutospacing="0"/>
              <w:ind w:left="0" w:right="0"/>
              <w:jc w:val="left"/>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井场四周修建环状雨水沟（长约360m），井场内部井架基础、机房、油罐区、泵房房区等易污染区四周设置围堰（20cm）和集污沟（主沟长100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p w14:paraId="2E594CBB">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设截水沟128m、场外清水沟233m，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p>
        </w:tc>
        <w:tc>
          <w:tcPr>
            <w:tcW w:w="502" w:type="pct"/>
            <w:vMerge w:val="restart"/>
            <w:noWrap w:val="0"/>
            <w:vAlign w:val="center"/>
          </w:tcPr>
          <w:p w14:paraId="70E2652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7B395BF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55FF5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660660D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698337E">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井场内雨水、</w:t>
            </w:r>
            <w:r>
              <w:rPr>
                <w:rFonts w:hint="eastAsia" w:ascii="Times New Roman" w:hAnsi="Times New Roman" w:eastAsia="宋体" w:cs="Times New Roman"/>
                <w:color w:val="auto"/>
              </w:rPr>
              <w:t>洗井</w:t>
            </w:r>
            <w:r>
              <w:rPr>
                <w:rFonts w:ascii="Times New Roman" w:hAnsi="Times New Roman" w:eastAsia="宋体" w:cs="Times New Roman"/>
                <w:color w:val="auto"/>
              </w:rPr>
              <w:t>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ascii="Times New Roman" w:hAnsi="Times New Roman" w:eastAsia="宋体" w:cs="Times New Roman"/>
                <w:color w:val="auto"/>
              </w:rPr>
              <w:t>处理</w:t>
            </w:r>
            <w:r>
              <w:rPr>
                <w:rFonts w:hint="eastAsia" w:ascii="Times New Roman" w:hAnsi="Times New Roman" w:eastAsia="宋体" w:cs="Times New Roman"/>
                <w:color w:val="auto"/>
                <w:lang w:val="en-US" w:eastAsia="zh-CN"/>
              </w:rPr>
              <w:t>措施</w:t>
            </w:r>
          </w:p>
        </w:tc>
        <w:tc>
          <w:tcPr>
            <w:tcW w:w="2251" w:type="pct"/>
            <w:noWrap w:val="0"/>
            <w:vAlign w:val="center"/>
          </w:tcPr>
          <w:p w14:paraId="74A7D6EA">
            <w:pPr>
              <w:pStyle w:val="55"/>
              <w:keepNext w:val="0"/>
              <w:keepLines w:val="0"/>
              <w:suppressLineNumbers w:val="0"/>
              <w:spacing w:before="0" w:beforeAutospacing="0" w:after="0" w:afterAutospacing="0"/>
              <w:ind w:left="0" w:right="0" w:firstLine="0" w:firstLineChars="0"/>
              <w:jc w:val="left"/>
              <w:rPr>
                <w:rFonts w:ascii="Times New Roman" w:hAnsi="Times New Roman" w:eastAsia="宋体"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eastAsia="zh-CN"/>
              </w:rPr>
              <w:t>初期雨水优先回用于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eastAsia="zh-CN"/>
              </w:rPr>
              <w:t>初期雨水</w:t>
            </w:r>
            <w:r>
              <w:rPr>
                <w:rFonts w:hint="eastAsia" w:ascii="Times New Roman" w:hAnsi="Times New Roman" w:eastAsia="宋体" w:cs="Times New Roman"/>
                <w:color w:val="auto"/>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w:t>
            </w:r>
          </w:p>
        </w:tc>
        <w:tc>
          <w:tcPr>
            <w:tcW w:w="502" w:type="pct"/>
            <w:vMerge w:val="continue"/>
            <w:noWrap w:val="0"/>
            <w:vAlign w:val="center"/>
          </w:tcPr>
          <w:p w14:paraId="5242CEA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6B7204D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7358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56DE62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6D18999A">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生活污水处置措施</w:t>
            </w:r>
          </w:p>
        </w:tc>
        <w:tc>
          <w:tcPr>
            <w:tcW w:w="2251" w:type="pct"/>
            <w:noWrap w:val="0"/>
            <w:vAlign w:val="center"/>
          </w:tcPr>
          <w:p w14:paraId="3A7FF698">
            <w:pPr>
              <w:pStyle w:val="55"/>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rPr>
              <w:t>生活污水通过环保厕所（内置集粪桶）收集，转运至</w:t>
            </w:r>
            <w:r>
              <w:rPr>
                <w:rFonts w:hint="eastAsia" w:ascii="Times New Roman" w:hAnsi="Times New Roman" w:eastAsia="宋体" w:cs="Times New Roman"/>
                <w:color w:val="auto"/>
                <w:lang w:eastAsia="zh-CN"/>
              </w:rPr>
              <w:t>上八庙镇污水处理站</w:t>
            </w:r>
            <w:r>
              <w:rPr>
                <w:rFonts w:hint="eastAsia" w:ascii="Times New Roman" w:hAnsi="Times New Roman" w:eastAsia="宋体" w:cs="Times New Roman"/>
                <w:color w:val="auto"/>
              </w:rPr>
              <w:t>进行处理</w:t>
            </w:r>
          </w:p>
        </w:tc>
        <w:tc>
          <w:tcPr>
            <w:tcW w:w="502" w:type="pct"/>
            <w:vMerge w:val="continue"/>
            <w:noWrap w:val="0"/>
            <w:vAlign w:val="center"/>
          </w:tcPr>
          <w:p w14:paraId="58B7B86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73F77F3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0AE0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48BC63F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地下水及土壤环境</w:t>
            </w:r>
          </w:p>
        </w:tc>
        <w:tc>
          <w:tcPr>
            <w:tcW w:w="1205" w:type="pct"/>
            <w:noWrap w:val="0"/>
            <w:vAlign w:val="center"/>
          </w:tcPr>
          <w:p w14:paraId="5BC6EDD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源头控制措施</w:t>
            </w:r>
          </w:p>
        </w:tc>
        <w:tc>
          <w:tcPr>
            <w:tcW w:w="2251" w:type="pct"/>
            <w:noWrap w:val="0"/>
            <w:vAlign w:val="center"/>
          </w:tcPr>
          <w:p w14:paraId="58DDC39D">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钻井设计中采取先进的钻井方案和清洁钻井液体系，并加套管和水泥固井措施隔绝地下含水层。</w:t>
            </w:r>
            <w:r>
              <w:rPr>
                <w:rFonts w:ascii="Times New Roman" w:hAnsi="Times New Roman" w:eastAsia="宋体" w:cs="Times New Roman"/>
                <w:color w:val="auto"/>
                <w:kern w:val="0"/>
              </w:rPr>
              <w:t>应在循环罐区、主要设备区、材料房等区域设置雨棚，雨棚边缘应超出下方围堰不小于</w:t>
            </w:r>
            <w:r>
              <w:rPr>
                <w:rFonts w:ascii="Times New Roman" w:hAnsi="Times New Roman" w:cs="Times New Roman"/>
                <w:color w:val="auto"/>
                <w:kern w:val="0"/>
              </w:rPr>
              <w:t>0.5m</w:t>
            </w:r>
            <w:r>
              <w:rPr>
                <w:rFonts w:ascii="Times New Roman" w:hAnsi="Times New Roman" w:eastAsia="宋体" w:cs="Times New Roman"/>
                <w:color w:val="auto"/>
                <w:kern w:val="0"/>
              </w:rPr>
              <w:t>，雨棚的导流槽设计应将雨水导出场外</w:t>
            </w:r>
          </w:p>
        </w:tc>
        <w:tc>
          <w:tcPr>
            <w:tcW w:w="502" w:type="pct"/>
            <w:vMerge w:val="restart"/>
            <w:noWrap w:val="0"/>
            <w:vAlign w:val="center"/>
          </w:tcPr>
          <w:p w14:paraId="4811FF7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3630C4A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50D6A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0E3B7F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27B73CC">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防渗分区和防渗措施</w:t>
            </w:r>
          </w:p>
        </w:tc>
        <w:tc>
          <w:tcPr>
            <w:tcW w:w="2251" w:type="pct"/>
            <w:noWrap w:val="0"/>
            <w:vAlign w:val="center"/>
          </w:tcPr>
          <w:p w14:paraId="05AC360A">
            <w:pPr>
              <w:pStyle w:val="55"/>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rPr>
            </w:pPr>
            <w:r>
              <w:rPr>
                <w:rFonts w:hint="default" w:ascii="Times New Roman" w:hAnsi="Times New Roman" w:eastAsia="宋体" w:cs="Times New Roman"/>
                <w:color w:val="auto"/>
                <w:sz w:val="21"/>
                <w:szCs w:val="21"/>
              </w:rPr>
              <w:t>重点防渗区防渗要求：危废暂存间</w:t>
            </w:r>
            <w:r>
              <w:rPr>
                <w:rFonts w:hint="default" w:ascii="Times New Roman" w:hAnsi="Times New Roman" w:eastAsia="宋体" w:cs="Times New Roman"/>
                <w:bCs/>
                <w:color w:val="auto"/>
                <w:kern w:val="0"/>
                <w:sz w:val="21"/>
                <w:szCs w:val="21"/>
              </w:rPr>
              <w:t>地面参考GB18597的要求，应铺设至少1m厚黏土层（渗透系数不大于10</w:t>
            </w:r>
            <w:r>
              <w:rPr>
                <w:rFonts w:hint="default" w:ascii="Times New Roman" w:hAnsi="Times New Roman" w:eastAsia="宋体" w:cs="Times New Roman"/>
                <w:bCs/>
                <w:color w:val="auto"/>
                <w:kern w:val="0"/>
                <w:sz w:val="21"/>
                <w:szCs w:val="21"/>
                <w:vertAlign w:val="superscript"/>
              </w:rPr>
              <w:t>-7</w:t>
            </w:r>
            <w:r>
              <w:rPr>
                <w:rFonts w:hint="default" w:ascii="Times New Roman" w:hAnsi="Times New Roman" w:eastAsia="宋体" w:cs="Times New Roman"/>
                <w:bCs/>
                <w:color w:val="auto"/>
                <w:kern w:val="0"/>
                <w:sz w:val="21"/>
                <w:szCs w:val="21"/>
              </w:rPr>
              <w:t>cm/s），或至少2mm厚高密度聚乙烯膜等人工防渗材料（渗透系数不大于10</w:t>
            </w:r>
            <w:r>
              <w:rPr>
                <w:rFonts w:hint="default" w:ascii="Times New Roman" w:hAnsi="Times New Roman" w:eastAsia="宋体" w:cs="Times New Roman"/>
                <w:bCs/>
                <w:color w:val="auto"/>
                <w:kern w:val="0"/>
                <w:sz w:val="21"/>
                <w:szCs w:val="21"/>
                <w:vertAlign w:val="superscript"/>
              </w:rPr>
              <w:t>-10</w:t>
            </w:r>
            <w:r>
              <w:rPr>
                <w:rFonts w:hint="default" w:ascii="Times New Roman" w:hAnsi="Times New Roman" w:eastAsia="宋体" w:cs="Times New Roman"/>
                <w:bCs/>
                <w:color w:val="auto"/>
                <w:kern w:val="0"/>
                <w:sz w:val="21"/>
                <w:szCs w:val="21"/>
              </w:rPr>
              <w:t>cm/s），或其他防渗性能等效的材料。其他根据</w:t>
            </w:r>
            <w:r>
              <w:rPr>
                <w:rFonts w:hint="default" w:ascii="Times New Roman" w:hAnsi="Times New Roman" w:eastAsia="宋体" w:cs="Times New Roman"/>
                <w:bCs/>
                <w:color w:val="auto"/>
                <w:sz w:val="21"/>
                <w:szCs w:val="21"/>
              </w:rPr>
              <w:t>（HJ610-2016）</w:t>
            </w:r>
            <w:r>
              <w:rPr>
                <w:rFonts w:hint="default" w:ascii="Times New Roman" w:hAnsi="Times New Roman" w:eastAsia="宋体" w:cs="Times New Roman"/>
                <w:color w:val="auto"/>
                <w:sz w:val="21"/>
                <w:szCs w:val="21"/>
              </w:rPr>
              <w:t>，等效黏土防渗层Mb≥6.0m，K≤1.0×10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eastAsia="宋体" w:cs="Times New Roman"/>
                <w:bCs/>
                <w:color w:val="auto"/>
                <w:kern w:val="0"/>
                <w:sz w:val="21"/>
                <w:szCs w:val="21"/>
              </w:rPr>
              <w:t>。一般防渗区</w:t>
            </w:r>
            <w:r>
              <w:rPr>
                <w:rFonts w:hint="default" w:ascii="Times New Roman" w:hAnsi="Times New Roman" w:eastAsia="宋体" w:cs="Times New Roman"/>
                <w:color w:val="auto"/>
                <w:sz w:val="21"/>
                <w:szCs w:val="21"/>
              </w:rPr>
              <w:t>防渗要求</w:t>
            </w:r>
            <w:r>
              <w:rPr>
                <w:rFonts w:hint="default" w:ascii="Times New Roman" w:hAnsi="Times New Roman" w:eastAsia="宋体" w:cs="Times New Roman"/>
                <w:bCs/>
                <w:color w:val="auto"/>
                <w:kern w:val="0"/>
                <w:sz w:val="21"/>
                <w:szCs w:val="21"/>
              </w:rPr>
              <w:t>：</w:t>
            </w:r>
            <w:r>
              <w:rPr>
                <w:rFonts w:hint="default" w:ascii="Times New Roman" w:hAnsi="Times New Roman" w:eastAsia="宋体" w:cs="Times New Roman"/>
                <w:bCs/>
                <w:color w:val="auto"/>
                <w:sz w:val="21"/>
                <w:szCs w:val="21"/>
              </w:rPr>
              <w:t>满足等效黏土防渗层Mb≧1.5m，渗透系数K≤1×10</w:t>
            </w:r>
            <w:r>
              <w:rPr>
                <w:rFonts w:hint="default" w:ascii="Times New Roman" w:hAnsi="Times New Roman" w:eastAsia="宋体" w:cs="Times New Roman"/>
                <w:bCs/>
                <w:color w:val="auto"/>
                <w:sz w:val="21"/>
                <w:szCs w:val="21"/>
                <w:vertAlign w:val="superscript"/>
              </w:rPr>
              <w:t>-7</w:t>
            </w:r>
            <w:r>
              <w:rPr>
                <w:rFonts w:hint="default" w:ascii="Times New Roman" w:hAnsi="Times New Roman" w:eastAsia="宋体" w:cs="Times New Roman"/>
                <w:bCs/>
                <w:color w:val="auto"/>
                <w:sz w:val="21"/>
                <w:szCs w:val="21"/>
              </w:rPr>
              <w:t>cm/s的防渗性能</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简单防渗区采取</w:t>
            </w:r>
            <w:r>
              <w:rPr>
                <w:rFonts w:hint="default" w:ascii="Times New Roman" w:hAnsi="Times New Roman" w:eastAsia="宋体" w:cs="Times New Roman"/>
                <w:bCs/>
                <w:color w:val="auto"/>
                <w:kern w:val="0"/>
                <w:sz w:val="21"/>
                <w:szCs w:val="21"/>
                <w:lang w:val="en-US" w:eastAsia="zh-CN"/>
              </w:rPr>
              <w:t>一般硬化措施</w:t>
            </w:r>
          </w:p>
        </w:tc>
        <w:tc>
          <w:tcPr>
            <w:tcW w:w="502" w:type="pct"/>
            <w:vMerge w:val="continue"/>
            <w:noWrap w:val="0"/>
            <w:vAlign w:val="center"/>
          </w:tcPr>
          <w:p w14:paraId="0A5E0A3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4D894525">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E3A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437DB84E">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9C83B2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土壤污染防治措施</w:t>
            </w:r>
          </w:p>
        </w:tc>
        <w:tc>
          <w:tcPr>
            <w:tcW w:w="2251" w:type="pct"/>
            <w:noWrap w:val="0"/>
            <w:vAlign w:val="center"/>
          </w:tcPr>
          <w:p w14:paraId="1CCE78B9">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针对</w:t>
            </w:r>
            <w:r>
              <w:rPr>
                <w:rFonts w:hint="eastAsia" w:ascii="Times New Roman" w:hAnsi="Times New Roman" w:eastAsia="宋体" w:cs="Times New Roman"/>
                <w:color w:val="auto"/>
                <w:lang w:val="en-US" w:eastAsia="zh-CN"/>
              </w:rPr>
              <w:t>土壤垂直入渗</w:t>
            </w:r>
            <w:r>
              <w:rPr>
                <w:rFonts w:ascii="Times New Roman" w:hAnsi="Times New Roman" w:eastAsia="宋体" w:cs="Times New Roman"/>
                <w:color w:val="auto"/>
              </w:rPr>
              <w:t>影响落实地下水评价内容提出的防渗分区及防渗措施。针对地面漫流影响实施井场清污分流措施，</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w:t>
            </w:r>
            <w:r>
              <w:rPr>
                <w:rFonts w:hint="eastAsia" w:ascii="Times New Roman" w:hAnsi="Times New Roman" w:eastAsia="宋体" w:cs="Times New Roman"/>
                <w:b w:val="0"/>
                <w:bCs/>
                <w:color w:val="auto"/>
                <w:sz w:val="21"/>
                <w:szCs w:val="21"/>
                <w:highlight w:val="none"/>
                <w:lang w:val="en-US" w:eastAsia="zh-CN"/>
              </w:rPr>
              <w:t>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ascii="Times New Roman" w:hAnsi="Times New Roman" w:eastAsia="宋体" w:cs="Times New Roman"/>
                <w:color w:val="auto"/>
              </w:rPr>
              <w:t>；</w:t>
            </w:r>
            <w:r>
              <w:rPr>
                <w:rFonts w:hint="eastAsia" w:ascii="Times New Roman" w:hAnsi="Times New Roman" w:eastAsia="宋体" w:cs="Times New Roman"/>
                <w:color w:val="auto"/>
                <w:highlight w:val="none"/>
              </w:rPr>
              <w:t>井场四周修建</w:t>
            </w:r>
            <w:r>
              <w:rPr>
                <w:rFonts w:hint="eastAsia" w:ascii="Times New Roman" w:hAnsi="Times New Roman" w:eastAsia="宋体" w:cs="Times New Roman"/>
                <w:color w:val="auto"/>
                <w:highlight w:val="none"/>
                <w:lang w:val="en-US" w:eastAsia="zh-CN"/>
              </w:rPr>
              <w:t>环状雨水沟</w:t>
            </w:r>
            <w:r>
              <w:rPr>
                <w:rFonts w:hint="eastAsia" w:ascii="Times New Roman" w:hAnsi="Times New Roman" w:eastAsia="宋体" w:cs="Times New Roman"/>
                <w:color w:val="auto"/>
                <w:highlight w:val="none"/>
              </w:rPr>
              <w:t>、</w:t>
            </w:r>
            <w:r>
              <w:rPr>
                <w:rFonts w:hint="eastAsia" w:ascii="Times New Roman" w:hAnsi="Times New Roman" w:eastAsia="宋体" w:cs="Times New Roman"/>
                <w:bCs/>
                <w:color w:val="auto"/>
                <w:sz w:val="21"/>
                <w:szCs w:val="21"/>
                <w:highlight w:val="none"/>
                <w:lang w:val="en-US" w:eastAsia="zh-CN"/>
              </w:rPr>
              <w:t>井场内部井架基础、机房、油罐区、泵房房区等易污染区四周设置围堰和集污沟，</w:t>
            </w:r>
            <w:r>
              <w:rPr>
                <w:rFonts w:hint="eastAsia" w:ascii="Times New Roman" w:hAnsi="Times New Roman" w:eastAsia="宋体" w:cs="Times New Roman"/>
                <w:color w:val="auto"/>
                <w:highlight w:val="none"/>
              </w:rPr>
              <w:t>井场内</w:t>
            </w:r>
            <w:r>
              <w:rPr>
                <w:rFonts w:hint="eastAsia" w:ascii="Times New Roman" w:hAnsi="Times New Roman" w:eastAsia="宋体" w:cs="Times New Roman"/>
                <w:color w:val="auto"/>
                <w:highlight w:val="none"/>
                <w:lang w:val="en-US" w:eastAsia="zh-CN"/>
              </w:rPr>
              <w:t>初期</w:t>
            </w:r>
            <w:r>
              <w:rPr>
                <w:rFonts w:hint="eastAsia" w:ascii="Times New Roman" w:hAnsi="Times New Roman" w:eastAsia="宋体" w:cs="Times New Roman"/>
                <w:color w:val="auto"/>
                <w:highlight w:val="none"/>
              </w:rPr>
              <w:t>雨水收集进入污水池</w:t>
            </w:r>
            <w:r>
              <w:rPr>
                <w:rFonts w:hint="eastAsia" w:ascii="Times New Roman" w:hAnsi="Times New Roman" w:eastAsia="宋体" w:cs="Times New Roman"/>
                <w:color w:val="auto"/>
              </w:rPr>
              <w:t>（</w:t>
            </w:r>
            <w:r>
              <w:rPr>
                <w:rFonts w:ascii="Times New Roman" w:hAnsi="Times New Roman" w:eastAsia="宋体" w:cs="Times New Roman"/>
                <w:color w:val="auto"/>
                <w:lang w:bidi="ar"/>
              </w:rPr>
              <w:t>多功能网格池</w:t>
            </w:r>
            <w:r>
              <w:rPr>
                <w:rFonts w:hint="eastAsia" w:ascii="Times New Roman" w:hAnsi="Times New Roman" w:eastAsia="宋体" w:cs="Times New Roman"/>
                <w:color w:val="auto"/>
                <w:lang w:bidi="ar"/>
              </w:rPr>
              <w:t>组</w:t>
            </w:r>
            <w:r>
              <w:rPr>
                <w:rFonts w:hint="eastAsia" w:ascii="Times New Roman" w:hAnsi="Times New Roman" w:eastAsia="宋体" w:cs="Times New Roman"/>
                <w:color w:val="auto"/>
              </w:rPr>
              <w:t>）</w:t>
            </w:r>
            <w:r>
              <w:rPr>
                <w:rFonts w:hint="eastAsia" w:ascii="Times New Roman" w:hAnsi="Times New Roman" w:eastAsia="宋体" w:cs="Times New Roman"/>
                <w:color w:val="auto"/>
                <w:highlight w:val="none"/>
              </w:rPr>
              <w:t>处理</w:t>
            </w:r>
            <w:r>
              <w:rPr>
                <w:rFonts w:hint="eastAsia" w:ascii="Times New Roman" w:hAnsi="Times New Roman" w:eastAsia="宋体" w:cs="Times New Roman"/>
                <w:color w:val="auto"/>
                <w:highlight w:val="none"/>
                <w:lang w:val="en-US" w:eastAsia="zh-CN"/>
              </w:rPr>
              <w:t>后回用</w:t>
            </w:r>
          </w:p>
        </w:tc>
        <w:tc>
          <w:tcPr>
            <w:tcW w:w="502" w:type="pct"/>
            <w:vMerge w:val="continue"/>
            <w:noWrap w:val="0"/>
            <w:vAlign w:val="center"/>
          </w:tcPr>
          <w:p w14:paraId="7736683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236E08F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A079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2E25C41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w:t>
            </w:r>
          </w:p>
        </w:tc>
        <w:tc>
          <w:tcPr>
            <w:tcW w:w="1205" w:type="pct"/>
            <w:noWrap w:val="0"/>
            <w:vAlign w:val="center"/>
          </w:tcPr>
          <w:p w14:paraId="7A2A31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隔声、降噪措施</w:t>
            </w:r>
          </w:p>
        </w:tc>
        <w:tc>
          <w:tcPr>
            <w:tcW w:w="2251" w:type="pct"/>
            <w:noWrap w:val="0"/>
            <w:vAlign w:val="center"/>
          </w:tcPr>
          <w:p w14:paraId="65C695FE">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lang w:val="en-US" w:eastAsia="zh-CN"/>
              </w:rPr>
              <w:t>选用低噪声设备、</w:t>
            </w:r>
            <w:r>
              <w:rPr>
                <w:rFonts w:ascii="Times New Roman" w:hAnsi="Times New Roman" w:eastAsia="宋体" w:cs="Times New Roman"/>
                <w:color w:val="auto"/>
              </w:rPr>
              <w:t>噪声设备设置基础</w:t>
            </w:r>
            <w:r>
              <w:rPr>
                <w:rFonts w:hint="eastAsia" w:ascii="Times New Roman" w:hAnsi="Times New Roman" w:eastAsia="宋体" w:cs="Times New Roman"/>
                <w:color w:val="auto"/>
                <w:lang w:eastAsia="zh-CN"/>
              </w:rPr>
              <w:t>减振，</w:t>
            </w:r>
            <w:r>
              <w:rPr>
                <w:rFonts w:hint="eastAsia" w:ascii="Times New Roman" w:hAnsi="Times New Roman" w:eastAsia="宋体" w:cs="Times New Roman"/>
                <w:color w:val="auto"/>
                <w:lang w:val="en-US" w:eastAsia="zh-CN"/>
              </w:rPr>
              <w:t>优化平面布置，高噪声设备尽量远离声环境敏感点</w:t>
            </w:r>
          </w:p>
        </w:tc>
        <w:tc>
          <w:tcPr>
            <w:tcW w:w="502" w:type="pct"/>
            <w:vMerge w:val="restart"/>
            <w:noWrap w:val="0"/>
            <w:vAlign w:val="center"/>
          </w:tcPr>
          <w:p w14:paraId="672DFC9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278A7F1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36A8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13099C51">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512000C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声环境敏感点采取的措施</w:t>
            </w:r>
          </w:p>
        </w:tc>
        <w:tc>
          <w:tcPr>
            <w:tcW w:w="2251" w:type="pct"/>
            <w:noWrap w:val="0"/>
            <w:vAlign w:val="center"/>
          </w:tcPr>
          <w:p w14:paraId="4288F902">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对噪声影响超标的</w:t>
            </w:r>
            <w:r>
              <w:rPr>
                <w:rFonts w:hint="eastAsia" w:ascii="Times New Roman" w:hAnsi="Times New Roman" w:eastAsia="宋体" w:cs="Times New Roman"/>
                <w:color w:val="auto"/>
                <w:lang w:eastAsia="zh-CN"/>
              </w:rPr>
              <w:t>农户</w:t>
            </w:r>
            <w:r>
              <w:rPr>
                <w:rFonts w:ascii="Times New Roman" w:hAnsi="Times New Roman" w:eastAsia="宋体" w:cs="Times New Roman"/>
                <w:color w:val="auto"/>
              </w:rPr>
              <w:t>通过临时租用房屋、临时撤离、加强沟通协调等方式，</w:t>
            </w:r>
            <w:r>
              <w:rPr>
                <w:rFonts w:hint="eastAsia" w:ascii="Times New Roman" w:hAnsi="Times New Roman" w:eastAsia="宋体" w:cs="Times New Roman"/>
                <w:color w:val="auto"/>
                <w:lang w:val="en-US" w:eastAsia="zh-CN"/>
              </w:rPr>
              <w:t>以</w:t>
            </w:r>
            <w:r>
              <w:rPr>
                <w:rFonts w:ascii="Times New Roman" w:hAnsi="Times New Roman" w:eastAsia="宋体" w:cs="Times New Roman"/>
                <w:color w:val="auto"/>
              </w:rPr>
              <w:t>取得居民谅解，避免环保纠纷</w:t>
            </w:r>
          </w:p>
        </w:tc>
        <w:tc>
          <w:tcPr>
            <w:tcW w:w="502" w:type="pct"/>
            <w:vMerge w:val="continue"/>
            <w:noWrap w:val="0"/>
            <w:vAlign w:val="center"/>
          </w:tcPr>
          <w:p w14:paraId="2F79B7D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0BBE834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EBB1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01B0078A">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大气环境</w:t>
            </w:r>
          </w:p>
        </w:tc>
        <w:tc>
          <w:tcPr>
            <w:tcW w:w="1205" w:type="pct"/>
            <w:noWrap w:val="0"/>
            <w:vAlign w:val="center"/>
          </w:tcPr>
          <w:p w14:paraId="09A1ECAD">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施工粉尘</w:t>
            </w:r>
          </w:p>
        </w:tc>
        <w:tc>
          <w:tcPr>
            <w:tcW w:w="2251" w:type="pct"/>
            <w:noWrap w:val="0"/>
            <w:vAlign w:val="center"/>
          </w:tcPr>
          <w:p w14:paraId="6A18CA3E">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硬化进出口并采取冲洗、洒水等措施控制扬尘。设置车辆冲洗设施对驶出工地的车辆进行冲洗。对露天堆放的河沙、石粉等易扬撒的物料予以覆盖。对开挖施工作业面（点）洒水降尘。临时堆场洒水、覆盖降尘。密闭运输渣土、砂石等易撒漏扬散物质</w:t>
            </w:r>
          </w:p>
        </w:tc>
        <w:tc>
          <w:tcPr>
            <w:tcW w:w="502" w:type="pct"/>
            <w:vMerge w:val="restart"/>
            <w:noWrap w:val="0"/>
            <w:vAlign w:val="center"/>
          </w:tcPr>
          <w:p w14:paraId="0177E8F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5C91561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2063A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0D7E91E3">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E7C1BE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测试放喷废气</w:t>
            </w:r>
          </w:p>
        </w:tc>
        <w:tc>
          <w:tcPr>
            <w:tcW w:w="2251" w:type="pct"/>
            <w:noWrap w:val="0"/>
            <w:vAlign w:val="center"/>
          </w:tcPr>
          <w:p w14:paraId="0E4158D5">
            <w:pPr>
              <w:pStyle w:val="55"/>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测试放喷的天然气经专用放喷管线引至放喷池后点火燃烧，自然扩散排入周边环境。</w:t>
            </w:r>
          </w:p>
        </w:tc>
        <w:tc>
          <w:tcPr>
            <w:tcW w:w="502" w:type="pct"/>
            <w:vMerge w:val="continue"/>
            <w:noWrap w:val="0"/>
            <w:vAlign w:val="center"/>
          </w:tcPr>
          <w:p w14:paraId="672521D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639050D0">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D633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4909DF2">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2055" w:type="dxa"/>
            <w:noWrap w:val="0"/>
            <w:vAlign w:val="center"/>
          </w:tcPr>
          <w:p w14:paraId="66A7DE18">
            <w:pPr>
              <w:pStyle w:val="55"/>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eastAsia="宋体" w:cs="Times New Roman"/>
                <w:color w:val="auto"/>
              </w:rPr>
              <w:t>柴油发电机废气</w:t>
            </w:r>
          </w:p>
        </w:tc>
        <w:tc>
          <w:tcPr>
            <w:tcW w:w="3837" w:type="dxa"/>
            <w:noWrap w:val="0"/>
            <w:vAlign w:val="center"/>
          </w:tcPr>
          <w:p w14:paraId="37609A5D">
            <w:pPr>
              <w:pStyle w:val="55"/>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经自带尾气净化装置处理后</w:t>
            </w:r>
            <w:r>
              <w:rPr>
                <w:rFonts w:ascii="Times New Roman" w:hAnsi="Times New Roman" w:eastAsia="宋体" w:cs="Times New Roman"/>
                <w:color w:val="auto"/>
              </w:rPr>
              <w:t>排气筒排放</w:t>
            </w:r>
          </w:p>
        </w:tc>
        <w:tc>
          <w:tcPr>
            <w:tcW w:w="502" w:type="pct"/>
            <w:vMerge w:val="continue"/>
            <w:noWrap w:val="0"/>
            <w:vAlign w:val="center"/>
          </w:tcPr>
          <w:p w14:paraId="7146BC6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59A1A62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ADFE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D9BF747">
            <w:pPr>
              <w:pStyle w:val="55"/>
              <w:keepNext w:val="0"/>
              <w:keepLines w:val="0"/>
              <w:suppressLineNumbers w:val="0"/>
              <w:spacing w:before="0" w:beforeAutospacing="0" w:after="0" w:afterAutospacing="0"/>
              <w:ind w:left="0" w:right="0"/>
              <w:outlineLvl w:val="9"/>
              <w:rPr>
                <w:rFonts w:hint="eastAsia" w:ascii="华文仿宋" w:hAnsi="华文仿宋" w:eastAsia="Times New Roman" w:cs="Times New Roman"/>
                <w:color w:val="auto"/>
                <w:szCs w:val="32"/>
              </w:rPr>
            </w:pPr>
          </w:p>
        </w:tc>
        <w:tc>
          <w:tcPr>
            <w:tcW w:w="2055" w:type="dxa"/>
            <w:noWrap w:val="0"/>
            <w:vAlign w:val="center"/>
          </w:tcPr>
          <w:p w14:paraId="20466835">
            <w:pPr>
              <w:pStyle w:val="55"/>
              <w:keepNext w:val="0"/>
              <w:keepLines w:val="0"/>
              <w:suppressLineNumbers w:val="0"/>
              <w:spacing w:before="0" w:beforeAutospacing="0" w:after="0" w:afterAutospacing="0"/>
              <w:ind w:left="0" w:leftChars="0" w:right="0" w:rightChars="0" w:firstLine="0" w:firstLineChars="0"/>
              <w:rPr>
                <w:rFonts w:hint="eastAsia" w:eastAsia="Times New Roman" w:cs="Times New Roman"/>
                <w:color w:val="auto"/>
                <w:szCs w:val="32"/>
              </w:rPr>
            </w:pPr>
            <w:r>
              <w:rPr>
                <w:rFonts w:hint="eastAsia" w:ascii="Times New Roman" w:hAnsi="Times New Roman" w:eastAsia="宋体" w:cs="Times New Roman"/>
                <w:color w:val="auto"/>
                <w:lang w:val="en-US" w:eastAsia="zh-CN"/>
              </w:rPr>
              <w:t>锅炉烟气</w:t>
            </w:r>
          </w:p>
        </w:tc>
        <w:tc>
          <w:tcPr>
            <w:tcW w:w="3837" w:type="dxa"/>
            <w:noWrap w:val="0"/>
            <w:vAlign w:val="center"/>
          </w:tcPr>
          <w:p w14:paraId="3244BC7A">
            <w:pPr>
              <w:pStyle w:val="55"/>
              <w:keepNext w:val="0"/>
              <w:keepLines w:val="0"/>
              <w:suppressLineNumbers w:val="0"/>
              <w:spacing w:before="0" w:beforeAutospacing="0" w:after="0" w:afterAutospacing="0"/>
              <w:ind w:left="0" w:leftChars="0" w:right="0" w:rightChars="0" w:firstLine="0" w:firstLineChars="0"/>
              <w:rPr>
                <w:rFonts w:hint="eastAsia" w:eastAsia="宋体" w:cs="Times New Roman"/>
                <w:color w:val="auto"/>
                <w:szCs w:val="32"/>
                <w:lang w:eastAsia="zh-CN"/>
              </w:rPr>
            </w:pPr>
            <w:r>
              <w:rPr>
                <w:rFonts w:hint="eastAsia" w:ascii="Times New Roman" w:hAnsi="Times New Roman" w:eastAsia="宋体" w:cs="Times New Roman"/>
                <w:color w:val="auto"/>
                <w:lang w:val="en-US" w:eastAsia="zh-CN"/>
              </w:rPr>
              <w:t>通过排气筒（8m）排放</w:t>
            </w:r>
          </w:p>
        </w:tc>
        <w:tc>
          <w:tcPr>
            <w:tcW w:w="502" w:type="pct"/>
            <w:vMerge w:val="continue"/>
            <w:noWrap w:val="0"/>
            <w:vAlign w:val="center"/>
          </w:tcPr>
          <w:p w14:paraId="235C8767">
            <w:pPr>
              <w:pStyle w:val="55"/>
              <w:keepNext w:val="0"/>
              <w:keepLines w:val="0"/>
              <w:suppressLineNumbers w:val="0"/>
              <w:spacing w:before="0" w:beforeAutospacing="0" w:after="0" w:afterAutospacing="0"/>
              <w:ind w:left="0" w:right="0" w:firstLine="0" w:firstLineChars="0"/>
              <w:rPr>
                <w:rFonts w:hint="eastAsia" w:cs="Arial"/>
                <w:color w:val="auto"/>
                <w:szCs w:val="32"/>
              </w:rPr>
            </w:pPr>
          </w:p>
        </w:tc>
        <w:tc>
          <w:tcPr>
            <w:tcW w:w="414" w:type="pct"/>
            <w:vMerge w:val="continue"/>
            <w:noWrap w:val="0"/>
            <w:vAlign w:val="center"/>
          </w:tcPr>
          <w:p w14:paraId="6FBEB972">
            <w:pPr>
              <w:pStyle w:val="55"/>
              <w:keepNext w:val="0"/>
              <w:keepLines w:val="0"/>
              <w:suppressLineNumbers w:val="0"/>
              <w:spacing w:before="0" w:beforeAutospacing="0" w:after="0" w:afterAutospacing="0"/>
              <w:ind w:left="0" w:right="0" w:firstLine="0" w:firstLineChars="0"/>
              <w:rPr>
                <w:rFonts w:hint="eastAsia" w:cs="Arial"/>
                <w:color w:val="auto"/>
                <w:szCs w:val="32"/>
              </w:rPr>
            </w:pPr>
          </w:p>
        </w:tc>
      </w:tr>
      <w:tr w14:paraId="6163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14FF89D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固体废物</w:t>
            </w:r>
          </w:p>
        </w:tc>
        <w:tc>
          <w:tcPr>
            <w:tcW w:w="1205" w:type="pct"/>
            <w:noWrap w:val="0"/>
            <w:vAlign w:val="center"/>
          </w:tcPr>
          <w:p w14:paraId="27D2FE2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lang w:val="en-US" w:eastAsia="zh-CN"/>
              </w:rPr>
              <w:t>固废</w:t>
            </w:r>
          </w:p>
        </w:tc>
        <w:tc>
          <w:tcPr>
            <w:tcW w:w="2251" w:type="pct"/>
            <w:noWrap w:val="0"/>
            <w:vAlign w:val="center"/>
          </w:tcPr>
          <w:p w14:paraId="48B21703">
            <w:pPr>
              <w:pStyle w:val="55"/>
              <w:keepNext w:val="0"/>
              <w:keepLines w:val="0"/>
              <w:suppressLineNumbers w:val="0"/>
              <w:spacing w:before="0" w:beforeAutospacing="0" w:after="0" w:afterAutospacing="0"/>
              <w:ind w:left="0" w:right="0" w:firstLine="0" w:firstLineChars="0"/>
              <w:jc w:val="left"/>
              <w:rPr>
                <w:rFonts w:hint="eastAsia" w:ascii="Times New Roman" w:hAnsi="Times New Roman" w:eastAsia="宋体" w:cs="Times New Roman"/>
                <w:color w:val="auto"/>
                <w:lang w:eastAsia="zh-CN"/>
              </w:rPr>
            </w:pPr>
            <w:r>
              <w:rPr>
                <w:rFonts w:hint="default" w:ascii="Times New Roman" w:hAnsi="Times New Roman" w:eastAsia="宋体" w:cs="Times New Roman"/>
                <w:color w:val="auto"/>
                <w:highlight w:val="none"/>
              </w:rPr>
              <w:t>由岩屑收集罐进行收集，泥浆不落地系统</w:t>
            </w:r>
            <w:r>
              <w:rPr>
                <w:rFonts w:hint="eastAsia" w:ascii="Times New Roman" w:hAnsi="Times New Roman" w:eastAsia="宋体" w:cs="Times New Roman"/>
                <w:color w:val="auto"/>
                <w:highlight w:val="none"/>
                <w:lang w:val="en-US" w:eastAsia="zh-CN"/>
              </w:rPr>
              <w:t>板框压滤</w:t>
            </w:r>
            <w:r>
              <w:rPr>
                <w:rFonts w:hint="default" w:ascii="Times New Roman" w:hAnsi="Times New Roman" w:eastAsia="宋体" w:cs="Times New Roman"/>
                <w:color w:val="auto"/>
                <w:highlight w:val="none"/>
              </w:rPr>
              <w:t>脱水后暂存岩屑暂</w:t>
            </w:r>
            <w:r>
              <w:rPr>
                <w:rFonts w:hint="eastAsia" w:ascii="Times New Roman" w:hAnsi="Times New Roman" w:eastAsia="宋体" w:cs="Times New Roman"/>
                <w:color w:val="auto"/>
                <w:highlight w:val="none"/>
                <w:lang w:eastAsia="zh-CN"/>
              </w:rPr>
              <w:t>存罐</w:t>
            </w:r>
            <w:r>
              <w:rPr>
                <w:rFonts w:ascii="Times New Roman" w:hAnsi="Times New Roman" w:eastAsia="宋体" w:cs="Times New Roman"/>
                <w:color w:val="auto"/>
              </w:rPr>
              <w:t>，转运至符合环保要求且有处理能力的砖厂、水泥厂</w:t>
            </w:r>
            <w:r>
              <w:rPr>
                <w:rFonts w:hint="eastAsia" w:ascii="Times New Roman" w:hAnsi="Times New Roman" w:eastAsia="宋体" w:cs="Times New Roman"/>
                <w:color w:val="auto"/>
                <w:lang w:val="en-US" w:eastAsia="zh-CN"/>
              </w:rPr>
              <w:t>等进行资源化</w:t>
            </w:r>
            <w:r>
              <w:rPr>
                <w:rFonts w:ascii="Times New Roman" w:hAnsi="Times New Roman" w:eastAsia="宋体" w:cs="Times New Roman"/>
                <w:color w:val="auto"/>
              </w:rPr>
              <w:t>利用</w:t>
            </w:r>
          </w:p>
        </w:tc>
        <w:tc>
          <w:tcPr>
            <w:tcW w:w="502" w:type="pct"/>
            <w:vMerge w:val="restart"/>
            <w:noWrap w:val="0"/>
            <w:vAlign w:val="center"/>
          </w:tcPr>
          <w:p w14:paraId="735F1D8B">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1210D669">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7A661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459E3D4">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46C72D8F">
            <w:pPr>
              <w:pStyle w:val="55"/>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危险废物（废油和含油污染物）</w:t>
            </w:r>
          </w:p>
        </w:tc>
        <w:tc>
          <w:tcPr>
            <w:tcW w:w="2251" w:type="pct"/>
            <w:noWrap w:val="0"/>
            <w:vAlign w:val="center"/>
          </w:tcPr>
          <w:p w14:paraId="375493E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危废间</w:t>
            </w:r>
            <w:r>
              <w:rPr>
                <w:rFonts w:ascii="Times New Roman" w:hAnsi="Times New Roman" w:eastAsia="宋体" w:cs="Times New Roman"/>
                <w:color w:val="auto"/>
              </w:rPr>
              <w:t>暂存后委托有危废资质单位处置</w:t>
            </w:r>
          </w:p>
        </w:tc>
        <w:tc>
          <w:tcPr>
            <w:tcW w:w="502" w:type="pct"/>
            <w:vMerge w:val="continue"/>
            <w:noWrap w:val="0"/>
            <w:vAlign w:val="center"/>
          </w:tcPr>
          <w:p w14:paraId="4BA13FB8">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109354F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0C6C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94624F7">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118BC5E4">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生活垃圾</w:t>
            </w:r>
          </w:p>
        </w:tc>
        <w:tc>
          <w:tcPr>
            <w:tcW w:w="2251" w:type="pct"/>
            <w:noWrap w:val="0"/>
            <w:vAlign w:val="center"/>
          </w:tcPr>
          <w:p w14:paraId="0BDCFD48">
            <w:pPr>
              <w:pStyle w:val="55"/>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集中收集后由</w:t>
            </w:r>
            <w:r>
              <w:rPr>
                <w:rFonts w:ascii="Times New Roman" w:hAnsi="Times New Roman" w:eastAsia="宋体" w:cs="Times New Roman"/>
                <w:color w:val="auto"/>
              </w:rPr>
              <w:t>环卫部门统一</w:t>
            </w:r>
            <w:r>
              <w:rPr>
                <w:rFonts w:hint="eastAsia" w:ascii="Times New Roman" w:hAnsi="Times New Roman" w:eastAsia="宋体" w:cs="Times New Roman"/>
                <w:color w:val="auto"/>
                <w:lang w:val="en-US" w:eastAsia="zh-CN"/>
              </w:rPr>
              <w:t>清运处理</w:t>
            </w:r>
          </w:p>
        </w:tc>
        <w:tc>
          <w:tcPr>
            <w:tcW w:w="502" w:type="pct"/>
            <w:vMerge w:val="continue"/>
            <w:noWrap w:val="0"/>
            <w:vAlign w:val="center"/>
          </w:tcPr>
          <w:p w14:paraId="3674502D">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413BB476">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70E0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4ACB23B">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71CC24A9">
            <w:pPr>
              <w:pStyle w:val="55"/>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废包装材料</w:t>
            </w:r>
          </w:p>
        </w:tc>
        <w:tc>
          <w:tcPr>
            <w:tcW w:w="2251" w:type="pct"/>
            <w:noWrap w:val="0"/>
            <w:vAlign w:val="center"/>
          </w:tcPr>
          <w:p w14:paraId="7FDD9110">
            <w:pPr>
              <w:pStyle w:val="55"/>
              <w:keepNext w:val="0"/>
              <w:keepLines w:val="0"/>
              <w:suppressLineNumbers w:val="0"/>
              <w:spacing w:before="0" w:beforeAutospacing="0" w:after="0" w:afterAutospacing="0"/>
              <w:ind w:left="0" w:right="0" w:firstLine="0" w:firstLineChars="0"/>
              <w:rPr>
                <w:rFonts w:ascii="Times New Roman" w:hAnsi="Times New Roman" w:eastAsia="宋体" w:cs="Times New Roman"/>
                <w:color w:val="auto"/>
              </w:rPr>
            </w:pPr>
            <w:r>
              <w:rPr>
                <w:rFonts w:hint="eastAsia" w:ascii="Times New Roman" w:hAnsi="Times New Roman" w:eastAsia="宋体" w:cs="Times New Roman"/>
                <w:color w:val="auto"/>
                <w:sz w:val="21"/>
                <w:szCs w:val="21"/>
                <w:lang w:val="en-US" w:eastAsia="zh-CN"/>
              </w:rPr>
              <w:t>集中收集后外售资源化利用</w:t>
            </w:r>
          </w:p>
        </w:tc>
        <w:tc>
          <w:tcPr>
            <w:tcW w:w="502" w:type="pct"/>
            <w:vMerge w:val="continue"/>
            <w:noWrap w:val="0"/>
            <w:vAlign w:val="center"/>
          </w:tcPr>
          <w:p w14:paraId="4AFC47AC">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3CC74479">
            <w:pPr>
              <w:pStyle w:val="55"/>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3199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1E0A29D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电磁环境</w:t>
            </w:r>
          </w:p>
        </w:tc>
        <w:tc>
          <w:tcPr>
            <w:tcW w:w="1205" w:type="pct"/>
            <w:noWrap w:val="0"/>
            <w:vAlign w:val="center"/>
          </w:tcPr>
          <w:p w14:paraId="5F7B236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10611F0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6C856252">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2B764FA7">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1FD83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0059F12E">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环境风险</w:t>
            </w:r>
          </w:p>
        </w:tc>
        <w:tc>
          <w:tcPr>
            <w:tcW w:w="1205" w:type="pct"/>
            <w:noWrap w:val="0"/>
            <w:vAlign w:val="center"/>
          </w:tcPr>
          <w:p w14:paraId="4EF2B6EF">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）严格按照</w:t>
            </w:r>
          </w:p>
          <w:p w14:paraId="55F05407">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《石油天然气工业健康、安全与环境管理体系</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szCs w:val="21"/>
              </w:rPr>
              <w:t>（SY/T</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6276-20</w:t>
            </w:r>
            <w:r>
              <w:rPr>
                <w:rFonts w:hint="default" w:ascii="Times New Roman" w:hAnsi="Times New Roman" w:eastAsia="宋体" w:cs="Times New Roman"/>
                <w:color w:val="auto"/>
                <w:szCs w:val="21"/>
                <w:lang w:val="en-US" w:eastAsia="zh-CN"/>
              </w:rPr>
              <w:t>25</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石油天然气钻井作业健康、安全与环境管理导则</w:t>
            </w:r>
            <w:r>
              <w:rPr>
                <w:rFonts w:hint="eastAsia" w:ascii="Times New Roman" w:hAnsi="Times New Roman" w:eastAsia="宋体" w:cs="Times New Roman"/>
                <w:color w:val="auto"/>
                <w:lang w:eastAsia="zh-CN"/>
              </w:rPr>
              <w:t>》（</w:t>
            </w:r>
            <w:r>
              <w:rPr>
                <w:rFonts w:hint="default" w:ascii="Times New Roman" w:hAnsi="Times New Roman" w:eastAsia="宋体" w:cs="Times New Roman"/>
                <w:b w:val="0"/>
                <w:color w:val="auto"/>
                <w:szCs w:val="21"/>
              </w:rPr>
              <w:t>Q/SY 08053-2017</w:t>
            </w:r>
            <w:r>
              <w:rPr>
                <w:rFonts w:hint="eastAsia" w:ascii="Times New Roman" w:hAnsi="Times New Roman" w:eastAsia="宋体" w:cs="Times New Roman"/>
                <w:b w:val="0"/>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石油天然气钻井井控技术</w:t>
            </w:r>
            <w:r>
              <w:rPr>
                <w:rFonts w:hint="eastAsia" w:ascii="Times New Roman" w:hAnsi="Times New Roman" w:eastAsia="宋体" w:cs="Times New Roman"/>
                <w:color w:val="auto"/>
                <w:lang w:val="en-US" w:eastAsia="zh-CN"/>
              </w:rPr>
              <w:t>要求</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ascii="Times New Roman" w:hAnsi="Times New Roman" w:cs="Times New Roman"/>
                <w:color w:val="auto"/>
              </w:rPr>
              <w:t>GB/T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31033-20</w:t>
            </w:r>
            <w:r>
              <w:rPr>
                <w:rFonts w:hint="eastAsia" w:ascii="Times New Roman" w:hAnsi="Times New Roman" w:eastAsia="宋体" w:cs="Times New Roman"/>
                <w:color w:val="auto"/>
                <w:lang w:val="en-US" w:eastAsia="zh-CN"/>
              </w:rPr>
              <w:t>25</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等要求加强风险防范；</w:t>
            </w:r>
          </w:p>
          <w:p w14:paraId="593F4506">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2</w:t>
            </w:r>
            <w:r>
              <w:rPr>
                <w:rFonts w:ascii="Times New Roman" w:hAnsi="Times New Roman" w:eastAsia="宋体" w:cs="Times New Roman"/>
                <w:color w:val="auto"/>
              </w:rPr>
              <w:t>）编制环境风险应急预案，并严格按照预案相关管理要求落实。</w:t>
            </w:r>
          </w:p>
        </w:tc>
        <w:tc>
          <w:tcPr>
            <w:tcW w:w="2251" w:type="pct"/>
            <w:noWrap w:val="0"/>
            <w:vAlign w:val="center"/>
          </w:tcPr>
          <w:p w14:paraId="3E93D4F8">
            <w:pPr>
              <w:pStyle w:val="55"/>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）严格按照《石油天然气工业健康、安全与环境管理体系</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szCs w:val="21"/>
              </w:rPr>
              <w:t>（SY/T</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6276-20</w:t>
            </w:r>
            <w:r>
              <w:rPr>
                <w:rFonts w:hint="default" w:ascii="Times New Roman" w:hAnsi="Times New Roman" w:eastAsia="宋体" w:cs="Times New Roman"/>
                <w:color w:val="auto"/>
                <w:szCs w:val="21"/>
                <w:lang w:val="en-US" w:eastAsia="zh-CN"/>
              </w:rPr>
              <w:t>25</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石油天然气钻井作业健康、安全与环境管理导则》</w:t>
            </w:r>
            <w:r>
              <w:rPr>
                <w:rFonts w:hint="eastAsia" w:ascii="Times New Roman" w:hAnsi="Times New Roman" w:eastAsia="宋体" w:cs="Times New Roman"/>
                <w:color w:val="auto"/>
                <w:lang w:eastAsia="zh-CN"/>
              </w:rPr>
              <w:t>（</w:t>
            </w:r>
            <w:r>
              <w:rPr>
                <w:rFonts w:hint="default" w:ascii="Times New Roman" w:hAnsi="Times New Roman" w:eastAsia="宋体" w:cs="Times New Roman"/>
                <w:b w:val="0"/>
                <w:color w:val="auto"/>
                <w:szCs w:val="21"/>
              </w:rPr>
              <w:t>Q/SY 08053-2017</w:t>
            </w:r>
            <w:r>
              <w:rPr>
                <w:rFonts w:hint="eastAsia" w:ascii="Times New Roman" w:hAnsi="Times New Roman" w:eastAsia="宋体" w:cs="Times New Roman"/>
                <w:b w:val="0"/>
                <w:color w:val="auto"/>
                <w:szCs w:val="21"/>
                <w:lang w:eastAsia="zh-CN"/>
              </w:rPr>
              <w:t>）、</w:t>
            </w:r>
            <w:r>
              <w:rPr>
                <w:rFonts w:ascii="Times New Roman" w:hAnsi="Times New Roman" w:eastAsia="宋体" w:cs="Times New Roman"/>
                <w:color w:val="auto"/>
              </w:rPr>
              <w:t>《石油天然气钻井井控技术</w:t>
            </w:r>
            <w:r>
              <w:rPr>
                <w:rFonts w:hint="eastAsia" w:ascii="Times New Roman" w:hAnsi="Times New Roman" w:eastAsia="宋体" w:cs="Times New Roman"/>
                <w:color w:val="auto"/>
                <w:lang w:val="en-US" w:eastAsia="zh-CN"/>
              </w:rPr>
              <w:t>要求</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ascii="Times New Roman" w:hAnsi="Times New Roman" w:cs="Times New Roman"/>
                <w:color w:val="auto"/>
              </w:rPr>
              <w:t>GB/T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31033-20</w:t>
            </w:r>
            <w:r>
              <w:rPr>
                <w:rFonts w:hint="eastAsia" w:ascii="Times New Roman" w:hAnsi="Times New Roman" w:eastAsia="宋体" w:cs="Times New Roman"/>
                <w:color w:val="auto"/>
                <w:lang w:val="en-US" w:eastAsia="zh-CN"/>
              </w:rPr>
              <w:t>25</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等设立了风险防范措施。</w:t>
            </w:r>
          </w:p>
          <w:p w14:paraId="293C9A14">
            <w:pPr>
              <w:pStyle w:val="55"/>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w:t>
            </w:r>
            <w:r>
              <w:rPr>
                <w:rFonts w:ascii="Times New Roman" w:hAnsi="Times New Roman" w:cs="Times New Roman"/>
                <w:color w:val="auto"/>
              </w:rPr>
              <w:t>2</w:t>
            </w:r>
            <w:r>
              <w:rPr>
                <w:rFonts w:ascii="Times New Roman" w:hAnsi="Times New Roman" w:eastAsia="宋体" w:cs="Times New Roman"/>
                <w:color w:val="auto"/>
              </w:rPr>
              <w:t>）编制环境风险应急预案，并严格按照预案相关管理要求</w:t>
            </w:r>
            <w:r>
              <w:rPr>
                <w:rFonts w:hint="eastAsia" w:ascii="Times New Roman" w:hAnsi="Times New Roman" w:eastAsia="宋体" w:cs="Times New Roman"/>
                <w:color w:val="auto"/>
                <w:lang w:eastAsia="zh-CN"/>
              </w:rPr>
              <w:t>进行</w:t>
            </w:r>
            <w:r>
              <w:rPr>
                <w:rFonts w:ascii="Times New Roman" w:hAnsi="Times New Roman" w:eastAsia="宋体" w:cs="Times New Roman"/>
                <w:color w:val="auto"/>
              </w:rPr>
              <w:t>落实</w:t>
            </w:r>
          </w:p>
          <w:p w14:paraId="21C0FD84">
            <w:pPr>
              <w:keepNext w:val="0"/>
              <w:keepLines w:val="0"/>
              <w:suppressLineNumbers w:val="0"/>
              <w:spacing w:before="0" w:beforeAutospacing="0" w:after="0" w:afterAutospacing="0"/>
              <w:ind w:left="0" w:right="0"/>
              <w:rPr>
                <w:rFonts w:hint="eastAsia" w:eastAsia="宋体"/>
                <w:color w:val="auto"/>
                <w:lang w:eastAsia="zh-CN"/>
              </w:rPr>
            </w:pPr>
            <w:r>
              <w:rPr>
                <w:rFonts w:hint="eastAsia" w:cs="Times New Roman"/>
                <w:color w:val="auto"/>
                <w:lang w:eastAsia="zh-CN"/>
              </w:rPr>
              <w:t>（</w:t>
            </w:r>
            <w:r>
              <w:rPr>
                <w:rFonts w:hint="eastAsia" w:cs="Times New Roman"/>
                <w:color w:val="auto"/>
                <w:lang w:val="en-US" w:eastAsia="zh-CN"/>
              </w:rPr>
              <w:t>3</w:t>
            </w:r>
            <w:r>
              <w:rPr>
                <w:rFonts w:hint="eastAsia" w:cs="Times New Roman"/>
                <w:color w:val="auto"/>
                <w:lang w:eastAsia="zh-CN"/>
              </w:rPr>
              <w:t>）</w:t>
            </w:r>
            <w:r>
              <w:rPr>
                <w:rFonts w:hint="eastAsia" w:cs="Times New Roman"/>
                <w:color w:val="auto"/>
                <w:kern w:val="0"/>
                <w:sz w:val="21"/>
                <w:szCs w:val="21"/>
                <w:highlight w:val="none"/>
                <w:lang w:val="en-US" w:eastAsia="zh-CN"/>
              </w:rPr>
              <w:t>放喷池、多功能网格池组同时兼作事故应急池。</w:t>
            </w:r>
            <w:r>
              <w:rPr>
                <w:rFonts w:hint="eastAsia" w:ascii="Times New Roman" w:hAnsi="Times New Roman" w:eastAsia="宋体" w:cs="Times New Roman"/>
                <w:b w:val="0"/>
                <w:color w:val="auto"/>
                <w:highlight w:val="none"/>
                <w:lang w:val="en-US" w:eastAsia="zh-CN"/>
              </w:rPr>
              <w:t>放喷池为空置状态，其主要用于</w:t>
            </w:r>
            <w:r>
              <w:rPr>
                <w:rFonts w:hint="eastAsia" w:ascii="Times New Roman" w:hAnsi="Times New Roman" w:eastAsia="宋体" w:cs="Times New Roman"/>
                <w:b w:val="0"/>
                <w:color w:val="auto"/>
                <w:highlight w:val="none"/>
                <w:lang w:val="en-US" w:eastAsia="zh"/>
              </w:rPr>
              <w:t>约束火焰和热辐射，</w:t>
            </w:r>
            <w:r>
              <w:rPr>
                <w:rFonts w:hint="eastAsia" w:cs="Times New Roman"/>
                <w:b w:val="0"/>
                <w:color w:val="auto"/>
                <w:highlight w:val="none"/>
                <w:lang w:val="en-US" w:eastAsia="zh-CN"/>
              </w:rPr>
              <w:t>以</w:t>
            </w:r>
            <w:r>
              <w:rPr>
                <w:rFonts w:hint="eastAsia" w:ascii="Times New Roman" w:hAnsi="Times New Roman" w:eastAsia="宋体" w:cs="Times New Roman"/>
                <w:b w:val="0"/>
                <w:color w:val="auto"/>
                <w:highlight w:val="none"/>
                <w:lang w:val="en-US" w:eastAsia="zh"/>
              </w:rPr>
              <w:t>减少对周边土壤</w:t>
            </w:r>
            <w:r>
              <w:rPr>
                <w:rFonts w:hint="eastAsia" w:cs="Times New Roman"/>
                <w:b w:val="0"/>
                <w:color w:val="auto"/>
                <w:highlight w:val="none"/>
                <w:lang w:val="en-US" w:eastAsia="zh-CN"/>
              </w:rPr>
              <w:t>和</w:t>
            </w:r>
            <w:r>
              <w:rPr>
                <w:rFonts w:hint="eastAsia" w:ascii="Times New Roman" w:hAnsi="Times New Roman" w:eastAsia="宋体" w:cs="Times New Roman"/>
                <w:b w:val="0"/>
                <w:color w:val="auto"/>
                <w:highlight w:val="none"/>
                <w:lang w:val="en-US" w:eastAsia="zh"/>
              </w:rPr>
              <w:t>植被的灼伤</w:t>
            </w:r>
            <w:r>
              <w:rPr>
                <w:rFonts w:hint="eastAsia" w:ascii="Times New Roman" w:hAnsi="Times New Roman" w:eastAsia="宋体" w:cs="Times New Roman"/>
                <w:b w:val="0"/>
                <w:color w:val="auto"/>
                <w:highlight w:val="none"/>
                <w:lang w:val="en-US" w:eastAsia="zh-CN"/>
              </w:rPr>
              <w:t>，也</w:t>
            </w:r>
            <w:r>
              <w:rPr>
                <w:rFonts w:hint="eastAsia" w:cs="Times New Roman"/>
                <w:b w:val="0"/>
                <w:color w:val="auto"/>
                <w:highlight w:val="none"/>
                <w:lang w:val="en-US" w:eastAsia="zh-CN"/>
              </w:rPr>
              <w:t>兼</w:t>
            </w:r>
            <w:r>
              <w:rPr>
                <w:rFonts w:hint="eastAsia" w:ascii="Times New Roman" w:hAnsi="Times New Roman" w:eastAsia="宋体" w:cs="Times New Roman"/>
                <w:b w:val="0"/>
                <w:color w:val="auto"/>
                <w:highlight w:val="none"/>
                <w:lang w:val="en-US" w:eastAsia="zh-CN"/>
              </w:rPr>
              <w:t>作事故应急池</w:t>
            </w:r>
            <w:r>
              <w:rPr>
                <w:rFonts w:hint="eastAsia" w:cs="Times New Roman"/>
                <w:b w:val="0"/>
                <w:color w:val="auto"/>
                <w:highlight w:val="none"/>
                <w:lang w:val="en-US" w:eastAsia="zh-CN"/>
              </w:rPr>
              <w:t>使用；</w:t>
            </w:r>
            <w:r>
              <w:rPr>
                <w:rFonts w:hint="eastAsia" w:cs="Times New Roman"/>
                <w:color w:val="auto"/>
                <w:highlight w:val="none"/>
                <w:lang w:val="en-US" w:eastAsia="zh-CN"/>
              </w:rPr>
              <w:t>多功能网格池组中500m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用于日常污水收集、暂存等，700m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空置作为事故应急池</w:t>
            </w:r>
          </w:p>
        </w:tc>
        <w:tc>
          <w:tcPr>
            <w:tcW w:w="502" w:type="pct"/>
            <w:noWrap w:val="0"/>
            <w:vAlign w:val="center"/>
          </w:tcPr>
          <w:p w14:paraId="2338C69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46FEDF75">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7D2E8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413AA76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环境监测</w:t>
            </w:r>
          </w:p>
        </w:tc>
        <w:tc>
          <w:tcPr>
            <w:tcW w:w="1205" w:type="pct"/>
            <w:noWrap w:val="0"/>
            <w:vAlign w:val="center"/>
          </w:tcPr>
          <w:p w14:paraId="4A42A22F">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制定监测计划，开展监测。</w:t>
            </w:r>
          </w:p>
        </w:tc>
        <w:tc>
          <w:tcPr>
            <w:tcW w:w="2251" w:type="pct"/>
            <w:noWrap w:val="0"/>
            <w:vAlign w:val="center"/>
          </w:tcPr>
          <w:p w14:paraId="085CDA4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有监测记录或监测报告</w:t>
            </w:r>
          </w:p>
        </w:tc>
        <w:tc>
          <w:tcPr>
            <w:tcW w:w="502" w:type="pct"/>
            <w:noWrap w:val="0"/>
            <w:vAlign w:val="center"/>
          </w:tcPr>
          <w:p w14:paraId="21966F61">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4B9A6B0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3C527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167646E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其他</w:t>
            </w:r>
          </w:p>
        </w:tc>
        <w:tc>
          <w:tcPr>
            <w:tcW w:w="1205" w:type="pct"/>
            <w:noWrap w:val="0"/>
            <w:vAlign w:val="center"/>
          </w:tcPr>
          <w:p w14:paraId="5522E4B4">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5D76FB00">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3617FC33">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06069338">
            <w:pPr>
              <w:pStyle w:val="55"/>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bl>
    <w:p w14:paraId="12D27876">
      <w:pPr>
        <w:pStyle w:val="19"/>
        <w:spacing w:before="0" w:beforeAutospacing="0" w:line="14" w:lineRule="auto"/>
        <w:jc w:val="center"/>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br w:type="page"/>
      </w:r>
    </w:p>
    <w:p w14:paraId="024A0A04">
      <w:pPr>
        <w:pStyle w:val="19"/>
        <w:spacing w:before="192" w:beforeLines="80" w:beforeAutospacing="0"/>
        <w:jc w:val="center"/>
        <w:outlineLvl w:val="0"/>
        <w:rPr>
          <w:rFonts w:ascii="Times New Roman" w:hAnsi="Times New Roman" w:eastAsia="黑体"/>
          <w:snapToGrid w:val="0"/>
          <w:color w:val="auto"/>
          <w:sz w:val="30"/>
          <w:szCs w:val="30"/>
        </w:rPr>
      </w:pPr>
      <w:bookmarkStart w:id="69" w:name="_Toc9506"/>
      <w:bookmarkStart w:id="70" w:name="_Toc30783"/>
      <w:bookmarkStart w:id="71" w:name="_Toc14004"/>
      <w:bookmarkStart w:id="72" w:name="_Toc27882"/>
      <w:bookmarkStart w:id="73" w:name="_Toc16695"/>
      <w:bookmarkStart w:id="74" w:name="_Toc2386"/>
      <w:r>
        <w:rPr>
          <w:rFonts w:ascii="Times New Roman" w:hAnsi="Times New Roman" w:eastAsia="黑体"/>
          <w:snapToGrid w:val="0"/>
          <w:color w:val="auto"/>
          <w:sz w:val="30"/>
          <w:szCs w:val="30"/>
        </w:rPr>
        <w:t>七、结论</w:t>
      </w:r>
      <w:bookmarkEnd w:id="69"/>
      <w:bookmarkEnd w:id="70"/>
      <w:bookmarkEnd w:id="71"/>
      <w:bookmarkEnd w:id="72"/>
      <w:bookmarkEnd w:id="73"/>
      <w:bookmarkEnd w:id="74"/>
    </w:p>
    <w:tbl>
      <w:tblPr>
        <w:tblStyle w:val="23"/>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5814E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63BC5B5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Cs w:val="21"/>
              </w:rPr>
            </w:pPr>
            <w:r>
              <w:rPr>
                <w:rFonts w:hint="default" w:ascii="Times New Roman" w:hAnsi="Times New Roman" w:cs="Times New Roman"/>
                <w:color w:val="auto"/>
                <w:sz w:val="24"/>
              </w:rPr>
              <w:t>中国石油化工股份有限公司勘探分公司</w:t>
            </w:r>
            <w:r>
              <w:rPr>
                <w:rFonts w:hint="eastAsia" w:cs="Times New Roman"/>
                <w:color w:val="auto"/>
                <w:sz w:val="24"/>
                <w:lang w:eastAsia="zh-CN"/>
              </w:rPr>
              <w:t>元陆39井钻探工程</w:t>
            </w:r>
            <w:r>
              <w:rPr>
                <w:rFonts w:hint="default" w:ascii="Times New Roman" w:hAnsi="Times New Roman" w:cs="Times New Roman"/>
                <w:color w:val="auto"/>
                <w:sz w:val="24"/>
              </w:rPr>
              <w:t>符合国家产业政策及相关规划，</w:t>
            </w:r>
            <w:r>
              <w:rPr>
                <w:rFonts w:hint="eastAsia" w:ascii="Times New Roman" w:hAnsi="Times New Roman" w:cs="Times New Roman"/>
                <w:color w:val="auto"/>
                <w:sz w:val="24"/>
              </w:rPr>
              <w:t>项目</w:t>
            </w:r>
            <w:r>
              <w:rPr>
                <w:rFonts w:hint="default" w:ascii="Times New Roman" w:hAnsi="Times New Roman" w:cs="Times New Roman"/>
                <w:color w:val="auto"/>
                <w:sz w:val="24"/>
              </w:rPr>
              <w:t>选址和总平面布置合理；</w:t>
            </w:r>
            <w:r>
              <w:rPr>
                <w:rFonts w:hint="eastAsia" w:ascii="Times New Roman" w:hAnsi="Times New Roman" w:cs="Times New Roman"/>
                <w:color w:val="auto"/>
                <w:sz w:val="24"/>
                <w:szCs w:val="32"/>
              </w:rPr>
              <w:t>项目</w:t>
            </w:r>
            <w:r>
              <w:rPr>
                <w:rFonts w:hint="default" w:ascii="Times New Roman" w:hAnsi="Times New Roman" w:cs="Times New Roman"/>
                <w:color w:val="auto"/>
                <w:sz w:val="24"/>
              </w:rPr>
              <w:t>拟采取的废气、废水、固体废物、噪声防治措施、地下水和土壤污染防治措施以及生态保持措施有效可行；在建设过程中认真落实报告表中提出的各项污染防治措施后，对周围环境不会造成污染影响；</w:t>
            </w:r>
            <w:r>
              <w:rPr>
                <w:rFonts w:hint="eastAsia" w:ascii="Times New Roman" w:hAnsi="Times New Roman" w:cs="Times New Roman"/>
                <w:color w:val="auto"/>
                <w:sz w:val="24"/>
                <w:szCs w:val="32"/>
              </w:rPr>
              <w:t>本项目为不含硫化氢井，井场作业按照钻井操作规程进行，并制定相应的应急预案，</w:t>
            </w:r>
            <w:r>
              <w:rPr>
                <w:rFonts w:hint="default" w:ascii="Times New Roman" w:hAnsi="Times New Roman" w:cs="Times New Roman"/>
                <w:color w:val="auto"/>
                <w:sz w:val="24"/>
              </w:rPr>
              <w:t>在落实风险防范措施和事故应急措施后，环境风险</w:t>
            </w:r>
            <w:r>
              <w:rPr>
                <w:rFonts w:hint="eastAsia" w:ascii="Times New Roman" w:hAnsi="Times New Roman" w:cs="Times New Roman"/>
                <w:color w:val="auto"/>
                <w:sz w:val="24"/>
                <w:lang w:val="en-US" w:eastAsia="zh-CN"/>
              </w:rPr>
              <w:t>可防可控</w:t>
            </w:r>
            <w:r>
              <w:rPr>
                <w:rFonts w:hint="default" w:ascii="Times New Roman" w:hAnsi="Times New Roman" w:cs="Times New Roman"/>
                <w:color w:val="auto"/>
                <w:sz w:val="24"/>
              </w:rPr>
              <w:t>。从环境角度而言，无明显制约项目建设的环境因素，项目的建设可行。</w:t>
            </w:r>
          </w:p>
        </w:tc>
      </w:tr>
    </w:tbl>
    <w:p w14:paraId="76ECB153">
      <w:pPr>
        <w:rPr>
          <w:color w:val="auto"/>
        </w:rPr>
      </w:pPr>
    </w:p>
    <w:p w14:paraId="25A6554D">
      <w:pPr>
        <w:rPr>
          <w:color w:val="auto"/>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E-BX">
    <w:altName w:val="宋体"/>
    <w:panose1 w:val="00000000000000000000"/>
    <w:charset w:val="86"/>
    <w:family w:val="auto"/>
    <w:pitch w:val="default"/>
    <w:sig w:usb0="00000000" w:usb1="00000000" w:usb2="00000000" w:usb3="00000000" w:csb0="00040000" w:csb1="00000000"/>
  </w:font>
  <w:font w:name="FZFSK--GBK1-0">
    <w:altName w:val="宋体"/>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Segoe UI">
    <w:panose1 w:val="020B0502040204020203"/>
    <w:charset w:val="00"/>
    <w:family w:val="swiss"/>
    <w:pitch w:val="default"/>
    <w:sig w:usb0="E10022FF" w:usb1="C000E47F" w:usb2="00000029" w:usb3="00000000" w:csb0="200001DF" w:csb1="20000000"/>
  </w:font>
  <w:font w:name="Cambria Math">
    <w:panose1 w:val="02040503050406030204"/>
    <w:charset w:val="00"/>
    <w:family w:val="auto"/>
    <w:pitch w:val="default"/>
    <w:sig w:usb0="E00002FF" w:usb1="420024FF" w:usb2="00000000" w:usb3="00000000" w:csb0="2000019F" w:csb1="00000000"/>
  </w:font>
  <w:font w:name="TimesNewRomanPSMT">
    <w:altName w:val="宋体"/>
    <w:panose1 w:val="00000000000000000000"/>
    <w:charset w:val="86"/>
    <w:family w:val="auto"/>
    <w:pitch w:val="default"/>
    <w:sig w:usb0="00000000" w:usb1="00000000" w:usb2="00000010" w:usb3="00000000" w:csb0="00060000" w:csb1="00000000"/>
  </w:font>
  <w:font w:name="KaiTi_GB2312">
    <w:altName w:val="楷体"/>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BE635">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3E2F">
    <w:pPr>
      <w:pStyle w:val="15"/>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A4B8B5">
                          <w:pPr>
                            <w:pStyle w:val="1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NTEAG4QEAAMIDAAAOAAAA&#10;AAAAAAEAIAAAAB4BAABkcnMvZTJvRG9jLnhtbFBLBQYAAAAABgAGAFkBAABxBQAAAAA=&#10;">
              <v:fill on="f" focussize="0,0"/>
              <v:stroke on="f"/>
              <v:imagedata o:title=""/>
              <o:lock v:ext="edit" aspectratio="f"/>
              <v:textbox inset="0mm,0mm,0mm,0mm" style="mso-fit-shape-to-text:t;">
                <w:txbxContent>
                  <w:p w14:paraId="02A4B8B5">
                    <w:pPr>
                      <w:pStyle w:val="1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2D60E"/>
    <w:multiLevelType w:val="multilevel"/>
    <w:tmpl w:val="8EB2D60E"/>
    <w:lvl w:ilvl="0" w:tentative="0">
      <w:start w:val="1"/>
      <w:numFmt w:val="decimal"/>
      <w:pStyle w:val="94"/>
      <w:suff w:val="space"/>
      <w:lvlText w:val="表3-%1"/>
      <w:lvlJc w:val="left"/>
      <w:pPr>
        <w:tabs>
          <w:tab w:val="left" w:pos="0"/>
        </w:tabs>
        <w:ind w:left="425" w:hanging="425"/>
      </w:pPr>
      <w:rPr>
        <w:rFonts w:hint="default" w:ascii="Times New Roman" w:hAnsi="Times New Roman" w:eastAsia="宋体" w:cs="宋体"/>
        <w:b/>
        <w:sz w:val="21"/>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A0CA10ED"/>
    <w:multiLevelType w:val="multilevel"/>
    <w:tmpl w:val="A0CA10ED"/>
    <w:lvl w:ilvl="0" w:tentative="0">
      <w:start w:val="1"/>
      <w:numFmt w:val="decimal"/>
      <w:lvlText w:val="图13-%1"/>
      <w:lvlJc w:val="left"/>
      <w:pPr>
        <w:tabs>
          <w:tab w:val="left" w:pos="851"/>
        </w:tabs>
        <w:ind w:left="0" w:firstLine="0"/>
      </w:pPr>
      <w:rPr>
        <w:rFonts w:hint="eastAsia"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pStyle w:val="95"/>
      <w:suff w:val="space"/>
      <w:lvlText w:val="图1-%2 "/>
      <w:lvlJc w:val="left"/>
      <w:pPr>
        <w:ind w:left="1660" w:hanging="420"/>
      </w:pPr>
      <w:rPr>
        <w:rFonts w:hint="default" w:ascii="Times New Roman" w:hAnsi="Times New Roman" w:eastAsia="宋体" w:cs="Times New Roman"/>
        <w:b/>
        <w:bCs/>
        <w:i w:val="0"/>
        <w:sz w:val="21"/>
        <w:szCs w:val="21"/>
      </w:rPr>
    </w:lvl>
    <w:lvl w:ilvl="2" w:tentative="0">
      <w:start w:val="1"/>
      <w:numFmt w:val="lowerRoman"/>
      <w:lvlText w:val="%3."/>
      <w:lvlJc w:val="right"/>
      <w:pPr>
        <w:tabs>
          <w:tab w:val="left" w:pos="2080"/>
        </w:tabs>
        <w:ind w:left="2080" w:hanging="420"/>
      </w:pPr>
    </w:lvl>
    <w:lvl w:ilvl="3" w:tentative="0">
      <w:start w:val="1"/>
      <w:numFmt w:val="decimal"/>
      <w:lvlText w:val="%4."/>
      <w:lvlJc w:val="left"/>
      <w:pPr>
        <w:tabs>
          <w:tab w:val="left" w:pos="2500"/>
        </w:tabs>
        <w:ind w:left="2500" w:hanging="420"/>
      </w:pPr>
    </w:lvl>
    <w:lvl w:ilvl="4" w:tentative="0">
      <w:start w:val="1"/>
      <w:numFmt w:val="lowerLetter"/>
      <w:lvlText w:val="%5)"/>
      <w:lvlJc w:val="left"/>
      <w:pPr>
        <w:tabs>
          <w:tab w:val="left" w:pos="2920"/>
        </w:tabs>
        <w:ind w:left="2920" w:hanging="420"/>
      </w:pPr>
    </w:lvl>
    <w:lvl w:ilvl="5" w:tentative="0">
      <w:start w:val="1"/>
      <w:numFmt w:val="lowerRoman"/>
      <w:lvlText w:val="%6."/>
      <w:lvlJc w:val="right"/>
      <w:pPr>
        <w:tabs>
          <w:tab w:val="left" w:pos="3340"/>
        </w:tabs>
        <w:ind w:left="3340" w:hanging="420"/>
      </w:pPr>
    </w:lvl>
    <w:lvl w:ilvl="6" w:tentative="0">
      <w:start w:val="1"/>
      <w:numFmt w:val="decimal"/>
      <w:lvlText w:val="%7."/>
      <w:lvlJc w:val="left"/>
      <w:pPr>
        <w:tabs>
          <w:tab w:val="left" w:pos="3760"/>
        </w:tabs>
        <w:ind w:left="3760" w:hanging="420"/>
      </w:pPr>
    </w:lvl>
    <w:lvl w:ilvl="7" w:tentative="0">
      <w:start w:val="1"/>
      <w:numFmt w:val="lowerLetter"/>
      <w:lvlText w:val="%8)"/>
      <w:lvlJc w:val="left"/>
      <w:pPr>
        <w:tabs>
          <w:tab w:val="left" w:pos="4180"/>
        </w:tabs>
        <w:ind w:left="4180" w:hanging="420"/>
      </w:pPr>
    </w:lvl>
    <w:lvl w:ilvl="8" w:tentative="0">
      <w:start w:val="1"/>
      <w:numFmt w:val="lowerRoman"/>
      <w:lvlText w:val="%9."/>
      <w:lvlJc w:val="right"/>
      <w:pPr>
        <w:tabs>
          <w:tab w:val="left" w:pos="4600"/>
        </w:tabs>
        <w:ind w:left="4600" w:hanging="420"/>
      </w:pPr>
    </w:lvl>
  </w:abstractNum>
  <w:abstractNum w:abstractNumId="2">
    <w:nsid w:val="A3CCFC40"/>
    <w:multiLevelType w:val="multilevel"/>
    <w:tmpl w:val="A3CCFC40"/>
    <w:lvl w:ilvl="0" w:tentative="0">
      <w:start w:val="1"/>
      <w:numFmt w:val="decimal"/>
      <w:pStyle w:val="88"/>
      <w:lvlText w:val="表2-%1  "/>
      <w:lvlJc w:val="left"/>
      <w:pPr>
        <w:ind w:left="432" w:hanging="432"/>
      </w:pPr>
      <w:rPr>
        <w:rFonts w:hint="default" w:ascii="Times New Roman" w:hAnsi="Times New Roman" w:eastAsia="宋体" w:cs="宋体"/>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C4F16D80"/>
    <w:multiLevelType w:val="singleLevel"/>
    <w:tmpl w:val="C4F16D80"/>
    <w:lvl w:ilvl="0" w:tentative="0">
      <w:start w:val="1"/>
      <w:numFmt w:val="decimal"/>
      <w:pStyle w:val="86"/>
      <w:lvlText w:val="表4-%1 "/>
      <w:lvlJc w:val="left"/>
      <w:pPr>
        <w:tabs>
          <w:tab w:val="left" w:pos="397"/>
        </w:tabs>
        <w:ind w:left="454" w:hanging="454"/>
      </w:pPr>
      <w:rPr>
        <w:rFonts w:hint="default" w:ascii="Times New Roman" w:hAnsi="Times New Roman" w:eastAsia="宋体" w:cs="宋体"/>
        <w:b/>
      </w:rPr>
    </w:lvl>
  </w:abstractNum>
  <w:abstractNum w:abstractNumId="4">
    <w:nsid w:val="CE35A054"/>
    <w:multiLevelType w:val="singleLevel"/>
    <w:tmpl w:val="CE35A054"/>
    <w:lvl w:ilvl="0" w:tentative="0">
      <w:start w:val="1"/>
      <w:numFmt w:val="decimal"/>
      <w:suff w:val="nothing"/>
      <w:lvlText w:val="%1、"/>
      <w:lvlJc w:val="left"/>
      <w:pPr>
        <w:ind w:left="0" w:firstLine="40"/>
      </w:pPr>
      <w:rPr>
        <w:rFonts w:hint="default"/>
      </w:rPr>
    </w:lvl>
  </w:abstractNum>
  <w:abstractNum w:abstractNumId="5">
    <w:nsid w:val="F9C93D54"/>
    <w:multiLevelType w:val="multilevel"/>
    <w:tmpl w:val="F9C93D54"/>
    <w:lvl w:ilvl="0" w:tentative="0">
      <w:start w:val="1"/>
      <w:numFmt w:val="decimal"/>
      <w:pStyle w:val="93"/>
      <w:suff w:val="space"/>
      <w:lvlText w:val="表1-%1"/>
      <w:lvlJc w:val="left"/>
      <w:pPr>
        <w:tabs>
          <w:tab w:val="left" w:pos="420"/>
        </w:tabs>
        <w:ind w:left="425" w:hanging="425"/>
      </w:pPr>
      <w:rPr>
        <w:rFonts w:hint="default" w:ascii="Times New Roman" w:hAnsi="Times New Roman" w:eastAsia="仿宋" w:cs="宋体"/>
        <w:sz w:val="21"/>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03CF53E1"/>
    <w:multiLevelType w:val="multilevel"/>
    <w:tmpl w:val="03CF53E1"/>
    <w:lvl w:ilvl="0" w:tentative="0">
      <w:start w:val="1"/>
      <w:numFmt w:val="decimal"/>
      <w:lvlText w:val="表1-%1"/>
      <w:lvlJc w:val="left"/>
      <w:pPr>
        <w:tabs>
          <w:tab w:val="left" w:pos="851"/>
        </w:tabs>
        <w:ind w:left="0" w:firstLine="0"/>
      </w:pPr>
      <w:rPr>
        <w:rFonts w:hint="default"/>
        <w:b/>
        <w:bCs w:val="0"/>
        <w:i w:val="0"/>
        <w:iCs w:val="0"/>
        <w:caps w:val="0"/>
        <w:smallCaps w:val="0"/>
        <w:strike w:val="0"/>
        <w:dstrike w:val="0"/>
        <w:outline w:val="0"/>
        <w:shadow w:val="0"/>
        <w:emboss w:val="0"/>
        <w:imprint w:val="0"/>
        <w:vanish w:val="0"/>
        <w:spacing w:val="0"/>
        <w:position w:val="0"/>
        <w:sz w:val="21"/>
        <w:szCs w:val="21"/>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0F5D191"/>
    <w:multiLevelType w:val="singleLevel"/>
    <w:tmpl w:val="10F5D191"/>
    <w:lvl w:ilvl="0" w:tentative="0">
      <w:start w:val="1"/>
      <w:numFmt w:val="decimal"/>
      <w:pStyle w:val="97"/>
      <w:lvlText w:val="表2-%1"/>
      <w:lvlJc w:val="left"/>
      <w:pPr>
        <w:tabs>
          <w:tab w:val="left" w:pos="420"/>
        </w:tabs>
        <w:ind w:left="425" w:hanging="425"/>
      </w:pPr>
      <w:rPr>
        <w:rFonts w:hint="default"/>
      </w:rPr>
    </w:lvl>
  </w:abstractNum>
  <w:abstractNum w:abstractNumId="8">
    <w:nsid w:val="1CBD350D"/>
    <w:multiLevelType w:val="multilevel"/>
    <w:tmpl w:val="1CBD350D"/>
    <w:lvl w:ilvl="0" w:tentative="0">
      <w:start w:val="1"/>
      <w:numFmt w:val="decimal"/>
      <w:lvlText w:val="表4-%1"/>
      <w:lvlJc w:val="left"/>
      <w:pPr>
        <w:tabs>
          <w:tab w:val="left" w:pos="851"/>
        </w:tabs>
        <w:ind w:left="0" w:firstLine="0"/>
      </w:pPr>
      <w:rPr>
        <w:rFonts w:hint="default" w:ascii="Times New Roman" w:hAnsi="Times New Roman" w:eastAsia="宋体" w:cs="Times New Roman"/>
        <w:sz w:val="21"/>
        <w:szCs w:val="21"/>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9">
    <w:nsid w:val="2161DFC5"/>
    <w:multiLevelType w:val="singleLevel"/>
    <w:tmpl w:val="2161DFC5"/>
    <w:lvl w:ilvl="0" w:tentative="0">
      <w:start w:val="2"/>
      <w:numFmt w:val="decimal"/>
      <w:suff w:val="nothing"/>
      <w:lvlText w:val="%1）"/>
      <w:lvlJc w:val="left"/>
    </w:lvl>
  </w:abstractNum>
  <w:abstractNum w:abstractNumId="10">
    <w:nsid w:val="317C1E6D"/>
    <w:multiLevelType w:val="multilevel"/>
    <w:tmpl w:val="317C1E6D"/>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993" w:hanging="425"/>
      </w:pPr>
      <w:rPr>
        <w:rFonts w:hint="eastAsia"/>
      </w:rPr>
    </w:lvl>
    <w:lvl w:ilvl="2" w:tentative="0">
      <w:start w:val="1"/>
      <w:numFmt w:val="decimal"/>
      <w:suff w:val="space"/>
      <w:lvlText w:val="%1.%2.%3"/>
      <w:lvlJc w:val="left"/>
      <w:pPr>
        <w:ind w:left="425" w:hanging="425"/>
      </w:pPr>
      <w:rPr>
        <w:rFonts w:hint="eastAsia"/>
      </w:rPr>
    </w:lvl>
    <w:lvl w:ilvl="3" w:tentative="0">
      <w:start w:val="1"/>
      <w:numFmt w:val="decimal"/>
      <w:pStyle w:val="90"/>
      <w:suff w:val="space"/>
      <w:lvlText w:val="%1.%2.%3.%4"/>
      <w:lvlJc w:val="left"/>
      <w:pPr>
        <w:ind w:left="905" w:hanging="425"/>
      </w:pPr>
      <w:rPr>
        <w:rFonts w:hint="eastAsia"/>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1">
    <w:nsid w:val="31A40D35"/>
    <w:multiLevelType w:val="multilevel"/>
    <w:tmpl w:val="31A40D35"/>
    <w:lvl w:ilvl="0" w:tentative="0">
      <w:start w:val="1"/>
      <w:numFmt w:val="decimal"/>
      <w:lvlText w:val="图3-%1"/>
      <w:lvlJc w:val="left"/>
      <w:pPr>
        <w:tabs>
          <w:tab w:val="left" w:pos="420"/>
        </w:tabs>
        <w:ind w:left="420" w:hanging="420"/>
      </w:pPr>
      <w:rPr>
        <w:rFonts w:hint="default"/>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21736E3"/>
    <w:multiLevelType w:val="multilevel"/>
    <w:tmpl w:val="421736E3"/>
    <w:lvl w:ilvl="0" w:tentative="0">
      <w:start w:val="1"/>
      <w:numFmt w:val="decimal"/>
      <w:lvlText w:val="图2-%1"/>
      <w:lvlJc w:val="left"/>
      <w:pPr>
        <w:tabs>
          <w:tab w:val="left" w:pos="420"/>
        </w:tabs>
        <w:ind w:left="420" w:hanging="420"/>
      </w:pPr>
      <w:rPr>
        <w:rFonts w:hint="default"/>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7341FA2"/>
    <w:multiLevelType w:val="multilevel"/>
    <w:tmpl w:val="57341FA2"/>
    <w:lvl w:ilvl="0" w:tentative="0">
      <w:start w:val="1"/>
      <w:numFmt w:val="decimal"/>
      <w:lvlText w:val="表3-%1"/>
      <w:lvlJc w:val="left"/>
      <w:pPr>
        <w:tabs>
          <w:tab w:val="left" w:pos="851"/>
        </w:tabs>
        <w:ind w:left="0" w:firstLine="0"/>
      </w:pPr>
      <w:rPr>
        <w:rFonts w:hint="default" w:ascii="Times New Roman" w:hAnsi="Times New Roman" w:cs="Times New Roman"/>
        <w:b/>
        <w:bCs/>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75DBD1C"/>
    <w:multiLevelType w:val="singleLevel"/>
    <w:tmpl w:val="575DBD1C"/>
    <w:lvl w:ilvl="0" w:tentative="0">
      <w:start w:val="1"/>
      <w:numFmt w:val="bullet"/>
      <w:pStyle w:val="11"/>
      <w:lvlText w:val=""/>
      <w:lvlJc w:val="left"/>
      <w:pPr>
        <w:tabs>
          <w:tab w:val="left" w:pos="2040"/>
        </w:tabs>
        <w:ind w:left="2040" w:hanging="360"/>
      </w:pPr>
      <w:rPr>
        <w:rFonts w:hint="default" w:ascii="Wingdings" w:hAnsi="Wingdings"/>
      </w:rPr>
    </w:lvl>
  </w:abstractNum>
  <w:abstractNum w:abstractNumId="15">
    <w:nsid w:val="603E07B3"/>
    <w:multiLevelType w:val="multilevel"/>
    <w:tmpl w:val="603E07B3"/>
    <w:lvl w:ilvl="0" w:tentative="0">
      <w:start w:val="1"/>
      <w:numFmt w:val="decimal"/>
      <w:lvlText w:val="表5-%1"/>
      <w:lvlJc w:val="left"/>
      <w:pPr>
        <w:tabs>
          <w:tab w:val="left" w:pos="851"/>
        </w:tabs>
        <w:ind w:left="0" w:firstLine="0"/>
      </w:pPr>
      <w:rPr>
        <w:rFonts w:hint="default"/>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61AC465E"/>
    <w:multiLevelType w:val="multilevel"/>
    <w:tmpl w:val="61AC465E"/>
    <w:lvl w:ilvl="0" w:tentative="0">
      <w:start w:val="1"/>
      <w:numFmt w:val="decimal"/>
      <w:lvlText w:val="图4-%1"/>
      <w:lvlJc w:val="left"/>
      <w:pPr>
        <w:tabs>
          <w:tab w:val="left" w:pos="851"/>
        </w:tabs>
        <w:ind w:left="0" w:firstLine="0"/>
      </w:pPr>
      <w:rPr>
        <w:rFonts w:hint="eastAsia"/>
        <w:b/>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671976DC"/>
    <w:multiLevelType w:val="multilevel"/>
    <w:tmpl w:val="671976DC"/>
    <w:lvl w:ilvl="0" w:tentative="0">
      <w:start w:val="1"/>
      <w:numFmt w:val="decimal"/>
      <w:lvlText w:val="表2-%1"/>
      <w:lvlJc w:val="left"/>
      <w:pPr>
        <w:tabs>
          <w:tab w:val="left" w:pos="851"/>
        </w:tabs>
        <w:ind w:left="0" w:firstLine="0"/>
      </w:pPr>
      <w:rPr>
        <w:rFonts w:hint="default"/>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74053944"/>
    <w:multiLevelType w:val="multilevel"/>
    <w:tmpl w:val="74053944"/>
    <w:lvl w:ilvl="0" w:tentative="0">
      <w:start w:val="1"/>
      <w:numFmt w:val="decimal"/>
      <w:lvlText w:val="图5-%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4"/>
  </w:num>
  <w:num w:numId="2">
    <w:abstractNumId w:val="3"/>
  </w:num>
  <w:num w:numId="3">
    <w:abstractNumId w:val="2"/>
  </w:num>
  <w:num w:numId="4">
    <w:abstractNumId w:val="10"/>
  </w:num>
  <w:num w:numId="5">
    <w:abstractNumId w:val="5"/>
  </w:num>
  <w:num w:numId="6">
    <w:abstractNumId w:val="0"/>
  </w:num>
  <w:num w:numId="7">
    <w:abstractNumId w:val="1"/>
  </w:num>
  <w:num w:numId="8">
    <w:abstractNumId w:val="7"/>
  </w:num>
  <w:num w:numId="9">
    <w:abstractNumId w:val="6"/>
  </w:num>
  <w:num w:numId="10">
    <w:abstractNumId w:val="4"/>
  </w:num>
  <w:num w:numId="11">
    <w:abstractNumId w:val="17"/>
  </w:num>
  <w:num w:numId="12">
    <w:abstractNumId w:val="12"/>
  </w:num>
  <w:num w:numId="13">
    <w:abstractNumId w:val="13"/>
  </w:num>
  <w:num w:numId="14">
    <w:abstractNumId w:val="1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9"/>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5MWFmY2IxNjVlOTBiYjA1N2FmNWQwN2MwZGI0Y2QifQ=="/>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06225"/>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3736"/>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2E7D"/>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22B"/>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417C"/>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178F"/>
    <w:rsid w:val="004A3823"/>
    <w:rsid w:val="004A59BB"/>
    <w:rsid w:val="004B43A3"/>
    <w:rsid w:val="004B4C49"/>
    <w:rsid w:val="004B58A5"/>
    <w:rsid w:val="004B63D9"/>
    <w:rsid w:val="004C0882"/>
    <w:rsid w:val="004C55BE"/>
    <w:rsid w:val="004E11DF"/>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130D"/>
    <w:rsid w:val="00542E07"/>
    <w:rsid w:val="00554A7B"/>
    <w:rsid w:val="0055572C"/>
    <w:rsid w:val="0056064F"/>
    <w:rsid w:val="00561B84"/>
    <w:rsid w:val="00564409"/>
    <w:rsid w:val="00571D98"/>
    <w:rsid w:val="005720AE"/>
    <w:rsid w:val="0058030D"/>
    <w:rsid w:val="00582045"/>
    <w:rsid w:val="0058786C"/>
    <w:rsid w:val="00590AE3"/>
    <w:rsid w:val="005918F1"/>
    <w:rsid w:val="005A06B7"/>
    <w:rsid w:val="005A1759"/>
    <w:rsid w:val="005C04A4"/>
    <w:rsid w:val="005D0369"/>
    <w:rsid w:val="005D53FE"/>
    <w:rsid w:val="005D7A0F"/>
    <w:rsid w:val="005E0438"/>
    <w:rsid w:val="005E1791"/>
    <w:rsid w:val="005E2CE6"/>
    <w:rsid w:val="005E6324"/>
    <w:rsid w:val="005F228B"/>
    <w:rsid w:val="005F29CD"/>
    <w:rsid w:val="005F4DFB"/>
    <w:rsid w:val="005F6CC0"/>
    <w:rsid w:val="00603E5B"/>
    <w:rsid w:val="00604BC8"/>
    <w:rsid w:val="0061021A"/>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56C94"/>
    <w:rsid w:val="0076132B"/>
    <w:rsid w:val="007623AE"/>
    <w:rsid w:val="00770B19"/>
    <w:rsid w:val="00774FA0"/>
    <w:rsid w:val="00776620"/>
    <w:rsid w:val="00777B6D"/>
    <w:rsid w:val="00784855"/>
    <w:rsid w:val="00784F39"/>
    <w:rsid w:val="0078545C"/>
    <w:rsid w:val="007906C4"/>
    <w:rsid w:val="007940EA"/>
    <w:rsid w:val="007959AB"/>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5A5"/>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57657"/>
    <w:rsid w:val="009620FD"/>
    <w:rsid w:val="0096247A"/>
    <w:rsid w:val="00965F4B"/>
    <w:rsid w:val="00970F8A"/>
    <w:rsid w:val="00971FB5"/>
    <w:rsid w:val="00972D2A"/>
    <w:rsid w:val="00975CC5"/>
    <w:rsid w:val="00976328"/>
    <w:rsid w:val="00976B4E"/>
    <w:rsid w:val="00984458"/>
    <w:rsid w:val="00985283"/>
    <w:rsid w:val="00987322"/>
    <w:rsid w:val="009A0F3B"/>
    <w:rsid w:val="009A5C92"/>
    <w:rsid w:val="009A72C7"/>
    <w:rsid w:val="009B0897"/>
    <w:rsid w:val="009B1129"/>
    <w:rsid w:val="009B3C24"/>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0BC"/>
    <w:rsid w:val="00A568FF"/>
    <w:rsid w:val="00A61496"/>
    <w:rsid w:val="00A61833"/>
    <w:rsid w:val="00A624C6"/>
    <w:rsid w:val="00A63CEC"/>
    <w:rsid w:val="00A7031E"/>
    <w:rsid w:val="00A728B1"/>
    <w:rsid w:val="00A75D22"/>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230A"/>
    <w:rsid w:val="00AD5A70"/>
    <w:rsid w:val="00AD738B"/>
    <w:rsid w:val="00AE1BF4"/>
    <w:rsid w:val="00AE5D97"/>
    <w:rsid w:val="00AE6794"/>
    <w:rsid w:val="00B01110"/>
    <w:rsid w:val="00B02262"/>
    <w:rsid w:val="00B03CEC"/>
    <w:rsid w:val="00B1209F"/>
    <w:rsid w:val="00B12AD0"/>
    <w:rsid w:val="00B24F30"/>
    <w:rsid w:val="00B31ABF"/>
    <w:rsid w:val="00B335AE"/>
    <w:rsid w:val="00B352A3"/>
    <w:rsid w:val="00B37CE1"/>
    <w:rsid w:val="00B40ACF"/>
    <w:rsid w:val="00B46BAA"/>
    <w:rsid w:val="00B50B5F"/>
    <w:rsid w:val="00B54128"/>
    <w:rsid w:val="00B55826"/>
    <w:rsid w:val="00B57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138"/>
    <w:rsid w:val="00CD65B0"/>
    <w:rsid w:val="00CE02CD"/>
    <w:rsid w:val="00CE10E9"/>
    <w:rsid w:val="00D0072E"/>
    <w:rsid w:val="00D04602"/>
    <w:rsid w:val="00D15727"/>
    <w:rsid w:val="00D16332"/>
    <w:rsid w:val="00D24972"/>
    <w:rsid w:val="00D2515E"/>
    <w:rsid w:val="00D26B75"/>
    <w:rsid w:val="00D308ED"/>
    <w:rsid w:val="00D44D6C"/>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E28D1"/>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1C7"/>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B405F"/>
    <w:rsid w:val="010B6346"/>
    <w:rsid w:val="0110270D"/>
    <w:rsid w:val="012B4701"/>
    <w:rsid w:val="0154482A"/>
    <w:rsid w:val="016245C6"/>
    <w:rsid w:val="01687703"/>
    <w:rsid w:val="016C3D50"/>
    <w:rsid w:val="01D007CB"/>
    <w:rsid w:val="01E959DA"/>
    <w:rsid w:val="01F81891"/>
    <w:rsid w:val="02035178"/>
    <w:rsid w:val="02057D05"/>
    <w:rsid w:val="02145195"/>
    <w:rsid w:val="021A4B0A"/>
    <w:rsid w:val="0224187C"/>
    <w:rsid w:val="022B5FEF"/>
    <w:rsid w:val="02335A16"/>
    <w:rsid w:val="023D5C20"/>
    <w:rsid w:val="02567967"/>
    <w:rsid w:val="026600F9"/>
    <w:rsid w:val="026E39F7"/>
    <w:rsid w:val="028063F6"/>
    <w:rsid w:val="02D9732D"/>
    <w:rsid w:val="02DA63DE"/>
    <w:rsid w:val="02DE35C5"/>
    <w:rsid w:val="02E84657"/>
    <w:rsid w:val="02F14640"/>
    <w:rsid w:val="02F21D80"/>
    <w:rsid w:val="02F22AE1"/>
    <w:rsid w:val="030376E3"/>
    <w:rsid w:val="03294559"/>
    <w:rsid w:val="034777FD"/>
    <w:rsid w:val="035006C3"/>
    <w:rsid w:val="035B7B35"/>
    <w:rsid w:val="03632CC5"/>
    <w:rsid w:val="03706AFD"/>
    <w:rsid w:val="037949B5"/>
    <w:rsid w:val="03891690"/>
    <w:rsid w:val="038A37D6"/>
    <w:rsid w:val="038D3B00"/>
    <w:rsid w:val="03935A25"/>
    <w:rsid w:val="0397575E"/>
    <w:rsid w:val="03991F1D"/>
    <w:rsid w:val="03C9092D"/>
    <w:rsid w:val="03CB19A9"/>
    <w:rsid w:val="03DA1448"/>
    <w:rsid w:val="03E012B9"/>
    <w:rsid w:val="03E05C76"/>
    <w:rsid w:val="03FA6D38"/>
    <w:rsid w:val="03FB2DFE"/>
    <w:rsid w:val="0400397D"/>
    <w:rsid w:val="04267B2D"/>
    <w:rsid w:val="04395E26"/>
    <w:rsid w:val="043C2B5E"/>
    <w:rsid w:val="045C354F"/>
    <w:rsid w:val="04695C6C"/>
    <w:rsid w:val="0472056E"/>
    <w:rsid w:val="04763813"/>
    <w:rsid w:val="047A1C27"/>
    <w:rsid w:val="047B6890"/>
    <w:rsid w:val="04867A16"/>
    <w:rsid w:val="048A69C8"/>
    <w:rsid w:val="048B7275"/>
    <w:rsid w:val="049251C3"/>
    <w:rsid w:val="04983CBE"/>
    <w:rsid w:val="04A53787"/>
    <w:rsid w:val="04B6541C"/>
    <w:rsid w:val="04BB0DE5"/>
    <w:rsid w:val="04C67FD2"/>
    <w:rsid w:val="04CE2CC9"/>
    <w:rsid w:val="04E6106A"/>
    <w:rsid w:val="05045E03"/>
    <w:rsid w:val="050538C4"/>
    <w:rsid w:val="05160BBE"/>
    <w:rsid w:val="05242DFE"/>
    <w:rsid w:val="05275709"/>
    <w:rsid w:val="053A3164"/>
    <w:rsid w:val="053F6FB9"/>
    <w:rsid w:val="05474D2E"/>
    <w:rsid w:val="056564AA"/>
    <w:rsid w:val="05693F42"/>
    <w:rsid w:val="056A57F8"/>
    <w:rsid w:val="05742AC8"/>
    <w:rsid w:val="059C5BB5"/>
    <w:rsid w:val="05AB18B9"/>
    <w:rsid w:val="05B57B35"/>
    <w:rsid w:val="05BF336A"/>
    <w:rsid w:val="05D713E6"/>
    <w:rsid w:val="05E75E89"/>
    <w:rsid w:val="05F85B60"/>
    <w:rsid w:val="060814E1"/>
    <w:rsid w:val="06111ED5"/>
    <w:rsid w:val="06223D0C"/>
    <w:rsid w:val="06225615"/>
    <w:rsid w:val="06352F05"/>
    <w:rsid w:val="063A1CDF"/>
    <w:rsid w:val="063C13E2"/>
    <w:rsid w:val="063E7D85"/>
    <w:rsid w:val="0666509C"/>
    <w:rsid w:val="06771121"/>
    <w:rsid w:val="0677278A"/>
    <w:rsid w:val="068A3C77"/>
    <w:rsid w:val="06953AB8"/>
    <w:rsid w:val="06A34304"/>
    <w:rsid w:val="06AA1E4C"/>
    <w:rsid w:val="06B55198"/>
    <w:rsid w:val="06C21663"/>
    <w:rsid w:val="06C87FD6"/>
    <w:rsid w:val="06CA6B47"/>
    <w:rsid w:val="070875E0"/>
    <w:rsid w:val="070C4C2E"/>
    <w:rsid w:val="07111AEE"/>
    <w:rsid w:val="07293586"/>
    <w:rsid w:val="07295285"/>
    <w:rsid w:val="07507950"/>
    <w:rsid w:val="0760582B"/>
    <w:rsid w:val="077668ED"/>
    <w:rsid w:val="07770C56"/>
    <w:rsid w:val="078B6B9E"/>
    <w:rsid w:val="0795666F"/>
    <w:rsid w:val="079E79DA"/>
    <w:rsid w:val="07B94814"/>
    <w:rsid w:val="07BB00D5"/>
    <w:rsid w:val="07C338E5"/>
    <w:rsid w:val="07CD444F"/>
    <w:rsid w:val="07E62425"/>
    <w:rsid w:val="07E77E19"/>
    <w:rsid w:val="07F64636"/>
    <w:rsid w:val="07F74ECF"/>
    <w:rsid w:val="081E6950"/>
    <w:rsid w:val="082A3964"/>
    <w:rsid w:val="08407581"/>
    <w:rsid w:val="0845033D"/>
    <w:rsid w:val="084E1932"/>
    <w:rsid w:val="088210AA"/>
    <w:rsid w:val="08907C6B"/>
    <w:rsid w:val="089A1480"/>
    <w:rsid w:val="08B17BE1"/>
    <w:rsid w:val="08CB2433"/>
    <w:rsid w:val="08D124F2"/>
    <w:rsid w:val="08DF6CE0"/>
    <w:rsid w:val="08F161BC"/>
    <w:rsid w:val="08F16230"/>
    <w:rsid w:val="08FF3CB1"/>
    <w:rsid w:val="090819CD"/>
    <w:rsid w:val="0910755A"/>
    <w:rsid w:val="092217DD"/>
    <w:rsid w:val="093A7294"/>
    <w:rsid w:val="093C74AB"/>
    <w:rsid w:val="093F1E7C"/>
    <w:rsid w:val="09411186"/>
    <w:rsid w:val="094A2B91"/>
    <w:rsid w:val="094D5A6C"/>
    <w:rsid w:val="095F6E19"/>
    <w:rsid w:val="0973289A"/>
    <w:rsid w:val="097E7AC3"/>
    <w:rsid w:val="097F281C"/>
    <w:rsid w:val="098957DB"/>
    <w:rsid w:val="099B52D2"/>
    <w:rsid w:val="09A01A3F"/>
    <w:rsid w:val="09B92899"/>
    <w:rsid w:val="09BA2266"/>
    <w:rsid w:val="09F54564"/>
    <w:rsid w:val="0A0B51CB"/>
    <w:rsid w:val="0A0F4BBF"/>
    <w:rsid w:val="0A510503"/>
    <w:rsid w:val="0A531289"/>
    <w:rsid w:val="0A6071C9"/>
    <w:rsid w:val="0A794C23"/>
    <w:rsid w:val="0A880415"/>
    <w:rsid w:val="0A8A30F2"/>
    <w:rsid w:val="0A942496"/>
    <w:rsid w:val="0AA410DC"/>
    <w:rsid w:val="0AAF6DA2"/>
    <w:rsid w:val="0AB1211B"/>
    <w:rsid w:val="0AB80DB3"/>
    <w:rsid w:val="0AC91212"/>
    <w:rsid w:val="0ACA4112"/>
    <w:rsid w:val="0AD804FC"/>
    <w:rsid w:val="0B09160F"/>
    <w:rsid w:val="0B0D7D4D"/>
    <w:rsid w:val="0B1B61AA"/>
    <w:rsid w:val="0B1C1D90"/>
    <w:rsid w:val="0B4241B6"/>
    <w:rsid w:val="0B507CFE"/>
    <w:rsid w:val="0B527EDE"/>
    <w:rsid w:val="0B5331D2"/>
    <w:rsid w:val="0B6F3F8F"/>
    <w:rsid w:val="0B741799"/>
    <w:rsid w:val="0B8B007F"/>
    <w:rsid w:val="0BAA59C1"/>
    <w:rsid w:val="0BAB4DBC"/>
    <w:rsid w:val="0BBF7242"/>
    <w:rsid w:val="0BC369D0"/>
    <w:rsid w:val="0BD27BF6"/>
    <w:rsid w:val="0BDE2087"/>
    <w:rsid w:val="0BE502CE"/>
    <w:rsid w:val="0BE82165"/>
    <w:rsid w:val="0BE95EE6"/>
    <w:rsid w:val="0C085E09"/>
    <w:rsid w:val="0C193AD3"/>
    <w:rsid w:val="0C272EFA"/>
    <w:rsid w:val="0C33225A"/>
    <w:rsid w:val="0C3E60D7"/>
    <w:rsid w:val="0C4828B0"/>
    <w:rsid w:val="0C4D0E58"/>
    <w:rsid w:val="0C637445"/>
    <w:rsid w:val="0C6B0633"/>
    <w:rsid w:val="0C764185"/>
    <w:rsid w:val="0C97108C"/>
    <w:rsid w:val="0CA158E2"/>
    <w:rsid w:val="0CB35CD6"/>
    <w:rsid w:val="0CD62F4A"/>
    <w:rsid w:val="0CE569FB"/>
    <w:rsid w:val="0CEB2BEA"/>
    <w:rsid w:val="0D2053E7"/>
    <w:rsid w:val="0D26763F"/>
    <w:rsid w:val="0D2C0A47"/>
    <w:rsid w:val="0D2C149F"/>
    <w:rsid w:val="0D89297F"/>
    <w:rsid w:val="0D8F61CA"/>
    <w:rsid w:val="0DB429A2"/>
    <w:rsid w:val="0DBF06AB"/>
    <w:rsid w:val="0DC63CC2"/>
    <w:rsid w:val="0DD00B0A"/>
    <w:rsid w:val="0DD57ECE"/>
    <w:rsid w:val="0E0A35FC"/>
    <w:rsid w:val="0E110D06"/>
    <w:rsid w:val="0E121481"/>
    <w:rsid w:val="0E1B2B40"/>
    <w:rsid w:val="0E1F4392"/>
    <w:rsid w:val="0E245572"/>
    <w:rsid w:val="0E3270CE"/>
    <w:rsid w:val="0E596AC9"/>
    <w:rsid w:val="0E5C59D7"/>
    <w:rsid w:val="0E7B2823"/>
    <w:rsid w:val="0E822CF6"/>
    <w:rsid w:val="0E9C5CAC"/>
    <w:rsid w:val="0EAA1712"/>
    <w:rsid w:val="0EAD670E"/>
    <w:rsid w:val="0EBB6105"/>
    <w:rsid w:val="0ED4384E"/>
    <w:rsid w:val="0ED91C40"/>
    <w:rsid w:val="0EEF6D6E"/>
    <w:rsid w:val="0F13775A"/>
    <w:rsid w:val="0F251C7F"/>
    <w:rsid w:val="0F2A5F19"/>
    <w:rsid w:val="0F484F84"/>
    <w:rsid w:val="0F525929"/>
    <w:rsid w:val="0F6F2253"/>
    <w:rsid w:val="0F763231"/>
    <w:rsid w:val="0F775862"/>
    <w:rsid w:val="0F923225"/>
    <w:rsid w:val="0F9A112B"/>
    <w:rsid w:val="0FA6008C"/>
    <w:rsid w:val="0FBA256F"/>
    <w:rsid w:val="0FC96E8A"/>
    <w:rsid w:val="0FCB35BB"/>
    <w:rsid w:val="0FF34B3F"/>
    <w:rsid w:val="10172A20"/>
    <w:rsid w:val="10192A93"/>
    <w:rsid w:val="102378EB"/>
    <w:rsid w:val="103138D1"/>
    <w:rsid w:val="10315FF7"/>
    <w:rsid w:val="103926A2"/>
    <w:rsid w:val="10540492"/>
    <w:rsid w:val="105B4DD8"/>
    <w:rsid w:val="106C0B1D"/>
    <w:rsid w:val="106D2F64"/>
    <w:rsid w:val="108E1C9F"/>
    <w:rsid w:val="10B63710"/>
    <w:rsid w:val="10BE0E91"/>
    <w:rsid w:val="10BE6DB0"/>
    <w:rsid w:val="10DF7048"/>
    <w:rsid w:val="10E346BB"/>
    <w:rsid w:val="10FB105D"/>
    <w:rsid w:val="1101750B"/>
    <w:rsid w:val="111C2F7A"/>
    <w:rsid w:val="112076B2"/>
    <w:rsid w:val="11252BCD"/>
    <w:rsid w:val="11276C93"/>
    <w:rsid w:val="113013DE"/>
    <w:rsid w:val="114F084E"/>
    <w:rsid w:val="116E42D1"/>
    <w:rsid w:val="118F1102"/>
    <w:rsid w:val="11BF6ECB"/>
    <w:rsid w:val="11DF0FFC"/>
    <w:rsid w:val="11EF6ED1"/>
    <w:rsid w:val="12075BF1"/>
    <w:rsid w:val="120D2D6F"/>
    <w:rsid w:val="121A05A5"/>
    <w:rsid w:val="121E2755"/>
    <w:rsid w:val="12296A3A"/>
    <w:rsid w:val="122B06C2"/>
    <w:rsid w:val="12364EBB"/>
    <w:rsid w:val="12766A05"/>
    <w:rsid w:val="127C6301"/>
    <w:rsid w:val="128631D9"/>
    <w:rsid w:val="128837F5"/>
    <w:rsid w:val="12887BC1"/>
    <w:rsid w:val="12B26A30"/>
    <w:rsid w:val="12C14EC5"/>
    <w:rsid w:val="12CE566C"/>
    <w:rsid w:val="12E05BA7"/>
    <w:rsid w:val="12E14FB0"/>
    <w:rsid w:val="13010BDA"/>
    <w:rsid w:val="13192DE6"/>
    <w:rsid w:val="13270529"/>
    <w:rsid w:val="132A7830"/>
    <w:rsid w:val="132E4703"/>
    <w:rsid w:val="13606572"/>
    <w:rsid w:val="136C3349"/>
    <w:rsid w:val="13951726"/>
    <w:rsid w:val="13AF6B03"/>
    <w:rsid w:val="13BB1914"/>
    <w:rsid w:val="13D84582"/>
    <w:rsid w:val="13DE0AB8"/>
    <w:rsid w:val="13F10D2E"/>
    <w:rsid w:val="13FB5B45"/>
    <w:rsid w:val="14011A1D"/>
    <w:rsid w:val="14131750"/>
    <w:rsid w:val="14193F72"/>
    <w:rsid w:val="14306F19"/>
    <w:rsid w:val="14396509"/>
    <w:rsid w:val="1447165C"/>
    <w:rsid w:val="1449727C"/>
    <w:rsid w:val="1454768C"/>
    <w:rsid w:val="145C6C53"/>
    <w:rsid w:val="1461426A"/>
    <w:rsid w:val="14641A48"/>
    <w:rsid w:val="149208C7"/>
    <w:rsid w:val="149C34F4"/>
    <w:rsid w:val="14B364B2"/>
    <w:rsid w:val="15025FE7"/>
    <w:rsid w:val="15190FE8"/>
    <w:rsid w:val="151C3C48"/>
    <w:rsid w:val="151D66BC"/>
    <w:rsid w:val="1534197E"/>
    <w:rsid w:val="15553D38"/>
    <w:rsid w:val="155C1B20"/>
    <w:rsid w:val="155C2BC2"/>
    <w:rsid w:val="15720ACA"/>
    <w:rsid w:val="15766530"/>
    <w:rsid w:val="15785D0F"/>
    <w:rsid w:val="15851891"/>
    <w:rsid w:val="15927A02"/>
    <w:rsid w:val="159678EC"/>
    <w:rsid w:val="15C83795"/>
    <w:rsid w:val="15CA5E3E"/>
    <w:rsid w:val="15D46A1A"/>
    <w:rsid w:val="15E11B06"/>
    <w:rsid w:val="15FE458D"/>
    <w:rsid w:val="16005D04"/>
    <w:rsid w:val="16066C7F"/>
    <w:rsid w:val="16067B42"/>
    <w:rsid w:val="16190C06"/>
    <w:rsid w:val="161E2FDC"/>
    <w:rsid w:val="163D191F"/>
    <w:rsid w:val="1646594D"/>
    <w:rsid w:val="164957C3"/>
    <w:rsid w:val="165878EE"/>
    <w:rsid w:val="165F0C7D"/>
    <w:rsid w:val="166547FB"/>
    <w:rsid w:val="16706853"/>
    <w:rsid w:val="16761833"/>
    <w:rsid w:val="167E206D"/>
    <w:rsid w:val="16865654"/>
    <w:rsid w:val="16963CDE"/>
    <w:rsid w:val="16B20DAC"/>
    <w:rsid w:val="16C931E1"/>
    <w:rsid w:val="16D763CF"/>
    <w:rsid w:val="16F9128C"/>
    <w:rsid w:val="170D6D44"/>
    <w:rsid w:val="17220A1D"/>
    <w:rsid w:val="174F1A40"/>
    <w:rsid w:val="17520BF9"/>
    <w:rsid w:val="175F1E69"/>
    <w:rsid w:val="1772486E"/>
    <w:rsid w:val="17735226"/>
    <w:rsid w:val="177727C4"/>
    <w:rsid w:val="1786396F"/>
    <w:rsid w:val="17A70B2D"/>
    <w:rsid w:val="17AA7085"/>
    <w:rsid w:val="17B31832"/>
    <w:rsid w:val="17B723BC"/>
    <w:rsid w:val="17BD636E"/>
    <w:rsid w:val="17D06483"/>
    <w:rsid w:val="180B749C"/>
    <w:rsid w:val="181818BF"/>
    <w:rsid w:val="1819797E"/>
    <w:rsid w:val="183B5D08"/>
    <w:rsid w:val="184C5EA6"/>
    <w:rsid w:val="18562C14"/>
    <w:rsid w:val="1867310F"/>
    <w:rsid w:val="186802BC"/>
    <w:rsid w:val="19032CEC"/>
    <w:rsid w:val="190932CF"/>
    <w:rsid w:val="190F7877"/>
    <w:rsid w:val="191752B8"/>
    <w:rsid w:val="192C7946"/>
    <w:rsid w:val="193B5DB0"/>
    <w:rsid w:val="194324C7"/>
    <w:rsid w:val="19503FCC"/>
    <w:rsid w:val="197C78A0"/>
    <w:rsid w:val="1993058F"/>
    <w:rsid w:val="199B1FCC"/>
    <w:rsid w:val="19E020D4"/>
    <w:rsid w:val="19EB7FA8"/>
    <w:rsid w:val="1A0758B3"/>
    <w:rsid w:val="1A1C66C0"/>
    <w:rsid w:val="1A307936"/>
    <w:rsid w:val="1A322898"/>
    <w:rsid w:val="1A35440A"/>
    <w:rsid w:val="1A3A3318"/>
    <w:rsid w:val="1A42393B"/>
    <w:rsid w:val="1A801A66"/>
    <w:rsid w:val="1A822408"/>
    <w:rsid w:val="1ABD41C4"/>
    <w:rsid w:val="1AC43497"/>
    <w:rsid w:val="1ACB066E"/>
    <w:rsid w:val="1AE424DE"/>
    <w:rsid w:val="1AE53F43"/>
    <w:rsid w:val="1AFA71C6"/>
    <w:rsid w:val="1B046F80"/>
    <w:rsid w:val="1B0F504C"/>
    <w:rsid w:val="1B1A0838"/>
    <w:rsid w:val="1B1B2E9B"/>
    <w:rsid w:val="1B223ED6"/>
    <w:rsid w:val="1B2277F0"/>
    <w:rsid w:val="1B2D6957"/>
    <w:rsid w:val="1B3267B5"/>
    <w:rsid w:val="1B633897"/>
    <w:rsid w:val="1B6F4400"/>
    <w:rsid w:val="1BB64836"/>
    <w:rsid w:val="1BBE4302"/>
    <w:rsid w:val="1BC25DC8"/>
    <w:rsid w:val="1BD20669"/>
    <w:rsid w:val="1BE30BF5"/>
    <w:rsid w:val="1BEB6045"/>
    <w:rsid w:val="1BF947D3"/>
    <w:rsid w:val="1C47468D"/>
    <w:rsid w:val="1C4C7E17"/>
    <w:rsid w:val="1C59087C"/>
    <w:rsid w:val="1C5E7925"/>
    <w:rsid w:val="1C84035C"/>
    <w:rsid w:val="1C887FC8"/>
    <w:rsid w:val="1C901B90"/>
    <w:rsid w:val="1C901C37"/>
    <w:rsid w:val="1C9571A6"/>
    <w:rsid w:val="1CB53AD8"/>
    <w:rsid w:val="1CBE2DC9"/>
    <w:rsid w:val="1CC20E18"/>
    <w:rsid w:val="1CF55670"/>
    <w:rsid w:val="1D0379EC"/>
    <w:rsid w:val="1D25280D"/>
    <w:rsid w:val="1D277B9F"/>
    <w:rsid w:val="1D2C758C"/>
    <w:rsid w:val="1D5D7B55"/>
    <w:rsid w:val="1D5F6196"/>
    <w:rsid w:val="1D6132A5"/>
    <w:rsid w:val="1D6A64D1"/>
    <w:rsid w:val="1D8E56D5"/>
    <w:rsid w:val="1D943902"/>
    <w:rsid w:val="1D9F2A93"/>
    <w:rsid w:val="1DA67191"/>
    <w:rsid w:val="1DB35AE0"/>
    <w:rsid w:val="1DDD4105"/>
    <w:rsid w:val="1DED3012"/>
    <w:rsid w:val="1DF0665E"/>
    <w:rsid w:val="1DF223D6"/>
    <w:rsid w:val="1DF47FF3"/>
    <w:rsid w:val="1E124146"/>
    <w:rsid w:val="1E1423AD"/>
    <w:rsid w:val="1E1D38F7"/>
    <w:rsid w:val="1E2845DF"/>
    <w:rsid w:val="1E2F362A"/>
    <w:rsid w:val="1E401C8F"/>
    <w:rsid w:val="1E472722"/>
    <w:rsid w:val="1E562425"/>
    <w:rsid w:val="1E657314"/>
    <w:rsid w:val="1E7A43DA"/>
    <w:rsid w:val="1E7C6AF8"/>
    <w:rsid w:val="1E8B443E"/>
    <w:rsid w:val="1E91128B"/>
    <w:rsid w:val="1EAC4C7B"/>
    <w:rsid w:val="1EB277FE"/>
    <w:rsid w:val="1EB91BFE"/>
    <w:rsid w:val="1EB92C67"/>
    <w:rsid w:val="1EC045DF"/>
    <w:rsid w:val="1ECA7BC9"/>
    <w:rsid w:val="1ECF45CD"/>
    <w:rsid w:val="1ED1581A"/>
    <w:rsid w:val="1EE24881"/>
    <w:rsid w:val="1EF87EC0"/>
    <w:rsid w:val="1F132D72"/>
    <w:rsid w:val="1F1D798E"/>
    <w:rsid w:val="1F2E38E2"/>
    <w:rsid w:val="1F396EB0"/>
    <w:rsid w:val="1F4B4494"/>
    <w:rsid w:val="1F5A46D7"/>
    <w:rsid w:val="1F6410B2"/>
    <w:rsid w:val="1F7721ED"/>
    <w:rsid w:val="1F7C289F"/>
    <w:rsid w:val="1F7F29E0"/>
    <w:rsid w:val="1FA37528"/>
    <w:rsid w:val="1FA82916"/>
    <w:rsid w:val="1FB4508B"/>
    <w:rsid w:val="1FBA692F"/>
    <w:rsid w:val="1FBC1997"/>
    <w:rsid w:val="1FC14756"/>
    <w:rsid w:val="1FE02E2E"/>
    <w:rsid w:val="1FE22112"/>
    <w:rsid w:val="1FE321D5"/>
    <w:rsid w:val="1FE7539E"/>
    <w:rsid w:val="1FE765B2"/>
    <w:rsid w:val="1FE810E3"/>
    <w:rsid w:val="1FE8251F"/>
    <w:rsid w:val="1FF43AF4"/>
    <w:rsid w:val="1FF94191"/>
    <w:rsid w:val="2019472F"/>
    <w:rsid w:val="2028728E"/>
    <w:rsid w:val="203473BC"/>
    <w:rsid w:val="203529E8"/>
    <w:rsid w:val="20547701"/>
    <w:rsid w:val="20795DD4"/>
    <w:rsid w:val="20823D54"/>
    <w:rsid w:val="20855784"/>
    <w:rsid w:val="20933D51"/>
    <w:rsid w:val="20943FF9"/>
    <w:rsid w:val="20963CB8"/>
    <w:rsid w:val="20AC30F4"/>
    <w:rsid w:val="20AE7015"/>
    <w:rsid w:val="20B07FB6"/>
    <w:rsid w:val="20C04A0E"/>
    <w:rsid w:val="20CE0355"/>
    <w:rsid w:val="20D33CDF"/>
    <w:rsid w:val="20EA2066"/>
    <w:rsid w:val="20F5687C"/>
    <w:rsid w:val="21031C7B"/>
    <w:rsid w:val="210D7EE9"/>
    <w:rsid w:val="2116667B"/>
    <w:rsid w:val="211A304C"/>
    <w:rsid w:val="2128344F"/>
    <w:rsid w:val="21285C22"/>
    <w:rsid w:val="21393C05"/>
    <w:rsid w:val="213B74B1"/>
    <w:rsid w:val="213F1FA9"/>
    <w:rsid w:val="21422272"/>
    <w:rsid w:val="215A2310"/>
    <w:rsid w:val="216077E0"/>
    <w:rsid w:val="217575A6"/>
    <w:rsid w:val="21771570"/>
    <w:rsid w:val="217864E5"/>
    <w:rsid w:val="217A2E0F"/>
    <w:rsid w:val="217F21D3"/>
    <w:rsid w:val="219168F0"/>
    <w:rsid w:val="21BF7A1A"/>
    <w:rsid w:val="21C74CE1"/>
    <w:rsid w:val="21C978F2"/>
    <w:rsid w:val="21D900EC"/>
    <w:rsid w:val="21DE318A"/>
    <w:rsid w:val="21E735F7"/>
    <w:rsid w:val="21E76991"/>
    <w:rsid w:val="21EF5B80"/>
    <w:rsid w:val="22126B0E"/>
    <w:rsid w:val="222039B6"/>
    <w:rsid w:val="223B434C"/>
    <w:rsid w:val="223F7FB3"/>
    <w:rsid w:val="22576990"/>
    <w:rsid w:val="226B1251"/>
    <w:rsid w:val="226F2BF0"/>
    <w:rsid w:val="229C4EAB"/>
    <w:rsid w:val="22BC4178"/>
    <w:rsid w:val="22D146B2"/>
    <w:rsid w:val="22DC7E2D"/>
    <w:rsid w:val="22DE4828"/>
    <w:rsid w:val="22F1020E"/>
    <w:rsid w:val="22F50091"/>
    <w:rsid w:val="23012160"/>
    <w:rsid w:val="230A3ED6"/>
    <w:rsid w:val="2311079E"/>
    <w:rsid w:val="232B292E"/>
    <w:rsid w:val="232E0344"/>
    <w:rsid w:val="23314388"/>
    <w:rsid w:val="234A4691"/>
    <w:rsid w:val="234C13EF"/>
    <w:rsid w:val="2365041A"/>
    <w:rsid w:val="23690D13"/>
    <w:rsid w:val="236F78B9"/>
    <w:rsid w:val="239E2574"/>
    <w:rsid w:val="239F4424"/>
    <w:rsid w:val="23A404FF"/>
    <w:rsid w:val="23B17C0B"/>
    <w:rsid w:val="23BB0DA2"/>
    <w:rsid w:val="23C86C6B"/>
    <w:rsid w:val="23DA1AEE"/>
    <w:rsid w:val="23E674D6"/>
    <w:rsid w:val="23E84100"/>
    <w:rsid w:val="23F74798"/>
    <w:rsid w:val="24443260"/>
    <w:rsid w:val="24480FA2"/>
    <w:rsid w:val="244D0366"/>
    <w:rsid w:val="246D4199"/>
    <w:rsid w:val="24773635"/>
    <w:rsid w:val="2483647E"/>
    <w:rsid w:val="249C604E"/>
    <w:rsid w:val="24A713B1"/>
    <w:rsid w:val="24AD513F"/>
    <w:rsid w:val="24C45DB7"/>
    <w:rsid w:val="24D15DC3"/>
    <w:rsid w:val="24D345D7"/>
    <w:rsid w:val="24DB2D1A"/>
    <w:rsid w:val="24DF7E77"/>
    <w:rsid w:val="24F6205F"/>
    <w:rsid w:val="251E5B96"/>
    <w:rsid w:val="252747D9"/>
    <w:rsid w:val="252D34A5"/>
    <w:rsid w:val="252D53FE"/>
    <w:rsid w:val="253A5C63"/>
    <w:rsid w:val="25404E45"/>
    <w:rsid w:val="255160A7"/>
    <w:rsid w:val="255A5461"/>
    <w:rsid w:val="25943EAE"/>
    <w:rsid w:val="25A034AF"/>
    <w:rsid w:val="25A82178"/>
    <w:rsid w:val="25C41910"/>
    <w:rsid w:val="25D23219"/>
    <w:rsid w:val="25D251BC"/>
    <w:rsid w:val="25D92385"/>
    <w:rsid w:val="25EC2D81"/>
    <w:rsid w:val="26004580"/>
    <w:rsid w:val="260E1A4C"/>
    <w:rsid w:val="261E1534"/>
    <w:rsid w:val="26296B5B"/>
    <w:rsid w:val="263C4B36"/>
    <w:rsid w:val="264528BD"/>
    <w:rsid w:val="26AE6CA4"/>
    <w:rsid w:val="26D96DA7"/>
    <w:rsid w:val="26E3369A"/>
    <w:rsid w:val="26E8081A"/>
    <w:rsid w:val="26EC3FFB"/>
    <w:rsid w:val="26EF1003"/>
    <w:rsid w:val="26FC2C6E"/>
    <w:rsid w:val="27094203"/>
    <w:rsid w:val="270A5278"/>
    <w:rsid w:val="27117D71"/>
    <w:rsid w:val="271B0573"/>
    <w:rsid w:val="27502FE7"/>
    <w:rsid w:val="27541A0C"/>
    <w:rsid w:val="27575C04"/>
    <w:rsid w:val="276463E1"/>
    <w:rsid w:val="276A7481"/>
    <w:rsid w:val="279208CD"/>
    <w:rsid w:val="27953CCB"/>
    <w:rsid w:val="27986BF5"/>
    <w:rsid w:val="279938C3"/>
    <w:rsid w:val="279D1605"/>
    <w:rsid w:val="27BA7323"/>
    <w:rsid w:val="27BB0A22"/>
    <w:rsid w:val="27BD5803"/>
    <w:rsid w:val="27CE3C99"/>
    <w:rsid w:val="27D15DD1"/>
    <w:rsid w:val="27D668C5"/>
    <w:rsid w:val="27D807D6"/>
    <w:rsid w:val="27F51441"/>
    <w:rsid w:val="27F8683B"/>
    <w:rsid w:val="27FC2148"/>
    <w:rsid w:val="280D6D61"/>
    <w:rsid w:val="282B1E5F"/>
    <w:rsid w:val="284B12CE"/>
    <w:rsid w:val="287A6A6D"/>
    <w:rsid w:val="28825EBD"/>
    <w:rsid w:val="28926CDF"/>
    <w:rsid w:val="28972C4A"/>
    <w:rsid w:val="28A76295"/>
    <w:rsid w:val="28A963CB"/>
    <w:rsid w:val="28B07116"/>
    <w:rsid w:val="28B660B0"/>
    <w:rsid w:val="28DD4332"/>
    <w:rsid w:val="28E37098"/>
    <w:rsid w:val="28EA6288"/>
    <w:rsid w:val="290C08BB"/>
    <w:rsid w:val="29180B23"/>
    <w:rsid w:val="29206EB8"/>
    <w:rsid w:val="2922022B"/>
    <w:rsid w:val="292957C6"/>
    <w:rsid w:val="29306FB6"/>
    <w:rsid w:val="29366E60"/>
    <w:rsid w:val="2950346B"/>
    <w:rsid w:val="295C476D"/>
    <w:rsid w:val="29665D4B"/>
    <w:rsid w:val="29673C78"/>
    <w:rsid w:val="296D06A4"/>
    <w:rsid w:val="296D246F"/>
    <w:rsid w:val="299662C8"/>
    <w:rsid w:val="29AE4821"/>
    <w:rsid w:val="29E325E0"/>
    <w:rsid w:val="29EC6874"/>
    <w:rsid w:val="29F13DAD"/>
    <w:rsid w:val="29F20A30"/>
    <w:rsid w:val="29F858AC"/>
    <w:rsid w:val="29FE4E85"/>
    <w:rsid w:val="29FE74E9"/>
    <w:rsid w:val="2A1D1D28"/>
    <w:rsid w:val="2A3D1304"/>
    <w:rsid w:val="2A4456B5"/>
    <w:rsid w:val="2A452503"/>
    <w:rsid w:val="2A4B5348"/>
    <w:rsid w:val="2A5F13CB"/>
    <w:rsid w:val="2A6A2C93"/>
    <w:rsid w:val="2A6D7162"/>
    <w:rsid w:val="2A745BC4"/>
    <w:rsid w:val="2A7F74F9"/>
    <w:rsid w:val="2A8820F8"/>
    <w:rsid w:val="2A8D0DE1"/>
    <w:rsid w:val="2AAB608C"/>
    <w:rsid w:val="2ABA7496"/>
    <w:rsid w:val="2ADA11FD"/>
    <w:rsid w:val="2AF76E16"/>
    <w:rsid w:val="2B0F1914"/>
    <w:rsid w:val="2B0F2A78"/>
    <w:rsid w:val="2B25203D"/>
    <w:rsid w:val="2B3331BD"/>
    <w:rsid w:val="2B35077A"/>
    <w:rsid w:val="2B366FCB"/>
    <w:rsid w:val="2B3B7447"/>
    <w:rsid w:val="2B465B0F"/>
    <w:rsid w:val="2B4E0D8A"/>
    <w:rsid w:val="2B7E398A"/>
    <w:rsid w:val="2B9B391D"/>
    <w:rsid w:val="2BA4141E"/>
    <w:rsid w:val="2BA63A08"/>
    <w:rsid w:val="2BA936A8"/>
    <w:rsid w:val="2BA97EFC"/>
    <w:rsid w:val="2BB204FF"/>
    <w:rsid w:val="2BB24537"/>
    <w:rsid w:val="2BB67F85"/>
    <w:rsid w:val="2BB82DB0"/>
    <w:rsid w:val="2BC221C6"/>
    <w:rsid w:val="2BCF4B74"/>
    <w:rsid w:val="2BD650E5"/>
    <w:rsid w:val="2BDA5853"/>
    <w:rsid w:val="2BDB1021"/>
    <w:rsid w:val="2BEC66B7"/>
    <w:rsid w:val="2C013B32"/>
    <w:rsid w:val="2C0C154B"/>
    <w:rsid w:val="2C244D24"/>
    <w:rsid w:val="2C2E1905"/>
    <w:rsid w:val="2C315A5A"/>
    <w:rsid w:val="2C316A79"/>
    <w:rsid w:val="2C5030EA"/>
    <w:rsid w:val="2C567FD4"/>
    <w:rsid w:val="2C5B3722"/>
    <w:rsid w:val="2C5B7B9E"/>
    <w:rsid w:val="2C913BD0"/>
    <w:rsid w:val="2CA70830"/>
    <w:rsid w:val="2CAC6259"/>
    <w:rsid w:val="2CDE7F85"/>
    <w:rsid w:val="2D03413C"/>
    <w:rsid w:val="2D057404"/>
    <w:rsid w:val="2D4E013E"/>
    <w:rsid w:val="2D66014C"/>
    <w:rsid w:val="2D6A01DB"/>
    <w:rsid w:val="2D8A7F3E"/>
    <w:rsid w:val="2D9E56F5"/>
    <w:rsid w:val="2DC47861"/>
    <w:rsid w:val="2DC7774A"/>
    <w:rsid w:val="2DD13DB6"/>
    <w:rsid w:val="2E1B7727"/>
    <w:rsid w:val="2E47051C"/>
    <w:rsid w:val="2E667F96"/>
    <w:rsid w:val="2E6F3C4C"/>
    <w:rsid w:val="2E8226AB"/>
    <w:rsid w:val="2E8E7EF9"/>
    <w:rsid w:val="2E9A0DC0"/>
    <w:rsid w:val="2EB8596B"/>
    <w:rsid w:val="2EC60DB5"/>
    <w:rsid w:val="2EC7382E"/>
    <w:rsid w:val="2ED004DD"/>
    <w:rsid w:val="2ED7570B"/>
    <w:rsid w:val="2EE07BC4"/>
    <w:rsid w:val="2EF53AD4"/>
    <w:rsid w:val="2EFE6E2D"/>
    <w:rsid w:val="2F026DCC"/>
    <w:rsid w:val="2F2E62F8"/>
    <w:rsid w:val="2F3B1E2F"/>
    <w:rsid w:val="2F4E506F"/>
    <w:rsid w:val="2F5317DD"/>
    <w:rsid w:val="2F646A08"/>
    <w:rsid w:val="2F68699C"/>
    <w:rsid w:val="2F77098D"/>
    <w:rsid w:val="2F7E41AD"/>
    <w:rsid w:val="2F8310E0"/>
    <w:rsid w:val="2F832C79"/>
    <w:rsid w:val="2F8B63AF"/>
    <w:rsid w:val="2FA25C93"/>
    <w:rsid w:val="2FA653B8"/>
    <w:rsid w:val="2FAE299B"/>
    <w:rsid w:val="2FAF4465"/>
    <w:rsid w:val="2FB02C33"/>
    <w:rsid w:val="2FEF2D58"/>
    <w:rsid w:val="301E5C00"/>
    <w:rsid w:val="302830D4"/>
    <w:rsid w:val="302A0383"/>
    <w:rsid w:val="30354306"/>
    <w:rsid w:val="30580BC9"/>
    <w:rsid w:val="30662EDC"/>
    <w:rsid w:val="30792BA4"/>
    <w:rsid w:val="307A0518"/>
    <w:rsid w:val="307F471C"/>
    <w:rsid w:val="30954DCF"/>
    <w:rsid w:val="30A13F45"/>
    <w:rsid w:val="30B01C71"/>
    <w:rsid w:val="30B6525E"/>
    <w:rsid w:val="30B8570F"/>
    <w:rsid w:val="30D01F1B"/>
    <w:rsid w:val="30D15355"/>
    <w:rsid w:val="30EE01ED"/>
    <w:rsid w:val="30F13B03"/>
    <w:rsid w:val="30FD7223"/>
    <w:rsid w:val="30FF006F"/>
    <w:rsid w:val="311E2ED7"/>
    <w:rsid w:val="312D57A8"/>
    <w:rsid w:val="313D7BD4"/>
    <w:rsid w:val="315C449C"/>
    <w:rsid w:val="315E75B6"/>
    <w:rsid w:val="31605CA2"/>
    <w:rsid w:val="3162056A"/>
    <w:rsid w:val="31812FFE"/>
    <w:rsid w:val="319620CA"/>
    <w:rsid w:val="31B82709"/>
    <w:rsid w:val="31CB7C2D"/>
    <w:rsid w:val="31D33E33"/>
    <w:rsid w:val="31D95413"/>
    <w:rsid w:val="31E61ECE"/>
    <w:rsid w:val="32082D9D"/>
    <w:rsid w:val="32242DB7"/>
    <w:rsid w:val="322A3648"/>
    <w:rsid w:val="32355A32"/>
    <w:rsid w:val="32400B34"/>
    <w:rsid w:val="3258686B"/>
    <w:rsid w:val="327F3345"/>
    <w:rsid w:val="3281608A"/>
    <w:rsid w:val="32847649"/>
    <w:rsid w:val="329A47BC"/>
    <w:rsid w:val="329E6876"/>
    <w:rsid w:val="32A0644D"/>
    <w:rsid w:val="32A970B0"/>
    <w:rsid w:val="32B271FA"/>
    <w:rsid w:val="32B53856"/>
    <w:rsid w:val="32DD111A"/>
    <w:rsid w:val="32F64741"/>
    <w:rsid w:val="33000060"/>
    <w:rsid w:val="3304147D"/>
    <w:rsid w:val="330A0996"/>
    <w:rsid w:val="330B1B18"/>
    <w:rsid w:val="330C4888"/>
    <w:rsid w:val="331850BE"/>
    <w:rsid w:val="33347200"/>
    <w:rsid w:val="33501C21"/>
    <w:rsid w:val="337A51DE"/>
    <w:rsid w:val="337E45DA"/>
    <w:rsid w:val="33902018"/>
    <w:rsid w:val="33927F07"/>
    <w:rsid w:val="33967BBB"/>
    <w:rsid w:val="33AD6DB9"/>
    <w:rsid w:val="33B632E0"/>
    <w:rsid w:val="33B97C99"/>
    <w:rsid w:val="33CE7CEA"/>
    <w:rsid w:val="33D22636"/>
    <w:rsid w:val="33D37CF7"/>
    <w:rsid w:val="33D934D4"/>
    <w:rsid w:val="33DF14EB"/>
    <w:rsid w:val="33FB7B69"/>
    <w:rsid w:val="33FE167D"/>
    <w:rsid w:val="33FE2F6A"/>
    <w:rsid w:val="340274BB"/>
    <w:rsid w:val="34101E6A"/>
    <w:rsid w:val="341738CF"/>
    <w:rsid w:val="34184DCF"/>
    <w:rsid w:val="342A492C"/>
    <w:rsid w:val="343A4853"/>
    <w:rsid w:val="3450337A"/>
    <w:rsid w:val="34554672"/>
    <w:rsid w:val="34652DEE"/>
    <w:rsid w:val="346A2A07"/>
    <w:rsid w:val="34885C8D"/>
    <w:rsid w:val="348E1C47"/>
    <w:rsid w:val="348E66A3"/>
    <w:rsid w:val="34BE4C42"/>
    <w:rsid w:val="34BF0E0C"/>
    <w:rsid w:val="34C1187D"/>
    <w:rsid w:val="34C431CB"/>
    <w:rsid w:val="34D575FF"/>
    <w:rsid w:val="34DD1293"/>
    <w:rsid w:val="34DD5401"/>
    <w:rsid w:val="34E6371B"/>
    <w:rsid w:val="34FD04AA"/>
    <w:rsid w:val="350833BC"/>
    <w:rsid w:val="35153313"/>
    <w:rsid w:val="352E31B9"/>
    <w:rsid w:val="354266F1"/>
    <w:rsid w:val="354B7A7C"/>
    <w:rsid w:val="356C54DF"/>
    <w:rsid w:val="35715459"/>
    <w:rsid w:val="35871027"/>
    <w:rsid w:val="35896190"/>
    <w:rsid w:val="35900AA1"/>
    <w:rsid w:val="35A77287"/>
    <w:rsid w:val="35AF0E81"/>
    <w:rsid w:val="35B9585C"/>
    <w:rsid w:val="35C21561"/>
    <w:rsid w:val="35D17BFC"/>
    <w:rsid w:val="35EF127D"/>
    <w:rsid w:val="36074A7F"/>
    <w:rsid w:val="361E10D9"/>
    <w:rsid w:val="36280CA2"/>
    <w:rsid w:val="365545BA"/>
    <w:rsid w:val="36646AB8"/>
    <w:rsid w:val="366E0ECE"/>
    <w:rsid w:val="36745C27"/>
    <w:rsid w:val="368D5174"/>
    <w:rsid w:val="36923549"/>
    <w:rsid w:val="36A5104E"/>
    <w:rsid w:val="36B75FBF"/>
    <w:rsid w:val="36B8186B"/>
    <w:rsid w:val="36BC1CCF"/>
    <w:rsid w:val="36E52F76"/>
    <w:rsid w:val="36FB4891"/>
    <w:rsid w:val="37075127"/>
    <w:rsid w:val="371D4662"/>
    <w:rsid w:val="37292156"/>
    <w:rsid w:val="373E6559"/>
    <w:rsid w:val="374158D0"/>
    <w:rsid w:val="374C62C8"/>
    <w:rsid w:val="374E0226"/>
    <w:rsid w:val="375A6BCB"/>
    <w:rsid w:val="375F68D7"/>
    <w:rsid w:val="37A11F7B"/>
    <w:rsid w:val="37A238FB"/>
    <w:rsid w:val="37A367C3"/>
    <w:rsid w:val="37A543D8"/>
    <w:rsid w:val="37AA42E0"/>
    <w:rsid w:val="37B90E7A"/>
    <w:rsid w:val="37DB4F64"/>
    <w:rsid w:val="37E24D57"/>
    <w:rsid w:val="37EE000E"/>
    <w:rsid w:val="37F547A0"/>
    <w:rsid w:val="37F852DC"/>
    <w:rsid w:val="38122123"/>
    <w:rsid w:val="381901B9"/>
    <w:rsid w:val="382B552A"/>
    <w:rsid w:val="385E6CDF"/>
    <w:rsid w:val="38787F5D"/>
    <w:rsid w:val="387F71D3"/>
    <w:rsid w:val="3887329D"/>
    <w:rsid w:val="38936FF8"/>
    <w:rsid w:val="38A80B41"/>
    <w:rsid w:val="38AA4CD0"/>
    <w:rsid w:val="38B844F1"/>
    <w:rsid w:val="38D46E50"/>
    <w:rsid w:val="38EE21FE"/>
    <w:rsid w:val="38F12CD3"/>
    <w:rsid w:val="38F94775"/>
    <w:rsid w:val="390905F9"/>
    <w:rsid w:val="39184F53"/>
    <w:rsid w:val="391F30FD"/>
    <w:rsid w:val="392971ED"/>
    <w:rsid w:val="393578EF"/>
    <w:rsid w:val="39382F3B"/>
    <w:rsid w:val="393E1842"/>
    <w:rsid w:val="39430B9B"/>
    <w:rsid w:val="396E7836"/>
    <w:rsid w:val="399A706C"/>
    <w:rsid w:val="39A12AC1"/>
    <w:rsid w:val="39A24859"/>
    <w:rsid w:val="39A262CB"/>
    <w:rsid w:val="39BC4FD9"/>
    <w:rsid w:val="39BE5B5D"/>
    <w:rsid w:val="39C15B2A"/>
    <w:rsid w:val="39CB2A7A"/>
    <w:rsid w:val="39DD2C98"/>
    <w:rsid w:val="39ED66CE"/>
    <w:rsid w:val="39F037CF"/>
    <w:rsid w:val="3A1211DA"/>
    <w:rsid w:val="3A125E82"/>
    <w:rsid w:val="3A2F02B8"/>
    <w:rsid w:val="3A7206CF"/>
    <w:rsid w:val="3A7F2EAB"/>
    <w:rsid w:val="3A844913"/>
    <w:rsid w:val="3A8B7987"/>
    <w:rsid w:val="3A8E551C"/>
    <w:rsid w:val="3AB721FF"/>
    <w:rsid w:val="3ADD0DCD"/>
    <w:rsid w:val="3AE768BA"/>
    <w:rsid w:val="3AEB060C"/>
    <w:rsid w:val="3B030773"/>
    <w:rsid w:val="3B0B41B0"/>
    <w:rsid w:val="3B3763D1"/>
    <w:rsid w:val="3B5275FB"/>
    <w:rsid w:val="3B5826E0"/>
    <w:rsid w:val="3B6244F1"/>
    <w:rsid w:val="3B76401F"/>
    <w:rsid w:val="3BA40D5C"/>
    <w:rsid w:val="3BA450D3"/>
    <w:rsid w:val="3BCE5DD9"/>
    <w:rsid w:val="3BD94643"/>
    <w:rsid w:val="3BE64ED1"/>
    <w:rsid w:val="3BF85ABC"/>
    <w:rsid w:val="3C6B604E"/>
    <w:rsid w:val="3C7A740B"/>
    <w:rsid w:val="3C812E4B"/>
    <w:rsid w:val="3C8423CF"/>
    <w:rsid w:val="3C8D359E"/>
    <w:rsid w:val="3CB33858"/>
    <w:rsid w:val="3CDA245A"/>
    <w:rsid w:val="3CEA279F"/>
    <w:rsid w:val="3CEE0A37"/>
    <w:rsid w:val="3CEF1851"/>
    <w:rsid w:val="3CF0088C"/>
    <w:rsid w:val="3CF25313"/>
    <w:rsid w:val="3D08641F"/>
    <w:rsid w:val="3D407535"/>
    <w:rsid w:val="3D566E05"/>
    <w:rsid w:val="3D5D11E2"/>
    <w:rsid w:val="3D5E7C73"/>
    <w:rsid w:val="3D684FCC"/>
    <w:rsid w:val="3D880A49"/>
    <w:rsid w:val="3D954E00"/>
    <w:rsid w:val="3D9E5D28"/>
    <w:rsid w:val="3DAA5519"/>
    <w:rsid w:val="3DAE039A"/>
    <w:rsid w:val="3DC168EE"/>
    <w:rsid w:val="3DC66511"/>
    <w:rsid w:val="3DE249E8"/>
    <w:rsid w:val="3DE2632D"/>
    <w:rsid w:val="3DE90F82"/>
    <w:rsid w:val="3DFF217B"/>
    <w:rsid w:val="3E012C6B"/>
    <w:rsid w:val="3E0F0CDE"/>
    <w:rsid w:val="3E1D7E7E"/>
    <w:rsid w:val="3E262668"/>
    <w:rsid w:val="3E3C02A9"/>
    <w:rsid w:val="3E416C94"/>
    <w:rsid w:val="3E4B3711"/>
    <w:rsid w:val="3E525D92"/>
    <w:rsid w:val="3E5330B3"/>
    <w:rsid w:val="3E6D7CA2"/>
    <w:rsid w:val="3E8F3723"/>
    <w:rsid w:val="3EEE0B7F"/>
    <w:rsid w:val="3F085D92"/>
    <w:rsid w:val="3F267361"/>
    <w:rsid w:val="3F3E6538"/>
    <w:rsid w:val="3F411E1D"/>
    <w:rsid w:val="3F4630ED"/>
    <w:rsid w:val="3F472F10"/>
    <w:rsid w:val="3F5258D0"/>
    <w:rsid w:val="3F660E74"/>
    <w:rsid w:val="3F835CD9"/>
    <w:rsid w:val="3F9C40C7"/>
    <w:rsid w:val="3FB57208"/>
    <w:rsid w:val="3FB67B30"/>
    <w:rsid w:val="3FC42D5F"/>
    <w:rsid w:val="3FD30A0C"/>
    <w:rsid w:val="3FE13435"/>
    <w:rsid w:val="3FF75754"/>
    <w:rsid w:val="40016245"/>
    <w:rsid w:val="40424F3F"/>
    <w:rsid w:val="40526789"/>
    <w:rsid w:val="40684D42"/>
    <w:rsid w:val="406F2735"/>
    <w:rsid w:val="407472D5"/>
    <w:rsid w:val="407A6407"/>
    <w:rsid w:val="409B44E7"/>
    <w:rsid w:val="40A35E11"/>
    <w:rsid w:val="40AE776C"/>
    <w:rsid w:val="40B42395"/>
    <w:rsid w:val="40B970ED"/>
    <w:rsid w:val="40BD2B85"/>
    <w:rsid w:val="40C050C3"/>
    <w:rsid w:val="40C17F2C"/>
    <w:rsid w:val="40F71FB0"/>
    <w:rsid w:val="4105295C"/>
    <w:rsid w:val="410F4430"/>
    <w:rsid w:val="41100EA9"/>
    <w:rsid w:val="41115F4D"/>
    <w:rsid w:val="41132242"/>
    <w:rsid w:val="41164FFF"/>
    <w:rsid w:val="412C0064"/>
    <w:rsid w:val="412D6775"/>
    <w:rsid w:val="41307690"/>
    <w:rsid w:val="4148218A"/>
    <w:rsid w:val="414D59F2"/>
    <w:rsid w:val="415F3042"/>
    <w:rsid w:val="419A722B"/>
    <w:rsid w:val="41AE3C00"/>
    <w:rsid w:val="41B07D3E"/>
    <w:rsid w:val="41D15012"/>
    <w:rsid w:val="41D650D1"/>
    <w:rsid w:val="41F87FF3"/>
    <w:rsid w:val="420054E7"/>
    <w:rsid w:val="421A0B83"/>
    <w:rsid w:val="421A224F"/>
    <w:rsid w:val="421C39C7"/>
    <w:rsid w:val="423A3BCC"/>
    <w:rsid w:val="42415692"/>
    <w:rsid w:val="425A6137"/>
    <w:rsid w:val="426E68BC"/>
    <w:rsid w:val="4276269D"/>
    <w:rsid w:val="427808C1"/>
    <w:rsid w:val="427A45C5"/>
    <w:rsid w:val="429F1529"/>
    <w:rsid w:val="42AA798E"/>
    <w:rsid w:val="42BD19F1"/>
    <w:rsid w:val="42CA56E2"/>
    <w:rsid w:val="42F21681"/>
    <w:rsid w:val="43225A2F"/>
    <w:rsid w:val="43397FDC"/>
    <w:rsid w:val="433A6FE6"/>
    <w:rsid w:val="433B4241"/>
    <w:rsid w:val="433E11D2"/>
    <w:rsid w:val="4350713C"/>
    <w:rsid w:val="435751E0"/>
    <w:rsid w:val="436653E0"/>
    <w:rsid w:val="43772450"/>
    <w:rsid w:val="43884ABF"/>
    <w:rsid w:val="438D1DAF"/>
    <w:rsid w:val="43987067"/>
    <w:rsid w:val="43A97591"/>
    <w:rsid w:val="43CE33F6"/>
    <w:rsid w:val="43E356AE"/>
    <w:rsid w:val="43EC1B77"/>
    <w:rsid w:val="43F87E97"/>
    <w:rsid w:val="43FB16AD"/>
    <w:rsid w:val="43FE26D0"/>
    <w:rsid w:val="44014126"/>
    <w:rsid w:val="4411286D"/>
    <w:rsid w:val="441C199A"/>
    <w:rsid w:val="441C3608"/>
    <w:rsid w:val="44224480"/>
    <w:rsid w:val="44463084"/>
    <w:rsid w:val="44480394"/>
    <w:rsid w:val="44507CD3"/>
    <w:rsid w:val="448E492D"/>
    <w:rsid w:val="449A1F2A"/>
    <w:rsid w:val="449E4F45"/>
    <w:rsid w:val="44BE2E8F"/>
    <w:rsid w:val="44BF708D"/>
    <w:rsid w:val="44CC6C2E"/>
    <w:rsid w:val="44CD14E0"/>
    <w:rsid w:val="44EA0F6B"/>
    <w:rsid w:val="44F54C4A"/>
    <w:rsid w:val="44FE14DD"/>
    <w:rsid w:val="451243C7"/>
    <w:rsid w:val="45194FF5"/>
    <w:rsid w:val="4528529F"/>
    <w:rsid w:val="452D495B"/>
    <w:rsid w:val="453D6DBA"/>
    <w:rsid w:val="455F7598"/>
    <w:rsid w:val="45670BA7"/>
    <w:rsid w:val="456C46B4"/>
    <w:rsid w:val="458946E9"/>
    <w:rsid w:val="458E5A7B"/>
    <w:rsid w:val="45997675"/>
    <w:rsid w:val="45A90CEB"/>
    <w:rsid w:val="45BB5620"/>
    <w:rsid w:val="45D21ADE"/>
    <w:rsid w:val="45D24776"/>
    <w:rsid w:val="45D43FEC"/>
    <w:rsid w:val="45E21343"/>
    <w:rsid w:val="45E554D8"/>
    <w:rsid w:val="460A5E25"/>
    <w:rsid w:val="460E186D"/>
    <w:rsid w:val="46130617"/>
    <w:rsid w:val="46184820"/>
    <w:rsid w:val="462F2A89"/>
    <w:rsid w:val="463A05E7"/>
    <w:rsid w:val="463D1F4F"/>
    <w:rsid w:val="46422787"/>
    <w:rsid w:val="464B6E31"/>
    <w:rsid w:val="46607F75"/>
    <w:rsid w:val="46693892"/>
    <w:rsid w:val="466941E1"/>
    <w:rsid w:val="4690085B"/>
    <w:rsid w:val="46A61E2C"/>
    <w:rsid w:val="46AA209D"/>
    <w:rsid w:val="46AD50E0"/>
    <w:rsid w:val="46CE510F"/>
    <w:rsid w:val="46D955A7"/>
    <w:rsid w:val="46E866DD"/>
    <w:rsid w:val="46EA3AC1"/>
    <w:rsid w:val="46FF1EDF"/>
    <w:rsid w:val="470646EF"/>
    <w:rsid w:val="47133957"/>
    <w:rsid w:val="472741B7"/>
    <w:rsid w:val="4739615E"/>
    <w:rsid w:val="473C691D"/>
    <w:rsid w:val="47431429"/>
    <w:rsid w:val="4751742D"/>
    <w:rsid w:val="4779329E"/>
    <w:rsid w:val="479466B8"/>
    <w:rsid w:val="479E0252"/>
    <w:rsid w:val="479E48B1"/>
    <w:rsid w:val="47A07E0C"/>
    <w:rsid w:val="47A65E5C"/>
    <w:rsid w:val="480D18A9"/>
    <w:rsid w:val="48181A01"/>
    <w:rsid w:val="48190C64"/>
    <w:rsid w:val="48284E7F"/>
    <w:rsid w:val="48285E40"/>
    <w:rsid w:val="482C5672"/>
    <w:rsid w:val="482F5E51"/>
    <w:rsid w:val="483F0D2B"/>
    <w:rsid w:val="4843482A"/>
    <w:rsid w:val="48472760"/>
    <w:rsid w:val="48620C50"/>
    <w:rsid w:val="486378A9"/>
    <w:rsid w:val="4870272E"/>
    <w:rsid w:val="48760AAE"/>
    <w:rsid w:val="48A00AFD"/>
    <w:rsid w:val="48CD53E2"/>
    <w:rsid w:val="48D43728"/>
    <w:rsid w:val="48D57C3C"/>
    <w:rsid w:val="48E619E0"/>
    <w:rsid w:val="48F75D86"/>
    <w:rsid w:val="48FF5824"/>
    <w:rsid w:val="49014812"/>
    <w:rsid w:val="49297F24"/>
    <w:rsid w:val="492E435B"/>
    <w:rsid w:val="493A7792"/>
    <w:rsid w:val="495B299E"/>
    <w:rsid w:val="49776FAA"/>
    <w:rsid w:val="497961F4"/>
    <w:rsid w:val="499008DC"/>
    <w:rsid w:val="49B732FD"/>
    <w:rsid w:val="49CA2803"/>
    <w:rsid w:val="49DC7715"/>
    <w:rsid w:val="49F85CE7"/>
    <w:rsid w:val="49FC28F7"/>
    <w:rsid w:val="4A023139"/>
    <w:rsid w:val="4A023551"/>
    <w:rsid w:val="4A1E15D8"/>
    <w:rsid w:val="4A251922"/>
    <w:rsid w:val="4A286FFC"/>
    <w:rsid w:val="4A2F4EE4"/>
    <w:rsid w:val="4A36378A"/>
    <w:rsid w:val="4A3717F5"/>
    <w:rsid w:val="4A591391"/>
    <w:rsid w:val="4A6012C4"/>
    <w:rsid w:val="4A685FAF"/>
    <w:rsid w:val="4A78506E"/>
    <w:rsid w:val="4A78588E"/>
    <w:rsid w:val="4A7B576F"/>
    <w:rsid w:val="4A88485C"/>
    <w:rsid w:val="4A90409A"/>
    <w:rsid w:val="4A9A2372"/>
    <w:rsid w:val="4AAF1E43"/>
    <w:rsid w:val="4AB57842"/>
    <w:rsid w:val="4AC90C03"/>
    <w:rsid w:val="4ACF785F"/>
    <w:rsid w:val="4AD30D16"/>
    <w:rsid w:val="4AD81D07"/>
    <w:rsid w:val="4AE95975"/>
    <w:rsid w:val="4B0B76A7"/>
    <w:rsid w:val="4B2A6963"/>
    <w:rsid w:val="4B751DCD"/>
    <w:rsid w:val="4B7645F1"/>
    <w:rsid w:val="4BA06B4D"/>
    <w:rsid w:val="4BA30A3F"/>
    <w:rsid w:val="4BA77ED2"/>
    <w:rsid w:val="4BB131F1"/>
    <w:rsid w:val="4BB328F5"/>
    <w:rsid w:val="4BB621F1"/>
    <w:rsid w:val="4BBD64EA"/>
    <w:rsid w:val="4BE93981"/>
    <w:rsid w:val="4BFA0F52"/>
    <w:rsid w:val="4C013661"/>
    <w:rsid w:val="4C0849EF"/>
    <w:rsid w:val="4C143793"/>
    <w:rsid w:val="4C2A7597"/>
    <w:rsid w:val="4C2B7286"/>
    <w:rsid w:val="4C4A0649"/>
    <w:rsid w:val="4C6A0BD9"/>
    <w:rsid w:val="4C6C6FA4"/>
    <w:rsid w:val="4C6F4A6E"/>
    <w:rsid w:val="4C786FDB"/>
    <w:rsid w:val="4C964729"/>
    <w:rsid w:val="4C9E1FED"/>
    <w:rsid w:val="4CAC74FB"/>
    <w:rsid w:val="4CB84667"/>
    <w:rsid w:val="4CBA6B21"/>
    <w:rsid w:val="4CCA439B"/>
    <w:rsid w:val="4CD14F95"/>
    <w:rsid w:val="4CE470D3"/>
    <w:rsid w:val="4CE973AA"/>
    <w:rsid w:val="4CEC4C05"/>
    <w:rsid w:val="4CFE19EE"/>
    <w:rsid w:val="4D0664A9"/>
    <w:rsid w:val="4D4D118C"/>
    <w:rsid w:val="4D7E0433"/>
    <w:rsid w:val="4D9541F7"/>
    <w:rsid w:val="4DAA008B"/>
    <w:rsid w:val="4DBA55D1"/>
    <w:rsid w:val="4DC221BB"/>
    <w:rsid w:val="4DC32E36"/>
    <w:rsid w:val="4DCE2D37"/>
    <w:rsid w:val="4DE61773"/>
    <w:rsid w:val="4DEC4FB0"/>
    <w:rsid w:val="4DF9574D"/>
    <w:rsid w:val="4E075D8A"/>
    <w:rsid w:val="4E1E0D30"/>
    <w:rsid w:val="4E1F474B"/>
    <w:rsid w:val="4E283A9A"/>
    <w:rsid w:val="4E2F09F8"/>
    <w:rsid w:val="4E400F71"/>
    <w:rsid w:val="4E8A3DE2"/>
    <w:rsid w:val="4EA34EA3"/>
    <w:rsid w:val="4EB64D16"/>
    <w:rsid w:val="4EBE3A8B"/>
    <w:rsid w:val="4EEC23A6"/>
    <w:rsid w:val="4EEE303D"/>
    <w:rsid w:val="4F05028C"/>
    <w:rsid w:val="4F164DDB"/>
    <w:rsid w:val="4F257BC5"/>
    <w:rsid w:val="4F343D4D"/>
    <w:rsid w:val="4F3A4F47"/>
    <w:rsid w:val="4F42290E"/>
    <w:rsid w:val="4F472AF5"/>
    <w:rsid w:val="4F4E17BC"/>
    <w:rsid w:val="4F5A0CD3"/>
    <w:rsid w:val="4F6D3EAA"/>
    <w:rsid w:val="4F797EA5"/>
    <w:rsid w:val="4F995275"/>
    <w:rsid w:val="4FA575DB"/>
    <w:rsid w:val="4FA8760C"/>
    <w:rsid w:val="4FB530E0"/>
    <w:rsid w:val="4FC62A8C"/>
    <w:rsid w:val="4FC925D7"/>
    <w:rsid w:val="4FCE5900"/>
    <w:rsid w:val="4FE20F0D"/>
    <w:rsid w:val="4FF177B8"/>
    <w:rsid w:val="4FFE1683"/>
    <w:rsid w:val="4FFF012E"/>
    <w:rsid w:val="50097A28"/>
    <w:rsid w:val="502A571D"/>
    <w:rsid w:val="50504C4B"/>
    <w:rsid w:val="5059342B"/>
    <w:rsid w:val="505B3360"/>
    <w:rsid w:val="506342B5"/>
    <w:rsid w:val="50760AC1"/>
    <w:rsid w:val="508F3EE3"/>
    <w:rsid w:val="50950B6D"/>
    <w:rsid w:val="50960623"/>
    <w:rsid w:val="509C6E7C"/>
    <w:rsid w:val="50BF0009"/>
    <w:rsid w:val="50CE7C1E"/>
    <w:rsid w:val="50DC2CF9"/>
    <w:rsid w:val="50E27F05"/>
    <w:rsid w:val="50F176F3"/>
    <w:rsid w:val="51134562"/>
    <w:rsid w:val="512F4FAB"/>
    <w:rsid w:val="513D338D"/>
    <w:rsid w:val="513E2C61"/>
    <w:rsid w:val="51411AAB"/>
    <w:rsid w:val="5162104E"/>
    <w:rsid w:val="51696CA3"/>
    <w:rsid w:val="51864D34"/>
    <w:rsid w:val="51A75E8B"/>
    <w:rsid w:val="51EC53F1"/>
    <w:rsid w:val="520113DA"/>
    <w:rsid w:val="522F1932"/>
    <w:rsid w:val="523D1F17"/>
    <w:rsid w:val="524A6D26"/>
    <w:rsid w:val="524E57D3"/>
    <w:rsid w:val="524F15CA"/>
    <w:rsid w:val="52501AA7"/>
    <w:rsid w:val="525B3B6B"/>
    <w:rsid w:val="52635035"/>
    <w:rsid w:val="5268268C"/>
    <w:rsid w:val="52754DA9"/>
    <w:rsid w:val="52933410"/>
    <w:rsid w:val="52B3006F"/>
    <w:rsid w:val="52B529D5"/>
    <w:rsid w:val="52B80BBA"/>
    <w:rsid w:val="52CF57EB"/>
    <w:rsid w:val="52CF7263"/>
    <w:rsid w:val="52D970E6"/>
    <w:rsid w:val="52DC127D"/>
    <w:rsid w:val="52DF1B25"/>
    <w:rsid w:val="52E07522"/>
    <w:rsid w:val="530B42C2"/>
    <w:rsid w:val="53184A5D"/>
    <w:rsid w:val="53185A43"/>
    <w:rsid w:val="532249D1"/>
    <w:rsid w:val="532F344E"/>
    <w:rsid w:val="534857CD"/>
    <w:rsid w:val="534C179B"/>
    <w:rsid w:val="53522541"/>
    <w:rsid w:val="535B2882"/>
    <w:rsid w:val="53613149"/>
    <w:rsid w:val="537F7C8D"/>
    <w:rsid w:val="53A039CC"/>
    <w:rsid w:val="53A03CA0"/>
    <w:rsid w:val="53A1505A"/>
    <w:rsid w:val="53A54884"/>
    <w:rsid w:val="53A81EAA"/>
    <w:rsid w:val="53B452FA"/>
    <w:rsid w:val="53C665FA"/>
    <w:rsid w:val="53E61AE9"/>
    <w:rsid w:val="53E93DD3"/>
    <w:rsid w:val="53F7766C"/>
    <w:rsid w:val="54063E08"/>
    <w:rsid w:val="540D4022"/>
    <w:rsid w:val="540E2D5B"/>
    <w:rsid w:val="54123280"/>
    <w:rsid w:val="541310F6"/>
    <w:rsid w:val="54132AD6"/>
    <w:rsid w:val="541A5C08"/>
    <w:rsid w:val="54233482"/>
    <w:rsid w:val="542F416E"/>
    <w:rsid w:val="543437E8"/>
    <w:rsid w:val="54396B62"/>
    <w:rsid w:val="545445FA"/>
    <w:rsid w:val="546737D3"/>
    <w:rsid w:val="547176E5"/>
    <w:rsid w:val="547E12B5"/>
    <w:rsid w:val="548F2152"/>
    <w:rsid w:val="54AB6860"/>
    <w:rsid w:val="54B35CD8"/>
    <w:rsid w:val="54C52224"/>
    <w:rsid w:val="550541C2"/>
    <w:rsid w:val="55065DFC"/>
    <w:rsid w:val="55171CC8"/>
    <w:rsid w:val="551776F4"/>
    <w:rsid w:val="55323971"/>
    <w:rsid w:val="55432327"/>
    <w:rsid w:val="55517407"/>
    <w:rsid w:val="55566A4E"/>
    <w:rsid w:val="5566005A"/>
    <w:rsid w:val="556B2F15"/>
    <w:rsid w:val="556D7279"/>
    <w:rsid w:val="55707F6E"/>
    <w:rsid w:val="559A300E"/>
    <w:rsid w:val="559B174B"/>
    <w:rsid w:val="559D6FA1"/>
    <w:rsid w:val="559F1E3D"/>
    <w:rsid w:val="55AA2DFA"/>
    <w:rsid w:val="55AC6D33"/>
    <w:rsid w:val="55AD3F41"/>
    <w:rsid w:val="55CE0CF4"/>
    <w:rsid w:val="56006927"/>
    <w:rsid w:val="56174B54"/>
    <w:rsid w:val="561C34D3"/>
    <w:rsid w:val="562764A0"/>
    <w:rsid w:val="56310FAE"/>
    <w:rsid w:val="563121FE"/>
    <w:rsid w:val="565432B3"/>
    <w:rsid w:val="565C4201"/>
    <w:rsid w:val="566740B8"/>
    <w:rsid w:val="56995DC1"/>
    <w:rsid w:val="56A06615"/>
    <w:rsid w:val="56B15C7D"/>
    <w:rsid w:val="56B22A9C"/>
    <w:rsid w:val="56B45565"/>
    <w:rsid w:val="56CE4E4C"/>
    <w:rsid w:val="56E11ADD"/>
    <w:rsid w:val="57070F9A"/>
    <w:rsid w:val="5750274F"/>
    <w:rsid w:val="575065DD"/>
    <w:rsid w:val="575B2082"/>
    <w:rsid w:val="57605364"/>
    <w:rsid w:val="5787581B"/>
    <w:rsid w:val="57A53A3A"/>
    <w:rsid w:val="57B72A76"/>
    <w:rsid w:val="57BB500C"/>
    <w:rsid w:val="57BD2706"/>
    <w:rsid w:val="57C55E8A"/>
    <w:rsid w:val="57C70B99"/>
    <w:rsid w:val="57D305A7"/>
    <w:rsid w:val="57D47200"/>
    <w:rsid w:val="57DE24E2"/>
    <w:rsid w:val="57E22710"/>
    <w:rsid w:val="57EF1A7A"/>
    <w:rsid w:val="57EF477A"/>
    <w:rsid w:val="57FA3401"/>
    <w:rsid w:val="58052459"/>
    <w:rsid w:val="581E332E"/>
    <w:rsid w:val="582F6BBC"/>
    <w:rsid w:val="58304C11"/>
    <w:rsid w:val="58311772"/>
    <w:rsid w:val="583A75C5"/>
    <w:rsid w:val="583B1CFE"/>
    <w:rsid w:val="583F0AED"/>
    <w:rsid w:val="584B3F97"/>
    <w:rsid w:val="584F7BF1"/>
    <w:rsid w:val="585E4BFB"/>
    <w:rsid w:val="58665C93"/>
    <w:rsid w:val="587C144C"/>
    <w:rsid w:val="588F318E"/>
    <w:rsid w:val="589012B7"/>
    <w:rsid w:val="589207A4"/>
    <w:rsid w:val="58A261CC"/>
    <w:rsid w:val="58A35778"/>
    <w:rsid w:val="58A90F3B"/>
    <w:rsid w:val="58AB2211"/>
    <w:rsid w:val="58B22EBB"/>
    <w:rsid w:val="58BF0B2C"/>
    <w:rsid w:val="58DD7346"/>
    <w:rsid w:val="58EB5D88"/>
    <w:rsid w:val="58FE1654"/>
    <w:rsid w:val="592A4960"/>
    <w:rsid w:val="594773EB"/>
    <w:rsid w:val="59595DC8"/>
    <w:rsid w:val="595C78DD"/>
    <w:rsid w:val="59693EF9"/>
    <w:rsid w:val="597E75D6"/>
    <w:rsid w:val="598A3FF2"/>
    <w:rsid w:val="59941FB8"/>
    <w:rsid w:val="59A33FA9"/>
    <w:rsid w:val="59AC1316"/>
    <w:rsid w:val="59BE2436"/>
    <w:rsid w:val="59C56CDA"/>
    <w:rsid w:val="59D664CF"/>
    <w:rsid w:val="59DB1DD9"/>
    <w:rsid w:val="59DC6229"/>
    <w:rsid w:val="59F14D15"/>
    <w:rsid w:val="5A0D516C"/>
    <w:rsid w:val="5A255886"/>
    <w:rsid w:val="5A2729D6"/>
    <w:rsid w:val="5A3C747D"/>
    <w:rsid w:val="5A8C25D9"/>
    <w:rsid w:val="5A8E1722"/>
    <w:rsid w:val="5A992AC0"/>
    <w:rsid w:val="5ABE2233"/>
    <w:rsid w:val="5AC970B3"/>
    <w:rsid w:val="5AD26D17"/>
    <w:rsid w:val="5AE84935"/>
    <w:rsid w:val="5AEB4C98"/>
    <w:rsid w:val="5AEC6944"/>
    <w:rsid w:val="5AF65B36"/>
    <w:rsid w:val="5B006B31"/>
    <w:rsid w:val="5B0415A5"/>
    <w:rsid w:val="5B0B6855"/>
    <w:rsid w:val="5B102ECE"/>
    <w:rsid w:val="5B1D5E02"/>
    <w:rsid w:val="5B276D18"/>
    <w:rsid w:val="5B406E80"/>
    <w:rsid w:val="5B4B62F8"/>
    <w:rsid w:val="5B4E6197"/>
    <w:rsid w:val="5B667984"/>
    <w:rsid w:val="5B916028"/>
    <w:rsid w:val="5BC160FC"/>
    <w:rsid w:val="5BC8038A"/>
    <w:rsid w:val="5BD364E5"/>
    <w:rsid w:val="5BDF5D95"/>
    <w:rsid w:val="5BE81E0F"/>
    <w:rsid w:val="5BE96A18"/>
    <w:rsid w:val="5BEC06C8"/>
    <w:rsid w:val="5BF53A4C"/>
    <w:rsid w:val="5C0910B6"/>
    <w:rsid w:val="5C105373"/>
    <w:rsid w:val="5C2209C9"/>
    <w:rsid w:val="5C245875"/>
    <w:rsid w:val="5C3D1C65"/>
    <w:rsid w:val="5C3D2493"/>
    <w:rsid w:val="5C5305C6"/>
    <w:rsid w:val="5C5479F5"/>
    <w:rsid w:val="5C563CCA"/>
    <w:rsid w:val="5C5C6276"/>
    <w:rsid w:val="5C6C00AE"/>
    <w:rsid w:val="5C920CB3"/>
    <w:rsid w:val="5C96232A"/>
    <w:rsid w:val="5CA43CA6"/>
    <w:rsid w:val="5CB87FAB"/>
    <w:rsid w:val="5CBB785C"/>
    <w:rsid w:val="5CE57B16"/>
    <w:rsid w:val="5D055E2A"/>
    <w:rsid w:val="5D0631CD"/>
    <w:rsid w:val="5D083149"/>
    <w:rsid w:val="5D27269F"/>
    <w:rsid w:val="5D34097E"/>
    <w:rsid w:val="5D5E0913"/>
    <w:rsid w:val="5D6347F3"/>
    <w:rsid w:val="5D6A7433"/>
    <w:rsid w:val="5D6F38EC"/>
    <w:rsid w:val="5D7F0F9F"/>
    <w:rsid w:val="5D855693"/>
    <w:rsid w:val="5D9A0F30"/>
    <w:rsid w:val="5DB674CE"/>
    <w:rsid w:val="5DC65CED"/>
    <w:rsid w:val="5DC70A2B"/>
    <w:rsid w:val="5DD16BB7"/>
    <w:rsid w:val="5DF52795"/>
    <w:rsid w:val="5DF87A0F"/>
    <w:rsid w:val="5E1E63BE"/>
    <w:rsid w:val="5E332115"/>
    <w:rsid w:val="5E40270F"/>
    <w:rsid w:val="5E750D57"/>
    <w:rsid w:val="5E7B0E3B"/>
    <w:rsid w:val="5E9A19B1"/>
    <w:rsid w:val="5EAF03E4"/>
    <w:rsid w:val="5EEE00D8"/>
    <w:rsid w:val="5F097B68"/>
    <w:rsid w:val="5F163611"/>
    <w:rsid w:val="5F1A2B43"/>
    <w:rsid w:val="5F240BBE"/>
    <w:rsid w:val="5F265461"/>
    <w:rsid w:val="5F266C7E"/>
    <w:rsid w:val="5F2A5ECB"/>
    <w:rsid w:val="5F353258"/>
    <w:rsid w:val="5F534895"/>
    <w:rsid w:val="5F8821EF"/>
    <w:rsid w:val="5F9745B0"/>
    <w:rsid w:val="5F9E6E7E"/>
    <w:rsid w:val="5FB837BB"/>
    <w:rsid w:val="5FBA13BE"/>
    <w:rsid w:val="5FD04970"/>
    <w:rsid w:val="60107EBF"/>
    <w:rsid w:val="60487584"/>
    <w:rsid w:val="6051645B"/>
    <w:rsid w:val="605424A1"/>
    <w:rsid w:val="60601776"/>
    <w:rsid w:val="60794F46"/>
    <w:rsid w:val="607A4807"/>
    <w:rsid w:val="607F6851"/>
    <w:rsid w:val="60880E4B"/>
    <w:rsid w:val="60B77FA4"/>
    <w:rsid w:val="60CD1047"/>
    <w:rsid w:val="60CE0912"/>
    <w:rsid w:val="60CE2CC1"/>
    <w:rsid w:val="60D5692C"/>
    <w:rsid w:val="60DC3746"/>
    <w:rsid w:val="60E0175E"/>
    <w:rsid w:val="60EB3363"/>
    <w:rsid w:val="60F014DA"/>
    <w:rsid w:val="60F82E2D"/>
    <w:rsid w:val="610379FB"/>
    <w:rsid w:val="610C4B2A"/>
    <w:rsid w:val="611C2337"/>
    <w:rsid w:val="612349E1"/>
    <w:rsid w:val="612B4AA2"/>
    <w:rsid w:val="613D4D64"/>
    <w:rsid w:val="615D652D"/>
    <w:rsid w:val="615F4C5A"/>
    <w:rsid w:val="61660A05"/>
    <w:rsid w:val="6175447D"/>
    <w:rsid w:val="617D1584"/>
    <w:rsid w:val="618E54C4"/>
    <w:rsid w:val="61A87865"/>
    <w:rsid w:val="61A93C6B"/>
    <w:rsid w:val="61BA27D8"/>
    <w:rsid w:val="61C03014"/>
    <w:rsid w:val="61D83E89"/>
    <w:rsid w:val="61E11B13"/>
    <w:rsid w:val="61E504AF"/>
    <w:rsid w:val="61E83F4E"/>
    <w:rsid w:val="61EB5687"/>
    <w:rsid w:val="62031A89"/>
    <w:rsid w:val="620F5E87"/>
    <w:rsid w:val="62296F25"/>
    <w:rsid w:val="62297CFD"/>
    <w:rsid w:val="62364782"/>
    <w:rsid w:val="62467FCB"/>
    <w:rsid w:val="62660C9A"/>
    <w:rsid w:val="62686BDD"/>
    <w:rsid w:val="62740BD9"/>
    <w:rsid w:val="627B1DED"/>
    <w:rsid w:val="62836DEC"/>
    <w:rsid w:val="628F5E41"/>
    <w:rsid w:val="629848C7"/>
    <w:rsid w:val="629E60D3"/>
    <w:rsid w:val="62A159A8"/>
    <w:rsid w:val="62A52789"/>
    <w:rsid w:val="62AA3D56"/>
    <w:rsid w:val="62B86877"/>
    <w:rsid w:val="62C35386"/>
    <w:rsid w:val="62DB4EFE"/>
    <w:rsid w:val="62E245C6"/>
    <w:rsid w:val="62E53885"/>
    <w:rsid w:val="631A3827"/>
    <w:rsid w:val="633D721D"/>
    <w:rsid w:val="634379A6"/>
    <w:rsid w:val="637644DD"/>
    <w:rsid w:val="637D7527"/>
    <w:rsid w:val="637E5A4C"/>
    <w:rsid w:val="63847915"/>
    <w:rsid w:val="63A07990"/>
    <w:rsid w:val="63A86D8C"/>
    <w:rsid w:val="63CB4E47"/>
    <w:rsid w:val="63D40BE9"/>
    <w:rsid w:val="63D6286E"/>
    <w:rsid w:val="63E0211F"/>
    <w:rsid w:val="64157868"/>
    <w:rsid w:val="643477F7"/>
    <w:rsid w:val="646C6D3A"/>
    <w:rsid w:val="64790728"/>
    <w:rsid w:val="647D0A51"/>
    <w:rsid w:val="647F0199"/>
    <w:rsid w:val="64874BF3"/>
    <w:rsid w:val="649D68B8"/>
    <w:rsid w:val="649F107E"/>
    <w:rsid w:val="64A21ABE"/>
    <w:rsid w:val="64A61C51"/>
    <w:rsid w:val="64A760BC"/>
    <w:rsid w:val="64C17ACE"/>
    <w:rsid w:val="64C60F2B"/>
    <w:rsid w:val="6503672E"/>
    <w:rsid w:val="65373578"/>
    <w:rsid w:val="653F727C"/>
    <w:rsid w:val="6548793A"/>
    <w:rsid w:val="65567FFF"/>
    <w:rsid w:val="655B398A"/>
    <w:rsid w:val="655D5954"/>
    <w:rsid w:val="655E1974"/>
    <w:rsid w:val="656E7B61"/>
    <w:rsid w:val="657C31C2"/>
    <w:rsid w:val="65893B33"/>
    <w:rsid w:val="65905D2A"/>
    <w:rsid w:val="65B01F28"/>
    <w:rsid w:val="65C46E98"/>
    <w:rsid w:val="65CD7D95"/>
    <w:rsid w:val="65E57A08"/>
    <w:rsid w:val="65E81BEE"/>
    <w:rsid w:val="66081136"/>
    <w:rsid w:val="6609737C"/>
    <w:rsid w:val="66165AF2"/>
    <w:rsid w:val="661701F9"/>
    <w:rsid w:val="663431BB"/>
    <w:rsid w:val="663A4620"/>
    <w:rsid w:val="66400EA4"/>
    <w:rsid w:val="664243A6"/>
    <w:rsid w:val="664F00E3"/>
    <w:rsid w:val="66A3383B"/>
    <w:rsid w:val="66A926A0"/>
    <w:rsid w:val="66C07361"/>
    <w:rsid w:val="66D6776C"/>
    <w:rsid w:val="66D74331"/>
    <w:rsid w:val="66DD6121"/>
    <w:rsid w:val="66F978FF"/>
    <w:rsid w:val="67023C7F"/>
    <w:rsid w:val="6703252B"/>
    <w:rsid w:val="67050051"/>
    <w:rsid w:val="671D4144"/>
    <w:rsid w:val="6728304C"/>
    <w:rsid w:val="672B03B6"/>
    <w:rsid w:val="673F2C7A"/>
    <w:rsid w:val="674548F2"/>
    <w:rsid w:val="674A5A34"/>
    <w:rsid w:val="677156E7"/>
    <w:rsid w:val="67742EE3"/>
    <w:rsid w:val="678C6B9C"/>
    <w:rsid w:val="67A6169A"/>
    <w:rsid w:val="67BD7633"/>
    <w:rsid w:val="67C507D0"/>
    <w:rsid w:val="67D47775"/>
    <w:rsid w:val="67D52745"/>
    <w:rsid w:val="67E97973"/>
    <w:rsid w:val="67EE6112"/>
    <w:rsid w:val="67EF38BE"/>
    <w:rsid w:val="67F43823"/>
    <w:rsid w:val="67FA4F92"/>
    <w:rsid w:val="67FB749D"/>
    <w:rsid w:val="67FC274A"/>
    <w:rsid w:val="6806420E"/>
    <w:rsid w:val="680664E0"/>
    <w:rsid w:val="68074F06"/>
    <w:rsid w:val="68184B53"/>
    <w:rsid w:val="681B4E17"/>
    <w:rsid w:val="681F6961"/>
    <w:rsid w:val="683055A2"/>
    <w:rsid w:val="6844237D"/>
    <w:rsid w:val="68610A2F"/>
    <w:rsid w:val="68766083"/>
    <w:rsid w:val="687878BB"/>
    <w:rsid w:val="68805514"/>
    <w:rsid w:val="68955405"/>
    <w:rsid w:val="68A67261"/>
    <w:rsid w:val="68C262E0"/>
    <w:rsid w:val="68D75A1D"/>
    <w:rsid w:val="68E17803"/>
    <w:rsid w:val="692A7707"/>
    <w:rsid w:val="692C463C"/>
    <w:rsid w:val="692D388F"/>
    <w:rsid w:val="694E2071"/>
    <w:rsid w:val="69537871"/>
    <w:rsid w:val="695867B2"/>
    <w:rsid w:val="697A3B33"/>
    <w:rsid w:val="699252DE"/>
    <w:rsid w:val="699679B6"/>
    <w:rsid w:val="699E2456"/>
    <w:rsid w:val="69B745D9"/>
    <w:rsid w:val="69C30119"/>
    <w:rsid w:val="69DE5DDF"/>
    <w:rsid w:val="69EF4580"/>
    <w:rsid w:val="69F34AD9"/>
    <w:rsid w:val="69F61D4A"/>
    <w:rsid w:val="6A05072F"/>
    <w:rsid w:val="6A28735E"/>
    <w:rsid w:val="6A366EE6"/>
    <w:rsid w:val="6A3E182A"/>
    <w:rsid w:val="6A617C95"/>
    <w:rsid w:val="6A6424B7"/>
    <w:rsid w:val="6A771F4C"/>
    <w:rsid w:val="6A7C3B88"/>
    <w:rsid w:val="6A962FC7"/>
    <w:rsid w:val="6AA307B9"/>
    <w:rsid w:val="6ABC1694"/>
    <w:rsid w:val="6ABD0A25"/>
    <w:rsid w:val="6ACB20A0"/>
    <w:rsid w:val="6AD46B08"/>
    <w:rsid w:val="6AE7057D"/>
    <w:rsid w:val="6B0751E6"/>
    <w:rsid w:val="6B1D3DE4"/>
    <w:rsid w:val="6B264988"/>
    <w:rsid w:val="6B28626F"/>
    <w:rsid w:val="6B30343C"/>
    <w:rsid w:val="6B322639"/>
    <w:rsid w:val="6B6C29A6"/>
    <w:rsid w:val="6B7226D7"/>
    <w:rsid w:val="6B753F21"/>
    <w:rsid w:val="6B827B14"/>
    <w:rsid w:val="6B965F59"/>
    <w:rsid w:val="6B9F7ED9"/>
    <w:rsid w:val="6BAC2975"/>
    <w:rsid w:val="6BAE4B57"/>
    <w:rsid w:val="6BB34EF8"/>
    <w:rsid w:val="6BB901D4"/>
    <w:rsid w:val="6BC16198"/>
    <w:rsid w:val="6BCC3834"/>
    <w:rsid w:val="6BDB679B"/>
    <w:rsid w:val="6BDD334B"/>
    <w:rsid w:val="6C2E6866"/>
    <w:rsid w:val="6C387721"/>
    <w:rsid w:val="6C4D7A66"/>
    <w:rsid w:val="6C541F44"/>
    <w:rsid w:val="6C563029"/>
    <w:rsid w:val="6C636C38"/>
    <w:rsid w:val="6C762C32"/>
    <w:rsid w:val="6C832144"/>
    <w:rsid w:val="6CC41786"/>
    <w:rsid w:val="6CDD72ED"/>
    <w:rsid w:val="6CEA364B"/>
    <w:rsid w:val="6CF13798"/>
    <w:rsid w:val="6D256EC2"/>
    <w:rsid w:val="6D403D96"/>
    <w:rsid w:val="6D4D29DE"/>
    <w:rsid w:val="6D54668A"/>
    <w:rsid w:val="6D675CF1"/>
    <w:rsid w:val="6D7101EF"/>
    <w:rsid w:val="6D8C1D7C"/>
    <w:rsid w:val="6D8D04A2"/>
    <w:rsid w:val="6D8E7BC3"/>
    <w:rsid w:val="6DA54F7B"/>
    <w:rsid w:val="6DB34098"/>
    <w:rsid w:val="6DB545B6"/>
    <w:rsid w:val="6DB83C77"/>
    <w:rsid w:val="6DD44C1F"/>
    <w:rsid w:val="6DFD7CD4"/>
    <w:rsid w:val="6E000657"/>
    <w:rsid w:val="6E066239"/>
    <w:rsid w:val="6E211F61"/>
    <w:rsid w:val="6E3124F1"/>
    <w:rsid w:val="6E344E0D"/>
    <w:rsid w:val="6E4375A0"/>
    <w:rsid w:val="6E4B707A"/>
    <w:rsid w:val="6E514CED"/>
    <w:rsid w:val="6E620F13"/>
    <w:rsid w:val="6E6A6BED"/>
    <w:rsid w:val="6E79024D"/>
    <w:rsid w:val="6E79491A"/>
    <w:rsid w:val="6E7D57B8"/>
    <w:rsid w:val="6EA039EE"/>
    <w:rsid w:val="6EB07E29"/>
    <w:rsid w:val="6EB563D5"/>
    <w:rsid w:val="6EBC4296"/>
    <w:rsid w:val="6EF40381"/>
    <w:rsid w:val="6F084305"/>
    <w:rsid w:val="6F0B2A24"/>
    <w:rsid w:val="6F0D7A1E"/>
    <w:rsid w:val="6F161E4B"/>
    <w:rsid w:val="6F225983"/>
    <w:rsid w:val="6F2C0A3E"/>
    <w:rsid w:val="6F3343FC"/>
    <w:rsid w:val="6F541B76"/>
    <w:rsid w:val="6F743FC6"/>
    <w:rsid w:val="6F880319"/>
    <w:rsid w:val="6F8D206B"/>
    <w:rsid w:val="6FDF2B8B"/>
    <w:rsid w:val="6FE0002C"/>
    <w:rsid w:val="6FE47E93"/>
    <w:rsid w:val="6FF40792"/>
    <w:rsid w:val="6FF50CA5"/>
    <w:rsid w:val="6FF52D61"/>
    <w:rsid w:val="6FFC5590"/>
    <w:rsid w:val="6FFE360F"/>
    <w:rsid w:val="70180DF5"/>
    <w:rsid w:val="7020098C"/>
    <w:rsid w:val="70277E41"/>
    <w:rsid w:val="702E3465"/>
    <w:rsid w:val="70301DA3"/>
    <w:rsid w:val="703434E5"/>
    <w:rsid w:val="703E1BA9"/>
    <w:rsid w:val="703E5095"/>
    <w:rsid w:val="704A4A9F"/>
    <w:rsid w:val="70582116"/>
    <w:rsid w:val="705D265C"/>
    <w:rsid w:val="70681E7A"/>
    <w:rsid w:val="706D1DD0"/>
    <w:rsid w:val="706E4EB9"/>
    <w:rsid w:val="70856B87"/>
    <w:rsid w:val="7087069E"/>
    <w:rsid w:val="708F4153"/>
    <w:rsid w:val="70B7695C"/>
    <w:rsid w:val="70D07922"/>
    <w:rsid w:val="70D527EE"/>
    <w:rsid w:val="70D53553"/>
    <w:rsid w:val="70DE23BE"/>
    <w:rsid w:val="70E51A1A"/>
    <w:rsid w:val="71004673"/>
    <w:rsid w:val="710A138A"/>
    <w:rsid w:val="711C6362"/>
    <w:rsid w:val="712D6A88"/>
    <w:rsid w:val="713752AB"/>
    <w:rsid w:val="713D0435"/>
    <w:rsid w:val="713D2B8A"/>
    <w:rsid w:val="713F1C3F"/>
    <w:rsid w:val="714761B4"/>
    <w:rsid w:val="715B5300"/>
    <w:rsid w:val="715F4BD7"/>
    <w:rsid w:val="716B1344"/>
    <w:rsid w:val="717122DE"/>
    <w:rsid w:val="71AF4988"/>
    <w:rsid w:val="71C843B5"/>
    <w:rsid w:val="71D27F8A"/>
    <w:rsid w:val="71D76A17"/>
    <w:rsid w:val="71D85D70"/>
    <w:rsid w:val="71E44481"/>
    <w:rsid w:val="71F5132F"/>
    <w:rsid w:val="71F744C6"/>
    <w:rsid w:val="71F960CF"/>
    <w:rsid w:val="71FB09CF"/>
    <w:rsid w:val="72192C03"/>
    <w:rsid w:val="722B190C"/>
    <w:rsid w:val="72367C59"/>
    <w:rsid w:val="72457E9C"/>
    <w:rsid w:val="7249798C"/>
    <w:rsid w:val="725162BE"/>
    <w:rsid w:val="725B5D81"/>
    <w:rsid w:val="726A7902"/>
    <w:rsid w:val="72723706"/>
    <w:rsid w:val="72AC0802"/>
    <w:rsid w:val="72B34E05"/>
    <w:rsid w:val="72C15778"/>
    <w:rsid w:val="72CE1C3F"/>
    <w:rsid w:val="72E61725"/>
    <w:rsid w:val="72F1461D"/>
    <w:rsid w:val="72FE1929"/>
    <w:rsid w:val="73006753"/>
    <w:rsid w:val="73010691"/>
    <w:rsid w:val="730F195D"/>
    <w:rsid w:val="73145F8C"/>
    <w:rsid w:val="731F5D5E"/>
    <w:rsid w:val="73305600"/>
    <w:rsid w:val="735124C9"/>
    <w:rsid w:val="735C633B"/>
    <w:rsid w:val="735E28BB"/>
    <w:rsid w:val="735F2FDD"/>
    <w:rsid w:val="735F57E8"/>
    <w:rsid w:val="736334C8"/>
    <w:rsid w:val="73681026"/>
    <w:rsid w:val="73765CCB"/>
    <w:rsid w:val="737A7D2F"/>
    <w:rsid w:val="73A74A77"/>
    <w:rsid w:val="73C92407"/>
    <w:rsid w:val="73E1541F"/>
    <w:rsid w:val="73EA5184"/>
    <w:rsid w:val="73EA78B3"/>
    <w:rsid w:val="73EF3BBA"/>
    <w:rsid w:val="741B043E"/>
    <w:rsid w:val="741E793C"/>
    <w:rsid w:val="742E00DF"/>
    <w:rsid w:val="743B0934"/>
    <w:rsid w:val="743D52CE"/>
    <w:rsid w:val="74426044"/>
    <w:rsid w:val="746E0DF9"/>
    <w:rsid w:val="74740EAC"/>
    <w:rsid w:val="74770C13"/>
    <w:rsid w:val="747B2802"/>
    <w:rsid w:val="747F4E3C"/>
    <w:rsid w:val="74914C19"/>
    <w:rsid w:val="74A6112F"/>
    <w:rsid w:val="74A74A9F"/>
    <w:rsid w:val="74BE13A8"/>
    <w:rsid w:val="74D87374"/>
    <w:rsid w:val="74E1238C"/>
    <w:rsid w:val="74E6411D"/>
    <w:rsid w:val="74EA219A"/>
    <w:rsid w:val="75035445"/>
    <w:rsid w:val="75037E14"/>
    <w:rsid w:val="750B6C7D"/>
    <w:rsid w:val="75146A3C"/>
    <w:rsid w:val="751C4038"/>
    <w:rsid w:val="751E0BB4"/>
    <w:rsid w:val="752B02EA"/>
    <w:rsid w:val="752E3D92"/>
    <w:rsid w:val="7537210A"/>
    <w:rsid w:val="753E007F"/>
    <w:rsid w:val="753F1B31"/>
    <w:rsid w:val="75580B68"/>
    <w:rsid w:val="75584D75"/>
    <w:rsid w:val="75671ED7"/>
    <w:rsid w:val="756916B7"/>
    <w:rsid w:val="75780302"/>
    <w:rsid w:val="757B56BE"/>
    <w:rsid w:val="758D75E2"/>
    <w:rsid w:val="75A53650"/>
    <w:rsid w:val="75C3765B"/>
    <w:rsid w:val="75D237F5"/>
    <w:rsid w:val="76214B14"/>
    <w:rsid w:val="763500DB"/>
    <w:rsid w:val="76404C02"/>
    <w:rsid w:val="76513171"/>
    <w:rsid w:val="76A21419"/>
    <w:rsid w:val="76A5320F"/>
    <w:rsid w:val="76AC04E9"/>
    <w:rsid w:val="76AE1AFE"/>
    <w:rsid w:val="76BC0CFE"/>
    <w:rsid w:val="76BC49B7"/>
    <w:rsid w:val="76D27DF6"/>
    <w:rsid w:val="76D35A76"/>
    <w:rsid w:val="76D65A8E"/>
    <w:rsid w:val="76E85658"/>
    <w:rsid w:val="77021D02"/>
    <w:rsid w:val="770C2D36"/>
    <w:rsid w:val="771E1DEA"/>
    <w:rsid w:val="77222FFD"/>
    <w:rsid w:val="772938E8"/>
    <w:rsid w:val="77455575"/>
    <w:rsid w:val="77660773"/>
    <w:rsid w:val="77737259"/>
    <w:rsid w:val="77762421"/>
    <w:rsid w:val="777D03EA"/>
    <w:rsid w:val="77804029"/>
    <w:rsid w:val="77846B1B"/>
    <w:rsid w:val="778B4ECA"/>
    <w:rsid w:val="778D6A7B"/>
    <w:rsid w:val="77AC77B6"/>
    <w:rsid w:val="77AF37C3"/>
    <w:rsid w:val="77BC475C"/>
    <w:rsid w:val="77C02A1F"/>
    <w:rsid w:val="77C811B6"/>
    <w:rsid w:val="77CE623E"/>
    <w:rsid w:val="77D23001"/>
    <w:rsid w:val="77D53A70"/>
    <w:rsid w:val="77D81CAD"/>
    <w:rsid w:val="77F237FE"/>
    <w:rsid w:val="77F854E0"/>
    <w:rsid w:val="780B6A60"/>
    <w:rsid w:val="780F09F4"/>
    <w:rsid w:val="7819123D"/>
    <w:rsid w:val="78206AB4"/>
    <w:rsid w:val="78225CF5"/>
    <w:rsid w:val="7840538D"/>
    <w:rsid w:val="78583E02"/>
    <w:rsid w:val="78764C12"/>
    <w:rsid w:val="78856E63"/>
    <w:rsid w:val="7890328B"/>
    <w:rsid w:val="789C4F47"/>
    <w:rsid w:val="78A90480"/>
    <w:rsid w:val="78AC795A"/>
    <w:rsid w:val="78B15398"/>
    <w:rsid w:val="78D10538"/>
    <w:rsid w:val="78E771AA"/>
    <w:rsid w:val="790C34C1"/>
    <w:rsid w:val="7919143F"/>
    <w:rsid w:val="792808E2"/>
    <w:rsid w:val="792D57A5"/>
    <w:rsid w:val="79385262"/>
    <w:rsid w:val="794A2E52"/>
    <w:rsid w:val="796B54BA"/>
    <w:rsid w:val="797731A2"/>
    <w:rsid w:val="797820B9"/>
    <w:rsid w:val="797D6141"/>
    <w:rsid w:val="79811327"/>
    <w:rsid w:val="79826338"/>
    <w:rsid w:val="798B21BE"/>
    <w:rsid w:val="799B610F"/>
    <w:rsid w:val="79A3795A"/>
    <w:rsid w:val="79AF6994"/>
    <w:rsid w:val="79B46FD3"/>
    <w:rsid w:val="79C710A2"/>
    <w:rsid w:val="79EA526C"/>
    <w:rsid w:val="79F720F9"/>
    <w:rsid w:val="79FD2E0A"/>
    <w:rsid w:val="7A2D1B5B"/>
    <w:rsid w:val="7A340F22"/>
    <w:rsid w:val="7A364017"/>
    <w:rsid w:val="7A520C37"/>
    <w:rsid w:val="7A543AE9"/>
    <w:rsid w:val="7A580F31"/>
    <w:rsid w:val="7A645FB5"/>
    <w:rsid w:val="7A747739"/>
    <w:rsid w:val="7A8265E1"/>
    <w:rsid w:val="7A884AAC"/>
    <w:rsid w:val="7A8F4D06"/>
    <w:rsid w:val="7A914414"/>
    <w:rsid w:val="7A9E7E21"/>
    <w:rsid w:val="7AA15E88"/>
    <w:rsid w:val="7AAD35E1"/>
    <w:rsid w:val="7ABB594D"/>
    <w:rsid w:val="7ACC45F4"/>
    <w:rsid w:val="7AD34A2D"/>
    <w:rsid w:val="7ADF4D92"/>
    <w:rsid w:val="7AE64ECD"/>
    <w:rsid w:val="7AE67880"/>
    <w:rsid w:val="7B2A08C8"/>
    <w:rsid w:val="7B2A40D3"/>
    <w:rsid w:val="7B4115F2"/>
    <w:rsid w:val="7B4A207F"/>
    <w:rsid w:val="7B5D6256"/>
    <w:rsid w:val="7B615A25"/>
    <w:rsid w:val="7B6507A8"/>
    <w:rsid w:val="7B686D42"/>
    <w:rsid w:val="7B6B5DDD"/>
    <w:rsid w:val="7B70250F"/>
    <w:rsid w:val="7B7576D0"/>
    <w:rsid w:val="7B841746"/>
    <w:rsid w:val="7B923A37"/>
    <w:rsid w:val="7B964470"/>
    <w:rsid w:val="7BA33101"/>
    <w:rsid w:val="7BAD10BB"/>
    <w:rsid w:val="7BDE65EC"/>
    <w:rsid w:val="7BE56057"/>
    <w:rsid w:val="7BF40383"/>
    <w:rsid w:val="7BF9175E"/>
    <w:rsid w:val="7C067D2B"/>
    <w:rsid w:val="7C263B8C"/>
    <w:rsid w:val="7C2F405D"/>
    <w:rsid w:val="7C3E1BE4"/>
    <w:rsid w:val="7C450053"/>
    <w:rsid w:val="7C4C6289"/>
    <w:rsid w:val="7C50675D"/>
    <w:rsid w:val="7C5261AC"/>
    <w:rsid w:val="7C532052"/>
    <w:rsid w:val="7C64366B"/>
    <w:rsid w:val="7C686C61"/>
    <w:rsid w:val="7C6D5E4B"/>
    <w:rsid w:val="7C8C3359"/>
    <w:rsid w:val="7C921F30"/>
    <w:rsid w:val="7C9E6B26"/>
    <w:rsid w:val="7CBC5DB5"/>
    <w:rsid w:val="7CDA0CB4"/>
    <w:rsid w:val="7CEC7892"/>
    <w:rsid w:val="7CF56D71"/>
    <w:rsid w:val="7CFC55FB"/>
    <w:rsid w:val="7D0239FF"/>
    <w:rsid w:val="7D0D1339"/>
    <w:rsid w:val="7D1110A6"/>
    <w:rsid w:val="7D3D1EEA"/>
    <w:rsid w:val="7D3E4206"/>
    <w:rsid w:val="7D5E40CD"/>
    <w:rsid w:val="7D693BED"/>
    <w:rsid w:val="7D7D4053"/>
    <w:rsid w:val="7D847658"/>
    <w:rsid w:val="7D9C5387"/>
    <w:rsid w:val="7DCB07C4"/>
    <w:rsid w:val="7DCD5E4E"/>
    <w:rsid w:val="7DD86068"/>
    <w:rsid w:val="7DED7BC3"/>
    <w:rsid w:val="7DEE6BB7"/>
    <w:rsid w:val="7DF65A34"/>
    <w:rsid w:val="7E015EDD"/>
    <w:rsid w:val="7E067773"/>
    <w:rsid w:val="7E07399E"/>
    <w:rsid w:val="7E0A7406"/>
    <w:rsid w:val="7E1575D2"/>
    <w:rsid w:val="7E21706B"/>
    <w:rsid w:val="7E2412AD"/>
    <w:rsid w:val="7E4222AF"/>
    <w:rsid w:val="7E47575A"/>
    <w:rsid w:val="7E4B55B0"/>
    <w:rsid w:val="7E67409E"/>
    <w:rsid w:val="7E7E3660"/>
    <w:rsid w:val="7E8335D2"/>
    <w:rsid w:val="7E9C10FE"/>
    <w:rsid w:val="7EA13417"/>
    <w:rsid w:val="7EA146AC"/>
    <w:rsid w:val="7EC01C08"/>
    <w:rsid w:val="7EEE33D2"/>
    <w:rsid w:val="7EF66919"/>
    <w:rsid w:val="7EF70770"/>
    <w:rsid w:val="7EFA3C29"/>
    <w:rsid w:val="7F1076B7"/>
    <w:rsid w:val="7F243D71"/>
    <w:rsid w:val="7F2A04A6"/>
    <w:rsid w:val="7F404976"/>
    <w:rsid w:val="7F466367"/>
    <w:rsid w:val="7F6F2DBB"/>
    <w:rsid w:val="7F7754C8"/>
    <w:rsid w:val="7F8058BC"/>
    <w:rsid w:val="7F814588"/>
    <w:rsid w:val="7F982B34"/>
    <w:rsid w:val="7FA248A8"/>
    <w:rsid w:val="7FA44C39"/>
    <w:rsid w:val="7FA735E8"/>
    <w:rsid w:val="7FC90A85"/>
    <w:rsid w:val="7FDB48D2"/>
    <w:rsid w:val="7FE47E50"/>
    <w:rsid w:val="7FF6032E"/>
    <w:rsid w:val="7FF91C8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ocked="1"/>
    <w:lsdException w:qFormat="1" w:uiPriority="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qFormat="1" w:uiPriority="99"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31"/>
    <w:qFormat/>
    <w:locked/>
    <w:uiPriority w:val="99"/>
    <w:pPr>
      <w:keepNext/>
      <w:keepLines/>
      <w:tabs>
        <w:tab w:val="left" w:pos="0"/>
      </w:tabs>
      <w:outlineLvl w:val="1"/>
    </w:pPr>
    <w:rPr>
      <w:rFonts w:cs="Courier New"/>
      <w:b/>
      <w:bCs/>
      <w:szCs w:val="28"/>
    </w:rPr>
  </w:style>
  <w:style w:type="paragraph" w:styleId="4">
    <w:name w:val="heading 4"/>
    <w:basedOn w:val="1"/>
    <w:next w:val="1"/>
    <w:qFormat/>
    <w:locked/>
    <w:uiPriority w:val="99"/>
    <w:pPr>
      <w:keepNext/>
      <w:keepLines/>
      <w:outlineLvl w:val="3"/>
    </w:pPr>
    <w:rPr>
      <w:rFonts w:cs="Courier New"/>
      <w:b/>
      <w:bCs/>
      <w:szCs w:val="21"/>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qFormat/>
    <w:locked/>
    <w:uiPriority w:val="0"/>
    <w:pPr>
      <w:adjustRightInd w:val="0"/>
      <w:spacing w:beforeLines="0" w:afterLines="0"/>
      <w:jc w:val="center"/>
      <w:textAlignment w:val="baseline"/>
    </w:pPr>
    <w:rPr>
      <w:rFonts w:hint="default" w:ascii="Cambria" w:hAnsi="Cambria" w:eastAsia="黑体"/>
      <w:b/>
      <w:sz w:val="21"/>
      <w:szCs w:val="24"/>
    </w:rPr>
  </w:style>
  <w:style w:type="paragraph" w:styleId="6">
    <w:name w:val="annotation text"/>
    <w:basedOn w:val="1"/>
    <w:link w:val="32"/>
    <w:semiHidden/>
    <w:qFormat/>
    <w:uiPriority w:val="0"/>
    <w:pPr>
      <w:jc w:val="left"/>
    </w:pPr>
    <w:rPr>
      <w:kern w:val="0"/>
      <w:sz w:val="20"/>
    </w:rPr>
  </w:style>
  <w:style w:type="paragraph" w:styleId="7">
    <w:name w:val="Salutation"/>
    <w:basedOn w:val="1"/>
    <w:next w:val="1"/>
    <w:unhideWhenUsed/>
    <w:qFormat/>
    <w:uiPriority w:val="99"/>
    <w:rPr>
      <w:rFonts w:ascii="Calibri" w:hAnsi="Calibri" w:eastAsia="宋体" w:cs="Times New Roman"/>
    </w:rPr>
  </w:style>
  <w:style w:type="paragraph" w:styleId="8">
    <w:name w:val="Body Text"/>
    <w:basedOn w:val="1"/>
    <w:link w:val="30"/>
    <w:qFormat/>
    <w:uiPriority w:val="0"/>
    <w:pPr>
      <w:widowControl/>
      <w:snapToGrid w:val="0"/>
      <w:spacing w:before="60" w:after="160" w:line="259" w:lineRule="auto"/>
      <w:ind w:right="113"/>
    </w:pPr>
    <w:rPr>
      <w:kern w:val="0"/>
      <w:sz w:val="18"/>
      <w:szCs w:val="18"/>
    </w:rPr>
  </w:style>
  <w:style w:type="paragraph" w:styleId="9">
    <w:name w:val="Body Text Indent"/>
    <w:basedOn w:val="1"/>
    <w:next w:val="8"/>
    <w:link w:val="33"/>
    <w:semiHidden/>
    <w:qFormat/>
    <w:uiPriority w:val="0"/>
    <w:pPr>
      <w:spacing w:after="120"/>
      <w:ind w:left="420" w:leftChars="200"/>
    </w:pPr>
  </w:style>
  <w:style w:type="paragraph" w:styleId="10">
    <w:name w:val="Plain Text"/>
    <w:basedOn w:val="1"/>
    <w:qFormat/>
    <w:uiPriority w:val="0"/>
    <w:rPr>
      <w:rFonts w:ascii="宋体" w:hAnsi="Courier New" w:cs="Courier New"/>
      <w:szCs w:val="21"/>
    </w:rPr>
  </w:style>
  <w:style w:type="paragraph" w:styleId="11">
    <w:name w:val="List Bullet 5"/>
    <w:basedOn w:val="1"/>
    <w:qFormat/>
    <w:uiPriority w:val="0"/>
    <w:pPr>
      <w:numPr>
        <w:ilvl w:val="0"/>
        <w:numId w:val="1"/>
      </w:numPr>
    </w:pPr>
  </w:style>
  <w:style w:type="paragraph" w:styleId="12">
    <w:name w:val="Date"/>
    <w:basedOn w:val="1"/>
    <w:next w:val="1"/>
    <w:link w:val="34"/>
    <w:qFormat/>
    <w:uiPriority w:val="0"/>
    <w:pPr>
      <w:ind w:left="100" w:leftChars="2500"/>
    </w:pPr>
    <w:rPr>
      <w:kern w:val="0"/>
      <w:sz w:val="20"/>
    </w:rPr>
  </w:style>
  <w:style w:type="paragraph" w:styleId="13">
    <w:name w:val="Body Text Indent 2"/>
    <w:basedOn w:val="1"/>
    <w:qFormat/>
    <w:uiPriority w:val="0"/>
    <w:pPr>
      <w:spacing w:after="120" w:line="480" w:lineRule="auto"/>
      <w:ind w:left="420" w:leftChars="200"/>
    </w:pPr>
    <w:rPr>
      <w:rFonts w:ascii="Calibri" w:hAnsi="Calibri"/>
      <w:sz w:val="24"/>
      <w:szCs w:val="24"/>
    </w:rPr>
  </w:style>
  <w:style w:type="paragraph" w:styleId="14">
    <w:name w:val="Balloon Text"/>
    <w:basedOn w:val="1"/>
    <w:link w:val="35"/>
    <w:semiHidden/>
    <w:qFormat/>
    <w:uiPriority w:val="0"/>
    <w:rPr>
      <w:sz w:val="18"/>
      <w:szCs w:val="18"/>
    </w:rPr>
  </w:style>
  <w:style w:type="paragraph" w:styleId="15">
    <w:name w:val="footer"/>
    <w:basedOn w:val="1"/>
    <w:link w:val="36"/>
    <w:qFormat/>
    <w:uiPriority w:val="0"/>
    <w:pPr>
      <w:tabs>
        <w:tab w:val="center" w:pos="4153"/>
        <w:tab w:val="right" w:pos="8306"/>
      </w:tabs>
      <w:snapToGrid w:val="0"/>
      <w:jc w:val="left"/>
    </w:pPr>
    <w:rPr>
      <w:sz w:val="18"/>
      <w:szCs w:val="18"/>
    </w:rPr>
  </w:style>
  <w:style w:type="paragraph" w:styleId="16">
    <w:name w:val="envelope return"/>
    <w:basedOn w:val="1"/>
    <w:qFormat/>
    <w:uiPriority w:val="0"/>
    <w:pPr>
      <w:snapToGrid w:val="0"/>
    </w:pPr>
    <w:rPr>
      <w:rFonts w:ascii="Arial" w:hAnsi="Arial"/>
    </w:rPr>
  </w:style>
  <w:style w:type="paragraph" w:styleId="17">
    <w:name w:val="header"/>
    <w:basedOn w:val="1"/>
    <w:next w:val="1"/>
    <w:link w:val="37"/>
    <w:qFormat/>
    <w:uiPriority w:val="0"/>
    <w:pPr>
      <w:pBdr>
        <w:bottom w:val="single" w:color="auto" w:sz="6" w:space="1"/>
      </w:pBdr>
      <w:tabs>
        <w:tab w:val="center" w:pos="4153"/>
        <w:tab w:val="right" w:pos="8306"/>
      </w:tabs>
      <w:snapToGrid w:val="0"/>
      <w:jc w:val="center"/>
    </w:pPr>
    <w:rPr>
      <w:sz w:val="18"/>
      <w:szCs w:val="18"/>
    </w:rPr>
  </w:style>
  <w:style w:type="paragraph" w:styleId="18">
    <w:name w:val="table of figures"/>
    <w:basedOn w:val="1"/>
    <w:next w:val="1"/>
    <w:qFormat/>
    <w:uiPriority w:val="0"/>
    <w:pPr>
      <w:ind w:left="200" w:leftChars="200" w:hanging="200" w:hangingChars="200"/>
    </w:pPr>
  </w:style>
  <w:style w:type="paragraph" w:styleId="19">
    <w:name w:val="Normal (Web)"/>
    <w:basedOn w:val="1"/>
    <w:link w:val="38"/>
    <w:qFormat/>
    <w:uiPriority w:val="0"/>
    <w:pPr>
      <w:widowControl/>
      <w:spacing w:before="100" w:beforeAutospacing="1" w:after="100" w:afterAutospacing="1"/>
      <w:jc w:val="left"/>
    </w:pPr>
    <w:rPr>
      <w:rFonts w:ascii="宋体" w:hAnsi="宋体"/>
      <w:kern w:val="0"/>
      <w:sz w:val="24"/>
    </w:rPr>
  </w:style>
  <w:style w:type="paragraph" w:styleId="20">
    <w:name w:val="annotation subject"/>
    <w:basedOn w:val="6"/>
    <w:next w:val="6"/>
    <w:link w:val="39"/>
    <w:semiHidden/>
    <w:qFormat/>
    <w:uiPriority w:val="0"/>
    <w:rPr>
      <w:b/>
      <w:bCs/>
    </w:rPr>
  </w:style>
  <w:style w:type="paragraph" w:styleId="21">
    <w:name w:val="Body Text First Indent"/>
    <w:basedOn w:val="8"/>
    <w:next w:val="1"/>
    <w:unhideWhenUsed/>
    <w:qFormat/>
    <w:uiPriority w:val="99"/>
    <w:pPr>
      <w:ind w:firstLine="420" w:firstLineChars="100"/>
    </w:pPr>
  </w:style>
  <w:style w:type="paragraph" w:styleId="22">
    <w:name w:val="Body Text First Indent 2"/>
    <w:basedOn w:val="9"/>
    <w:next w:val="1"/>
    <w:unhideWhenUsed/>
    <w:qFormat/>
    <w:uiPriority w:val="99"/>
    <w:pPr>
      <w:ind w:firstLine="420"/>
    </w:pPr>
  </w:style>
  <w:style w:type="table" w:styleId="24">
    <w:name w:val="Table Grid"/>
    <w:basedOn w:val="2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locked/>
    <w:uiPriority w:val="0"/>
    <w:rPr>
      <w:b/>
    </w:rPr>
  </w:style>
  <w:style w:type="character" w:styleId="27">
    <w:name w:val="page number"/>
    <w:qFormat/>
    <w:uiPriority w:val="0"/>
  </w:style>
  <w:style w:type="character" w:styleId="28">
    <w:name w:val="Hyperlink"/>
    <w:qFormat/>
    <w:uiPriority w:val="0"/>
    <w:rPr>
      <w:color w:val="0000FF"/>
      <w:u w:val="single"/>
    </w:rPr>
  </w:style>
  <w:style w:type="character" w:styleId="29">
    <w:name w:val="annotation reference"/>
    <w:semiHidden/>
    <w:qFormat/>
    <w:uiPriority w:val="0"/>
    <w:rPr>
      <w:sz w:val="21"/>
    </w:rPr>
  </w:style>
  <w:style w:type="character" w:customStyle="1" w:styleId="30">
    <w:name w:val="正文文本 Char"/>
    <w:link w:val="8"/>
    <w:qFormat/>
    <w:locked/>
    <w:uiPriority w:val="0"/>
    <w:rPr>
      <w:sz w:val="18"/>
    </w:rPr>
  </w:style>
  <w:style w:type="character" w:customStyle="1" w:styleId="31">
    <w:name w:val="标题 2 Char"/>
    <w:link w:val="3"/>
    <w:qFormat/>
    <w:uiPriority w:val="99"/>
    <w:rPr>
      <w:rFonts w:cs="Courier New"/>
      <w:b/>
      <w:bCs/>
      <w:szCs w:val="28"/>
    </w:rPr>
  </w:style>
  <w:style w:type="character" w:customStyle="1" w:styleId="32">
    <w:name w:val="批注文字 Char"/>
    <w:link w:val="6"/>
    <w:qFormat/>
    <w:locked/>
    <w:uiPriority w:val="0"/>
    <w:rPr>
      <w:rFonts w:ascii="Times New Roman" w:hAnsi="Times New Roman" w:eastAsia="宋体"/>
      <w:sz w:val="24"/>
    </w:rPr>
  </w:style>
  <w:style w:type="character" w:customStyle="1" w:styleId="33">
    <w:name w:val="正文文本缩进 Char"/>
    <w:link w:val="9"/>
    <w:semiHidden/>
    <w:qFormat/>
    <w:locked/>
    <w:uiPriority w:val="0"/>
    <w:rPr>
      <w:rFonts w:ascii="Times New Roman" w:hAnsi="Times New Roman" w:eastAsia="宋体" w:cs="Times New Roman"/>
      <w:sz w:val="24"/>
      <w:szCs w:val="24"/>
    </w:rPr>
  </w:style>
  <w:style w:type="character" w:customStyle="1" w:styleId="34">
    <w:name w:val="日期 Char"/>
    <w:link w:val="12"/>
    <w:qFormat/>
    <w:locked/>
    <w:uiPriority w:val="0"/>
    <w:rPr>
      <w:rFonts w:ascii="Times New Roman" w:hAnsi="Times New Roman" w:eastAsia="宋体"/>
      <w:sz w:val="24"/>
    </w:rPr>
  </w:style>
  <w:style w:type="character" w:customStyle="1" w:styleId="35">
    <w:name w:val="批注框文本 Char"/>
    <w:link w:val="14"/>
    <w:semiHidden/>
    <w:qFormat/>
    <w:locked/>
    <w:uiPriority w:val="0"/>
    <w:rPr>
      <w:rFonts w:ascii="Times New Roman" w:hAnsi="Times New Roman" w:eastAsia="宋体" w:cs="Times New Roman"/>
      <w:sz w:val="18"/>
      <w:szCs w:val="18"/>
    </w:rPr>
  </w:style>
  <w:style w:type="character" w:customStyle="1" w:styleId="36">
    <w:name w:val="页脚 Char"/>
    <w:link w:val="15"/>
    <w:qFormat/>
    <w:locked/>
    <w:uiPriority w:val="0"/>
    <w:rPr>
      <w:rFonts w:cs="Times New Roman"/>
      <w:sz w:val="18"/>
      <w:szCs w:val="18"/>
    </w:rPr>
  </w:style>
  <w:style w:type="character" w:customStyle="1" w:styleId="37">
    <w:name w:val="页眉 Char"/>
    <w:link w:val="17"/>
    <w:qFormat/>
    <w:locked/>
    <w:uiPriority w:val="0"/>
    <w:rPr>
      <w:rFonts w:cs="Times New Roman"/>
      <w:sz w:val="18"/>
      <w:szCs w:val="18"/>
    </w:rPr>
  </w:style>
  <w:style w:type="character" w:customStyle="1" w:styleId="38">
    <w:name w:val="普通(网站) Char1"/>
    <w:link w:val="19"/>
    <w:qFormat/>
    <w:locked/>
    <w:uiPriority w:val="0"/>
    <w:rPr>
      <w:rFonts w:ascii="宋体" w:hAnsi="宋体" w:eastAsia="宋体"/>
      <w:sz w:val="24"/>
    </w:rPr>
  </w:style>
  <w:style w:type="character" w:customStyle="1" w:styleId="39">
    <w:name w:val="批注主题 Char"/>
    <w:link w:val="20"/>
    <w:semiHidden/>
    <w:qFormat/>
    <w:locked/>
    <w:uiPriority w:val="0"/>
    <w:rPr>
      <w:rFonts w:cs="Times New Roman"/>
      <w:b/>
      <w:bCs/>
      <w:kern w:val="2"/>
      <w:szCs w:val="24"/>
    </w:rPr>
  </w:style>
  <w:style w:type="paragraph" w:customStyle="1" w:styleId="40">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1">
    <w:name w:val="表格标题-3"/>
    <w:basedOn w:val="42"/>
    <w:next w:val="1"/>
    <w:qFormat/>
    <w:uiPriority w:val="0"/>
    <w:pPr>
      <w:tabs>
        <w:tab w:val="left" w:pos="851"/>
      </w:tabs>
    </w:pPr>
    <w:rPr>
      <w:rFonts w:ascii="Times New Roman" w:eastAsia="宋体"/>
      <w:b/>
      <w:sz w:val="21"/>
    </w:rPr>
  </w:style>
  <w:style w:type="paragraph" w:customStyle="1" w:styleId="42">
    <w:name w:val="表格标题-xin"/>
    <w:basedOn w:val="1"/>
    <w:next w:val="1"/>
    <w:semiHidden/>
    <w:qFormat/>
    <w:uiPriority w:val="0"/>
    <w:pPr>
      <w:adjustRightInd w:val="0"/>
      <w:snapToGrid w:val="0"/>
      <w:jc w:val="center"/>
    </w:pPr>
    <w:rPr>
      <w:rFonts w:ascii="黑体" w:eastAsia="黑体"/>
    </w:rPr>
  </w:style>
  <w:style w:type="character" w:customStyle="1" w:styleId="43">
    <w:name w:val="日期 字符"/>
    <w:semiHidden/>
    <w:qFormat/>
    <w:uiPriority w:val="0"/>
    <w:rPr>
      <w:rFonts w:ascii="Times New Roman" w:hAnsi="Times New Roman" w:eastAsia="宋体" w:cs="Times New Roman"/>
      <w:sz w:val="24"/>
      <w:szCs w:val="24"/>
    </w:rPr>
  </w:style>
  <w:style w:type="character" w:customStyle="1" w:styleId="44">
    <w:name w:val="正文文本 字符1"/>
    <w:semiHidden/>
    <w:qFormat/>
    <w:uiPriority w:val="0"/>
    <w:rPr>
      <w:rFonts w:ascii="Times New Roman" w:hAnsi="Times New Roman" w:eastAsia="宋体" w:cs="Times New Roman"/>
      <w:sz w:val="24"/>
      <w:szCs w:val="24"/>
    </w:rPr>
  </w:style>
  <w:style w:type="paragraph" w:customStyle="1" w:styleId="45">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6">
    <w:name w:val="表格 Char"/>
    <w:link w:val="47"/>
    <w:qFormat/>
    <w:locked/>
    <w:uiPriority w:val="0"/>
    <w:rPr>
      <w:rFonts w:ascii="宋体"/>
      <w:sz w:val="21"/>
    </w:rPr>
  </w:style>
  <w:style w:type="paragraph" w:customStyle="1" w:styleId="47">
    <w:name w:val="表格"/>
    <w:basedOn w:val="1"/>
    <w:link w:val="46"/>
    <w:qFormat/>
    <w:uiPriority w:val="0"/>
    <w:pPr>
      <w:adjustRightInd w:val="0"/>
      <w:snapToGrid w:val="0"/>
      <w:spacing w:beforeLines="10" w:afterLines="10" w:line="259" w:lineRule="auto"/>
      <w:jc w:val="center"/>
    </w:pPr>
    <w:rPr>
      <w:rFonts w:ascii="宋体"/>
      <w:kern w:val="0"/>
      <w:sz w:val="20"/>
      <w:szCs w:val="21"/>
    </w:rPr>
  </w:style>
  <w:style w:type="character" w:customStyle="1" w:styleId="48">
    <w:name w:val="批注文字 字符1"/>
    <w:semiHidden/>
    <w:qFormat/>
    <w:uiPriority w:val="0"/>
    <w:rPr>
      <w:rFonts w:ascii="Times New Roman" w:hAnsi="Times New Roman" w:eastAsia="宋体" w:cs="Times New Roman"/>
      <w:sz w:val="24"/>
      <w:szCs w:val="24"/>
    </w:rPr>
  </w:style>
  <w:style w:type="character" w:customStyle="1" w:styleId="49">
    <w:name w:val="普通(网站) Char"/>
    <w:qFormat/>
    <w:locked/>
    <w:uiPriority w:val="0"/>
    <w:rPr>
      <w:rFonts w:ascii="宋体" w:hAnsi="宋体" w:eastAsia="宋体"/>
      <w:sz w:val="24"/>
    </w:rPr>
  </w:style>
  <w:style w:type="paragraph" w:customStyle="1" w:styleId="50">
    <w:name w:val="表格首行"/>
    <w:basedOn w:val="1"/>
    <w:next w:val="1"/>
    <w:qFormat/>
    <w:uiPriority w:val="0"/>
    <w:pPr>
      <w:jc w:val="center"/>
    </w:pPr>
    <w:rPr>
      <w:rFonts w:cs="宋体"/>
      <w:b/>
      <w:szCs w:val="20"/>
    </w:rPr>
  </w:style>
  <w:style w:type="paragraph" w:customStyle="1" w:styleId="51">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52">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53">
    <w:name w:val="Table Grid_0"/>
    <w:basedOn w:val="23"/>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4">
    <w:name w:val="表格标题-1"/>
    <w:basedOn w:val="42"/>
    <w:next w:val="1"/>
    <w:qFormat/>
    <w:uiPriority w:val="0"/>
    <w:rPr>
      <w:rFonts w:ascii="Times New Roman" w:eastAsia="宋体"/>
      <w:b/>
      <w:sz w:val="21"/>
    </w:rPr>
  </w:style>
  <w:style w:type="paragraph" w:customStyle="1" w:styleId="55">
    <w:name w:val="表格内容"/>
    <w:basedOn w:val="56"/>
    <w:next w:val="1"/>
    <w:qFormat/>
    <w:uiPriority w:val="0"/>
    <w:pPr>
      <w:spacing w:line="240" w:lineRule="auto"/>
      <w:ind w:firstLine="0" w:firstLineChars="0"/>
      <w:jc w:val="center"/>
    </w:pPr>
    <w:rPr>
      <w:rFonts w:eastAsia="Times New Roman" w:cs="Courier New"/>
      <w:sz w:val="21"/>
      <w:szCs w:val="21"/>
    </w:rPr>
  </w:style>
  <w:style w:type="paragraph" w:customStyle="1" w:styleId="56">
    <w:name w:val="表格标题"/>
    <w:basedOn w:val="5"/>
    <w:link w:val="57"/>
    <w:semiHidden/>
    <w:qFormat/>
    <w:uiPriority w:val="0"/>
    <w:pPr>
      <w:widowControl w:val="0"/>
      <w:autoSpaceDE w:val="0"/>
      <w:autoSpaceDN w:val="0"/>
      <w:adjustRightInd w:val="0"/>
      <w:ind w:firstLine="436" w:firstLineChars="200"/>
      <w:outlineLvl w:val="4"/>
    </w:pPr>
    <w:rPr>
      <w:rFonts w:ascii="华文仿宋" w:hAnsi="华文仿宋" w:eastAsia="华文仿宋"/>
      <w:b w:val="0"/>
      <w:color w:val="000000"/>
      <w:sz w:val="22"/>
      <w:lang w:val="en-US" w:eastAsia="zh-CN" w:bidi="ar-SA"/>
    </w:rPr>
  </w:style>
  <w:style w:type="character" w:customStyle="1" w:styleId="57">
    <w:name w:val="表格标题 字符"/>
    <w:link w:val="56"/>
    <w:semiHidden/>
    <w:qFormat/>
    <w:locked/>
    <w:uiPriority w:val="0"/>
    <w:rPr>
      <w:rFonts w:ascii="华文仿宋" w:hAnsi="华文仿宋" w:eastAsia="华文仿宋"/>
      <w:b/>
      <w:color w:val="000000"/>
      <w:sz w:val="22"/>
      <w:lang w:val="en-US" w:eastAsia="zh-CN" w:bidi="ar-SA"/>
    </w:rPr>
  </w:style>
  <w:style w:type="paragraph" w:customStyle="1" w:styleId="58">
    <w:name w:val="正文-小四"/>
    <w:basedOn w:val="1"/>
    <w:next w:val="1"/>
    <w:link w:val="59"/>
    <w:qFormat/>
    <w:uiPriority w:val="0"/>
    <w:pPr>
      <w:ind w:firstLine="480"/>
      <w:jc w:val="both"/>
    </w:pPr>
    <w:rPr>
      <w:bCs/>
    </w:rPr>
  </w:style>
  <w:style w:type="character" w:customStyle="1" w:styleId="59">
    <w:name w:val="正文-小四 Char"/>
    <w:link w:val="58"/>
    <w:qFormat/>
    <w:uiPriority w:val="0"/>
    <w:rPr>
      <w:bCs/>
    </w:rPr>
  </w:style>
  <w:style w:type="paragraph" w:customStyle="1" w:styleId="60">
    <w:name w:val="表格标题-2"/>
    <w:basedOn w:val="42"/>
    <w:next w:val="1"/>
    <w:qFormat/>
    <w:uiPriority w:val="0"/>
    <w:pPr>
      <w:tabs>
        <w:tab w:val="left" w:pos="851"/>
      </w:tabs>
    </w:pPr>
    <w:rPr>
      <w:rFonts w:ascii="Times New Roman" w:eastAsia="宋体"/>
      <w:b/>
      <w:sz w:val="21"/>
    </w:rPr>
  </w:style>
  <w:style w:type="paragraph" w:customStyle="1" w:styleId="61">
    <w:name w:val="空一行"/>
    <w:basedOn w:val="1"/>
    <w:qFormat/>
    <w:uiPriority w:val="0"/>
    <w:pPr>
      <w:spacing w:line="240" w:lineRule="auto"/>
      <w:ind w:firstLine="482"/>
    </w:pPr>
    <w:rPr>
      <w:rFonts w:ascii="宋体" w:hAnsi="Courier New" w:cs="Courier New"/>
      <w:szCs w:val="21"/>
    </w:rPr>
  </w:style>
  <w:style w:type="paragraph" w:customStyle="1" w:styleId="62">
    <w:name w:val="表头"/>
    <w:next w:val="1"/>
    <w:qFormat/>
    <w:uiPriority w:val="0"/>
    <w:pPr>
      <w:tabs>
        <w:tab w:val="center" w:pos="4153"/>
        <w:tab w:val="right" w:pos="8306"/>
      </w:tabs>
      <w:snapToGrid w:val="0"/>
      <w:jc w:val="center"/>
    </w:pPr>
    <w:rPr>
      <w:rFonts w:ascii="Times New Roman" w:hAnsi="Times New Roman" w:eastAsia="宋体" w:cs="Times New Roman"/>
      <w:b/>
      <w:sz w:val="21"/>
      <w:lang w:val="en-US" w:eastAsia="zh-CN" w:bidi="ar-SA"/>
    </w:rPr>
  </w:style>
  <w:style w:type="paragraph" w:customStyle="1" w:styleId="63">
    <w:name w:val="三线一单"/>
    <w:basedOn w:val="1"/>
    <w:qFormat/>
    <w:uiPriority w:val="0"/>
    <w:pPr>
      <w:spacing w:line="240" w:lineRule="auto"/>
      <w:ind w:firstLine="0" w:firstLineChars="0"/>
      <w:jc w:val="both"/>
    </w:pPr>
    <w:rPr>
      <w:rFonts w:cs="宋体"/>
      <w:color w:val="000000"/>
      <w:kern w:val="0"/>
      <w:sz w:val="21"/>
      <w:szCs w:val="21"/>
    </w:rPr>
  </w:style>
  <w:style w:type="character" w:customStyle="1" w:styleId="64">
    <w:name w:val="表格正文-欣欣 Char"/>
    <w:link w:val="65"/>
    <w:qFormat/>
    <w:uiPriority w:val="0"/>
    <w:rPr>
      <w:rFonts w:cs="Courier New"/>
      <w:kern w:val="0"/>
      <w:szCs w:val="20"/>
    </w:rPr>
  </w:style>
  <w:style w:type="paragraph" w:customStyle="1" w:styleId="65">
    <w:name w:val="表格正文-欣欣"/>
    <w:basedOn w:val="1"/>
    <w:link w:val="64"/>
    <w:qFormat/>
    <w:uiPriority w:val="0"/>
    <w:pPr>
      <w:widowControl/>
      <w:spacing w:line="240" w:lineRule="auto"/>
      <w:ind w:firstLine="0" w:firstLineChars="0"/>
      <w:jc w:val="center"/>
    </w:pPr>
    <w:rPr>
      <w:rFonts w:cs="Courier New"/>
      <w:kern w:val="0"/>
      <w:szCs w:val="20"/>
    </w:rPr>
  </w:style>
  <w:style w:type="paragraph" w:customStyle="1" w:styleId="66">
    <w:name w:val="第二章 图件标题"/>
    <w:basedOn w:val="1"/>
    <w:next w:val="1"/>
    <w:qFormat/>
    <w:uiPriority w:val="0"/>
    <w:pPr>
      <w:tabs>
        <w:tab w:val="left" w:pos="360"/>
        <w:tab w:val="left" w:pos="420"/>
      </w:tabs>
      <w:ind w:left="420" w:hanging="420"/>
      <w:jc w:val="center"/>
    </w:pPr>
    <w:rPr>
      <w:b/>
      <w:sz w:val="21"/>
    </w:rPr>
  </w:style>
  <w:style w:type="table" w:customStyle="1" w:styleId="67">
    <w:name w:val="样式65"/>
    <w:basedOn w:val="23"/>
    <w:qFormat/>
    <w:uiPriority w:val="99"/>
    <w:pPr>
      <w:jc w:val="center"/>
    </w:pPr>
    <w:rPr>
      <w:rFonts w:eastAsia="Times New Roman"/>
      <w:kern w:val="2"/>
      <w:sz w:val="21"/>
      <w:szCs w:val="21"/>
    </w:rPr>
    <w:tblPr>
      <w:tblBorders>
        <w:top w:val="single" w:color="auto" w:sz="12" w:space="0"/>
        <w:bottom w:val="single" w:color="auto" w:sz="12" w:space="0"/>
        <w:insideH w:val="single" w:color="auto" w:sz="2" w:space="0"/>
        <w:insideV w:val="single" w:color="auto" w:sz="2" w:space="0"/>
      </w:tblBorders>
    </w:tblPr>
    <w:tcPr>
      <w:vAlign w:val="center"/>
    </w:tcPr>
  </w:style>
  <w:style w:type="paragraph" w:customStyle="1" w:styleId="68">
    <w:name w:val="第四章 图件标题"/>
    <w:basedOn w:val="1"/>
    <w:next w:val="1"/>
    <w:qFormat/>
    <w:uiPriority w:val="0"/>
    <w:pPr>
      <w:tabs>
        <w:tab w:val="left" w:pos="851"/>
      </w:tabs>
      <w:adjustRightInd w:val="0"/>
      <w:snapToGrid w:val="0"/>
      <w:jc w:val="center"/>
    </w:pPr>
    <w:rPr>
      <w:b/>
      <w:sz w:val="21"/>
    </w:rPr>
  </w:style>
  <w:style w:type="paragraph" w:customStyle="1" w:styleId="69">
    <w:name w:val="第五章 图件标题"/>
    <w:basedOn w:val="1"/>
    <w:next w:val="1"/>
    <w:qFormat/>
    <w:uiPriority w:val="0"/>
    <w:pPr>
      <w:tabs>
        <w:tab w:val="left" w:pos="851"/>
      </w:tabs>
      <w:adjustRightInd w:val="0"/>
      <w:snapToGrid w:val="0"/>
      <w:jc w:val="center"/>
    </w:pPr>
    <w:rPr>
      <w:b/>
      <w:sz w:val="21"/>
    </w:rPr>
  </w:style>
  <w:style w:type="paragraph" w:customStyle="1" w:styleId="70">
    <w:name w:val="表格标题-5"/>
    <w:basedOn w:val="42"/>
    <w:next w:val="1"/>
    <w:qFormat/>
    <w:uiPriority w:val="0"/>
    <w:pPr>
      <w:tabs>
        <w:tab w:val="left" w:pos="851"/>
      </w:tabs>
    </w:pPr>
    <w:rPr>
      <w:rFonts w:ascii="Times New Roman" w:eastAsia="宋体"/>
      <w:b/>
      <w:sz w:val="21"/>
    </w:rPr>
  </w:style>
  <w:style w:type="paragraph" w:customStyle="1" w:styleId="71">
    <w:name w:val="样式66"/>
    <w:basedOn w:val="1"/>
    <w:qFormat/>
    <w:uiPriority w:val="0"/>
    <w:pPr>
      <w:jc w:val="center"/>
    </w:pPr>
    <w:rPr>
      <w:rFonts w:ascii="Times New Roman" w:hAnsi="Times New Roman"/>
    </w:rPr>
  </w:style>
  <w:style w:type="character" w:customStyle="1" w:styleId="72">
    <w:name w:val="font61"/>
    <w:qFormat/>
    <w:uiPriority w:val="0"/>
    <w:rPr>
      <w:rFonts w:hint="eastAsia" w:ascii="宋体" w:hAnsi="宋体" w:eastAsia="宋体" w:cs="宋体"/>
      <w:color w:val="000000"/>
      <w:sz w:val="20"/>
      <w:szCs w:val="20"/>
      <w:u w:val="none"/>
    </w:rPr>
  </w:style>
  <w:style w:type="paragraph" w:customStyle="1" w:styleId="73">
    <w:name w:val="WPSOffice手动目录 1"/>
    <w:qFormat/>
    <w:uiPriority w:val="0"/>
    <w:rPr>
      <w:rFonts w:ascii="Times New Roman" w:hAnsi="Times New Roman" w:eastAsia="宋体" w:cs="Times New Roman"/>
      <w:lang w:val="en-US" w:eastAsia="zh-CN" w:bidi="ar-SA"/>
    </w:rPr>
  </w:style>
  <w:style w:type="paragraph" w:customStyle="1" w:styleId="74">
    <w:name w:val="正文段落"/>
    <w:basedOn w:val="1"/>
    <w:qFormat/>
    <w:uiPriority w:val="0"/>
    <w:pPr>
      <w:spacing w:line="360" w:lineRule="auto"/>
      <w:ind w:firstLine="480"/>
    </w:pPr>
    <w:rPr>
      <w:kern w:val="2"/>
      <w:szCs w:val="24"/>
    </w:rPr>
  </w:style>
  <w:style w:type="paragraph" w:customStyle="1" w:styleId="75">
    <w:name w:val="内文（缩2个字）"/>
    <w:basedOn w:val="1"/>
    <w:qFormat/>
    <w:uiPriority w:val="0"/>
    <w:rPr>
      <w:color w:val="000000"/>
      <w:szCs w:val="36"/>
    </w:rPr>
  </w:style>
  <w:style w:type="paragraph" w:customStyle="1" w:styleId="76">
    <w:name w:val="表格文字"/>
    <w:basedOn w:val="1"/>
    <w:next w:val="1"/>
    <w:qFormat/>
    <w:uiPriority w:val="99"/>
    <w:pPr>
      <w:tabs>
        <w:tab w:val="left" w:pos="7590"/>
      </w:tabs>
      <w:snapToGrid w:val="0"/>
      <w:spacing w:line="240" w:lineRule="auto"/>
      <w:ind w:firstLine="0" w:firstLineChars="0"/>
      <w:jc w:val="center"/>
    </w:pPr>
    <w:rPr>
      <w:sz w:val="21"/>
      <w:szCs w:val="21"/>
      <w:lang w:val="zh-CN"/>
    </w:rPr>
  </w:style>
  <w:style w:type="character" w:customStyle="1" w:styleId="77">
    <w:name w:val="font71"/>
    <w:qFormat/>
    <w:uiPriority w:val="0"/>
    <w:rPr>
      <w:rFonts w:hint="default" w:ascii="Times New Roman" w:hAnsi="Times New Roman" w:cs="Times New Roman"/>
      <w:b/>
      <w:bCs/>
      <w:color w:val="FF0000"/>
      <w:sz w:val="22"/>
      <w:szCs w:val="22"/>
      <w:u w:val="none"/>
    </w:rPr>
  </w:style>
  <w:style w:type="character" w:customStyle="1" w:styleId="78">
    <w:name w:val="font31"/>
    <w:basedOn w:val="25"/>
    <w:qFormat/>
    <w:uiPriority w:val="0"/>
    <w:rPr>
      <w:rFonts w:hint="default" w:ascii="Times New Roman" w:hAnsi="Times New Roman" w:cs="Times New Roman"/>
      <w:b/>
      <w:bCs/>
      <w:color w:val="000000"/>
      <w:sz w:val="22"/>
      <w:szCs w:val="22"/>
      <w:u w:val="none"/>
    </w:rPr>
  </w:style>
  <w:style w:type="character" w:customStyle="1" w:styleId="79">
    <w:name w:val="font21"/>
    <w:qFormat/>
    <w:uiPriority w:val="0"/>
    <w:rPr>
      <w:rFonts w:hint="eastAsia" w:ascii="宋体" w:hAnsi="宋体" w:eastAsia="宋体" w:cs="宋体"/>
      <w:b/>
      <w:bCs/>
      <w:color w:val="000000"/>
      <w:sz w:val="22"/>
      <w:szCs w:val="22"/>
      <w:u w:val="none"/>
    </w:rPr>
  </w:style>
  <w:style w:type="character" w:customStyle="1" w:styleId="80">
    <w:name w:val="font51"/>
    <w:qFormat/>
    <w:uiPriority w:val="0"/>
    <w:rPr>
      <w:rFonts w:hint="default" w:ascii="Times New Roman" w:hAnsi="Times New Roman" w:cs="Times New Roman"/>
      <w:color w:val="000000"/>
      <w:sz w:val="22"/>
      <w:szCs w:val="22"/>
      <w:u w:val="none"/>
    </w:rPr>
  </w:style>
  <w:style w:type="character" w:customStyle="1" w:styleId="81">
    <w:name w:val="font41"/>
    <w:qFormat/>
    <w:uiPriority w:val="0"/>
    <w:rPr>
      <w:rFonts w:hint="eastAsia" w:ascii="宋体" w:hAnsi="宋体" w:eastAsia="宋体" w:cs="宋体"/>
      <w:color w:val="000000"/>
      <w:sz w:val="22"/>
      <w:szCs w:val="22"/>
      <w:u w:val="none"/>
    </w:rPr>
  </w:style>
  <w:style w:type="character" w:customStyle="1" w:styleId="82">
    <w:name w:val="font101"/>
    <w:qFormat/>
    <w:uiPriority w:val="0"/>
    <w:rPr>
      <w:rFonts w:hint="default" w:ascii="Times New Roman" w:hAnsi="Times New Roman" w:cs="Times New Roman"/>
      <w:color w:val="000000"/>
      <w:sz w:val="22"/>
      <w:szCs w:val="22"/>
      <w:u w:val="none"/>
    </w:rPr>
  </w:style>
  <w:style w:type="character" w:customStyle="1" w:styleId="83">
    <w:name w:val="font01"/>
    <w:qFormat/>
    <w:uiPriority w:val="0"/>
    <w:rPr>
      <w:rFonts w:hint="eastAsia" w:ascii="宋体" w:hAnsi="宋体" w:eastAsia="宋体" w:cs="宋体"/>
      <w:color w:val="000000"/>
      <w:sz w:val="22"/>
      <w:szCs w:val="22"/>
      <w:u w:val="none"/>
    </w:rPr>
  </w:style>
  <w:style w:type="paragraph" w:customStyle="1" w:styleId="84">
    <w:name w:val="xl30"/>
    <w:basedOn w:val="1"/>
    <w:qFormat/>
    <w:uiPriority w:val="0"/>
    <w:pPr>
      <w:widowControl/>
      <w:pBdr>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85">
    <w:name w:val="样式 样式 正文（首行缩进两字） Char Char + 段前: 0.27 行 段后: 0.27 行 + 首行缩进:  2 字符"/>
    <w:basedOn w:val="1"/>
    <w:qFormat/>
    <w:uiPriority w:val="0"/>
    <w:pPr>
      <w:autoSpaceDE w:val="0"/>
      <w:autoSpaceDN w:val="0"/>
      <w:adjustRightInd w:val="0"/>
      <w:snapToGrid w:val="0"/>
      <w:spacing w:line="440" w:lineRule="exact"/>
      <w:ind w:firstLine="200" w:firstLineChars="200"/>
      <w:jc w:val="left"/>
    </w:pPr>
    <w:rPr>
      <w:rFonts w:cs="宋体"/>
      <w:sz w:val="24"/>
    </w:rPr>
  </w:style>
  <w:style w:type="paragraph" w:customStyle="1" w:styleId="86">
    <w:name w:val="第四章 表头"/>
    <w:basedOn w:val="1"/>
    <w:qFormat/>
    <w:uiPriority w:val="0"/>
    <w:pPr>
      <w:numPr>
        <w:ilvl w:val="0"/>
        <w:numId w:val="2"/>
      </w:numPr>
      <w:snapToGrid w:val="0"/>
      <w:spacing w:line="240" w:lineRule="auto"/>
      <w:ind w:left="0"/>
      <w:jc w:val="center"/>
    </w:pPr>
    <w:rPr>
      <w:rFonts w:ascii="Times New Roman" w:hAnsi="Times New Roman" w:eastAsia="宋体" w:cs="Calibri"/>
      <w:b/>
      <w:color w:val="auto"/>
      <w:kern w:val="2"/>
      <w:sz w:val="21"/>
      <w:szCs w:val="21"/>
    </w:rPr>
  </w:style>
  <w:style w:type="character" w:customStyle="1" w:styleId="87">
    <w:name w:val="font11"/>
    <w:qFormat/>
    <w:uiPriority w:val="0"/>
    <w:rPr>
      <w:rFonts w:hint="eastAsia" w:ascii="宋体" w:hAnsi="宋体" w:eastAsia="宋体" w:cs="宋体"/>
      <w:color w:val="0000FF"/>
      <w:sz w:val="21"/>
      <w:szCs w:val="21"/>
      <w:u w:val="none"/>
    </w:rPr>
  </w:style>
  <w:style w:type="paragraph" w:customStyle="1" w:styleId="88">
    <w:name w:val="第二章表头"/>
    <w:basedOn w:val="1"/>
    <w:qFormat/>
    <w:uiPriority w:val="0"/>
    <w:pPr>
      <w:numPr>
        <w:ilvl w:val="0"/>
        <w:numId w:val="3"/>
      </w:numPr>
      <w:tabs>
        <w:tab w:val="left" w:pos="851"/>
      </w:tabs>
      <w:adjustRightInd w:val="0"/>
      <w:snapToGrid w:val="0"/>
      <w:spacing w:line="240" w:lineRule="auto"/>
      <w:ind w:left="0" w:firstLine="422" w:firstLineChars="200"/>
      <w:jc w:val="center"/>
    </w:pPr>
    <w:rPr>
      <w:rFonts w:hint="eastAsia" w:ascii="Times New Roman" w:hAnsi="Times New Roman" w:eastAsia="宋体" w:cs="Times New Roman"/>
      <w:b/>
      <w:color w:val="auto"/>
    </w:rPr>
  </w:style>
  <w:style w:type="table" w:customStyle="1" w:styleId="89">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90">
    <w:name w:val="四级标题"/>
    <w:basedOn w:val="1"/>
    <w:qFormat/>
    <w:uiPriority w:val="0"/>
    <w:pPr>
      <w:numPr>
        <w:ilvl w:val="3"/>
        <w:numId w:val="4"/>
      </w:numPr>
      <w:spacing w:line="360" w:lineRule="auto"/>
      <w:ind w:left="0" w:firstLine="0" w:firstLineChars="0"/>
      <w:outlineLvl w:val="3"/>
    </w:pPr>
    <w:rPr>
      <w:rFonts w:eastAsia="黑体"/>
      <w:szCs w:val="24"/>
    </w:rPr>
  </w:style>
  <w:style w:type="paragraph" w:customStyle="1" w:styleId="91">
    <w:name w:val="正文-婧"/>
    <w:basedOn w:val="1"/>
    <w:qFormat/>
    <w:uiPriority w:val="0"/>
    <w:rPr>
      <w:rFonts w:hint="eastAsia" w:ascii="Times New Roman" w:hAnsi="Times New Roman" w:cs="Times New Roman"/>
      <w:szCs w:val="30"/>
    </w:rPr>
  </w:style>
  <w:style w:type="paragraph" w:customStyle="1" w:styleId="92">
    <w:name w:val="正文-欣欣"/>
    <w:basedOn w:val="1"/>
    <w:qFormat/>
    <w:uiPriority w:val="0"/>
    <w:pPr>
      <w:ind w:left="0" w:firstLine="200" w:firstLineChars="200"/>
      <w:contextualSpacing/>
      <w:jc w:val="both"/>
    </w:pPr>
    <w:rPr>
      <w:szCs w:val="30"/>
    </w:rPr>
  </w:style>
  <w:style w:type="paragraph" w:customStyle="1" w:styleId="93">
    <w:name w:val="第一章  表头"/>
    <w:basedOn w:val="1"/>
    <w:qFormat/>
    <w:uiPriority w:val="0"/>
    <w:pPr>
      <w:numPr>
        <w:ilvl w:val="0"/>
        <w:numId w:val="5"/>
      </w:numPr>
      <w:spacing w:line="240" w:lineRule="auto"/>
      <w:ind w:firstLine="0" w:firstLineChars="0"/>
      <w:jc w:val="center"/>
    </w:pPr>
    <w:rPr>
      <w:rFonts w:ascii="Times New Roman" w:hAnsi="Times New Roman" w:eastAsia="宋体"/>
      <w:b/>
    </w:rPr>
  </w:style>
  <w:style w:type="paragraph" w:customStyle="1" w:styleId="94">
    <w:name w:val="第三章  表头--水保"/>
    <w:basedOn w:val="1"/>
    <w:qFormat/>
    <w:uiPriority w:val="0"/>
    <w:pPr>
      <w:numPr>
        <w:ilvl w:val="0"/>
        <w:numId w:val="6"/>
      </w:numPr>
      <w:tabs>
        <w:tab w:val="left" w:pos="2304"/>
        <w:tab w:val="left" w:pos="2420"/>
        <w:tab w:val="center" w:pos="4308"/>
        <w:tab w:val="left" w:pos="6615"/>
        <w:tab w:val="clear" w:pos="0"/>
      </w:tabs>
      <w:spacing w:line="240" w:lineRule="auto"/>
      <w:ind w:left="0"/>
      <w:jc w:val="center"/>
    </w:pPr>
    <w:rPr>
      <w:rFonts w:ascii="Times New Roman" w:hAnsi="Times New Roman" w:eastAsia="宋体" w:cs="Times New Roman"/>
      <w:b/>
      <w:kern w:val="2"/>
      <w:sz w:val="21"/>
      <w:szCs w:val="21"/>
    </w:rPr>
  </w:style>
  <w:style w:type="paragraph" w:customStyle="1" w:styleId="95">
    <w:name w:val="第一章图件标题"/>
    <w:basedOn w:val="1"/>
    <w:next w:val="1"/>
    <w:qFormat/>
    <w:uiPriority w:val="0"/>
    <w:pPr>
      <w:numPr>
        <w:ilvl w:val="1"/>
        <w:numId w:val="7"/>
      </w:numPr>
      <w:tabs>
        <w:tab w:val="left" w:pos="1660"/>
      </w:tabs>
      <w:adjustRightInd w:val="0"/>
      <w:snapToGrid w:val="0"/>
      <w:ind w:left="1660" w:hanging="420" w:firstLineChars="0"/>
      <w:jc w:val="center"/>
    </w:pPr>
    <w:rPr>
      <w:rFonts w:ascii="黑体" w:hAnsi="黑体" w:eastAsia="宋体"/>
      <w:b/>
      <w:sz w:val="21"/>
    </w:rPr>
  </w:style>
  <w:style w:type="paragraph" w:styleId="96">
    <w:name w:val="List Paragraph"/>
    <w:basedOn w:val="1"/>
    <w:qFormat/>
    <w:uiPriority w:val="34"/>
    <w:pPr>
      <w:ind w:firstLine="420" w:firstLineChars="200"/>
    </w:pPr>
  </w:style>
  <w:style w:type="paragraph" w:customStyle="1" w:styleId="97">
    <w:name w:val="第二章  表头"/>
    <w:basedOn w:val="1"/>
    <w:qFormat/>
    <w:uiPriority w:val="0"/>
    <w:pPr>
      <w:numPr>
        <w:ilvl w:val="0"/>
        <w:numId w:val="8"/>
      </w:numPr>
      <w:jc w:val="center"/>
    </w:pPr>
    <w:rPr>
      <w:rFonts w:ascii="Times New Roman" w:hAnsi="Times New Roman" w:eastAsia="宋体" w:cs="Times New Roman"/>
      <w:b/>
    </w:rPr>
  </w:style>
  <w:style w:type="paragraph" w:customStyle="1" w:styleId="98">
    <w:name w:val="Char1"/>
    <w:basedOn w:val="1"/>
    <w:qFormat/>
    <w:uiPriority w:val="0"/>
    <w:pPr>
      <w:widowControl/>
      <w:jc w:val="left"/>
    </w:pPr>
    <w:rPr>
      <w:rFonts w:ascii="宋体" w:hAnsi="宋体" w:cs="宋体"/>
      <w:kern w:val="0"/>
      <w:sz w:val="24"/>
    </w:rPr>
  </w:style>
  <w:style w:type="paragraph" w:customStyle="1" w:styleId="99">
    <w:name w:val="样式 正文 首行缩进:  2 字符 SL CON + 首行缩进:  2 字符"/>
    <w:basedOn w:val="100"/>
    <w:qFormat/>
    <w:uiPriority w:val="0"/>
    <w:pPr>
      <w:widowControl/>
      <w:tabs>
        <w:tab w:val="left" w:pos="377"/>
      </w:tabs>
      <w:spacing w:line="360" w:lineRule="auto"/>
      <w:ind w:firstLine="480" w:firstLineChars="200"/>
      <w:jc w:val="left"/>
    </w:pPr>
    <w:rPr>
      <w:kern w:val="0"/>
      <w:sz w:val="24"/>
      <w:szCs w:val="21"/>
    </w:rPr>
  </w:style>
  <w:style w:type="paragraph" w:customStyle="1" w:styleId="100">
    <w:name w:val="正文 首行缩进:  2 字符 SL CON"/>
    <w:basedOn w:val="1"/>
    <w:qFormat/>
    <w:uiPriority w:val="0"/>
    <w:pPr>
      <w:widowControl/>
      <w:tabs>
        <w:tab w:val="left" w:pos="377"/>
      </w:tabs>
      <w:spacing w:line="360" w:lineRule="auto"/>
      <w:ind w:firstLine="200" w:firstLineChars="200"/>
    </w:pPr>
    <w:rPr>
      <w:rFonts w:asci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jpeg"/><Relationship Id="rId7" Type="http://schemas.openxmlformats.org/officeDocument/2006/relationships/image" Target="media/image2.png"/><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image" Target="media/image1.png"/><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wmf"/><Relationship Id="rId54" Type="http://schemas.openxmlformats.org/officeDocument/2006/relationships/oleObject" Target="embeddings/oleObject15.bin"/><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theme" Target="theme/theme1.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image" Target="media/image27.emf"/><Relationship Id="rId42" Type="http://schemas.openxmlformats.org/officeDocument/2006/relationships/oleObject" Target="embeddings/oleObject11.bin"/><Relationship Id="rId41" Type="http://schemas.openxmlformats.org/officeDocument/2006/relationships/image" Target="media/image26.wmf"/><Relationship Id="rId40" Type="http://schemas.openxmlformats.org/officeDocument/2006/relationships/oleObject" Target="embeddings/oleObject10.bin"/><Relationship Id="rId4" Type="http://schemas.openxmlformats.org/officeDocument/2006/relationships/footer" Target="footer2.xml"/><Relationship Id="rId39" Type="http://schemas.openxmlformats.org/officeDocument/2006/relationships/image" Target="media/image25.wmf"/><Relationship Id="rId38" Type="http://schemas.openxmlformats.org/officeDocument/2006/relationships/oleObject" Target="embeddings/oleObject9.bin"/><Relationship Id="rId37" Type="http://schemas.openxmlformats.org/officeDocument/2006/relationships/image" Target="media/image24.wmf"/><Relationship Id="rId36" Type="http://schemas.openxmlformats.org/officeDocument/2006/relationships/oleObject" Target="embeddings/oleObject8.bin"/><Relationship Id="rId35" Type="http://schemas.openxmlformats.org/officeDocument/2006/relationships/image" Target="media/image23.png"/><Relationship Id="rId34" Type="http://schemas.openxmlformats.org/officeDocument/2006/relationships/image" Target="media/image22.wmf"/><Relationship Id="rId33" Type="http://schemas.openxmlformats.org/officeDocument/2006/relationships/image" Target="media/image21.wmf"/><Relationship Id="rId32" Type="http://schemas.openxmlformats.org/officeDocument/2006/relationships/image" Target="media/image20.wmf"/><Relationship Id="rId31" Type="http://schemas.openxmlformats.org/officeDocument/2006/relationships/image" Target="media/image19.wmf"/><Relationship Id="rId30" Type="http://schemas.openxmlformats.org/officeDocument/2006/relationships/image" Target="media/image18.wmf"/><Relationship Id="rId3" Type="http://schemas.openxmlformats.org/officeDocument/2006/relationships/footer" Target="footer1.xml"/><Relationship Id="rId29" Type="http://schemas.openxmlformats.org/officeDocument/2006/relationships/image" Target="media/image17.wmf"/><Relationship Id="rId28" Type="http://schemas.openxmlformats.org/officeDocument/2006/relationships/image" Target="media/image16.wmf"/><Relationship Id="rId27" Type="http://schemas.openxmlformats.org/officeDocument/2006/relationships/image" Target="media/image15.wmf"/><Relationship Id="rId26" Type="http://schemas.openxmlformats.org/officeDocument/2006/relationships/image" Target="media/image14.wmf"/><Relationship Id="rId25" Type="http://schemas.openxmlformats.org/officeDocument/2006/relationships/image" Target="media/image13.wmf"/><Relationship Id="rId24" Type="http://schemas.openxmlformats.org/officeDocument/2006/relationships/image" Target="media/image12.emf"/><Relationship Id="rId23" Type="http://schemas.openxmlformats.org/officeDocument/2006/relationships/oleObject" Target="embeddings/oleObject7.bin"/><Relationship Id="rId22" Type="http://schemas.openxmlformats.org/officeDocument/2006/relationships/image" Target="media/image11.emf"/><Relationship Id="rId21" Type="http://schemas.openxmlformats.org/officeDocument/2006/relationships/oleObject" Target="embeddings/oleObject6.bin"/><Relationship Id="rId20" Type="http://schemas.openxmlformats.org/officeDocument/2006/relationships/image" Target="media/image10.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9.emf"/><Relationship Id="rId17" Type="http://schemas.openxmlformats.org/officeDocument/2006/relationships/oleObject" Target="embeddings/oleObject4.bin"/><Relationship Id="rId16" Type="http://schemas.openxmlformats.org/officeDocument/2006/relationships/image" Target="media/image8.emf"/><Relationship Id="rId15" Type="http://schemas.openxmlformats.org/officeDocument/2006/relationships/oleObject" Target="embeddings/oleObject3.bin"/><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emf"/><Relationship Id="rId11" Type="http://schemas.openxmlformats.org/officeDocument/2006/relationships/oleObject" Target="embeddings/oleObject2.bin"/><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17102db4-cfd1-414f-a9d3-44bde16d340c</errorID>
      <errorWord>生态优先，绿色发展</errorWord>
      <group>L1_Political</group>
      <groupName>政治性问题</groupName>
      <ability>L2_Unpolitical</ability>
      <abilityName>政治敏感错误</abilityName>
      <candidateList>
        <item>生态优先、绿色发展</item>
      </candidateList>
      <explain/>
      <paraID>38367C07</paraID>
      <start>2</start>
      <end>11</end>
      <status>unmodified</status>
      <modifiedWord/>
      <trackRevisions>false</trackRevisions>
    </reviewItem>
    <reviewItem>
      <errorID>7d0a238b-5ee4-4ad5-8967-672c9b31962b</errorID>
      <errorWord>生态环境保护监测</errorWord>
      <group>L1_Political</group>
      <groupName>政治性问题</groupName>
      <ability>L2_Keyword</ability>
      <abilityName>固定表述</abilityName>
      <candidateList>
        <item>生态环境保护督察</item>
      </candidateList>
      <explain>词汇“生态环境保护督察”在特定场景下为固定表述形式，请确认此处的“生态环境保护监测”是否存在不当。</explain>
      <paraID>40561D54</paraID>
      <start>2</start>
      <end>10</end>
      <status>unmodified</status>
      <modifiedWord/>
      <trackRevisions>false</trackRevisions>
    </reviewItem>
    <reviewItem>
      <errorID>ed90db39-8576-48fa-af0c-e4959aa8ed0f</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3DC050C4</paraID>
      <start>45</start>
      <end>46</end>
      <status>unmodified</status>
      <modifiedWord/>
      <trackRevisions>false</trackRevisions>
    </reviewItem>
    <reviewItem>
      <errorID>0d322843-75fc-4027-9542-0e352ba9d6da</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3DC050C4</paraID>
      <start>49</start>
      <end>50</end>
      <status>unmodified</status>
      <modifiedWord/>
      <trackRevisions>false</trackRevisions>
    </reviewItem>
    <reviewItem>
      <errorID>8d09efe3-6749-4fe8-a924-2d7aa444dd1e</errorID>
      <errorWord>拌合站</errorWord>
      <group>L1_Other</group>
      <groupName>其他问题</groupName>
      <ability>L2_UserTypo</ability>
      <abilityName>自定义错误</abilityName>
      <candidateList>
        <item>拌和站</item>
      </candidateList>
      <explain>来自自定义错词库。</explain>
      <paraID>61C56DC5</paraID>
      <start>116</start>
      <end>119</end>
      <status>unmodified</status>
      <modifiedWord/>
      <trackRevisions>false</trackRevisions>
    </reviewItem>
    <reviewItem>
      <errorID>935a69d7-5242-4580-bdaf-bf11454379cb</errorID>
      <errorWord>拌合站</errorWord>
      <group>L1_Word</group>
      <groupName>字词问题</groupName>
      <ability>L2_Typo</ability>
      <abilityName>字词错误</abilityName>
      <candidateList>
        <item>拌和站</item>
      </candidateList>
      <explain>存在发音相同字词的误用。</explain>
      <paraID>5DBAFF7B</paraID>
      <start>31</start>
      <end>34</end>
      <status>unmodified</status>
      <modifiedWord/>
      <trackRevisions>false</trackRevisions>
    </reviewItem>
    <reviewItem>
      <errorID>669a387d-a5f9-4b69-a3d7-86c303ec8391</errorID>
      <errorWord>减量化、资源化和无害化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词汇“减量化、资源化、无害化”在特定场景下为固定表述形式，请确认此处的“减量化、资源化和无害化”是否存在不当。</explain>
      <paraID>76D1D9F9</paraID>
      <start>19</start>
      <end>30</end>
      <status>unmodified</status>
      <modifiedWord/>
      <trackRevisions>false</trackRevisions>
    </reviewItem>
    <reviewItem>
      <errorID>33d3f135-842b-4f3d-8ebd-32949d8d010e</errorID>
      <errorWord>，</errorWord>
      <group>L1_Format</group>
      <groupName>格式问题</groupName>
      <ability>L2_HalfPunc_CN</ability>
      <abilityName>全半角问题</abilityName>
      <candidateList>
        <item>,</item>
      </candidateList>
      <explain>文本全半角错误。</explain>
      <paraID>7B82D517</paraID>
      <start>13</start>
      <end>14</end>
      <status>unmodified</status>
      <modifiedWord/>
      <trackRevisions>false</trackRevisions>
    </reviewItem>
    <reviewItem>
      <errorID>92acccf8-d407-4421-8551-93d5b5a28abc</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 488EE77</paraID>
      <start>4</start>
      <end>10</end>
      <status>unmodified</status>
      <modifiedWord/>
      <trackRevisions>false</trackRevisions>
    </reviewItem>
    <reviewItem>
      <errorID>d049f2fa-546c-4950-9b97-c46e4783bca7</errorID>
      <errorWord>土壤污染源头管控</errorWord>
      <group>L1_Political</group>
      <groupName>政治性问题</groupName>
      <ability>L2_Keyword</ability>
      <abilityName>固定表述</abilityName>
      <candidateList>
        <item>土壤污染源头防控</item>
      </candidateList>
      <explain>词汇“土壤污染源头防控”在特定场景下为固定表述形式，请确认此处的“土壤污染源头管控”是否存在不当。</explain>
      <paraID>3FAD8F44</paraID>
      <start>8</start>
      <end>16</end>
      <status>unmodified</status>
      <modifiedWord/>
      <trackRevisions>false</trackRevisions>
    </reviewItem>
    <reviewItem>
      <errorID>747fb05f-10ab-444c-b083-8baa0803c9c5</errorID>
      <errorWord>矿产资源开采登记管理办法</errorWord>
      <group>L1_Knowledge</group>
      <groupName>知识性问题</groupName>
      <ability>L2_Knowledge</ability>
      <abilityName>其他知识</abilityName>
      <candidateList/>
      <explain>该法规已废止，请注意检查引用是否正确。</explain>
      <paraID>48381BB4</paraID>
      <start>57</start>
      <end>69</end>
      <status>unmodified</status>
      <modifiedWord/>
      <trackRevisions>false</trackRevisions>
    </reviewItem>
    <reviewItem>
      <errorID>458ca458-53fd-42e2-90cb-a436ed50ac79</errorID>
      <errorWord>达</errorWord>
      <group>L1_Word</group>
      <groupName>字词问题</groupName>
      <ability>L2_Typo</ability>
      <abilityName>字词错误</abilityName>
      <candidateList>
        <item>达到</item>
      </candidateList>
      <explain/>
      <paraID>61497520</paraID>
      <start>21</start>
      <end>22</end>
      <status>unmodified</status>
      <modifiedWord/>
      <trackRevisions>false</trackRevisions>
    </reviewItem>
    <reviewItem>
      <errorID>96399346-cf07-48f5-8fdd-6d5f003ba6f8</errorID>
      <errorWord>减量化、无害化、资源化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词汇“减量化、资源化、无害化”在特定场景下为固定表述形式，请确认此处的“减量化、无害化、资源化”是否存在不当。</explain>
      <paraID>25FABB81</paraID>
      <start>544</start>
      <end>555</end>
      <status>unmodified</status>
      <modifiedWord/>
      <trackRevisions>false</trackRevisions>
    </reviewItem>
    <reviewItem>
      <errorID>e1846d39-6193-45f7-8390-d7c61040743f</errorID>
      <errorWord>控制控制</errorWord>
      <group>L1_Word</group>
      <groupName>字词问题</groupName>
      <ability>L2_Typo</ability>
      <abilityName>字词错误</abilityName>
      <candidateList>
        <item>控制</item>
      </candidateList>
      <explain/>
      <paraID>10F73E89</paraID>
      <start>14</start>
      <end>18</end>
      <status>unmodified</status>
      <modifiedWord/>
      <trackRevisions>false</trackRevisions>
    </reviewItem>
    <reviewItem>
      <errorID>b1b12a6d-2ddc-4ddd-af31-208de9f44922</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25E243DF</paraID>
      <start>235</start>
      <end>241</end>
      <status>unmodified</status>
      <modifiedWord/>
      <trackRevisions>false</trackRevisions>
    </reviewItem>
    <reviewItem>
      <errorID>7d92e1c1-434d-4114-991d-23d10ff5467d</errorID>
      <errorWord>农业面源水污染</errorWord>
      <group>L1_Political</group>
      <groupName>政治性问题</groupName>
      <ability>L2_Keyword</ability>
      <abilityName>固定表述</abilityName>
      <candidateList>
        <item>农业面源污染</item>
      </candidateList>
      <explain>词汇“农业面源污染”在特定场景下为固定表述形式，请确认此处的“农业面源水污染”是否存在不当。</explain>
      <paraID>  74975C</paraID>
      <start>1</start>
      <end>8</end>
      <status>unmodified</status>
      <modifiedWord/>
      <trackRevisions>false</trackRevisions>
    </reviewItem>
    <reviewItem>
      <errorID>be14167c-0f18-46a7-9868-7edaa56498a8</errorID>
      <errorWord>截止</errorWord>
      <group>L1_Word</group>
      <groupName>字词问题</groupName>
      <ability>L2_Typo</ability>
      <abilityName>字词错误</abilityName>
      <candidateList>
        <item>截至</item>
      </candidateList>
      <explain>存在发音相同字词的误用。</explain>
      <paraID> B983F0A</paraID>
      <start>33</start>
      <end>35</end>
      <status>unmodified</status>
      <modifiedWord/>
      <trackRevisions>false</trackRevisions>
    </reviewItem>
    <reviewItem>
      <errorID>a55ad334-e662-42e4-82c6-851b51fd794b</errorID>
      <errorWord>组份分析</errorWord>
      <group>L1_Word</group>
      <groupName>字词问题</groupName>
      <ability>L2_Variant</ability>
      <abilityName>异形词</abilityName>
      <candidateList>
        <item>组分分析</item>
      </candidateList>
      <explain>词汇[组份分析]的规范词形写作[组分分析]。</explain>
      <paraID>762B0F0F</paraID>
      <start>11</start>
      <end>15</end>
      <status>unmodified</status>
      <modifiedWord/>
      <trackRevisions>false</trackRevisions>
    </reviewItem>
    <reviewItem>
      <errorID>1dc43695-b0fe-4187-8b3b-08d9738a48a6</errorID>
      <errorWord>须二段</errorWord>
      <group>L1_Word</group>
      <groupName>字词问题</groupName>
      <ability>L2_Typo</ability>
      <abilityName>字词错误</abilityName>
      <candidateList>
        <item>第二段</item>
      </candidateList>
      <explain/>
      <paraID>4A221FB9</paraID>
      <start>0</start>
      <end>3</end>
      <status>unmodified</status>
      <modifiedWord/>
      <trackRevisions>false</trackRevisions>
    </reviewItem>
    <reviewItem>
      <errorID>05d1c673-01bc-427f-9513-6ecb31d9ab02</errorID>
      <errorWord>沙砾</errorWord>
      <group>L1_Word</group>
      <groupName>字词问题</groupName>
      <ability>L2_Typo</ability>
      <abilityName>字词错误</abilityName>
      <candidateList>
        <item>砂砾</item>
      </candidateList>
      <explain>存在发音相同字词的误用。</explain>
      <paraID> 7076B14</paraID>
      <start>122</start>
      <end>124</end>
      <status>unmodified</status>
      <modifiedWord/>
      <trackRevisions>false</trackRevisions>
    </reviewItem>
    <reviewItem>
      <errorID>f62de7e1-8831-4c29-b0d3-d69580a71cdf</errorID>
      <errorWord>沙砾</errorWord>
      <group>L1_Word</group>
      <groupName>字词问题</groupName>
      <ability>L2_Typo</ability>
      <abilityName>字词错误</abilityName>
      <candidateList>
        <item>砂砾</item>
      </candidateList>
      <explain>存在发音相同字词的误用。</explain>
      <paraID>2A2762FF</paraID>
      <start>122</start>
      <end>124</end>
      <status>unmodified</status>
      <modifiedWord/>
      <trackRevisions>false</trackRevisions>
    </reviewItem>
    <reviewItem>
      <errorID>29022e72-22fa-45db-83fd-5d126b0abba1</errorID>
      <errorWord>开</errorWord>
      <group>L1_Word</group>
      <groupName>字词问题</groupName>
      <ability>L2_Typo</ability>
      <abilityName>字词错误</abilityName>
      <candidateList>
        <item>井</item>
      </candidateList>
      <explain>存在字形相近字词的误用。</explain>
      <paraID>3D29024C</paraID>
      <start>174</start>
      <end>175</end>
      <status>unmodified</status>
      <modifiedWord/>
      <trackRevisions>false</trackRevisions>
    </reviewItem>
    <reviewItem>
      <errorID>29b69d9b-4aee-4575-91fa-2dc47bf4875c</errorID>
      <errorWord>粘</errorWord>
      <group>L1_Word</group>
      <groupName>字词问题</groupName>
      <ability>L2_Typo</ability>
      <abilityName>字词错误</abilityName>
      <candidateList>
        <item>黏</item>
      </candidateList>
      <explain>存在发音相同字词的误用。</explain>
      <paraID>5C397A23</paraID>
      <start>10</start>
      <end>11</end>
      <status>unmodified</status>
      <modifiedWord/>
      <trackRevisions>false</trackRevisions>
    </reviewItem>
    <reviewItem>
      <errorID>481b045d-6d20-4e6e-8e14-849b36e18310</errorID>
      <errorWord>粘</errorWord>
      <group>L1_Word</group>
      <groupName>字词问题</groupName>
      <ability>L2_Typo</ability>
      <abilityName>字词错误</abilityName>
      <candidateList>
        <item>黏</item>
      </candidateList>
      <explain>存在发音相同字词的误用。</explain>
      <paraID> EAB1318</paraID>
      <start>10</start>
      <end>11</end>
      <status>unmodified</status>
      <modifiedWord/>
      <trackRevisions>false</trackRevisions>
    </reviewItem>
    <reviewItem>
      <errorID>0834b9de-c971-49a9-81bd-36c71fdd4ada</errorID>
      <errorWord>广</errorWord>
      <group>L1_Word</group>
      <groupName>字词问题</groupName>
      <ability>L2_Typo</ability>
      <abilityName>字词错误</abilityName>
      <candidateList>
        <item>广泛</item>
      </candidateList>
      <explain/>
      <paraID>41F77419</paraID>
      <start>85</start>
      <end>86</end>
      <status>unmodified</status>
      <modifiedWord/>
      <trackRevisions>false</trackRevisions>
    </reviewItem>
    <reviewItem>
      <errorID>c465a967-2fac-4a57-b919-3d27a270228c</errorID>
      <errorWord>沙砾</errorWord>
      <group>L1_Word</group>
      <groupName>字词问题</groupName>
      <ability>L2_Typo</ability>
      <abilityName>字词错误</abilityName>
      <candidateList>
        <item>砂砾</item>
      </candidateList>
      <explain>存在发音相同字词的误用。</explain>
      <paraID>5B1984FD</paraID>
      <start>318</start>
      <end>320</end>
      <status>unmodified</status>
      <modifiedWord/>
      <trackRevisions>false</trackRevisions>
    </reviewItem>
    <reviewItem>
      <errorID>9db5e1d0-8fec-42fc-9b1d-6f0f52fb2ab9</errorID>
      <errorWord>沙砾</errorWord>
      <group>L1_Word</group>
      <groupName>字词问题</groupName>
      <ability>L2_Typo</ability>
      <abilityName>字词错误</abilityName>
      <candidateList>
        <item>砂砾</item>
      </candidateList>
      <explain>存在发音相同字词的误用。</explain>
      <paraID>25CA2150</paraID>
      <start>39</start>
      <end>41</end>
      <status>unmodified</status>
      <modifiedWord/>
      <trackRevisions>false</trackRevisions>
    </reviewItem>
    <reviewItem>
      <errorID>6d9b9c32-fcb3-41ca-ad79-8a4a003959d2</errorID>
      <errorWord>（</errorWord>
      <group>L1_Format</group>
      <groupName>格式问题</groupName>
      <ability>L2_HalfPunc_CN</ability>
      <abilityName>全半角问题</abilityName>
      <candidateList>
        <item>(</item>
      </candidateList>
      <explain>文本全半角错误。</explain>
      <paraID> D46B6F5</paraID>
      <start>0</start>
      <end>1</end>
      <status>unmodified</status>
      <modifiedWord/>
      <trackRevisions>false</trackRevisions>
    </reviewItem>
    <reviewItem>
      <errorID>7e698c8e-24c1-47ee-bb80-5118af2634c6</errorID>
      <errorWord>）</errorWord>
      <group>L1_Format</group>
      <groupName>格式问题</groupName>
      <ability>L2_HalfPunc_CN</ability>
      <abilityName>全半角问题</abilityName>
      <candidateList>
        <item>)</item>
      </candidateList>
      <explain>文本全半角错误。</explain>
      <paraID> D46B6F5</paraID>
      <start>3</start>
      <end>4</end>
      <status>unmodified</status>
      <modifiedWord/>
      <trackRevisions>false</trackRevisions>
    </reviewItem>
    <reviewItem>
      <errorID>8f2cf1e0-3533-4686-882e-7629bf286097</errorID>
      <errorWord>（</errorWord>
      <group>L1_Format</group>
      <groupName>格式问题</groupName>
      <ability>L2_HalfPunc_CN</ability>
      <abilityName>全半角问题</abilityName>
      <candidateList>
        <item>(</item>
      </candidateList>
      <explain>文本全半角错误。</explain>
      <paraID>4D115D6A</paraID>
      <start>0</start>
      <end>1</end>
      <status>unmodified</status>
      <modifiedWord/>
      <trackRevisions>false</trackRevisions>
    </reviewItem>
    <reviewItem>
      <errorID>9eeb14fe-0883-4036-b71e-048e625e8012</errorID>
      <errorWord>）</errorWord>
      <group>L1_Format</group>
      <groupName>格式问题</groupName>
      <ability>L2_HalfPunc_CN</ability>
      <abilityName>全半角问题</abilityName>
      <candidateList>
        <item>)</item>
      </candidateList>
      <explain>文本全半角错误。</explain>
      <paraID>4D115D6A</paraID>
      <start>2</start>
      <end>3</end>
      <status>unmodified</status>
      <modifiedWord/>
      <trackRevisions>false</trackRevisions>
    </reviewItem>
    <reviewItem>
      <errorID>1a343cd5-fd16-4530-b587-32b9b0035068</errorID>
      <errorWord>（</errorWord>
      <group>L1_Format</group>
      <groupName>格式问题</groupName>
      <ability>L2_HalfPunc_CN</ability>
      <abilityName>全半角问题</abilityName>
      <candidateList>
        <item>(</item>
      </candidateList>
      <explain>文本全半角错误。</explain>
      <paraID>6FDFAA74</paraID>
      <start>0</start>
      <end>1</end>
      <status>unmodified</status>
      <modifiedWord/>
      <trackRevisions>false</trackRevisions>
    </reviewItem>
    <reviewItem>
      <errorID>d07e4b10-ecab-4782-8fea-10cf044f5d46</errorID>
      <errorWord>）</errorWord>
      <group>L1_Format</group>
      <groupName>格式问题</groupName>
      <ability>L2_HalfPunc_CN</ability>
      <abilityName>全半角问题</abilityName>
      <candidateList>
        <item>)</item>
      </candidateList>
      <explain>文本全半角错误。</explain>
      <paraID>6FDFAA74</paraID>
      <start>3</start>
      <end>4</end>
      <status>unmodified</status>
      <modifiedWord/>
      <trackRevisions>false</trackRevisions>
    </reviewItem>
    <reviewItem>
      <errorID>4288affd-ccd2-4631-9bd2-b00008471de1</errorID>
      <errorWord>"</errorWord>
      <group>L1_Format</group>
      <groupName>格式问题</groupName>
      <ability>L2_HalfPunc_CN</ability>
      <abilityName>全半角问题</abilityName>
      <candidateList/>
      <explain>文本全半角错误。</explain>
      <paraID> 3474E0C</paraID>
      <start>19</start>
      <end>20</end>
      <status>unmodified</status>
      <modifiedWord/>
      <trackRevisions>false</trackRevisions>
    </reviewItem>
    <reviewItem>
      <errorID>9fd5563f-cdb5-4bc4-af97-1fc47a317a91</errorID>
      <errorWord>"</errorWord>
      <group>L1_Format</group>
      <groupName>格式问题</groupName>
      <ability>L2_HalfPunc_CN</ability>
      <abilityName>全半角问题</abilityName>
      <candidateList/>
      <explain>文本全半角错误。</explain>
      <paraID> 3474E0C</paraID>
      <start>51</start>
      <end>52</end>
      <status>unmodified</status>
      <modifiedWord/>
      <trackRevisions>false</trackRevisions>
    </reviewItem>
    <reviewItem>
      <errorID>3e8b51a3-cf83-440a-8df9-aacbb7c8dd8f</errorID>
      <errorWord>"</errorWord>
      <group>L1_Format</group>
      <groupName>格式问题</groupName>
      <ability>L2_HalfPunc_CN</ability>
      <abilityName>全半角问题</abilityName>
      <candidateList/>
      <explain>文本全半角错误。</explain>
      <paraID>179036B4</paraID>
      <start>19</start>
      <end>20</end>
      <status>unmodified</status>
      <modifiedWord/>
      <trackRevisions>false</trackRevisions>
    </reviewItem>
    <reviewItem>
      <errorID>20b237f2-31d1-4697-a5af-5251fa8f2f44</errorID>
      <errorWord>"</errorWord>
      <group>L1_Format</group>
      <groupName>格式问题</groupName>
      <ability>L2_HalfPunc_CN</ability>
      <abilityName>全半角问题</abilityName>
      <candidateList/>
      <explain>文本全半角错误。</explain>
      <paraID>179036B4</paraID>
      <start>50</start>
      <end>51</end>
      <status>unmodified</status>
      <modifiedWord/>
      <trackRevisions>false</trackRevisions>
    </reviewItem>
    <reviewItem>
      <errorID>745b3067-6fa0-4724-a5ad-db3ad32bde69</errorID>
      <errorWord>"</errorWord>
      <group>L1_Format</group>
      <groupName>格式问题</groupName>
      <ability>L2_HalfPunc_CN</ability>
      <abilityName>全半角问题</abilityName>
      <candidateList/>
      <explain>文本全半角错误。</explain>
      <paraID>3B4C4BAD</paraID>
      <start>18</start>
      <end>19</end>
      <status>unmodified</status>
      <modifiedWord/>
      <trackRevisions>false</trackRevisions>
    </reviewItem>
    <reviewItem>
      <errorID>9d813380-6626-4f44-8d53-04a5ce48e93a</errorID>
      <errorWord>"</errorWord>
      <group>L1_Format</group>
      <groupName>格式问题</groupName>
      <ability>L2_HalfPunc_CN</ability>
      <abilityName>全半角问题</abilityName>
      <candidateList/>
      <explain>文本全半角错误。</explain>
      <paraID>3B4C4BAD</paraID>
      <start>53</start>
      <end>54</end>
      <status>unmodified</status>
      <modifiedWord/>
      <trackRevisions>false</trackRevisions>
    </reviewItem>
    <reviewItem>
      <errorID>085233eb-3c5d-40b0-8643-60a52d217185</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13F6BC25</paraID>
      <start>7</start>
      <end>13</end>
      <status>unmodified</status>
      <modifiedWord/>
      <trackRevisions>false</trackRevisions>
    </reviewItem>
    <reviewItem>
      <errorID>9988b5b0-a544-444c-a01b-aba313f3d3d9</errorID>
      <errorWord>主要原料的轻工业基地和以天然气为主</errorWord>
      <group>L1_Grammar</group>
      <groupName>语法问题</groupName>
      <ability>L2_Grammar</ability>
      <abilityName>语法错误</abilityName>
      <candidateList>
        <item>原料的轻工业基地和以天然气为主</item>
      </candidateList>
      <explain>该表达中的“主要原料的轻工业基地和以天然气为主”存在语义重复。</explain>
      <paraID>16E9F434</paraID>
      <start>67</start>
      <end>84</end>
      <status>unmodified</status>
      <modifiedWord/>
      <trackRevisions>false</trackRevisions>
    </reviewItem>
    <reviewItem>
      <errorID>9ce33b7a-51c2-4183-8256-a70b02d7a117</errorID>
      <errorWord>.</errorWord>
      <group>L1_Format</group>
      <groupName>格式问题</groupName>
      <ability>L2_HalfPunc_CN</ability>
      <abilityName>全半角问题</abilityName>
      <candidateList>
        <item>。</item>
      </candidateList>
      <explain>文本全半角错误。</explain>
      <paraID> FDCC806</paraID>
      <start>1</start>
      <end>2</end>
      <status>unmodified</status>
      <modifiedWord/>
      <trackRevisions>false</trackRevisions>
    </reviewItem>
    <reviewItem>
      <errorID>97e7161f-a49c-4987-bff6-fd942f002f6f</errorID>
      <errorWord>.</errorWord>
      <group>L1_Format</group>
      <groupName>格式问题</groupName>
      <ability>L2_HalfPunc_CN</ability>
      <abilityName>全半角问题</abilityName>
      <candidateList>
        <item>。</item>
      </candidateList>
      <explain>文本全半角错误。</explain>
      <paraID>5FF5BE55</paraID>
      <start>1</start>
      <end>2</end>
      <status>unmodified</status>
      <modifiedWord/>
      <trackRevisions>false</trackRevisions>
    </reviewItem>
    <reviewItem>
      <errorID>c8a74fbe-2175-44eb-98eb-a0b5cc36029a</errorID>
      <errorWord>.</errorWord>
      <group>L1_Format</group>
      <groupName>格式问题</groupName>
      <ability>L2_HalfPunc_CN</ability>
      <abilityName>全半角问题</abilityName>
      <candidateList>
        <item>。</item>
      </candidateList>
      <explain>文本全半角错误。</explain>
      <paraID>4BD2383D</paraID>
      <start>1</start>
      <end>2</end>
      <status>unmodified</status>
      <modifiedWord/>
      <trackRevisions>false</trackRevisions>
    </reviewItem>
    <reviewItem>
      <errorID>eabf21b0-1e8f-46c1-9a49-79febdf12036</errorID>
      <errorWord>.</errorWord>
      <group>L1_Format</group>
      <groupName>格式问题</groupName>
      <ability>L2_HalfPunc_CN</ability>
      <abilityName>全半角问题</abilityName>
      <candidateList>
        <item>。</item>
      </candidateList>
      <explain>文本全半角错误。</explain>
      <paraID>11D8BB66</paraID>
      <start>1</start>
      <end>2</end>
      <status>unmodified</status>
      <modifiedWord/>
      <trackRevisions>false</trackRevisions>
    </reviewItem>
    <reviewItem>
      <errorID>eabf7cc1-57f4-4800-9840-c6c3e6caaa19</errorID>
      <errorWord>主要赋存于主要赋存于</errorWord>
      <group>L1_Word</group>
      <groupName>字词问题</groupName>
      <ability>L2_Typo</ability>
      <abilityName>字词错误</abilityName>
      <candidateList>
        <item>主要赋存于</item>
      </candidateList>
      <explain/>
      <paraID>1521C956</paraID>
      <start>7</start>
      <end>17</end>
      <status>unmodified</status>
      <modifiedWord/>
      <trackRevisions>false</trackRevisions>
    </reviewItem>
    <reviewItem>
      <errorID>3f9cb704-2925-43b9-800c-24cd5a049a6c</errorID>
      <errorWord>场</errorWord>
      <group>L1_Word</group>
      <groupName>字词问题</groupName>
      <ability>L2_Typo</ability>
      <abilityName>字词错误</abilityName>
      <candidateList>
        <item>厂</item>
      </candidateList>
      <explain/>
      <paraID> 631C89B</paraID>
      <start>42</start>
      <end>43</end>
      <status>unmodified</status>
      <modifiedWord/>
      <trackRevisions>false</trackRevisions>
    </reviewItem>
    <reviewItem>
      <errorID>540d02e4-7231-466f-badf-a16929002ae7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67721BC</paraID>
      <start>0</start>
      <end>2</end>
      <status>unmodified</status>
      <modifiedWord/>
      <trackRevisions>false</trackRevisions>
    </reviewItem>
    <reviewItem>
      <errorID>e0b595a4-901d-44e6-9106-97c3a8a26bc5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B340F26</paraID>
      <start>0</start>
      <end>2</end>
      <status>unmodified</status>
      <modifiedWord/>
      <trackRevisions>false</trackRevisions>
    </reviewItem>
    <reviewItem>
      <errorID>77f97ee5-1644-4d8e-8c13-1f10d199a0e8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1F6EB689</paraID>
      <start>0</start>
      <end>2</end>
      <status>unmodified</status>
      <modifiedWord/>
      <trackRevisions>false</trackRevisions>
    </reviewItem>
    <reviewItem>
      <errorID>4584de30-905f-42af-8ac4-e06285d6660f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35E0FB25</paraID>
      <start>0</start>
      <end>2</end>
      <status>unmodified</status>
      <modifiedWord/>
      <trackRevisions>false</trackRevisions>
    </reviewItem>
    <reviewItem>
      <errorID>15c7d874-ffff-47f1-8137-5afe5e2e5ca5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2FBDB1C2</paraID>
      <start>0</start>
      <end>2</end>
      <status>unmodified</status>
      <modifiedWord/>
      <trackRevisions>false</trackRevisions>
    </reviewItem>
    <reviewItem>
      <errorID>abe29241-a553-4a08-b7da-fd3eaf28a1f0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6BCF3FC7</paraID>
      <start>0</start>
      <end>2</end>
      <status>unmodified</status>
      <modifiedWord/>
      <trackRevisions>false</trackRevisions>
    </reviewItem>
    <reviewItem>
      <errorID>4c745b2a-a86d-471c-a6d3-6420f8da5c37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28549937</paraID>
      <start>0</start>
      <end>2</end>
      <status>unmodified</status>
      <modifiedWord/>
      <trackRevisions>false</trackRevisions>
    </reviewItem>
    <reviewItem>
      <errorID>3fdac702-236d-41c6-a44c-9a97f48b4b62</errorID>
      <errorWord>,</errorWord>
      <group>L1_Format</group>
      <groupName>格式问题</groupName>
      <ability>L2_HalfPunc_CN</ability>
      <abilityName>全半角问题</abilityName>
      <candidateList>
        <item>，</item>
      </candidateList>
      <explain>文本全半角错误。</explain>
      <paraID>51B189F6</paraID>
      <start>1</start>
      <end>2</end>
      <status>unmodified</status>
      <modifiedWord/>
      <trackRevisions>false</trackRevisions>
    </reviewItem>
    <reviewItem>
      <errorID>e85cec15-4d39-4477-955d-9c3e88c6171a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3439D1E9</paraID>
      <start>0</start>
      <end>2</end>
      <status>unmodified</status>
      <modifiedWord/>
      <trackRevisions>false</trackRevisions>
    </reviewItem>
    <reviewItem>
      <errorID>38a5a158-2617-4678-9fdc-0242449b3019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16FFD9CD</paraID>
      <start>0</start>
      <end>2</end>
      <status>unmodified</status>
      <modifiedWord/>
      <trackRevisions>false</trackRevisions>
    </reviewItem>
    <reviewItem>
      <errorID>90def71e-90b0-4abe-9c38-0143b7ea1b84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642D7F68</paraID>
      <start>0</start>
      <end>2</end>
      <status>unmodified</status>
      <modifiedWord/>
      <trackRevisions>false</trackRevisions>
    </reviewItem>
    <reviewItem>
      <errorID>fb017d1b-20f1-42bd-918e-f0552c1970cf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674514A5</paraID>
      <start>0</start>
      <end>2</end>
      <status>unmodified</status>
      <modifiedWord/>
      <trackRevisions>false</trackRevisions>
    </reviewItem>
    <reviewItem>
      <errorID>27c4fa10-9233-4a57-a224-1426e7c579fc</errorID>
      <errorWord>，</errorWord>
      <group>L1_Format</group>
      <groupName>格式问题</groupName>
      <ability>L2_HalfPunc_CN</ability>
      <abilityName>全半角问题</abilityName>
      <candidateList>
        <item>,</item>
      </candidateList>
      <explain>文本全半角错误。</explain>
      <paraID>4CDC3A1B</paraID>
      <start>12</start>
      <end>13</end>
      <status>unmodified</status>
      <modifiedWord/>
      <trackRevisions>false</trackRevisions>
    </reviewItem>
    <reviewItem>
      <errorID>3befcb8f-839a-4edb-b75f-469798b00431</errorID>
      <errorWord>粘土</errorWord>
      <group>L1_Word</group>
      <groupName>字词问题</groupName>
      <ability>L2_Typo</ability>
      <abilityName>字词错误</abilityName>
      <candidateList>
        <item>黏土</item>
      </candidateList>
      <explain>存在发音相同字词的误用。</explain>
      <paraID>368834F0</paraID>
      <start>0</start>
      <end>2</end>
      <status>unmodified</status>
      <modifiedWord/>
      <trackRevisions>false</trackRevisions>
    </reviewItem>
    <reviewItem>
      <errorID>ac07dbf0-90e9-4318-89fd-f6ddd51b56b8</errorID>
      <errorWord>（</errorWord>
      <group>L1_Punc</group>
      <groupName>标点问题</groupName>
      <ability>L2_Punc_CN</ability>
      <abilityName>标点符号问题</abilityName>
      <candidateList/>
      <explain>同一形式括号套用。</explain>
      <paraID>4C4CF8BB</paraID>
      <start>11</start>
      <end>12</end>
      <status>unmodified</status>
      <modifiedWord/>
      <trackRevisions>false</trackRevisions>
    </reviewItem>
    <reviewItem>
      <errorID>879a75d2-34e9-4d2c-917e-a4cc627870f5</errorID>
      <errorWord>）</errorWord>
      <group>L1_Punc</group>
      <groupName>标点问题</groupName>
      <ability>L2_Punc_CN</ability>
      <abilityName>标点符号问题</abilityName>
      <candidateList/>
      <explain>同一形式括号套用。</explain>
      <paraID>4C4CF8BB</paraID>
      <start>13</start>
      <end>14</end>
      <status>unmodified</status>
      <modifiedWord/>
      <trackRevisions>false</trackRevisions>
    </reviewItem>
    <reviewItem>
      <errorID>a8e76434-fc95-4030-98fb-6c5f50860aee</errorID>
      <errorWord>III</errorWord>
      <group>L1_Knowledge</group>
      <groupName>知识性问题</groupName>
      <ability>L2_Knowledge</ability>
      <abilityName>其他知识</abilityName>
      <candidateList>
        <item>Ⅲ</item>
      </candidateList>
      <explain>中文环境下罗马数字格式错误。</explain>
      <paraID>2FC1D44D</paraID>
      <start>0</start>
      <end>3</end>
      <status>unmodified</status>
      <modifiedWord/>
      <trackRevisions>false</trackRevisions>
    </reviewItem>
    <reviewItem>
      <errorID>4d9178d4-e556-4db7-bc05-f6443007904f</errorID>
      <errorWord>III类</errorWord>
      <group>L1_Knowledge</group>
      <groupName>知识性问题</groupName>
      <ability>L2_Knowledge</ability>
      <abilityName>其他知识</abilityName>
      <candidateList>
        <item>Ⅲ类</item>
      </candidateList>
      <explain>中文环境下罗马数字格式错误。</explain>
      <paraID>12D410E3</paraID>
      <start>8</start>
      <end>12</end>
      <status>unmodified</status>
      <modifiedWord/>
      <trackRevisions>false</trackRevisions>
    </reviewItem>
    <reviewItem>
      <errorID>38d7df20-ddcf-4811-a0e4-9b89ddfe3120</errorID>
      <errorWord>III类</errorWord>
      <group>L1_Knowledge</group>
      <groupName>知识性问题</groupName>
      <ability>L2_Knowledge</ability>
      <abilityName>其他知识</abilityName>
      <candidateList>
        <item>Ⅲ类</item>
      </candidateList>
      <explain>中文环境下罗马数字格式错误。</explain>
      <paraID>1CBA3795</paraID>
      <start>64</start>
      <end>68</end>
      <status>unmodified</status>
      <modifiedWord/>
      <trackRevisions>false</trackRevisions>
    </reviewItem>
    <reviewItem>
      <errorID>c1aeca0b-ac1d-46e5-a583-cb2518c1a17c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5DBE5DF7</paraID>
      <start>0</start>
      <end>2</end>
      <status>unmodified</status>
      <modifiedWord/>
      <trackRevisions>false</trackRevisions>
    </reviewItem>
    <reviewItem>
      <errorID>2ed697cb-decc-4224-8bd1-d99d387cd1a9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96897E8</paraID>
      <start>0</start>
      <end>2</end>
      <status>unmodified</status>
      <modifiedWord/>
      <trackRevisions>false</trackRevisions>
    </reviewItem>
    <reviewItem>
      <errorID>fe3ab156-02d6-4f88-bcb6-7686e44a5777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3FCE18EA</paraID>
      <start>0</start>
      <end>2</end>
      <status>unmodified</status>
      <modifiedWord/>
      <trackRevisions>false</trackRevisions>
    </reviewItem>
    <reviewItem>
      <errorID>88fedb8d-de6e-4095-8112-f9026c877b66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4F19E4AE</paraID>
      <start>0</start>
      <end>2</end>
      <status>unmodified</status>
      <modifiedWord/>
      <trackRevisions>false</trackRevisions>
    </reviewItem>
    <reviewItem>
      <errorID>dd6f8da3-7c0b-4752-9aaa-f461480b825c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4481E035</paraID>
      <start>0</start>
      <end>2</end>
      <status>unmodified</status>
      <modifiedWord/>
      <trackRevisions>false</trackRevisions>
    </reviewItem>
    <reviewItem>
      <errorID>e470758a-0b64-446a-94be-8ca28e74c172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1305EE7E</paraID>
      <start>0</start>
      <end>2</end>
      <status>unmodified</status>
      <modifiedWord/>
      <trackRevisions>false</trackRevisions>
    </reviewItem>
    <reviewItem>
      <errorID>535d1f99-6ddf-47f6-9dd0-6d8a90f5d7aa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2ECCF2B3</paraID>
      <start>0</start>
      <end>2</end>
      <status>unmodified</status>
      <modifiedWord/>
      <trackRevisions>false</trackRevisions>
    </reviewItem>
    <reviewItem>
      <errorID>f6e63c46-0783-4ff1-a975-90c604813565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3D31D248</paraID>
      <start>0</start>
      <end>2</end>
      <status>unmodified</status>
      <modifiedWord/>
      <trackRevisions>false</trackRevisions>
    </reviewItem>
    <reviewItem>
      <errorID>a962b10d-ab4e-424b-b586-05a124acf0e6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7362DE31</paraID>
      <start>0</start>
      <end>2</end>
      <status>unmodified</status>
      <modifiedWord/>
      <trackRevisions>false</trackRevisions>
    </reviewItem>
    <reviewItem>
      <errorID>9aac74ef-718c-4c57-8fff-096b0876704a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2F2871D3</paraID>
      <start>0</start>
      <end>2</end>
      <status>unmodified</status>
      <modifiedWord/>
      <trackRevisions>false</trackRevisions>
    </reviewItem>
    <reviewItem>
      <errorID>6043e39e-abcb-47bb-8acf-377ba3952c84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550E4EEC</paraID>
      <start>0</start>
      <end>2</end>
      <status>unmodified</status>
      <modifiedWord/>
      <trackRevisions>false</trackRevisions>
    </reviewItem>
    <reviewItem>
      <errorID>8cd78f0b-e319-4e83-86d6-d8b1367a5af7</errorID>
      <errorWord>、</errorWord>
      <group>L1_Punc</group>
      <groupName>标点问题</groupName>
      <ability>L2_Punc_CN</ability>
      <abilityName>标点符号问题</abilityName>
      <candidateList>
        <item>.</item>
      </candidateList>
      <explain/>
      <paraID>2B4EF027</paraID>
      <start>1</start>
      <end>2</end>
      <status>unmodified</status>
      <modifiedWord/>
      <trackRevisions>false</trackRevisions>
    </reviewItem>
    <reviewItem>
      <errorID>f0fe8b08-639d-44d5-aa0f-376b6af3b8cf</errorID>
      <errorWord>、</errorWord>
      <group>L1_Punc</group>
      <groupName>标点问题</groupName>
      <ability>L2_Punc_CN</ability>
      <abilityName>标点符号问题</abilityName>
      <candidateList>
        <item>.</item>
      </candidateList>
      <explain/>
      <paraID>61988F5B</paraID>
      <start>1</start>
      <end>2</end>
      <status>unmodified</status>
      <modifiedWord/>
      <trackRevisions>false</trackRevisions>
    </reviewItem>
    <reviewItem>
      <errorID>fec7e733-7214-44f6-a386-456b91e2fe0b</errorID>
      <errorWord>、</errorWord>
      <group>L1_Punc</group>
      <groupName>标点问题</groupName>
      <ability>L2_Punc_CN</ability>
      <abilityName>标点符号问题</abilityName>
      <candidateList>
        <item>.</item>
      </candidateList>
      <explain/>
      <paraID>33A11D44</paraID>
      <start>1</start>
      <end>2</end>
      <status>unmodified</status>
      <modifiedWord/>
      <trackRevisions>false</trackRevisions>
    </reviewItem>
    <reviewItem>
      <errorID>e683e309-bc53-4644-b70b-64b191df4f24</errorID>
      <errorWord>、</errorWord>
      <group>L1_Punc</group>
      <groupName>标点问题</groupName>
      <ability>L2_Punc_CN</ability>
      <abilityName>标点符号问题</abilityName>
      <candidateList>
        <item>.</item>
      </candidateList>
      <explain/>
      <paraID>43FC2911</paraID>
      <start>1</start>
      <end>2</end>
      <status>unmodified</status>
      <modifiedWord/>
      <trackRevisions>false</trackRevisions>
    </reviewItem>
    <reviewItem>
      <errorID>ae192953-2307-4e55-8119-206d1341d9eb</errorID>
      <errorWord>、</errorWord>
      <group>L1_Punc</group>
      <groupName>标点问题</groupName>
      <ability>L2_Punc_CN</ability>
      <abilityName>标点符号问题</abilityName>
      <candidateList>
        <item>.</item>
      </candidateList>
      <explain/>
      <paraID>5AEAE9F1</paraID>
      <start>1</start>
      <end>2</end>
      <status>unmodified</status>
      <modifiedWord/>
      <trackRevisions>false</trackRevisions>
    </reviewItem>
    <reviewItem>
      <errorID>812f20bf-5851-44c9-a2d8-63eee1fdaf7c</errorID>
      <errorWord>、</errorWord>
      <group>L1_Punc</group>
      <groupName>标点问题</groupName>
      <ability>L2_Punc_CN</ability>
      <abilityName>标点符号问题</abilityName>
      <candidateList>
        <item>.</item>
      </candidateList>
      <explain/>
      <paraID>2EB92E67</paraID>
      <start>1</start>
      <end>2</end>
      <status>unmodified</status>
      <modifiedWord/>
      <trackRevisions>false</trackRevisions>
    </reviewItem>
    <reviewItem>
      <errorID>5af88b0e-6d11-498a-beae-76ae039f85c7</errorID>
      <errorWord>、</errorWord>
      <group>L1_Punc</group>
      <groupName>标点问题</groupName>
      <ability>L2_Punc_CN</ability>
      <abilityName>标点符号问题</abilityName>
      <candidateList>
        <item>.</item>
      </candidateList>
      <explain/>
      <paraID>421EF4A0</paraID>
      <start>1</start>
      <end>2</end>
      <status>unmodified</status>
      <modifiedWord/>
      <trackRevisions>false</trackRevisions>
    </reviewItem>
    <reviewItem>
      <errorID>ecb5f944-29d6-4b6a-9fea-7460dddef889</errorID>
      <errorWord>、</errorWord>
      <group>L1_Punc</group>
      <groupName>标点问题</groupName>
      <ability>L2_Punc_CN</ability>
      <abilityName>标点符号问题</abilityName>
      <candidateList>
        <item>.</item>
      </candidateList>
      <explain/>
      <paraID>16AA98B1</paraID>
      <start>1</start>
      <end>2</end>
      <status>unmodified</status>
      <modifiedWord/>
      <trackRevisions>false</trackRevisions>
    </reviewItem>
    <reviewItem>
      <errorID>d691eca3-764f-478a-bbce-fca3eb5ec7a4</errorID>
      <errorWord>、</errorWord>
      <group>L1_Punc</group>
      <groupName>标点问题</groupName>
      <ability>L2_Punc_CN</ability>
      <abilityName>标点符号问题</abilityName>
      <candidateList>
        <item>.</item>
      </candidateList>
      <explain/>
      <paraID>138C4185</paraID>
      <start>1</start>
      <end>2</end>
      <status>unmodified</status>
      <modifiedWord/>
      <trackRevisions>false</trackRevisions>
    </reviewItem>
    <reviewItem>
      <errorID>09bbb177-680b-4248-8581-c9f5d4cdc913</errorID>
      <errorWord>亦</errorWord>
      <group>L1_Word</group>
      <groupName>字词问题</groupName>
      <ability>L2_Typo</ability>
      <abilityName>字词错误</abilityName>
      <candidateList>
        <item>已</item>
      </candidateList>
      <explain>存在发音相同字词的误用。</explain>
      <paraID>726203D3</paraID>
      <start>76</start>
      <end>77</end>
      <status>unmodified</status>
      <modifiedWord/>
      <trackRevisions>false</trackRevisions>
    </reviewItem>
    <reviewItem>
      <errorID>de18ddc8-8f34-46e8-ae62-456cd2b630e3</errorID>
      <errorWord>钻阶</errorWord>
      <group>L1_Word</group>
      <groupName>字词问题</groupName>
      <ability>L2_Typo</ability>
      <abilityName>字词错误</abilityName>
      <candidateList>
        <item>钻井</item>
      </candidateList>
      <explain/>
      <paraID>7C540D31</paraID>
      <start>65</start>
      <end>67</end>
      <status>unmodified</status>
      <modifiedWord/>
      <trackRevisions>false</trackRevisions>
    </reviewItem>
    <reviewItem>
      <errorID>27afdc6d-ab6f-4fdd-ac80-5e4c828d113f</errorID>
      <errorWord>（</errorWord>
      <group>L1_Format</group>
      <groupName>格式问题</groupName>
      <ability>L2_HalfPunc_CN</ability>
      <abilityName>全半角问题</abilityName>
      <candidateList>
        <item>(</item>
      </candidateList>
      <explain>文本全半角错误。</explain>
      <paraID>6E57F04B</paraID>
      <start>13</start>
      <end>14</end>
      <status>unmodified</status>
      <modifiedWord/>
      <trackRevisions>false</trackRevisions>
    </reviewItem>
    <reviewItem>
      <errorID>182e1f1b-4b05-4fc4-bc46-29a3077d45a1</errorID>
      <errorWord>）</errorWord>
      <group>L1_Format</group>
      <groupName>格式问题</groupName>
      <ability>L2_HalfPunc_CN</ability>
      <abilityName>全半角问题</abilityName>
      <candidateList>
        <item>)</item>
      </candidateList>
      <explain>文本全半角错误。</explain>
      <paraID>6E57F04B</paraID>
      <start>25</start>
      <end>26</end>
      <status>unmodified</status>
      <modifiedWord/>
      <trackRevisions>false</trackRevisions>
    </reviewItem>
    <reviewItem>
      <errorID>3e4d8b1b-f72f-4862-acc9-3b99b41ccc42</errorID>
      <errorWord>（</errorWord>
      <group>L1_Format</group>
      <groupName>格式问题</groupName>
      <ability>L2_HalfPunc_CN</ability>
      <abilityName>全半角问题</abilityName>
      <candidateList>
        <item>(</item>
      </candidateList>
      <explain>文本全半角错误。</explain>
      <paraID>6E57F04B</paraID>
      <start>28</start>
      <end>29</end>
      <status>unmodified</status>
      <modifiedWord/>
      <trackRevisions>false</trackRevisions>
    </reviewItem>
    <reviewItem>
      <errorID>5e75240e-01f8-40e4-b9bf-e7c3c5eb043f</errorID>
      <errorWord>）</errorWord>
      <group>L1_Format</group>
      <groupName>格式问题</groupName>
      <ability>L2_HalfPunc_CN</ability>
      <abilityName>全半角问题</abilityName>
      <candidateList>
        <item>)</item>
      </candidateList>
      <explain>文本全半角错误。</explain>
      <paraID>6E57F04B</paraID>
      <start>36</start>
      <end>37</end>
      <status>unmodified</status>
      <modifiedWord/>
      <trackRevisions>false</trackRevisions>
    </reviewItem>
    <reviewItem>
      <errorID>060976ca-09a3-4048-9019-d2cd6112e320</errorID>
      <errorWord>污染晕</errorWord>
      <group>L1_Word</group>
      <groupName>字词问题</groupName>
      <ability>L2_Typo</ability>
      <abilityName>字词错误</abilityName>
      <candidateList>
        <item>污染源</item>
      </candidateList>
      <explain>存在发音相近字词的误用。</explain>
      <paraID>6D732D2D</paraID>
      <start>137</start>
      <end>140</end>
      <status>unmodified</status>
      <modifiedWord/>
      <trackRevisions>false</trackRevisions>
    </reviewItem>
    <reviewItem>
      <errorID>2a6dbfda-daa3-4a8f-aa88-e04027b64aed</errorID>
      <errorWord>污染晕</errorWord>
      <group>L1_Word</group>
      <groupName>字词问题</groupName>
      <ability>L2_Typo</ability>
      <abilityName>字词错误</abilityName>
      <candidateList>
        <item>污染源</item>
      </candidateList>
      <explain>存在发音相近字词的误用。</explain>
      <paraID>6D732D2D</paraID>
      <start>172</start>
      <end>175</end>
      <status>unmodified</status>
      <modifiedWord/>
      <trackRevisions>false</trackRevisions>
    </reviewItem>
    <reviewItem>
      <errorID>aab4c605-60e2-49ae-9de2-420f32819ad2</errorID>
      <errorWord>评价以</errorWord>
      <group>L1_Word</group>
      <groupName>字词问题</groupName>
      <ability>L2_Typo</ability>
      <abilityName>字词错误</abilityName>
      <candidateList>
        <item>评价</item>
      </candidateList>
      <explain/>
      <paraID>7CF8A499</paraID>
      <start>2</start>
      <end>5</end>
      <status>unmodified</status>
      <modifiedWord/>
      <trackRevisions>false</trackRevisions>
    </reviewItem>
    <reviewItem>
      <errorID>2cbbc36d-a8d7-4d9c-a936-d209d8820aa2</errorID>
      <errorWord>（</errorWord>
      <group>L1_Format</group>
      <groupName>格式问题</groupName>
      <ability>L2_HalfPunc_CN</ability>
      <abilityName>全半角问题</abilityName>
      <candidateList>
        <item>(</item>
      </candidateList>
      <explain>文本全半角错误。</explain>
      <paraID>5B827334</paraID>
      <start>3</start>
      <end>4</end>
      <status>unmodified</status>
      <modifiedWord/>
      <trackRevisions>false</trackRevisions>
    </reviewItem>
    <reviewItem>
      <errorID>92a66790-fa88-4227-963b-05ca373544e9</errorID>
      <errorWord>）</errorWord>
      <group>L1_Format</group>
      <groupName>格式问题</groupName>
      <ability>L2_HalfPunc_CN</ability>
      <abilityName>全半角问题</abilityName>
      <candidateList>
        <item>)</item>
      </candidateList>
      <explain>文本全半角错误。</explain>
      <paraID>5B827334</paraID>
      <start>5</start>
      <end>6</end>
      <status>unmodified</status>
      <modifiedWord/>
      <trackRevisions>false</trackRevisions>
    </reviewItem>
    <reviewItem>
      <errorID>64cbccbd-020a-46a6-b3ec-f59df75e648d</errorID>
      <errorWord>（</errorWord>
      <group>L1_Format</group>
      <groupName>格式问题</groupName>
      <ability>L2_HalfPunc_CN</ability>
      <abilityName>全半角问题</abilityName>
      <candidateList>
        <item>(</item>
      </candidateList>
      <explain>文本全半角错误。</explain>
      <paraID>2B75DD5E</paraID>
      <start>3</start>
      <end>4</end>
      <status>unmodified</status>
      <modifiedWord/>
      <trackRevisions>false</trackRevisions>
    </reviewItem>
    <reviewItem>
      <errorID>bef60954-281b-452a-b076-7517939202db</errorID>
      <errorWord>）</errorWord>
      <group>L1_Format</group>
      <groupName>格式问题</groupName>
      <ability>L2_HalfPunc_CN</ability>
      <abilityName>全半角问题</abilityName>
      <candidateList>
        <item>)</item>
      </candidateList>
      <explain>文本全半角错误。</explain>
      <paraID>2B75DD5E</paraID>
      <start>5</start>
      <end>6</end>
      <status>unmodified</status>
      <modifiedWord/>
      <trackRevisions>false</trackRevisions>
    </reviewItem>
    <reviewItem>
      <errorID>fd35bbb1-1954-406c-a9df-1fc013252bb7</errorID>
      <errorWord>（</errorWord>
      <group>L1_Format</group>
      <groupName>格式问题</groupName>
      <ability>L2_HalfPunc_CN</ability>
      <abilityName>全半角问题</abilityName>
      <candidateList>
        <item>(</item>
      </candidateList>
      <explain>文本全半角错误。</explain>
      <paraID>2736DF3B</paraID>
      <start>3</start>
      <end>4</end>
      <status>unmodified</status>
      <modifiedWord/>
      <trackRevisions>false</trackRevisions>
    </reviewItem>
    <reviewItem>
      <errorID>2cd1aaa0-0338-4558-bf13-0b0266a224a8</errorID>
      <errorWord>）</errorWord>
      <group>L1_Format</group>
      <groupName>格式问题</groupName>
      <ability>L2_HalfPunc_CN</ability>
      <abilityName>全半角问题</abilityName>
      <candidateList>
        <item>)</item>
      </candidateList>
      <explain>文本全半角错误。</explain>
      <paraID>2736DF3B</paraID>
      <start>5</start>
      <end>6</end>
      <status>unmodified</status>
      <modifiedWord/>
      <trackRevisions>false</trackRevisions>
    </reviewItem>
    <reviewItem>
      <errorID>73249978-8c9c-4a90-86ba-a6d4be19cee7</errorID>
      <errorWord>场</errorWord>
      <group>L1_Word</group>
      <groupName>字词问题</groupName>
      <ability>L2_Typo</ability>
      <abilityName>字词错误</abilityName>
      <candidateList>
        <item>厂</item>
      </candidateList>
      <explain>存在发音相同字词的误用。</explain>
      <paraID>21E69D05</paraID>
      <start>233</start>
      <end>234</end>
      <status>unmodified</status>
      <modifiedWord/>
      <trackRevisions>false</trackRevisions>
    </reviewItem>
    <reviewItem>
      <errorID>4d514d2a-3f04-4138-b131-dad03d5c689c</errorID>
      <errorWord>沉砂池</errorWord>
      <group>L1_Word</group>
      <groupName>字词问题</groupName>
      <ability>L2_Typo</ability>
      <abilityName>字词错误</abilityName>
      <candidateList>
        <item>沉沙池</item>
      </candidateList>
      <explain>存在发音相同字词的误用。</explain>
      <paraID> D79EC47</paraID>
      <start>129</start>
      <end>132</end>
      <status>unmodified</status>
      <modifiedWord/>
      <trackRevisions>false</trackRevisions>
    </reviewItem>
    <reviewItem>
      <errorID>b1554d0b-38ae-4d59-a0f2-4aa69f4236bf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74805E74</paraID>
      <start>0</start>
      <end>2</end>
      <status>unmodified</status>
      <modifiedWord/>
      <trackRevisions>false</trackRevisions>
    </reviewItem>
    <reviewItem>
      <errorID>09d91bab-ad5e-4efc-bfba-2f4c673e7c07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5466A0A9</paraID>
      <start>0</start>
      <end>2</end>
      <status>unmodified</status>
      <modifiedWord/>
      <trackRevisions>false</trackRevisions>
    </reviewItem>
    <reviewItem>
      <errorID>04632f9c-f57e-41c7-a3ce-521ecc9acf6b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47B89859</paraID>
      <start>0</start>
      <end>2</end>
      <status>unmodified</status>
      <modifiedWord/>
      <trackRevisions>false</trackRevisions>
    </reviewItem>
    <reviewItem>
      <errorID>d787e34a-d7c7-41f4-befd-60d6b81fd5f5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482DA32A</paraID>
      <start>0</start>
      <end>2</end>
      <status>unmodified</status>
      <modifiedWord/>
      <trackRevisions>false</trackRevisions>
    </reviewItem>
    <reviewItem>
      <errorID>4e5bd6de-954f-4832-9d08-e2b011e1207a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179DDDF1</paraID>
      <start>0</start>
      <end>2</end>
      <status>unmodified</status>
      <modifiedWord/>
      <trackRevisions>false</trackRevisions>
    </reviewItem>
    <reviewItem>
      <errorID>7fa8ab3d-91fa-4718-b7a6-8e60d1d8b852</errorID>
      <errorWord>粘附</errorWord>
      <group>L1_Word</group>
      <groupName>字词问题</groupName>
      <ability>L2_Alias</ability>
      <abilityName>也作/曾用词</abilityName>
      <candidateList>
        <item>黏附</item>
      </candidateList>
      <explain>词汇[粘附]为不规范表述或旧称，其规范书面表述为[黏附]。</explain>
      <paraID>179DDDF1</paraID>
      <start>16</start>
      <end>18</end>
      <status>unmodified</status>
      <modifiedWord/>
      <trackRevisions>false</trackRevisions>
    </reviewItem>
    <reviewItem>
      <errorID>46469d5b-66c6-41c3-b5ef-66502ec1f4cb</errorID>
      <errorWord>、</errorWord>
      <group>L1_Punc</group>
      <groupName>标点问题</groupName>
      <ability>L2_Punc_CN</ability>
      <abilityName>标点符号问题</abilityName>
      <candidateList>
        <item>.</item>
      </candidateList>
      <explain/>
      <paraID>4D1DFD92</paraID>
      <start>1</start>
      <end>2</end>
      <status>unmodified</status>
      <modifiedWord/>
      <trackRevisions>false</trackRevisions>
    </reviewItem>
    <reviewItem>
      <errorID>ec4ad710-f1b0-4dab-bcc0-7189df14d756</errorID>
      <errorWord>对</errorWord>
      <group>L1_Word</group>
      <groupName>字词问题</groupName>
      <ability>L2_Typo</ability>
      <abilityName>字词错误</abilityName>
      <candidateList>
        <item>堆</item>
      </candidateList>
      <explain>存在发音相同字词的误用。</explain>
      <paraID>38F95653</paraID>
      <start>47</start>
      <end>48</end>
      <status>unmodified</status>
      <modifiedWord/>
      <trackRevisions>false</trackRevisions>
    </reviewItem>
    <reviewItem>
      <errorID>cd069e64-7196-4f9b-be57-24c481c12917</errorID>
      <errorWord>III</errorWord>
      <group>L1_Knowledge</group>
      <groupName>知识性问题</groupName>
      <ability>L2_Knowledge</ability>
      <abilityName>其他知识</abilityName>
      <candidateList>
        <item>Ⅲ</item>
      </candidateList>
      <explain>中文环境下罗马数字格式错误。</explain>
      <paraID>4B1675F5</paraID>
      <start>211</start>
      <end>214</end>
      <status>unmodified</status>
      <modifiedWord/>
      <trackRevisions>false</trackRevisions>
    </reviewItem>
    <reviewItem>
      <errorID>3d40260e-f56a-4870-bd4b-8ccf1dd15e6b</errorID>
      <errorWord>III</errorWord>
      <group>L1_Knowledge</group>
      <groupName>知识性问题</groupName>
      <ability>L2_Knowledge</ability>
      <abilityName>其他知识</abilityName>
      <candidateList>
        <item>Ⅲ</item>
      </candidateList>
      <explain>中文环境下罗马数字格式错误。</explain>
      <paraID>5973E63E</paraID>
      <start>87</start>
      <end>90</end>
      <status>unmodified</status>
      <modifiedWord/>
      <trackRevisions>false</trackRevisions>
    </reviewItem>
    <reviewItem>
      <errorID>b5503eac-1cff-4a43-b4fc-7574ff5fdebd</errorID>
      <errorWord>生态环境的保护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词汇“生态环境保护”在特定场景下为固定表述形式，请确认此处的“生态环境的保护”是否存在不当。</explain>
      <paraID>44F62B7E</paraID>
      <start>12</start>
      <end>19</end>
      <status>unmodified</status>
      <modifiedWord/>
      <trackRevisions>false</trackRevisions>
    </reviewItem>
    <reviewItem>
      <errorID>e52472d0-3f52-4287-b63e-e36808f9a0e6</errorID>
      <errorWord>、</errorWord>
      <group>L1_Punc</group>
      <groupName>标点问题</groupName>
      <ability>L2_Punc_CN</ability>
      <abilityName>标点符号问题</abilityName>
      <candidateList>
        <item>.</item>
      </candidateList>
      <explain/>
      <paraID>6F376A34</paraID>
      <start>1</start>
      <end>2</end>
      <status>unmodified</status>
      <modifiedWord/>
      <trackRevisions>false</trackRevisions>
    </reviewItem>
    <reviewItem>
      <errorID>22202599-ba37-42d0-8e79-739e59f30e1c</errorID>
      <errorWord>、</errorWord>
      <group>L1_Punc</group>
      <groupName>标点问题</groupName>
      <ability>L2_Punc_CN</ability>
      <abilityName>标点符号问题</abilityName>
      <candidateList>
        <item>.</item>
      </candidateList>
      <explain/>
      <paraID>138B1C6B</paraID>
      <start>1</start>
      <end>2</end>
      <status>unmodified</status>
      <modifiedWord/>
      <trackRevisions>false</trackRevisions>
    </reviewItem>
    <reviewItem>
      <errorID>c4abdea9-4716-4aa0-9141-9e35d847e36a</errorID>
      <errorWord>、</errorWord>
      <group>L1_Punc</group>
      <groupName>标点问题</groupName>
      <ability>L2_Punc_CN</ability>
      <abilityName>标点符号问题</abilityName>
      <candidateList>
        <item>.</item>
      </candidateList>
      <explain/>
      <paraID>323CF6C7</paraID>
      <start>1</start>
      <end>2</end>
      <status>unmodified</status>
      <modifiedWord/>
      <trackRevisions>false</trackRevisions>
    </reviewItem>
    <reviewItem>
      <errorID>5fe0539e-c908-4552-bdff-03a15a53f920</errorID>
      <errorWord>、</errorWord>
      <group>L1_Punc</group>
      <groupName>标点问题</groupName>
      <ability>L2_Punc_CN</ability>
      <abilityName>标点符号问题</abilityName>
      <candidateList>
        <item>.</item>
      </candidateList>
      <explain/>
      <paraID>45C943E5</paraID>
      <start>1</start>
      <end>2</end>
      <status>unmodified</status>
      <modifiedWord/>
      <trackRevisions>false</trackRevisions>
    </reviewItem>
    <reviewItem>
      <errorID>1bd2cc47-5977-4261-b6aa-b46ca83bd941</errorID>
      <errorWord>、</errorWord>
      <group>L1_Punc</group>
      <groupName>标点问题</groupName>
      <ability>L2_Punc_CN</ability>
      <abilityName>标点符号问题</abilityName>
      <candidateList>
        <item>.</item>
      </candidateList>
      <explain/>
      <paraID>38CB9636</paraID>
      <start>1</start>
      <end>2</end>
      <status>unmodified</status>
      <modifiedWord/>
      <trackRevisions>false</trackRevisions>
    </reviewItem>
    <reviewItem>
      <errorID>8235e727-9beb-4a1a-a294-82fcb7a96308</errorID>
      <errorWord>、</errorWord>
      <group>L1_Punc</group>
      <groupName>标点问题</groupName>
      <ability>L2_Punc_CN</ability>
      <abilityName>标点符号问题</abilityName>
      <candidateList>
        <item>.</item>
      </candidateList>
      <explain/>
      <paraID>7932C5B7</paraID>
      <start>1</start>
      <end>2</end>
      <status>unmodified</status>
      <modifiedWord/>
      <trackRevisions>false</trackRevisions>
    </reviewItem>
    <reviewItem>
      <errorID>f193158a-5375-4c27-98c3-566ee6778de9</errorID>
      <errorWord>、</errorWord>
      <group>L1_Punc</group>
      <groupName>标点问题</groupName>
      <ability>L2_Punc_CN</ability>
      <abilityName>标点符号问题</abilityName>
      <candidateList>
        <item>.</item>
      </candidateList>
      <explain/>
      <paraID>48877711</paraID>
      <start>1</start>
      <end>2</end>
      <status>unmodified</status>
      <modifiedWord/>
      <trackRevisions>false</trackRevisions>
    </reviewItem>
    <reviewItem>
      <errorID>3d0fa3d6-dc72-4f87-b438-283b741f64cf</errorID>
      <errorWord>、</errorWord>
      <group>L1_Punc</group>
      <groupName>标点问题</groupName>
      <ability>L2_Punc_CN</ability>
      <abilityName>标点符号问题</abilityName>
      <candidateList>
        <item>.</item>
      </candidateList>
      <explain/>
      <paraID>702C6E24</paraID>
      <start>1</start>
      <end>2</end>
      <status>unmodified</status>
      <modifiedWord/>
      <trackRevisions>false</trackRevisions>
    </reviewItem>
    <reviewItem>
      <errorID>3ab72600-395f-4f81-baeb-dec9b084640f</errorID>
      <errorWord>、</errorWord>
      <group>L1_Punc</group>
      <groupName>标点问题</groupName>
      <ability>L2_Punc_CN</ability>
      <abilityName>标点符号问题</abilityName>
      <candidateList>
        <item>.</item>
      </candidateList>
      <explain/>
      <paraID>2699166A</paraID>
      <start>1</start>
      <end>2</end>
      <status>unmodified</status>
      <modifiedWord/>
      <trackRevisions>false</trackRevisions>
    </reviewItem>
    <reviewItem>
      <errorID>c9879598-d585-4232-856d-51d0b939fb9d</errorID>
      <errorWord>、</errorWord>
      <group>L1_Punc</group>
      <groupName>标点问题</groupName>
      <ability>L2_Punc_CN</ability>
      <abilityName>标点符号问题</abilityName>
      <candidateList>
        <item>.</item>
      </candidateList>
      <explain/>
      <paraID>71C473A7</paraID>
      <start>1</start>
      <end>2</end>
      <status>unmodified</status>
      <modifiedWord/>
      <trackRevisions>false</trackRevisions>
    </reviewItem>
    <reviewItem>
      <errorID>e6da8dd9-dab3-4637-bbdb-7d4f5f2e961b</errorID>
      <errorWord>〔2012〕05号</errorWord>
      <group>L1_Knowledge</group>
      <groupName>知识性问题</groupName>
      <ability>L2_Knowledge</ability>
      <abilityName>其他知识</abilityName>
      <candidateList>
        <item>〔2012〕5号</item>
      </candidateList>
      <explain>发文字号格式错误。</explain>
      <paraID>457CAFE4</paraID>
      <start>90</start>
      <end>99</end>
      <status>unmodified</status>
      <modifiedWord/>
      <trackRevisions>false</trackRevisions>
    </reviewItem>
    <reviewItem>
      <errorID>dac97803-0377-4a55-aab9-5f925ee44d87</errorID>
      <errorWord>、</errorWord>
      <group>L1_Punc</group>
      <groupName>标点问题</groupName>
      <ability>L2_Punc_CN</ability>
      <abilityName>标点符号问题</abilityName>
      <candidateList>
        <item>.</item>
      </candidateList>
      <explain/>
      <paraID>6FFBC832</paraID>
      <start>1</start>
      <end>2</end>
      <status>unmodified</status>
      <modifiedWord/>
      <trackRevisions>false</trackRevisions>
    </reviewItem>
    <reviewItem>
      <errorID>703c028b-2672-4843-9d85-a2a9716baa5e</errorID>
      <errorWord>、</errorWord>
      <group>L1_Punc</group>
      <groupName>标点问题</groupName>
      <ability>L2_Punc_CN</ability>
      <abilityName>标点符号问题</abilityName>
      <candidateList>
        <item>.</item>
      </candidateList>
      <explain/>
      <paraID>269D376E</paraID>
      <start>1</start>
      <end>2</end>
      <status>unmodified</status>
      <modifiedWord/>
      <trackRevisions>false</trackRevisions>
    </reviewItem>
    <reviewItem>
      <errorID>c3b05ced-af1e-4bc4-b62f-016e38c53020</errorID>
      <errorWord>、</errorWord>
      <group>L1_Punc</group>
      <groupName>标点问题</groupName>
      <ability>L2_Punc_CN</ability>
      <abilityName>标点符号问题</abilityName>
      <candidateList>
        <item>.</item>
      </candidateList>
      <explain/>
      <paraID>451DA1E8</paraID>
      <start>1</start>
      <end>2</end>
      <status>unmodified</status>
      <modifiedWord/>
      <trackRevisions>false</trackRevisions>
    </reviewItem>
    <reviewItem>
      <errorID>923cdeb5-e126-4339-9ef9-f6ad86090c92</errorID>
      <errorWord>、</errorWord>
      <group>L1_Punc</group>
      <groupName>标点问题</groupName>
      <ability>L2_Punc_CN</ability>
      <abilityName>标点符号问题</abilityName>
      <candidateList>
        <item>.</item>
      </candidateList>
      <explain/>
      <paraID>5A25B619</paraID>
      <start>1</start>
      <end>2</end>
      <status>unmodified</status>
      <modifiedWord/>
      <trackRevisions>false</trackRevisions>
    </reviewItem>
    <reviewItem>
      <errorID>5c381c77-6a3f-4957-a53e-b77c51b55e88</errorID>
      <errorWord>练</errorWord>
      <group>L1_Word</group>
      <groupName>字词问题</groupName>
      <ability>L2_Typo</ability>
      <abilityName>字词错误</abilityName>
      <candidateList>
        <item>炼</item>
      </candidateList>
      <explain>存在发音相同字词的误用。</explain>
      <paraID>45DBCABE</paraID>
      <start>66</start>
      <end>67</end>
      <status>unmodified</status>
      <modifiedWord/>
      <trackRevisions>false</trackRevisions>
    </reviewItem>
    <reviewItem>
      <errorID>fe63e3ff-1c60-4406-9c66-a6d3f9583815</errorID>
      <errorWord>、</errorWord>
      <group>L1_Punc</group>
      <groupName>标点问题</groupName>
      <ability>L2_Punc_CN</ability>
      <abilityName>标点符号问题</abilityName>
      <candidateList>
        <item>.</item>
      </candidateList>
      <explain/>
      <paraID> 1BDBC15</paraID>
      <start>1</start>
      <end>2</end>
      <status>unmodified</status>
      <modifiedWord/>
      <trackRevisions>false</trackRevisions>
    </reviewItem>
    <reviewItem>
      <errorID>fee1ba9c-dbbb-49ab-8345-55081e8ff13c</errorID>
      <errorWord>、</errorWord>
      <group>L1_Punc</group>
      <groupName>标点问题</groupName>
      <ability>L2_Punc_CN</ability>
      <abilityName>标点符号问题</abilityName>
      <candidateList>
        <item>.</item>
      </candidateList>
      <explain/>
      <paraID>2B898D4E</paraID>
      <start>1</start>
      <end>2</end>
      <status>unmodified</status>
      <modifiedWord/>
      <trackRevisions>false</trackRevisions>
    </reviewItem>
    <reviewItem>
      <errorID>a76c9e3e-4e11-4ed5-a45a-d6f04f3f24e3</errorID>
      <errorWord>串入</errorWord>
      <group>L1_Word</group>
      <groupName>字词问题</groupName>
      <ability>L2_Typo</ability>
      <abilityName>字词错误</abilityName>
      <candidateList>
        <item>窜入</item>
      </candidateList>
      <explain>存在发音相近字词的误用。</explain>
      <paraID>29C8022A</paraID>
      <start>42</start>
      <end>44</end>
      <status>unmodified</status>
      <modifiedWord/>
      <trackRevisions>false</trackRevisions>
    </reviewItem>
    <reviewItem>
      <errorID>3fd81915-eec6-4800-8221-453dae73d397</errorID>
      <errorWord>设明显标志</errorWord>
      <group>L1_Word</group>
      <groupName>字词问题</groupName>
      <ability>L2_Typo</ability>
      <abilityName>字词错误</abilityName>
      <candidateList>
        <item>设置明显标志</item>
      </candidateList>
      <explain/>
      <paraID>7CAFF70C</paraID>
      <start>234</start>
      <end>239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de2c9f-96cc-46dc-a295-047d90de0c4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187</Pages>
  <Words>702</Words>
  <Characters>750</Characters>
  <Lines>885</Lines>
  <Paragraphs>249</Paragraphs>
  <TotalTime>100</TotalTime>
  <ScaleCrop>false</ScaleCrop>
  <LinksUpToDate>false</LinksUpToDate>
  <CharactersWithSpaces>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2025-09-12T01:48:00Z</dcterms:created>
  <dc:creator>lhj</dc:creator>
  <cp:lastModifiedBy>等风</cp:lastModifiedBy>
  <cp:lastPrinted>2020-12-24T01:50:00Z</cp:lastPrinted>
  <dcterms:modified xsi:type="dcterms:W3CDTF">2026-10-13T06:42:31Z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18EA5E656ED64B1882C2C81CC71F4DBE_13</vt:lpwstr>
  </property>
  <property fmtid="{D5CDD505-2E9C-101B-9397-08002B2CF9AE}" pid="4" name="KSOTemplateDocerSaveRecord">
    <vt:lpwstr>eyJoZGlkIjoiNDE1YjM3OTVhNDdiNDkzZDkyYTdiMjQzNmVhMGI4OWIiLCJ1c2VySWQiOiI1MTQ5MTEwMzUifQ==</vt:lpwstr>
  </property>
</Properties>
</file>