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0EED468E">
      <w:pPr>
        <w:adjustRightInd w:val="0"/>
        <w:snapToGrid w:val="0"/>
        <w:ind w:firstLine="1440"/>
        <w:jc w:val="center"/>
        <w:rPr>
          <w:rFonts w:eastAsia="方正小标宋_GBK" w:cs="Times New Roman"/>
          <w:bCs/>
          <w:color w:val="000000" w:themeColor="text1"/>
          <w:sz w:val="72"/>
          <w:szCs w:val="72"/>
          <w14:textFill>
            <w14:solidFill>
              <w14:schemeClr w14:val="tx1"/>
            </w14:solidFill>
          </w14:textFill>
        </w:rPr>
      </w:pPr>
      <w:bookmarkStart w:id="0" w:name="_Toc24640"/>
      <w:bookmarkStart w:id="1" w:name="OLE_LINK70"/>
      <w:bookmarkStart w:id="2" w:name="OLE_LINK69"/>
      <w:bookmarkStart w:id="3" w:name="OLE_LINK38"/>
    </w:p>
    <w:p w14:paraId="3FB867A3">
      <w:pPr>
        <w:adjustRightInd w:val="0"/>
        <w:snapToGrid w:val="0"/>
        <w:ind w:firstLine="1440"/>
        <w:jc w:val="center"/>
        <w:rPr>
          <w:rFonts w:eastAsia="方正小标宋_GBK" w:cs="Times New Roman"/>
          <w:bCs/>
          <w:color w:val="000000" w:themeColor="text1"/>
          <w:sz w:val="72"/>
          <w:szCs w:val="72"/>
          <w14:textFill>
            <w14:solidFill>
              <w14:schemeClr w14:val="tx1"/>
            </w14:solidFill>
          </w14:textFill>
        </w:rPr>
      </w:pPr>
    </w:p>
    <w:p w14:paraId="206CBEF2">
      <w:pPr>
        <w:adjustRightInd w:val="0"/>
        <w:snapToGrid w:val="0"/>
        <w:ind w:firstLine="0" w:firstLineChars="0"/>
        <w:jc w:val="center"/>
        <w:outlineLvl w:val="0"/>
        <w:rPr>
          <w:rFonts w:eastAsia="方正小标宋_GBK" w:cs="Times New Roman"/>
          <w:bCs/>
          <w:color w:val="000000" w:themeColor="text1"/>
          <w:sz w:val="72"/>
          <w:szCs w:val="72"/>
          <w14:textFill>
            <w14:solidFill>
              <w14:schemeClr w14:val="tx1"/>
            </w14:solidFill>
          </w14:textFill>
        </w:rPr>
      </w:pPr>
      <w:bookmarkStart w:id="4" w:name="_Toc9726"/>
      <w:r>
        <w:rPr>
          <w:rFonts w:eastAsia="方正小标宋_GBK" w:cs="Times New Roman"/>
          <w:bCs/>
          <w:color w:val="000000" w:themeColor="text1"/>
          <w:sz w:val="72"/>
          <w:szCs w:val="72"/>
          <w14:textFill>
            <w14:solidFill>
              <w14:schemeClr w14:val="tx1"/>
            </w14:solidFill>
          </w14:textFill>
        </w:rPr>
        <w:t>建设项目</w:t>
      </w:r>
      <w:r>
        <w:rPr>
          <w:rFonts w:hint="eastAsia" w:eastAsia="方正小标宋_GBK" w:cs="Times New Roman"/>
          <w:bCs/>
          <w:color w:val="000000" w:themeColor="text1"/>
          <w:sz w:val="72"/>
          <w:szCs w:val="72"/>
          <w:lang w:val="en-US" w:eastAsia="zh-CN"/>
          <w14:textFill>
            <w14:solidFill>
              <w14:schemeClr w14:val="tx1"/>
            </w14:solidFill>
          </w14:textFill>
        </w:rPr>
        <w:t>生态</w:t>
      </w:r>
      <w:r>
        <w:rPr>
          <w:rFonts w:eastAsia="方正小标宋_GBK" w:cs="Times New Roman"/>
          <w:bCs/>
          <w:color w:val="000000" w:themeColor="text1"/>
          <w:sz w:val="72"/>
          <w:szCs w:val="72"/>
          <w14:textFill>
            <w14:solidFill>
              <w14:schemeClr w14:val="tx1"/>
            </w14:solidFill>
          </w14:textFill>
        </w:rPr>
        <w:t>环境影响报告表</w:t>
      </w:r>
      <w:bookmarkEnd w:id="4"/>
    </w:p>
    <w:p w14:paraId="06E5FE84">
      <w:pPr>
        <w:adjustRightInd w:val="0"/>
        <w:snapToGrid w:val="0"/>
        <w:spacing w:before="260" w:beforeLines="80" w:line="240" w:lineRule="auto"/>
        <w:ind w:firstLine="0" w:firstLineChars="0"/>
        <w:jc w:val="center"/>
        <w:rPr>
          <w:rFonts w:eastAsia="楷体_GB2312" w:cs="Times New Roman"/>
          <w:bCs/>
          <w:color w:val="000000" w:themeColor="text1"/>
          <w:sz w:val="48"/>
          <w:szCs w:val="48"/>
          <w14:textFill>
            <w14:solidFill>
              <w14:schemeClr w14:val="tx1"/>
            </w14:solidFill>
          </w14:textFill>
        </w:rPr>
      </w:pPr>
      <w:r>
        <w:rPr>
          <w:rFonts w:eastAsia="楷体_GB2312" w:cs="Times New Roman"/>
          <w:bCs/>
          <w:color w:val="000000" w:themeColor="text1"/>
          <w:sz w:val="48"/>
          <w:szCs w:val="48"/>
          <w14:textFill>
            <w14:solidFill>
              <w14:schemeClr w14:val="tx1"/>
            </w14:solidFill>
          </w14:textFill>
        </w:rPr>
        <w:t>（污染影响类）</w:t>
      </w:r>
    </w:p>
    <w:p w14:paraId="4061D50F">
      <w:pPr>
        <w:adjustRightInd w:val="0"/>
        <w:snapToGrid w:val="0"/>
        <w:spacing w:before="260" w:beforeLines="80" w:line="240" w:lineRule="auto"/>
        <w:ind w:firstLine="0" w:firstLineChars="0"/>
        <w:jc w:val="center"/>
        <w:rPr>
          <w:rFonts w:eastAsia="楷体_GB2312" w:cs="Times New Roman"/>
          <w:bCs/>
          <w:color w:val="000000" w:themeColor="text1"/>
          <w:sz w:val="40"/>
          <w:szCs w:val="40"/>
          <w14:textFill>
            <w14:solidFill>
              <w14:schemeClr w14:val="tx1"/>
            </w14:solidFill>
          </w14:textFill>
        </w:rPr>
      </w:pPr>
      <w:r>
        <w:rPr>
          <w:rFonts w:eastAsia="楷体_GB2312" w:cs="Times New Roman"/>
          <w:bCs/>
          <w:color w:val="000000" w:themeColor="text1"/>
          <w:sz w:val="40"/>
          <w:szCs w:val="40"/>
          <w14:textFill>
            <w14:solidFill>
              <w14:schemeClr w14:val="tx1"/>
            </w14:solidFill>
          </w14:textFill>
        </w:rPr>
        <w:t>（</w:t>
      </w:r>
      <w:r>
        <w:rPr>
          <w:rFonts w:hint="eastAsia" w:eastAsia="楷体_GB2312" w:cs="Times New Roman"/>
          <w:bCs/>
          <w:color w:val="000000" w:themeColor="text1"/>
          <w:sz w:val="40"/>
          <w:szCs w:val="40"/>
          <w:lang w:val="en-US" w:eastAsia="zh-CN"/>
          <w14:textFill>
            <w14:solidFill>
              <w14:schemeClr w14:val="tx1"/>
            </w14:solidFill>
          </w14:textFill>
        </w:rPr>
        <w:t>公示</w:t>
      </w:r>
      <w:r>
        <w:rPr>
          <w:rFonts w:eastAsia="楷体_GB2312" w:cs="Times New Roman"/>
          <w:bCs/>
          <w:color w:val="000000" w:themeColor="text1"/>
          <w:sz w:val="40"/>
          <w:szCs w:val="40"/>
          <w14:textFill>
            <w14:solidFill>
              <w14:schemeClr w14:val="tx1"/>
            </w14:solidFill>
          </w14:textFill>
        </w:rPr>
        <w:t>本）</w:t>
      </w:r>
    </w:p>
    <w:p w14:paraId="0964B976">
      <w:pPr>
        <w:adjustRightInd w:val="0"/>
        <w:snapToGrid w:val="0"/>
        <w:spacing w:line="288" w:lineRule="auto"/>
        <w:ind w:firstLine="0" w:firstLineChars="0"/>
        <w:rPr>
          <w:rFonts w:eastAsia="仿宋" w:cs="Times New Roman"/>
          <w:color w:val="000000" w:themeColor="text1"/>
          <w:sz w:val="44"/>
          <w:szCs w:val="44"/>
          <w14:textFill>
            <w14:solidFill>
              <w14:schemeClr w14:val="tx1"/>
            </w14:solidFill>
          </w14:textFill>
        </w:rPr>
      </w:pPr>
    </w:p>
    <w:p w14:paraId="6BB5E91D">
      <w:pPr>
        <w:adjustRightInd w:val="0"/>
        <w:snapToGrid w:val="0"/>
        <w:spacing w:line="288" w:lineRule="auto"/>
        <w:ind w:firstLine="0" w:firstLineChars="0"/>
        <w:rPr>
          <w:rFonts w:eastAsia="仿宋" w:cs="Times New Roman"/>
          <w:color w:val="000000" w:themeColor="text1"/>
          <w:sz w:val="44"/>
          <w:szCs w:val="44"/>
          <w14:textFill>
            <w14:solidFill>
              <w14:schemeClr w14:val="tx1"/>
            </w14:solidFill>
          </w14:textFill>
        </w:rPr>
      </w:pPr>
    </w:p>
    <w:p w14:paraId="617D369F">
      <w:pPr>
        <w:adjustRightInd w:val="0"/>
        <w:snapToGrid w:val="0"/>
        <w:spacing w:line="288" w:lineRule="auto"/>
        <w:ind w:firstLine="0" w:firstLineChars="0"/>
        <w:rPr>
          <w:rFonts w:eastAsia="仿宋" w:cs="Times New Roman"/>
          <w:color w:val="000000" w:themeColor="text1"/>
          <w:sz w:val="40"/>
          <w:szCs w:val="40"/>
          <w14:textFill>
            <w14:solidFill>
              <w14:schemeClr w14:val="tx1"/>
            </w14:solidFill>
          </w14:textFill>
        </w:rPr>
      </w:pPr>
    </w:p>
    <w:p w14:paraId="74E4B410">
      <w:pPr>
        <w:adjustRightInd w:val="0"/>
        <w:snapToGrid w:val="0"/>
        <w:spacing w:line="288" w:lineRule="auto"/>
        <w:ind w:firstLine="960" w:firstLineChars="300"/>
        <w:rPr>
          <w:rFonts w:hint="default" w:eastAsia="仿宋_GB2312" w:cs="Times New Roman"/>
          <w:color w:val="000000" w:themeColor="text1"/>
          <w:sz w:val="32"/>
          <w:szCs w:val="32"/>
          <w:u w:val="single"/>
          <w:lang w:val="en-US" w:eastAsia="zh-CN"/>
          <w14:textFill>
            <w14:solidFill>
              <w14:schemeClr w14:val="tx1"/>
            </w14:solidFill>
          </w14:textFill>
        </w:rPr>
      </w:pPr>
      <w:r>
        <w:rPr>
          <w:rFonts w:eastAsia="仿宋_GB2312" w:cs="Times New Roman"/>
          <w:color w:val="000000" w:themeColor="text1"/>
          <w:sz w:val="32"/>
          <w:szCs w:val="32"/>
          <w14:textFill>
            <w14:solidFill>
              <w14:schemeClr w14:val="tx1"/>
            </w14:solidFill>
          </w14:textFill>
        </w:rPr>
        <w:t>项目名称：</w:t>
      </w:r>
      <w:r>
        <w:rPr>
          <w:rFonts w:eastAsia="仿宋_GB2312" w:cs="Times New Roman"/>
          <w:color w:val="000000" w:themeColor="text1"/>
          <w:sz w:val="32"/>
          <w:szCs w:val="32"/>
          <w:u w:val="single"/>
          <w14:textFill>
            <w14:solidFill>
              <w14:schemeClr w14:val="tx1"/>
            </w14:solidFill>
          </w14:textFill>
        </w:rPr>
        <w:t xml:space="preserve">   </w:t>
      </w:r>
      <w:r>
        <w:rPr>
          <w:rFonts w:hint="eastAsia" w:eastAsia="仿宋_GB2312" w:cs="Times New Roman"/>
          <w:color w:val="000000" w:themeColor="text1"/>
          <w:sz w:val="32"/>
          <w:szCs w:val="32"/>
          <w:u w:val="single"/>
          <w:lang w:eastAsia="zh-CN"/>
          <w14:textFill>
            <w14:solidFill>
              <w14:schemeClr w14:val="tx1"/>
            </w14:solidFill>
          </w14:textFill>
        </w:rPr>
        <w:t>巴中瑞成环保科技有限公司水基岩屑综合</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p>
    <w:p w14:paraId="0252E62F">
      <w:pPr>
        <w:adjustRightInd w:val="0"/>
        <w:snapToGrid w:val="0"/>
        <w:spacing w:line="288" w:lineRule="auto"/>
        <w:ind w:firstLine="960" w:firstLineChars="300"/>
        <w:jc w:val="center"/>
        <w:rPr>
          <w:rFonts w:hint="default" w:eastAsia="仿宋_GB2312" w:cs="Times New Roman"/>
          <w:color w:val="000000" w:themeColor="text1"/>
          <w:sz w:val="32"/>
          <w:szCs w:val="32"/>
          <w:u w:val="single"/>
          <w:lang w:val="en-US"/>
          <w14:textFill>
            <w14:solidFill>
              <w14:schemeClr w14:val="tx1"/>
            </w14:solidFill>
          </w14:textFill>
        </w:rPr>
      </w:pP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hint="eastAsia" w:eastAsia="仿宋_GB2312" w:cs="Times New Roman"/>
          <w:color w:val="000000" w:themeColor="text1"/>
          <w:sz w:val="32"/>
          <w:szCs w:val="32"/>
          <w:u w:val="single"/>
          <w:lang w:eastAsia="zh-CN"/>
          <w14:textFill>
            <w14:solidFill>
              <w14:schemeClr w14:val="tx1"/>
            </w14:solidFill>
          </w14:textFill>
        </w:rPr>
        <w:t>利用及处理项目（</w:t>
      </w:r>
      <w:r>
        <w:rPr>
          <w:rFonts w:hint="eastAsia" w:eastAsia="仿宋_GB2312" w:cs="Times New Roman"/>
          <w:color w:val="000000" w:themeColor="text1"/>
          <w:sz w:val="32"/>
          <w:szCs w:val="32"/>
          <w:u w:val="single"/>
          <w:lang w:val="en-US" w:eastAsia="zh-CN"/>
          <w14:textFill>
            <w14:solidFill>
              <w14:schemeClr w14:val="tx1"/>
            </w14:solidFill>
          </w14:textFill>
        </w:rPr>
        <w:t>重新报批</w:t>
      </w:r>
      <w:r>
        <w:rPr>
          <w:rFonts w:hint="eastAsia" w:eastAsia="仿宋_GB2312" w:cs="Times New Roman"/>
          <w:color w:val="000000" w:themeColor="text1"/>
          <w:sz w:val="32"/>
          <w:szCs w:val="32"/>
          <w:u w:val="single"/>
          <w:lang w:eastAsia="zh-CN"/>
          <w14:textFill>
            <w14:solidFill>
              <w14:schemeClr w14:val="tx1"/>
            </w14:solidFill>
          </w14:textFill>
        </w:rPr>
        <w:t>）</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p>
    <w:p w14:paraId="41554967">
      <w:pPr>
        <w:adjustRightInd w:val="0"/>
        <w:snapToGrid w:val="0"/>
        <w:spacing w:line="288" w:lineRule="auto"/>
        <w:ind w:firstLine="960" w:firstLineChars="300"/>
        <w:rPr>
          <w:rFonts w:eastAsia="仿宋_GB2312" w:cs="Times New Roman"/>
          <w:color w:val="000000" w:themeColor="text1"/>
          <w:sz w:val="32"/>
          <w:szCs w:val="32"/>
          <w:u w:val="single"/>
          <w14:textFill>
            <w14:solidFill>
              <w14:schemeClr w14:val="tx1"/>
            </w14:solidFill>
          </w14:textFill>
        </w:rPr>
      </w:pPr>
      <w:r>
        <w:rPr>
          <w:rFonts w:eastAsia="仿宋_GB2312" w:cs="Times New Roman"/>
          <w:color w:val="000000" w:themeColor="text1"/>
          <w:sz w:val="32"/>
          <w:szCs w:val="32"/>
          <w14:textFill>
            <w14:solidFill>
              <w14:schemeClr w14:val="tx1"/>
            </w14:solidFill>
          </w14:textFill>
        </w:rPr>
        <w:t>建设单位（盖章）：</w:t>
      </w:r>
      <w:r>
        <w:rPr>
          <w:rFonts w:hint="eastAsia" w:eastAsia="仿宋_GB2312" w:cs="Times New Roman"/>
          <w:color w:val="000000" w:themeColor="text1"/>
          <w:sz w:val="32"/>
          <w:szCs w:val="32"/>
          <w:u w:val="single"/>
          <w14:textFill>
            <w14:solidFill>
              <w14:schemeClr w14:val="tx1"/>
            </w14:solidFill>
          </w14:textFill>
        </w:rPr>
        <w:t xml:space="preserve"> 巴中瑞成环保科技有限公司</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eastAsia="仿宋_GB2312" w:cs="Times New Roman"/>
          <w:color w:val="000000" w:themeColor="text1"/>
          <w:sz w:val="32"/>
          <w:szCs w:val="32"/>
          <w:u w:val="single"/>
          <w14:textFill>
            <w14:solidFill>
              <w14:schemeClr w14:val="tx1"/>
            </w14:solidFill>
          </w14:textFill>
        </w:rPr>
        <w:t xml:space="preserve"> </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eastAsia="仿宋_GB2312" w:cs="Times New Roman"/>
          <w:color w:val="000000" w:themeColor="text1"/>
          <w:sz w:val="32"/>
          <w:szCs w:val="32"/>
          <w:u w:val="single"/>
          <w14:textFill>
            <w14:solidFill>
              <w14:schemeClr w14:val="tx1"/>
            </w14:solidFill>
          </w14:textFill>
        </w:rPr>
        <w:t xml:space="preserve"> </w:t>
      </w:r>
    </w:p>
    <w:p w14:paraId="7FEDD453">
      <w:pPr>
        <w:adjustRightInd w:val="0"/>
        <w:snapToGrid w:val="0"/>
        <w:spacing w:line="288" w:lineRule="auto"/>
        <w:ind w:firstLine="960" w:firstLineChars="300"/>
        <w:rPr>
          <w:rFonts w:eastAsia="仿宋_GB2312" w:cs="Times New Roman"/>
          <w:color w:val="000000" w:themeColor="text1"/>
          <w:sz w:val="32"/>
          <w:szCs w:val="32"/>
          <w:u w:val="single"/>
          <w14:textFill>
            <w14:solidFill>
              <w14:schemeClr w14:val="tx1"/>
            </w14:solidFill>
          </w14:textFill>
        </w:rPr>
      </w:pPr>
      <w:r>
        <w:rPr>
          <w:rFonts w:eastAsia="仿宋_GB2312" w:cs="Times New Roman"/>
          <w:color w:val="000000" w:themeColor="text1"/>
          <w:sz w:val="32"/>
          <w:szCs w:val="32"/>
          <w14:textFill>
            <w14:solidFill>
              <w14:schemeClr w14:val="tx1"/>
            </w14:solidFill>
          </w14:textFill>
        </w:rPr>
        <w:t>编制日期：</w:t>
      </w:r>
      <w:r>
        <w:rPr>
          <w:rFonts w:eastAsia="仿宋_GB2312" w:cs="Times New Roman"/>
          <w:color w:val="000000" w:themeColor="text1"/>
          <w:sz w:val="32"/>
          <w:szCs w:val="32"/>
          <w:u w:val="single"/>
          <w14:textFill>
            <w14:solidFill>
              <w14:schemeClr w14:val="tx1"/>
            </w14:solidFill>
          </w14:textFill>
        </w:rPr>
        <w:t xml:space="preserve">        </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eastAsia="仿宋_GB2312" w:cs="Times New Roman"/>
          <w:color w:val="000000" w:themeColor="text1"/>
          <w:sz w:val="32"/>
          <w:szCs w:val="32"/>
          <w:u w:val="single"/>
          <w14:textFill>
            <w14:solidFill>
              <w14:schemeClr w14:val="tx1"/>
            </w14:solidFill>
          </w14:textFill>
        </w:rPr>
        <w:t xml:space="preserve"> </w:t>
      </w:r>
      <w:r>
        <w:rPr>
          <w:rFonts w:hint="eastAsia" w:eastAsia="仿宋_GB2312" w:cs="Times New Roman"/>
          <w:color w:val="000000" w:themeColor="text1"/>
          <w:sz w:val="32"/>
          <w:szCs w:val="32"/>
          <w:u w:val="single"/>
          <w:lang w:eastAsia="zh-CN"/>
          <w14:textFill>
            <w14:solidFill>
              <w14:schemeClr w14:val="tx1"/>
            </w14:solidFill>
          </w14:textFill>
        </w:rPr>
        <w:t>二〇二六</w:t>
      </w:r>
      <w:r>
        <w:rPr>
          <w:rFonts w:eastAsia="仿宋_GB2312" w:cs="Times New Roman"/>
          <w:color w:val="000000" w:themeColor="text1"/>
          <w:sz w:val="32"/>
          <w:szCs w:val="32"/>
          <w:u w:val="single"/>
          <w14:textFill>
            <w14:solidFill>
              <w14:schemeClr w14:val="tx1"/>
            </w14:solidFill>
          </w14:textFill>
        </w:rPr>
        <w:t>年</w:t>
      </w:r>
      <w:r>
        <w:rPr>
          <w:rFonts w:hint="eastAsia" w:eastAsia="仿宋_GB2312" w:cs="Times New Roman"/>
          <w:color w:val="000000" w:themeColor="text1"/>
          <w:sz w:val="32"/>
          <w:szCs w:val="32"/>
          <w:u w:val="single"/>
          <w:lang w:val="en-US" w:eastAsia="zh-CN"/>
          <w14:textFill>
            <w14:solidFill>
              <w14:schemeClr w14:val="tx1"/>
            </w14:solidFill>
          </w14:textFill>
        </w:rPr>
        <w:t>九</w:t>
      </w:r>
      <w:r>
        <w:rPr>
          <w:rFonts w:eastAsia="仿宋_GB2312" w:cs="Times New Roman"/>
          <w:color w:val="000000" w:themeColor="text1"/>
          <w:sz w:val="32"/>
          <w:szCs w:val="32"/>
          <w:u w:val="single"/>
          <w14:textFill>
            <w14:solidFill>
              <w14:schemeClr w14:val="tx1"/>
            </w14:solidFill>
          </w14:textFill>
        </w:rPr>
        <w:t xml:space="preserve">月             </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eastAsia="仿宋_GB2312" w:cs="Times New Roman"/>
          <w:color w:val="000000" w:themeColor="text1"/>
          <w:sz w:val="32"/>
          <w:szCs w:val="32"/>
          <w:u w:val="single"/>
          <w14:textFill>
            <w14:solidFill>
              <w14:schemeClr w14:val="tx1"/>
            </w14:solidFill>
          </w14:textFill>
        </w:rPr>
        <w:t xml:space="preserve"> </w:t>
      </w:r>
    </w:p>
    <w:p w14:paraId="61F7782D">
      <w:pPr>
        <w:adjustRightInd w:val="0"/>
        <w:snapToGrid w:val="0"/>
        <w:spacing w:line="288" w:lineRule="auto"/>
        <w:ind w:firstLine="720"/>
        <w:rPr>
          <w:rFonts w:eastAsia="仿宋_GB2312" w:cs="Times New Roman"/>
          <w:color w:val="000000" w:themeColor="text1"/>
          <w:sz w:val="36"/>
          <w:szCs w:val="36"/>
          <w:u w:val="single"/>
          <w14:textFill>
            <w14:solidFill>
              <w14:schemeClr w14:val="tx1"/>
            </w14:solidFill>
          </w14:textFill>
        </w:rPr>
      </w:pPr>
      <w:bookmarkStart w:id="5" w:name="_Hlk57884087"/>
    </w:p>
    <w:p w14:paraId="610D8F71">
      <w:pPr>
        <w:adjustRightInd w:val="0"/>
        <w:snapToGrid w:val="0"/>
        <w:spacing w:line="288" w:lineRule="auto"/>
        <w:ind w:firstLine="720"/>
        <w:rPr>
          <w:rFonts w:eastAsia="仿宋_GB2312" w:cs="Times New Roman"/>
          <w:color w:val="000000" w:themeColor="text1"/>
          <w:sz w:val="36"/>
          <w:szCs w:val="36"/>
          <w14:textFill>
            <w14:solidFill>
              <w14:schemeClr w14:val="tx1"/>
            </w14:solidFill>
          </w14:textFill>
        </w:rPr>
      </w:pPr>
    </w:p>
    <w:p w14:paraId="6044B944">
      <w:pPr>
        <w:adjustRightInd w:val="0"/>
        <w:snapToGrid w:val="0"/>
        <w:spacing w:line="288" w:lineRule="auto"/>
        <w:ind w:firstLine="720"/>
        <w:rPr>
          <w:rFonts w:eastAsia="仿宋_GB2312" w:cs="Times New Roman"/>
          <w:color w:val="000000" w:themeColor="text1"/>
          <w:sz w:val="36"/>
          <w:szCs w:val="36"/>
          <w14:textFill>
            <w14:solidFill>
              <w14:schemeClr w14:val="tx1"/>
            </w14:solidFill>
          </w14:textFill>
        </w:rPr>
      </w:pPr>
    </w:p>
    <w:p w14:paraId="2939E444">
      <w:pPr>
        <w:pStyle w:val="16"/>
        <w:rPr>
          <w:color w:val="000000" w:themeColor="text1"/>
          <w14:textFill>
            <w14:solidFill>
              <w14:schemeClr w14:val="tx1"/>
            </w14:solidFill>
          </w14:textFill>
        </w:rPr>
      </w:pPr>
    </w:p>
    <w:p w14:paraId="68C527D9">
      <w:pPr>
        <w:adjustRightInd w:val="0"/>
        <w:snapToGrid w:val="0"/>
        <w:spacing w:line="288" w:lineRule="auto"/>
        <w:ind w:firstLine="720"/>
        <w:rPr>
          <w:rFonts w:hint="eastAsia" w:eastAsia="仿宋_GB2312" w:cs="Times New Roman"/>
          <w:color w:val="000000" w:themeColor="text1"/>
          <w:sz w:val="36"/>
          <w:szCs w:val="36"/>
          <w14:textFill>
            <w14:solidFill>
              <w14:schemeClr w14:val="tx1"/>
            </w14:solidFill>
          </w14:textFill>
        </w:rPr>
      </w:pPr>
    </w:p>
    <w:p w14:paraId="47845007">
      <w:pPr>
        <w:adjustRightInd w:val="0"/>
        <w:snapToGrid w:val="0"/>
        <w:spacing w:line="288" w:lineRule="auto"/>
        <w:ind w:firstLine="720"/>
        <w:rPr>
          <w:rFonts w:eastAsia="仿宋_GB2312" w:cs="Times New Roman"/>
          <w:color w:val="000000" w:themeColor="text1"/>
          <w:sz w:val="36"/>
          <w:szCs w:val="36"/>
          <w14:textFill>
            <w14:solidFill>
              <w14:schemeClr w14:val="tx1"/>
            </w14:solidFill>
          </w14:textFill>
        </w:rPr>
      </w:pPr>
    </w:p>
    <w:bookmarkEnd w:id="5"/>
    <w:p w14:paraId="39FEECB8">
      <w:pPr>
        <w:adjustRightInd w:val="0"/>
        <w:snapToGrid w:val="0"/>
        <w:spacing w:line="288" w:lineRule="auto"/>
        <w:ind w:firstLine="720"/>
        <w:jc w:val="center"/>
        <w:rPr>
          <w:rFonts w:eastAsia="楷体_GB2312" w:cs="Times New Roman"/>
          <w:color w:val="000000" w:themeColor="text1"/>
          <w:sz w:val="32"/>
          <w:szCs w:val="32"/>
          <w14:textFill>
            <w14:solidFill>
              <w14:schemeClr w14:val="tx1"/>
            </w14:solidFill>
          </w14:textFill>
        </w:rPr>
      </w:pPr>
      <w:r>
        <w:rPr>
          <w:rFonts w:eastAsia="楷体_GB2312" w:cs="Times New Roman"/>
          <w:color w:val="000000" w:themeColor="text1"/>
          <w:sz w:val="32"/>
          <w:szCs w:val="32"/>
          <w14:textFill>
            <w14:solidFill>
              <w14:schemeClr w14:val="tx1"/>
            </w14:solidFill>
          </w14:textFill>
        </w:rPr>
        <w:t>中华人民共和国生态环境部制</w:t>
      </w:r>
    </w:p>
    <w:p w14:paraId="1973F2B6">
      <w:pPr>
        <w:pStyle w:val="3"/>
        <w:rPr>
          <w:rFonts w:ascii="Times New Roman" w:hAnsi="Times New Roman"/>
          <w:color w:val="000000" w:themeColor="text1"/>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567" w:gutter="0"/>
          <w:cols w:space="425" w:num="1"/>
          <w:docGrid w:type="lines" w:linePitch="326" w:charSpace="0"/>
        </w:sectPr>
      </w:pPr>
    </w:p>
    <w:p w14:paraId="22CEF82E">
      <w:pPr>
        <w:spacing w:line="360" w:lineRule="auto"/>
        <w:jc w:val="center"/>
        <w:rPr>
          <w:rFonts w:hint="eastAsia"/>
          <w:b/>
          <w:bCs/>
          <w:color w:val="000000" w:themeColor="text1"/>
          <w:sz w:val="40"/>
          <w:szCs w:val="36"/>
          <w:lang w:val="en-US" w:eastAsia="zh-CN"/>
          <w14:textFill>
            <w14:solidFill>
              <w14:schemeClr w14:val="tx1"/>
            </w14:solidFill>
          </w14:textFill>
        </w:rPr>
      </w:pPr>
      <w:r>
        <w:rPr>
          <w:rFonts w:hint="eastAsia"/>
          <w:b/>
          <w:bCs/>
          <w:color w:val="000000" w:themeColor="text1"/>
          <w:sz w:val="40"/>
          <w:szCs w:val="36"/>
          <w:lang w:val="en-US" w:eastAsia="zh-CN"/>
          <w14:textFill>
            <w14:solidFill>
              <w14:schemeClr w14:val="tx1"/>
            </w14:solidFill>
          </w14:textFill>
        </w:rPr>
        <w:t>目 录</w:t>
      </w:r>
    </w:p>
    <w:p w14:paraId="13EE4459">
      <w:pPr>
        <w:pStyle w:val="22"/>
        <w:tabs>
          <w:tab w:val="right" w:leader="dot" w:pos="9746"/>
        </w:tabs>
        <w:spacing w:line="360" w:lineRule="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fldChar w:fldCharType="begin"/>
      </w:r>
      <w:r>
        <w:rPr>
          <w:rFonts w:hint="eastAsia"/>
          <w:color w:val="000000" w:themeColor="text1"/>
          <w:lang w:val="en-US" w:eastAsia="zh-CN"/>
          <w14:textFill>
            <w14:solidFill>
              <w14:schemeClr w14:val="tx1"/>
            </w14:solidFill>
          </w14:textFill>
        </w:rPr>
        <w:instrText xml:space="preserve">TOC \o "1-1" \u </w:instrText>
      </w:r>
      <w:r>
        <w:rPr>
          <w:rFonts w:hint="eastAsia"/>
          <w:color w:val="000000" w:themeColor="text1"/>
          <w:lang w:val="en-US" w:eastAsia="zh-CN"/>
          <w14:textFill>
            <w14:solidFill>
              <w14:schemeClr w14:val="tx1"/>
            </w14:solidFill>
          </w14:textFill>
        </w:rPr>
        <w:fldChar w:fldCharType="separate"/>
      </w:r>
      <w:r>
        <w:rPr>
          <w:rFonts w:hint="eastAsia" w:ascii="Times New Roman" w:hAnsi="Times New Roman"/>
          <w:color w:val="000000" w:themeColor="text1"/>
          <w14:textFill>
            <w14:solidFill>
              <w14:schemeClr w14:val="tx1"/>
            </w14:solidFill>
          </w14:textFill>
        </w:rPr>
        <w:t xml:space="preserve">一、 </w:t>
      </w:r>
      <w:r>
        <w:rPr>
          <w:rFonts w:ascii="Times New Roman" w:hAnsi="Times New Roman"/>
          <w:color w:val="000000" w:themeColor="text1"/>
          <w14:textFill>
            <w14:solidFill>
              <w14:schemeClr w14:val="tx1"/>
            </w14:solidFill>
          </w14:textFill>
        </w:rPr>
        <w:t>建设项目基本情况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_Toc29053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p>
    <w:p w14:paraId="53865B8F">
      <w:pPr>
        <w:pStyle w:val="22"/>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二、 </w:t>
      </w:r>
      <w:r>
        <w:rPr>
          <w:rFonts w:ascii="Times New Roman" w:hAnsi="Times New Roman"/>
          <w:color w:val="000000" w:themeColor="text1"/>
          <w14:textFill>
            <w14:solidFill>
              <w14:schemeClr w14:val="tx1"/>
            </w14:solidFill>
          </w14:textFill>
        </w:rPr>
        <w:t>建设项目工程分析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_Toc6038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52</w:t>
      </w:r>
      <w:r>
        <w:rPr>
          <w:color w:val="000000" w:themeColor="text1"/>
          <w14:textFill>
            <w14:solidFill>
              <w14:schemeClr w14:val="tx1"/>
            </w14:solidFill>
          </w14:textFill>
        </w:rPr>
        <w:fldChar w:fldCharType="end"/>
      </w:r>
    </w:p>
    <w:p w14:paraId="3D19F101">
      <w:pPr>
        <w:pStyle w:val="22"/>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三、 </w:t>
      </w:r>
      <w:r>
        <w:rPr>
          <w:rFonts w:ascii="Times New Roman" w:hAnsi="Times New Roman"/>
          <w:color w:val="000000" w:themeColor="text1"/>
          <w14:textFill>
            <w14:solidFill>
              <w14:schemeClr w14:val="tx1"/>
            </w14:solidFill>
          </w14:textFill>
        </w:rPr>
        <w:t>区域环境质量现状、环境保护目标及评价标准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108</w:t>
      </w:r>
      <w:r>
        <w:rPr>
          <w:color w:val="000000" w:themeColor="text1"/>
          <w14:textFill>
            <w14:solidFill>
              <w14:schemeClr w14:val="tx1"/>
            </w14:solidFill>
          </w14:textFill>
        </w:rPr>
        <w:fldChar w:fldCharType="end"/>
      </w:r>
    </w:p>
    <w:p w14:paraId="13E22C77">
      <w:pPr>
        <w:pStyle w:val="22"/>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四、 </w:t>
      </w:r>
      <w:r>
        <w:rPr>
          <w:rFonts w:ascii="Times New Roman" w:hAnsi="Times New Roman"/>
          <w:color w:val="000000" w:themeColor="text1"/>
          <w14:textFill>
            <w14:solidFill>
              <w14:schemeClr w14:val="tx1"/>
            </w14:solidFill>
          </w14:textFill>
        </w:rPr>
        <w:t>主要环境影响和保护措施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_Toc21631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126</w:t>
      </w:r>
      <w:r>
        <w:rPr>
          <w:color w:val="000000" w:themeColor="text1"/>
          <w14:textFill>
            <w14:solidFill>
              <w14:schemeClr w14:val="tx1"/>
            </w14:solidFill>
          </w14:textFill>
        </w:rPr>
        <w:fldChar w:fldCharType="end"/>
      </w:r>
    </w:p>
    <w:p w14:paraId="3C385911">
      <w:pPr>
        <w:pStyle w:val="22"/>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五、 </w:t>
      </w:r>
      <w:r>
        <w:rPr>
          <w:rFonts w:ascii="Times New Roman" w:hAnsi="Times New Roman"/>
          <w:color w:val="000000" w:themeColor="text1"/>
          <w14:textFill>
            <w14:solidFill>
              <w14:schemeClr w14:val="tx1"/>
            </w14:solidFill>
          </w14:textFill>
        </w:rPr>
        <w:t>环境保护措施监督检查清单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_Toc30635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160</w:t>
      </w:r>
      <w:r>
        <w:rPr>
          <w:color w:val="000000" w:themeColor="text1"/>
          <w14:textFill>
            <w14:solidFill>
              <w14:schemeClr w14:val="tx1"/>
            </w14:solidFill>
          </w14:textFill>
        </w:rPr>
        <w:fldChar w:fldCharType="end"/>
      </w:r>
    </w:p>
    <w:p w14:paraId="5541F3EB">
      <w:pPr>
        <w:pStyle w:val="22"/>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六、 </w:t>
      </w:r>
      <w:r>
        <w:rPr>
          <w:rFonts w:ascii="Times New Roman" w:hAnsi="Times New Roman"/>
          <w:color w:val="000000" w:themeColor="text1"/>
          <w14:textFill>
            <w14:solidFill>
              <w14:schemeClr w14:val="tx1"/>
            </w14:solidFill>
          </w14:textFill>
        </w:rPr>
        <w:t>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_Toc15298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163</w:t>
      </w:r>
      <w:r>
        <w:rPr>
          <w:color w:val="000000" w:themeColor="text1"/>
          <w14:textFill>
            <w14:solidFill>
              <w14:schemeClr w14:val="tx1"/>
            </w14:solidFill>
          </w14:textFill>
        </w:rPr>
        <w:fldChar w:fldCharType="end"/>
      </w:r>
    </w:p>
    <w:p w14:paraId="162CD9F6">
      <w:pPr>
        <w:pStyle w:val="22"/>
        <w:tabs>
          <w:tab w:val="right" w:leader="dot" w:pos="9746"/>
        </w:tabs>
        <w:spacing w:line="360" w:lineRule="auto"/>
        <w:rPr>
          <w:color w:val="000000" w:themeColor="text1"/>
          <w14:textFill>
            <w14:solidFill>
              <w14:schemeClr w14:val="tx1"/>
            </w14:solidFill>
          </w14:textFill>
        </w:rPr>
      </w:pPr>
      <w:r>
        <w:rPr>
          <w:rFonts w:eastAsia="黑体" w:cs="Times New Roman"/>
          <w:snapToGrid w:val="0"/>
          <w:color w:val="000000" w:themeColor="text1"/>
          <w:szCs w:val="32"/>
          <w14:textFill>
            <w14:solidFill>
              <w14:schemeClr w14:val="tx1"/>
            </w14:solidFill>
          </w14:textFill>
        </w:rPr>
        <w:t>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_Toc24922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164</w:t>
      </w:r>
      <w:r>
        <w:rPr>
          <w:color w:val="000000" w:themeColor="text1"/>
          <w14:textFill>
            <w14:solidFill>
              <w14:schemeClr w14:val="tx1"/>
            </w14:solidFill>
          </w14:textFill>
        </w:rPr>
        <w:fldChar w:fldCharType="end"/>
      </w:r>
    </w:p>
    <w:p w14:paraId="2ECE2E1A">
      <w:pPr>
        <w:spacing w:line="360" w:lineRule="auto"/>
        <w:rPr>
          <w:rFonts w:hint="eastAsia"/>
          <w:color w:val="000000" w:themeColor="text1"/>
          <w:lang w:val="en-US" w:eastAsia="zh-CN"/>
          <w14:textFill>
            <w14:solidFill>
              <w14:schemeClr w14:val="tx1"/>
            </w14:solidFill>
          </w14:textFill>
        </w:rPr>
        <w:sectPr>
          <w:pgSz w:w="11906" w:h="16838"/>
          <w:pgMar w:top="1440" w:right="1080" w:bottom="1440" w:left="1080" w:header="851" w:footer="567" w:gutter="0"/>
          <w:cols w:space="425" w:num="1"/>
          <w:docGrid w:type="lines" w:linePitch="326" w:charSpace="0"/>
        </w:sectPr>
      </w:pPr>
      <w:r>
        <w:rPr>
          <w:rFonts w:hint="eastAsia"/>
          <w:color w:val="000000" w:themeColor="text1"/>
          <w:lang w:val="en-US" w:eastAsia="zh-CN"/>
          <w14:textFill>
            <w14:solidFill>
              <w14:schemeClr w14:val="tx1"/>
            </w14:solidFill>
          </w14:textFill>
        </w:rPr>
        <w:fldChar w:fldCharType="end"/>
      </w:r>
    </w:p>
    <w:p w14:paraId="772FC0C8">
      <w:pPr>
        <w:pStyle w:val="3"/>
        <w:rPr>
          <w:rFonts w:ascii="Times New Roman" w:hAnsi="Times New Roman"/>
          <w:color w:val="000000" w:themeColor="text1"/>
          <w14:textFill>
            <w14:solidFill>
              <w14:schemeClr w14:val="tx1"/>
            </w14:solidFill>
          </w14:textFill>
        </w:rPr>
      </w:pPr>
      <w:bookmarkStart w:id="6" w:name="_Toc29053"/>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SEQ seq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t>建设项目基本情况</w:t>
      </w:r>
      <w:bookmarkEnd w:id="0"/>
      <w:bookmarkEnd w:id="6"/>
    </w:p>
    <w:bookmarkEnd w:id="1"/>
    <w:bookmarkEnd w:id="2"/>
    <w:tbl>
      <w:tblPr>
        <w:tblStyle w:val="29"/>
        <w:tblW w:w="512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1601"/>
        <w:gridCol w:w="2738"/>
        <w:gridCol w:w="1306"/>
        <w:gridCol w:w="4320"/>
      </w:tblGrid>
      <w:tr w14:paraId="47B13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5228D65E">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建设项目名称</w:t>
            </w:r>
          </w:p>
        </w:tc>
        <w:tc>
          <w:tcPr>
            <w:tcW w:w="4163" w:type="pct"/>
            <w:gridSpan w:val="3"/>
            <w:vAlign w:val="center"/>
          </w:tcPr>
          <w:p w14:paraId="03B4BC87">
            <w:pPr>
              <w:pStyle w:val="23"/>
              <w:spacing w:line="240" w:lineRule="auto"/>
              <w:rPr>
                <w:rFonts w:hint="eastAsia" w:eastAsia="宋体" w:cs="Times New Roman"/>
                <w:color w:val="000000" w:themeColor="text1"/>
                <w:sz w:val="24"/>
                <w:szCs w:val="24"/>
                <w:lang w:eastAsia="zh-CN"/>
                <w14:textFill>
                  <w14:solidFill>
                    <w14:schemeClr w14:val="tx1"/>
                  </w14:solidFill>
                </w14:textFill>
              </w:rPr>
            </w:pPr>
            <w:r>
              <w:rPr>
                <w:rFonts w:hint="eastAsia" w:ascii="宋体" w:cs="宋体"/>
                <w:color w:val="000000" w:themeColor="text1"/>
                <w:kern w:val="0"/>
                <w:sz w:val="24"/>
                <w:szCs w:val="24"/>
                <w:lang w:eastAsia="zh-CN"/>
                <w14:textFill>
                  <w14:solidFill>
                    <w14:schemeClr w14:val="tx1"/>
                  </w14:solidFill>
                </w14:textFill>
              </w:rPr>
              <w:t>巴中瑞成环保科技有限公司水基岩屑综合利用及处理项目（</w:t>
            </w:r>
            <w:r>
              <w:rPr>
                <w:rFonts w:hint="eastAsia" w:ascii="宋体" w:cs="宋体"/>
                <w:color w:val="000000" w:themeColor="text1"/>
                <w:kern w:val="0"/>
                <w:sz w:val="24"/>
                <w:szCs w:val="24"/>
                <w:lang w:val="en-US" w:eastAsia="zh-CN"/>
                <w14:textFill>
                  <w14:solidFill>
                    <w14:schemeClr w14:val="tx1"/>
                  </w14:solidFill>
                </w14:textFill>
              </w:rPr>
              <w:t>重新报批</w:t>
            </w:r>
            <w:r>
              <w:rPr>
                <w:rFonts w:hint="eastAsia" w:ascii="宋体" w:cs="宋体"/>
                <w:color w:val="000000" w:themeColor="text1"/>
                <w:kern w:val="0"/>
                <w:sz w:val="24"/>
                <w:szCs w:val="24"/>
                <w:lang w:eastAsia="zh-CN"/>
                <w14:textFill>
                  <w14:solidFill>
                    <w14:schemeClr w14:val="tx1"/>
                  </w14:solidFill>
                </w14:textFill>
              </w:rPr>
              <w:t>）</w:t>
            </w:r>
          </w:p>
        </w:tc>
      </w:tr>
      <w:bookmarkEnd w:id="3"/>
      <w:tr w14:paraId="54DA5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7544304E">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项目代码</w:t>
            </w:r>
          </w:p>
        </w:tc>
        <w:tc>
          <w:tcPr>
            <w:tcW w:w="4163" w:type="pct"/>
            <w:gridSpan w:val="3"/>
            <w:vAlign w:val="center"/>
          </w:tcPr>
          <w:p w14:paraId="53FE10E1">
            <w:pPr>
              <w:pStyle w:val="23"/>
              <w:spacing w:line="240" w:lineRule="auto"/>
              <w:rPr>
                <w:rFonts w:hint="default" w:eastAsia="宋体" w:cs="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2407-511923-04-01-943048</w:t>
            </w:r>
          </w:p>
        </w:tc>
      </w:tr>
      <w:tr w14:paraId="4EA1F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57E147D1">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建设单位联系人</w:t>
            </w:r>
          </w:p>
        </w:tc>
        <w:tc>
          <w:tcPr>
            <w:tcW w:w="1363" w:type="pct"/>
            <w:vAlign w:val="center"/>
          </w:tcPr>
          <w:p w14:paraId="788D07B2">
            <w:pPr>
              <w:pStyle w:val="23"/>
              <w:spacing w:line="240" w:lineRule="auto"/>
              <w:rPr>
                <w:rFonts w:cs="Times New Roman"/>
                <w:color w:val="000000" w:themeColor="text1"/>
                <w:sz w:val="24"/>
                <w:szCs w:val="24"/>
                <w14:textFill>
                  <w14:solidFill>
                    <w14:schemeClr w14:val="tx1"/>
                  </w14:solidFill>
                </w14:textFill>
              </w:rPr>
            </w:pPr>
          </w:p>
        </w:tc>
        <w:tc>
          <w:tcPr>
            <w:tcW w:w="650" w:type="pct"/>
            <w:vAlign w:val="center"/>
          </w:tcPr>
          <w:p w14:paraId="556D31A5">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联系方式</w:t>
            </w:r>
          </w:p>
        </w:tc>
        <w:tc>
          <w:tcPr>
            <w:tcW w:w="2148" w:type="pct"/>
            <w:vAlign w:val="center"/>
          </w:tcPr>
          <w:p w14:paraId="59167C0E">
            <w:pPr>
              <w:pStyle w:val="23"/>
              <w:spacing w:line="240" w:lineRule="auto"/>
              <w:rPr>
                <w:rFonts w:cs="Times New Roman"/>
                <w:color w:val="000000" w:themeColor="text1"/>
                <w:sz w:val="24"/>
                <w:szCs w:val="24"/>
                <w14:textFill>
                  <w14:solidFill>
                    <w14:schemeClr w14:val="tx1"/>
                  </w14:solidFill>
                </w14:textFill>
              </w:rPr>
            </w:pPr>
          </w:p>
        </w:tc>
      </w:tr>
      <w:tr w14:paraId="063C04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3730C21B">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建设地点</w:t>
            </w:r>
          </w:p>
        </w:tc>
        <w:tc>
          <w:tcPr>
            <w:tcW w:w="4163" w:type="pct"/>
            <w:gridSpan w:val="3"/>
            <w:vAlign w:val="center"/>
          </w:tcPr>
          <w:p w14:paraId="6241CC50">
            <w:pPr>
              <w:pStyle w:val="23"/>
              <w:spacing w:line="240" w:lineRule="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四川省平昌县星光工业园施迈路</w:t>
            </w:r>
            <w:r>
              <w:rPr>
                <w:color w:val="000000" w:themeColor="text1"/>
                <w:sz w:val="24"/>
                <w:szCs w:val="24"/>
                <w14:textFill>
                  <w14:solidFill>
                    <w14:schemeClr w14:val="tx1"/>
                  </w14:solidFill>
                </w14:textFill>
              </w:rPr>
              <w:t>1</w:t>
            </w:r>
            <w:r>
              <w:rPr>
                <w:rFonts w:hint="eastAsia"/>
                <w:color w:val="000000" w:themeColor="text1"/>
                <w:sz w:val="24"/>
                <w:szCs w:val="24"/>
                <w14:textFill>
                  <w14:solidFill>
                    <w14:schemeClr w14:val="tx1"/>
                  </w14:solidFill>
                </w14:textFill>
              </w:rPr>
              <w:t>号</w:t>
            </w:r>
          </w:p>
          <w:p w14:paraId="64936950">
            <w:pPr>
              <w:pStyle w:val="23"/>
              <w:spacing w:line="240" w:lineRule="auto"/>
              <w:rPr>
                <w:rFonts w:hint="eastAsia" w:eastAsia="宋体" w:cs="Times New Roman"/>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1号厂房、2号厂房、3号厂房</w:t>
            </w:r>
            <w:r>
              <w:rPr>
                <w:rFonts w:hint="eastAsia"/>
                <w:color w:val="000000" w:themeColor="text1"/>
                <w:sz w:val="24"/>
                <w:szCs w:val="24"/>
                <w:lang w:eastAsia="zh-CN"/>
                <w14:textFill>
                  <w14:solidFill>
                    <w14:schemeClr w14:val="tx1"/>
                  </w14:solidFill>
                </w14:textFill>
              </w:rPr>
              <w:t>）</w:t>
            </w:r>
          </w:p>
        </w:tc>
      </w:tr>
      <w:tr w14:paraId="36EDB5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477D901B">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地理坐标</w:t>
            </w:r>
          </w:p>
        </w:tc>
        <w:tc>
          <w:tcPr>
            <w:tcW w:w="4163" w:type="pct"/>
            <w:gridSpan w:val="3"/>
            <w:vAlign w:val="center"/>
          </w:tcPr>
          <w:p w14:paraId="370E3400">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 东经107 度 8 分 17.472 秒， 北纬</w:t>
            </w:r>
            <w:r>
              <w:rPr>
                <w:rFonts w:hint="eastAsia" w:cs="Times New Roman"/>
                <w:color w:val="000000" w:themeColor="text1"/>
                <w:sz w:val="24"/>
                <w:szCs w:val="24"/>
                <w14:textFill>
                  <w14:solidFill>
                    <w14:schemeClr w14:val="tx1"/>
                  </w14:solidFill>
                </w14:textFill>
              </w:rPr>
              <w:t xml:space="preserve"> </w:t>
            </w:r>
            <w:r>
              <w:rPr>
                <w:rFonts w:cs="Times New Roman"/>
                <w:color w:val="000000" w:themeColor="text1"/>
                <w:sz w:val="24"/>
                <w:szCs w:val="24"/>
                <w14:textFill>
                  <w14:solidFill>
                    <w14:schemeClr w14:val="tx1"/>
                  </w14:solidFill>
                </w14:textFill>
              </w:rPr>
              <w:t>31 度 31 分 55.248 秒）</w:t>
            </w:r>
          </w:p>
        </w:tc>
      </w:tr>
      <w:tr w14:paraId="2B42A2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5865209D">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国民经济行业类别</w:t>
            </w:r>
          </w:p>
        </w:tc>
        <w:tc>
          <w:tcPr>
            <w:tcW w:w="1363" w:type="pct"/>
            <w:vAlign w:val="center"/>
          </w:tcPr>
          <w:p w14:paraId="0AE820ED">
            <w:pPr>
              <w:spacing w:line="240" w:lineRule="auto"/>
              <w:ind w:firstLine="0" w:firstLineChars="0"/>
              <w:rPr>
                <w:color w:val="000000" w:themeColor="text1"/>
                <w:sz w:val="24"/>
                <w:szCs w:val="24"/>
                <w14:textFill>
                  <w14:solidFill>
                    <w14:schemeClr w14:val="tx1"/>
                  </w14:solidFill>
                </w14:textFill>
              </w:rPr>
            </w:pPr>
            <w:bookmarkStart w:id="7" w:name="OLE_LINK4"/>
            <w:bookmarkStart w:id="8" w:name="OLE_LINK10"/>
            <w:r>
              <w:rPr>
                <w:rFonts w:hint="eastAsia"/>
                <w:color w:val="000000" w:themeColor="text1"/>
                <w:sz w:val="24"/>
                <w:szCs w:val="24"/>
                <w14:textFill>
                  <w14:solidFill>
                    <w14:schemeClr w14:val="tx1"/>
                  </w14:solidFill>
                </w14:textFill>
              </w:rPr>
              <w:t>C</w:t>
            </w:r>
            <w:r>
              <w:rPr>
                <w:color w:val="000000" w:themeColor="text1"/>
                <w:sz w:val="24"/>
                <w:szCs w:val="24"/>
                <w14:textFill>
                  <w14:solidFill>
                    <w14:schemeClr w14:val="tx1"/>
                  </w14:solidFill>
                </w14:textFill>
              </w:rPr>
              <w:t xml:space="preserve">3031 </w:t>
            </w:r>
            <w:r>
              <w:rPr>
                <w:rFonts w:hint="eastAsia"/>
                <w:color w:val="000000" w:themeColor="text1"/>
                <w:sz w:val="24"/>
                <w:szCs w:val="24"/>
                <w14:textFill>
                  <w14:solidFill>
                    <w14:schemeClr w14:val="tx1"/>
                  </w14:solidFill>
                </w14:textFill>
              </w:rPr>
              <w:t>黏土砖瓦及建筑砌块制造；</w:t>
            </w:r>
          </w:p>
          <w:p w14:paraId="3AA11362">
            <w:pPr>
              <w:spacing w:line="240" w:lineRule="auto"/>
              <w:ind w:firstLine="0" w:firstLineChars="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N</w:t>
            </w:r>
            <w:r>
              <w:rPr>
                <w:color w:val="000000" w:themeColor="text1"/>
                <w:sz w:val="24"/>
                <w:szCs w:val="24"/>
                <w14:textFill>
                  <w14:solidFill>
                    <w14:schemeClr w14:val="tx1"/>
                  </w14:solidFill>
                </w14:textFill>
              </w:rPr>
              <w:t xml:space="preserve">7723 </w:t>
            </w:r>
            <w:r>
              <w:rPr>
                <w:rFonts w:hint="eastAsia"/>
                <w:color w:val="000000" w:themeColor="text1"/>
                <w:sz w:val="24"/>
                <w:szCs w:val="24"/>
                <w14:textFill>
                  <w14:solidFill>
                    <w14:schemeClr w14:val="tx1"/>
                  </w14:solidFill>
                </w14:textFill>
              </w:rPr>
              <w:t>固体废物治理</w:t>
            </w:r>
            <w:bookmarkEnd w:id="7"/>
            <w:bookmarkEnd w:id="8"/>
          </w:p>
        </w:tc>
        <w:tc>
          <w:tcPr>
            <w:tcW w:w="650" w:type="pct"/>
            <w:vAlign w:val="center"/>
          </w:tcPr>
          <w:p w14:paraId="0759E1E2">
            <w:pPr>
              <w:pStyle w:val="27"/>
              <w:spacing w:line="240" w:lineRule="auto"/>
              <w:rPr>
                <w:rFonts w:cs="Times New Roman"/>
                <w:color w:val="000000" w:themeColor="text1"/>
                <w:sz w:val="24"/>
                <w:szCs w:val="24"/>
                <w14:textFill>
                  <w14:solidFill>
                    <w14:schemeClr w14:val="tx1"/>
                  </w14:solidFill>
                </w14:textFill>
              </w:rPr>
            </w:pPr>
            <w:bookmarkStart w:id="9" w:name="_Hlk49843745"/>
            <w:r>
              <w:rPr>
                <w:rFonts w:cs="Times New Roman"/>
                <w:color w:val="000000" w:themeColor="text1"/>
                <w:sz w:val="24"/>
                <w:szCs w:val="24"/>
                <w14:textFill>
                  <w14:solidFill>
                    <w14:schemeClr w14:val="tx1"/>
                  </w14:solidFill>
                </w14:textFill>
              </w:rPr>
              <w:t>建设项目</w:t>
            </w:r>
          </w:p>
          <w:p w14:paraId="5071631A">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行业类别</w:t>
            </w:r>
            <w:bookmarkEnd w:id="9"/>
          </w:p>
        </w:tc>
        <w:tc>
          <w:tcPr>
            <w:tcW w:w="2148" w:type="pct"/>
            <w:vAlign w:val="center"/>
          </w:tcPr>
          <w:p w14:paraId="45E4B4AC">
            <w:pPr>
              <w:spacing w:line="240" w:lineRule="auto"/>
              <w:ind w:firstLine="0" w:firstLineChars="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二十七、非金属矿物制品业</w:t>
            </w:r>
            <w:r>
              <w:rPr>
                <w:color w:val="000000" w:themeColor="text1"/>
                <w:sz w:val="24"/>
                <w:szCs w:val="24"/>
                <w14:textFill>
                  <w14:solidFill>
                    <w14:schemeClr w14:val="tx1"/>
                  </w14:solidFill>
                </w14:textFill>
              </w:rPr>
              <w:t xml:space="preserve">56 </w:t>
            </w:r>
            <w:r>
              <w:rPr>
                <w:rFonts w:hint="eastAsia"/>
                <w:color w:val="000000" w:themeColor="text1"/>
                <w:sz w:val="24"/>
                <w:szCs w:val="24"/>
                <w14:textFill>
                  <w14:solidFill>
                    <w14:schemeClr w14:val="tx1"/>
                  </w14:solidFill>
                </w14:textFill>
              </w:rPr>
              <w:t>砖瓦、石材等建筑材料制造</w:t>
            </w:r>
            <w:r>
              <w:rPr>
                <w:color w:val="000000" w:themeColor="text1"/>
                <w:sz w:val="24"/>
                <w:szCs w:val="24"/>
                <w14:textFill>
                  <w14:solidFill>
                    <w14:schemeClr w14:val="tx1"/>
                  </w14:solidFill>
                </w14:textFill>
              </w:rPr>
              <w:t xml:space="preserve">303 </w:t>
            </w:r>
            <w:r>
              <w:rPr>
                <w:rFonts w:hint="eastAsia"/>
                <w:color w:val="000000" w:themeColor="text1"/>
                <w:sz w:val="24"/>
                <w:szCs w:val="24"/>
                <w14:textFill>
                  <w14:solidFill>
                    <w14:schemeClr w14:val="tx1"/>
                  </w14:solidFill>
                </w14:textFill>
              </w:rPr>
              <w:t>中的粘土砖瓦及建筑砌块制造；</w:t>
            </w:r>
          </w:p>
          <w:p w14:paraId="28F3C7BF">
            <w:pPr>
              <w:spacing w:line="240" w:lineRule="auto"/>
              <w:ind w:firstLine="0" w:firstLineChars="0"/>
              <w:rPr>
                <w:rFonts w:cs="Times New Roman"/>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四十七、生态保护和环境治理业</w:t>
            </w:r>
            <w:r>
              <w:rPr>
                <w:color w:val="000000" w:themeColor="text1"/>
                <w:sz w:val="24"/>
                <w:szCs w:val="24"/>
                <w14:textFill>
                  <w14:solidFill>
                    <w14:schemeClr w14:val="tx1"/>
                  </w14:solidFill>
                </w14:textFill>
              </w:rPr>
              <w:t xml:space="preserve">103 </w:t>
            </w:r>
            <w:r>
              <w:rPr>
                <w:rFonts w:hint="eastAsia"/>
                <w:color w:val="000000" w:themeColor="text1"/>
                <w:sz w:val="24"/>
                <w:szCs w:val="24"/>
                <w14:textFill>
                  <w14:solidFill>
                    <w14:schemeClr w14:val="tx1"/>
                  </w14:solidFill>
                </w14:textFill>
              </w:rPr>
              <w:t>一般工业固体废物（含污水处理污泥）、建筑施工废弃物处置及综合利用中的其他</w:t>
            </w:r>
          </w:p>
        </w:tc>
      </w:tr>
      <w:tr w14:paraId="158B09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364FF1B7">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建设性质</w:t>
            </w:r>
          </w:p>
        </w:tc>
        <w:tc>
          <w:tcPr>
            <w:tcW w:w="1363" w:type="pct"/>
            <w:vAlign w:val="center"/>
          </w:tcPr>
          <w:p w14:paraId="139E9EB7">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52"/>
            </w:r>
            <w:r>
              <w:rPr>
                <w:rFonts w:cs="Times New Roman"/>
                <w:color w:val="000000" w:themeColor="text1"/>
                <w:sz w:val="24"/>
                <w:szCs w:val="24"/>
                <w14:textFill>
                  <w14:solidFill>
                    <w14:schemeClr w14:val="tx1"/>
                  </w14:solidFill>
                </w14:textFill>
              </w:rPr>
              <w:t xml:space="preserve"> 新建（迁建）</w:t>
            </w:r>
          </w:p>
          <w:p w14:paraId="473B9DDC">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改建</w:t>
            </w:r>
          </w:p>
          <w:p w14:paraId="5523D06B">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扩建</w:t>
            </w:r>
          </w:p>
          <w:p w14:paraId="33F8D246">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技术改造</w:t>
            </w:r>
          </w:p>
        </w:tc>
        <w:tc>
          <w:tcPr>
            <w:tcW w:w="650" w:type="pct"/>
            <w:vAlign w:val="center"/>
          </w:tcPr>
          <w:p w14:paraId="3C053211">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建设项目</w:t>
            </w:r>
          </w:p>
          <w:p w14:paraId="6BA78445">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申报情形</w:t>
            </w:r>
          </w:p>
        </w:tc>
        <w:tc>
          <w:tcPr>
            <w:tcW w:w="2148" w:type="pct"/>
            <w:vAlign w:val="center"/>
          </w:tcPr>
          <w:p w14:paraId="7ECA43F9">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首次申报项目</w:t>
            </w:r>
          </w:p>
          <w:p w14:paraId="309E9E72">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不予批准后再次申报项目</w:t>
            </w:r>
          </w:p>
          <w:p w14:paraId="50313FF9">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超五年重新审核项目</w:t>
            </w:r>
          </w:p>
          <w:p w14:paraId="148A37CA">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52"/>
            </w:r>
            <w:r>
              <w:rPr>
                <w:rFonts w:hint="eastAsia" w:cs="Times New Roman"/>
                <w:color w:val="000000" w:themeColor="text1"/>
                <w:sz w:val="24"/>
                <w:szCs w:val="24"/>
                <w:lang w:val="en-US"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重大变动重新报批项目</w:t>
            </w:r>
          </w:p>
        </w:tc>
      </w:tr>
      <w:tr w14:paraId="68A88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11F5EB5A">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项目审批（核准/备案）部门（选填）</w:t>
            </w:r>
          </w:p>
        </w:tc>
        <w:tc>
          <w:tcPr>
            <w:tcW w:w="1363" w:type="pct"/>
            <w:vAlign w:val="center"/>
          </w:tcPr>
          <w:p w14:paraId="2252911F">
            <w:pPr>
              <w:pStyle w:val="23"/>
              <w:spacing w:line="240" w:lineRule="auto"/>
              <w:rPr>
                <w:rFonts w:cs="Times New Roman"/>
                <w:color w:val="000000" w:themeColor="text1"/>
                <w:sz w:val="24"/>
                <w:szCs w:val="24"/>
                <w14:textFill>
                  <w14:solidFill>
                    <w14:schemeClr w14:val="tx1"/>
                  </w14:solidFill>
                </w14:textFill>
              </w:rPr>
            </w:pPr>
            <w:r>
              <w:rPr>
                <w:rFonts w:hint="eastAsia" w:cs="Times New Roman"/>
                <w:color w:val="000000" w:themeColor="text1"/>
                <w:sz w:val="24"/>
                <w:szCs w:val="24"/>
                <w14:textFill>
                  <w14:solidFill>
                    <w14:schemeClr w14:val="tx1"/>
                  </w14:solidFill>
                </w14:textFill>
              </w:rPr>
              <w:t>平昌县发展和改革局</w:t>
            </w:r>
          </w:p>
        </w:tc>
        <w:tc>
          <w:tcPr>
            <w:tcW w:w="650" w:type="pct"/>
            <w:vAlign w:val="center"/>
          </w:tcPr>
          <w:p w14:paraId="5496194B">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项目审批（核准/备案）文号（选填）</w:t>
            </w:r>
          </w:p>
        </w:tc>
        <w:tc>
          <w:tcPr>
            <w:tcW w:w="2148" w:type="pct"/>
            <w:vAlign w:val="center"/>
          </w:tcPr>
          <w:p w14:paraId="1D553395">
            <w:pPr>
              <w:pStyle w:val="26"/>
              <w:spacing w:line="240" w:lineRule="auto"/>
              <w:jc w:val="center"/>
              <w:rPr>
                <w:rFonts w:cs="Times New Roman"/>
                <w:color w:val="000000" w:themeColor="text1"/>
                <w:sz w:val="24"/>
                <w:szCs w:val="24"/>
                <w14:textFill>
                  <w14:solidFill>
                    <w14:schemeClr w14:val="tx1"/>
                  </w14:solidFill>
                </w14:textFill>
              </w:rPr>
            </w:pPr>
            <w:r>
              <w:rPr>
                <w:rFonts w:hint="eastAsia" w:cs="Times New Roman"/>
                <w:color w:val="000000" w:themeColor="text1"/>
                <w:sz w:val="24"/>
                <w:szCs w:val="24"/>
                <w14:textFill>
                  <w14:solidFill>
                    <w14:schemeClr w14:val="tx1"/>
                  </w14:solidFill>
                </w14:textFill>
              </w:rPr>
              <w:t>川投资备【</w:t>
            </w:r>
            <w:r>
              <w:rPr>
                <w:rFonts w:cs="Times New Roman"/>
                <w:color w:val="000000" w:themeColor="text1"/>
                <w:sz w:val="24"/>
                <w:szCs w:val="24"/>
                <w14:textFill>
                  <w14:solidFill>
                    <w14:schemeClr w14:val="tx1"/>
                  </w14:solidFill>
                </w14:textFill>
              </w:rPr>
              <w:t>2407-511923-04-01-943048</w:t>
            </w:r>
            <w:r>
              <w:rPr>
                <w:rFonts w:hint="eastAsia" w:cs="Times New Roman"/>
                <w:color w:val="000000" w:themeColor="text1"/>
                <w:sz w:val="24"/>
                <w:szCs w:val="24"/>
                <w14:textFill>
                  <w14:solidFill>
                    <w14:schemeClr w14:val="tx1"/>
                  </w14:solidFill>
                </w14:textFill>
              </w:rPr>
              <w:t>】</w:t>
            </w:r>
            <w:r>
              <w:rPr>
                <w:rFonts w:cs="Times New Roman"/>
                <w:color w:val="000000" w:themeColor="text1"/>
                <w:sz w:val="24"/>
                <w:szCs w:val="24"/>
                <w14:textFill>
                  <w14:solidFill>
                    <w14:schemeClr w14:val="tx1"/>
                  </w14:solidFill>
                </w14:textFill>
              </w:rPr>
              <w:t>FGQB-0548</w:t>
            </w:r>
            <w:r>
              <w:rPr>
                <w:rFonts w:hint="eastAsia" w:cs="Times New Roman"/>
                <w:color w:val="000000" w:themeColor="text1"/>
                <w:sz w:val="24"/>
                <w:szCs w:val="24"/>
                <w14:textFill>
                  <w14:solidFill>
                    <w14:schemeClr w14:val="tx1"/>
                  </w14:solidFill>
                </w14:textFill>
              </w:rPr>
              <w:t>号</w:t>
            </w:r>
          </w:p>
        </w:tc>
      </w:tr>
      <w:tr w14:paraId="407F45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252BC537">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总投资（万元）</w:t>
            </w:r>
          </w:p>
        </w:tc>
        <w:tc>
          <w:tcPr>
            <w:tcW w:w="1363" w:type="pct"/>
            <w:vAlign w:val="center"/>
          </w:tcPr>
          <w:p w14:paraId="1B399C4F">
            <w:pPr>
              <w:pStyle w:val="23"/>
              <w:spacing w:line="240" w:lineRule="auto"/>
              <w:rPr>
                <w:rFonts w:hint="default"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3000</w:t>
            </w:r>
          </w:p>
        </w:tc>
        <w:tc>
          <w:tcPr>
            <w:tcW w:w="650" w:type="pct"/>
            <w:tcMar>
              <w:top w:w="16" w:type="dxa"/>
              <w:left w:w="16" w:type="dxa"/>
              <w:right w:w="16" w:type="dxa"/>
            </w:tcMar>
            <w:vAlign w:val="center"/>
          </w:tcPr>
          <w:p w14:paraId="179C33F4">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环保投资</w:t>
            </w:r>
          </w:p>
          <w:p w14:paraId="0C2E4790">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（万元）</w:t>
            </w:r>
          </w:p>
        </w:tc>
        <w:tc>
          <w:tcPr>
            <w:tcW w:w="2148" w:type="pct"/>
            <w:vAlign w:val="center"/>
          </w:tcPr>
          <w:p w14:paraId="667C1004">
            <w:pPr>
              <w:pStyle w:val="23"/>
              <w:spacing w:line="240" w:lineRule="auto"/>
              <w:rPr>
                <w:rFonts w:hint="default"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616</w:t>
            </w:r>
          </w:p>
        </w:tc>
      </w:tr>
      <w:tr w14:paraId="5C6DA2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6DA72185">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环保投资占比（%）</w:t>
            </w:r>
          </w:p>
        </w:tc>
        <w:tc>
          <w:tcPr>
            <w:tcW w:w="1363" w:type="pct"/>
            <w:vAlign w:val="center"/>
          </w:tcPr>
          <w:p w14:paraId="3FBDD20B">
            <w:pPr>
              <w:pStyle w:val="23"/>
              <w:spacing w:line="240" w:lineRule="auto"/>
              <w:rPr>
                <w:rFonts w:hint="default" w:cs="Times New Roman"/>
                <w:color w:val="000000" w:themeColor="text1"/>
                <w:sz w:val="24"/>
                <w:szCs w:val="24"/>
                <w:lang w:val="en-US"/>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20.5</w:t>
            </w:r>
          </w:p>
        </w:tc>
        <w:tc>
          <w:tcPr>
            <w:tcW w:w="650" w:type="pct"/>
            <w:tcMar>
              <w:top w:w="16" w:type="dxa"/>
              <w:left w:w="16" w:type="dxa"/>
              <w:right w:w="16" w:type="dxa"/>
            </w:tcMar>
            <w:vAlign w:val="center"/>
          </w:tcPr>
          <w:p w14:paraId="702FCB08">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施工工期</w:t>
            </w:r>
          </w:p>
        </w:tc>
        <w:tc>
          <w:tcPr>
            <w:tcW w:w="2148" w:type="pct"/>
            <w:vAlign w:val="center"/>
          </w:tcPr>
          <w:p w14:paraId="748CE658">
            <w:pPr>
              <w:pStyle w:val="23"/>
              <w:spacing w:line="240" w:lineRule="auto"/>
              <w:rPr>
                <w:rFonts w:cs="Times New Roman"/>
                <w:color w:val="000000" w:themeColor="text1"/>
                <w:sz w:val="24"/>
                <w:szCs w:val="24"/>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3</w:t>
            </w:r>
            <w:r>
              <w:rPr>
                <w:rFonts w:cs="Times New Roman"/>
                <w:color w:val="000000" w:themeColor="text1"/>
                <w:sz w:val="24"/>
                <w:szCs w:val="24"/>
                <w14:textFill>
                  <w14:solidFill>
                    <w14:schemeClr w14:val="tx1"/>
                  </w14:solidFill>
                </w14:textFill>
              </w:rPr>
              <w:t>个月</w:t>
            </w:r>
          </w:p>
        </w:tc>
      </w:tr>
      <w:tr w14:paraId="231CA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74F81FD6">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是否开工建设</w:t>
            </w:r>
          </w:p>
        </w:tc>
        <w:tc>
          <w:tcPr>
            <w:tcW w:w="1363" w:type="pct"/>
            <w:vAlign w:val="center"/>
          </w:tcPr>
          <w:p w14:paraId="1A802F5A">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52"/>
            </w:r>
            <w:r>
              <w:rPr>
                <w:rFonts w:cs="Times New Roman"/>
                <w:color w:val="000000" w:themeColor="text1"/>
                <w:sz w:val="24"/>
                <w:szCs w:val="24"/>
                <w14:textFill>
                  <w14:solidFill>
                    <w14:schemeClr w14:val="tx1"/>
                  </w14:solidFill>
                </w14:textFill>
              </w:rPr>
              <w:t>否</w:t>
            </w:r>
          </w:p>
          <w:p w14:paraId="6DEA59F6">
            <w:pPr>
              <w:pStyle w:val="26"/>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是：             </w:t>
            </w:r>
          </w:p>
        </w:tc>
        <w:tc>
          <w:tcPr>
            <w:tcW w:w="650" w:type="pct"/>
            <w:tcMar>
              <w:top w:w="16" w:type="dxa"/>
              <w:left w:w="16" w:type="dxa"/>
              <w:right w:w="16" w:type="dxa"/>
            </w:tcMar>
            <w:vAlign w:val="center"/>
          </w:tcPr>
          <w:p w14:paraId="528A3112">
            <w:pPr>
              <w:pStyle w:val="27"/>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用地面积（m</w:t>
            </w:r>
            <w:r>
              <w:rPr>
                <w:rFonts w:cs="Times New Roman"/>
                <w:color w:val="000000" w:themeColor="text1"/>
                <w:sz w:val="24"/>
                <w:szCs w:val="24"/>
                <w:vertAlign w:val="superscript"/>
                <w14:textFill>
                  <w14:solidFill>
                    <w14:schemeClr w14:val="tx1"/>
                  </w14:solidFill>
                </w14:textFill>
              </w:rPr>
              <w:t>2</w:t>
            </w:r>
            <w:r>
              <w:rPr>
                <w:rFonts w:cs="Times New Roman"/>
                <w:color w:val="000000" w:themeColor="text1"/>
                <w:sz w:val="24"/>
                <w:szCs w:val="24"/>
                <w14:textFill>
                  <w14:solidFill>
                    <w14:schemeClr w14:val="tx1"/>
                  </w14:solidFill>
                </w14:textFill>
              </w:rPr>
              <w:t>）</w:t>
            </w:r>
          </w:p>
        </w:tc>
        <w:tc>
          <w:tcPr>
            <w:tcW w:w="2148" w:type="pct"/>
            <w:vAlign w:val="center"/>
          </w:tcPr>
          <w:p w14:paraId="1A895F60">
            <w:pPr>
              <w:pStyle w:val="23"/>
              <w:spacing w:line="240" w:lineRule="auto"/>
              <w:rPr>
                <w:rFonts w:hint="default"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10000</w:t>
            </w:r>
          </w:p>
        </w:tc>
      </w:tr>
      <w:tr w14:paraId="144F9B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64" w:hRule="atLeast"/>
          <w:jc w:val="center"/>
        </w:trPr>
        <w:tc>
          <w:tcPr>
            <w:tcW w:w="836" w:type="pct"/>
            <w:tcMar>
              <w:top w:w="16" w:type="dxa"/>
              <w:left w:w="16" w:type="dxa"/>
              <w:right w:w="16" w:type="dxa"/>
            </w:tcMar>
            <w:vAlign w:val="center"/>
          </w:tcPr>
          <w:p w14:paraId="1D086E4A">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专项评价设置情况</w:t>
            </w:r>
          </w:p>
        </w:tc>
        <w:tc>
          <w:tcPr>
            <w:tcW w:w="4163" w:type="pct"/>
            <w:gridSpan w:val="3"/>
            <w:vAlign w:val="center"/>
          </w:tcPr>
          <w:p w14:paraId="3DE3745A">
            <w:pPr>
              <w:widowControl/>
              <w:ind w:firstLine="480"/>
              <w:jc w:val="left"/>
              <w:rPr>
                <w:rFonts w:cs="Times New Roman"/>
                <w:color w:val="000000" w:themeColor="text1"/>
                <w:kern w:val="0"/>
                <w:lang w:bidi="ar"/>
                <w14:textFill>
                  <w14:solidFill>
                    <w14:schemeClr w14:val="tx1"/>
                  </w14:solidFill>
                </w14:textFill>
              </w:rPr>
            </w:pPr>
            <w:r>
              <w:rPr>
                <w:rFonts w:cs="Times New Roman"/>
                <w:color w:val="000000" w:themeColor="text1"/>
                <w:kern w:val="0"/>
                <w:lang w:bidi="ar"/>
                <w14:textFill>
                  <w14:solidFill>
                    <w14:schemeClr w14:val="tx1"/>
                  </w14:solidFill>
                </w14:textFill>
              </w:rPr>
              <w:t>根据《建设项目环境影响报告表编制技术指南（污染影响类）（试行）》，专项评价设置原则如下表所示。</w:t>
            </w:r>
          </w:p>
          <w:p w14:paraId="0D1BE9E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本项目环境影响评价报告表专项设置对照表</w:t>
            </w:r>
          </w:p>
          <w:tbl>
            <w:tblPr>
              <w:tblStyle w:val="29"/>
              <w:tblW w:w="4991" w:type="pct"/>
              <w:jc w:val="center"/>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2962"/>
              <w:gridCol w:w="2879"/>
              <w:gridCol w:w="1327"/>
            </w:tblGrid>
            <w:tr w14:paraId="46417157">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08099CEC">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专项评价类别</w:t>
                  </w:r>
                </w:p>
              </w:tc>
              <w:tc>
                <w:tcPr>
                  <w:tcW w:w="1802" w:type="pct"/>
                  <w:vAlign w:val="center"/>
                </w:tcPr>
                <w:p w14:paraId="73D5B2C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设置原则</w:t>
                  </w:r>
                </w:p>
              </w:tc>
              <w:tc>
                <w:tcPr>
                  <w:tcW w:w="1751" w:type="pct"/>
                  <w:vAlign w:val="center"/>
                </w:tcPr>
                <w:p w14:paraId="68390443">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808" w:type="pct"/>
                  <w:vAlign w:val="center"/>
                </w:tcPr>
                <w:p w14:paraId="6E657B8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专项评价设置情况</w:t>
                  </w:r>
                </w:p>
              </w:tc>
            </w:tr>
            <w:tr w14:paraId="3EC7FC61">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57A5FB8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大气</w:t>
                  </w:r>
                </w:p>
              </w:tc>
              <w:tc>
                <w:tcPr>
                  <w:tcW w:w="1802" w:type="pct"/>
                  <w:vAlign w:val="center"/>
                </w:tcPr>
                <w:p w14:paraId="15AF83F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排放废气含有毒有害污染物、二噁英、苯并[a]芘、氰化物、氯气且厂界外500米范围内有环境空气保护目标</w:t>
                  </w:r>
                </w:p>
              </w:tc>
              <w:tc>
                <w:tcPr>
                  <w:tcW w:w="1751" w:type="pct"/>
                  <w:vAlign w:val="center"/>
                </w:tcPr>
                <w:p w14:paraId="0965B83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排放废气中</w:t>
                  </w:r>
                  <w:r>
                    <w:rPr>
                      <w:rFonts w:hint="eastAsia" w:cs="Times New Roman"/>
                      <w:color w:val="000000" w:themeColor="text1"/>
                      <w14:textFill>
                        <w14:solidFill>
                          <w14:schemeClr w14:val="tx1"/>
                        </w14:solidFill>
                      </w14:textFill>
                    </w:rPr>
                    <w:t>含有二噁英</w:t>
                  </w:r>
                  <w:r>
                    <w:rPr>
                      <w:rFonts w:hint="eastAsia" w:cs="Times New Roman"/>
                      <w:color w:val="000000" w:themeColor="text1"/>
                      <w:lang w:val="en-US" w:eastAsia="zh-CN"/>
                      <w14:textFill>
                        <w14:solidFill>
                          <w14:schemeClr w14:val="tx1"/>
                        </w14:solidFill>
                      </w14:textFill>
                    </w:rPr>
                    <w:t>和</w:t>
                  </w:r>
                  <w:r>
                    <w:rPr>
                      <w:rFonts w:hint="eastAsia" w:ascii="Times New Roman" w:hAnsi="Times New Roman" w:cs="Times New Roman"/>
                      <w:color w:val="000000" w:themeColor="text1"/>
                      <w:kern w:val="0"/>
                      <w:sz w:val="21"/>
                      <w:szCs w:val="21"/>
                      <w:lang w:val="en-US" w:eastAsia="zh-CN"/>
                      <w14:textFill>
                        <w14:solidFill>
                          <w14:schemeClr w14:val="tx1"/>
                        </w14:solidFill>
                      </w14:textFill>
                    </w:rPr>
                    <w:t>《有毒有害大气污染物名录》中的重金属</w:t>
                  </w:r>
                  <w:r>
                    <w:rPr>
                      <w:rFonts w:hint="eastAsia" w:cs="Times New Roman"/>
                      <w:color w:val="000000" w:themeColor="text1"/>
                      <w14:textFill>
                        <w14:solidFill>
                          <w14:schemeClr w14:val="tx1"/>
                        </w14:solidFill>
                      </w14:textFill>
                    </w:rPr>
                    <w:t>，且厂界外5</w:t>
                  </w:r>
                  <w:r>
                    <w:rPr>
                      <w:rFonts w:cs="Times New Roman"/>
                      <w:color w:val="000000" w:themeColor="text1"/>
                      <w14:textFill>
                        <w14:solidFill>
                          <w14:schemeClr w14:val="tx1"/>
                        </w14:solidFill>
                      </w14:textFill>
                    </w:rPr>
                    <w:t>00</w:t>
                  </w:r>
                  <w:r>
                    <w:rPr>
                      <w:rFonts w:hint="eastAsia" w:cs="Times New Roman"/>
                      <w:color w:val="000000" w:themeColor="text1"/>
                      <w14:textFill>
                        <w14:solidFill>
                          <w14:schemeClr w14:val="tx1"/>
                        </w14:solidFill>
                      </w14:textFill>
                    </w:rPr>
                    <w:t>m范围内有居民</w:t>
                  </w:r>
                  <w:r>
                    <w:rPr>
                      <w:rFonts w:cs="Times New Roman"/>
                      <w:color w:val="000000" w:themeColor="text1"/>
                      <w14:textFill>
                        <w14:solidFill>
                          <w14:schemeClr w14:val="tx1"/>
                        </w14:solidFill>
                      </w14:textFill>
                    </w:rPr>
                    <w:t>。</w:t>
                  </w:r>
                </w:p>
              </w:tc>
              <w:tc>
                <w:tcPr>
                  <w:tcW w:w="808" w:type="pct"/>
                  <w:vAlign w:val="center"/>
                </w:tcPr>
                <w:p w14:paraId="1E585BD7">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设置</w:t>
                  </w:r>
                </w:p>
              </w:tc>
            </w:tr>
            <w:tr w14:paraId="4860A2B3">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1929F4B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地表水</w:t>
                  </w:r>
                </w:p>
              </w:tc>
              <w:tc>
                <w:tcPr>
                  <w:tcW w:w="1802" w:type="pct"/>
                  <w:vAlign w:val="center"/>
                </w:tcPr>
                <w:p w14:paraId="799D3A3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新增工业废水直排建设项目（槽罐车外送污水处理厂的除外），新增废水直排的污水集中处理厂</w:t>
                  </w:r>
                </w:p>
              </w:tc>
              <w:tc>
                <w:tcPr>
                  <w:tcW w:w="1751" w:type="pct"/>
                  <w:vAlign w:val="center"/>
                </w:tcPr>
                <w:p w14:paraId="1FD00D6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本项目不涉及工业废水直接排放。</w:t>
                  </w:r>
                </w:p>
              </w:tc>
              <w:tc>
                <w:tcPr>
                  <w:tcW w:w="808" w:type="pct"/>
                  <w:vAlign w:val="center"/>
                </w:tcPr>
                <w:p w14:paraId="0B9E063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不设置</w:t>
                  </w:r>
                </w:p>
              </w:tc>
            </w:tr>
            <w:tr w14:paraId="67CCD918">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3E4E948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环境风险</w:t>
                  </w:r>
                </w:p>
              </w:tc>
              <w:tc>
                <w:tcPr>
                  <w:tcW w:w="1802" w:type="pct"/>
                  <w:vAlign w:val="center"/>
                </w:tcPr>
                <w:p w14:paraId="67A3ECC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有毒有害和易燃易爆危险物质存储量超过临界量的建设项目。</w:t>
                  </w:r>
                </w:p>
              </w:tc>
              <w:tc>
                <w:tcPr>
                  <w:tcW w:w="1751" w:type="pct"/>
                  <w:vAlign w:val="center"/>
                </w:tcPr>
                <w:p w14:paraId="16BF9F48">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w:t>
                  </w:r>
                  <w:r>
                    <w:rPr>
                      <w:rFonts w:cs="Times New Roman"/>
                      <w:color w:val="000000" w:themeColor="text1"/>
                      <w14:textFill>
                        <w14:solidFill>
                          <w14:schemeClr w14:val="tx1"/>
                        </w14:solidFill>
                      </w14:textFill>
                    </w:rPr>
                    <w:t>有毒有害和易燃易爆危险物质存储量超过临界量。</w:t>
                  </w:r>
                </w:p>
              </w:tc>
              <w:tc>
                <w:tcPr>
                  <w:tcW w:w="808" w:type="pct"/>
                  <w:vAlign w:val="center"/>
                </w:tcPr>
                <w:p w14:paraId="504E52D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设置</w:t>
                  </w:r>
                </w:p>
              </w:tc>
            </w:tr>
            <w:tr w14:paraId="18D75D9A">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38B1698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生态</w:t>
                  </w:r>
                </w:p>
              </w:tc>
              <w:tc>
                <w:tcPr>
                  <w:tcW w:w="1802" w:type="pct"/>
                  <w:vAlign w:val="center"/>
                </w:tcPr>
                <w:p w14:paraId="0929300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取水口下游500米范围内有重要水生生物的自然产卵场、索饵场、越冬场和洄游通道的新增河道取水</w:t>
                  </w:r>
                </w:p>
              </w:tc>
              <w:tc>
                <w:tcPr>
                  <w:tcW w:w="1751" w:type="pct"/>
                  <w:vAlign w:val="center"/>
                </w:tcPr>
                <w:p w14:paraId="0C24AFA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本项目供水来自城镇自来水管网，不涉及河道取水。</w:t>
                  </w:r>
                </w:p>
              </w:tc>
              <w:tc>
                <w:tcPr>
                  <w:tcW w:w="808" w:type="pct"/>
                  <w:vAlign w:val="center"/>
                </w:tcPr>
                <w:p w14:paraId="7672453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不设置</w:t>
                  </w:r>
                </w:p>
              </w:tc>
            </w:tr>
            <w:tr w14:paraId="288100DD">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192E9D0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海洋</w:t>
                  </w:r>
                </w:p>
              </w:tc>
              <w:tc>
                <w:tcPr>
                  <w:tcW w:w="1802" w:type="pct"/>
                  <w:vAlign w:val="center"/>
                </w:tcPr>
                <w:p w14:paraId="2C4A3B2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直接向海排放污染物的海洋工程建设项目</w:t>
                  </w:r>
                </w:p>
              </w:tc>
              <w:tc>
                <w:tcPr>
                  <w:tcW w:w="1751" w:type="pct"/>
                  <w:vAlign w:val="center"/>
                </w:tcPr>
                <w:p w14:paraId="36CD2B4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本项目不属于海洋工程建设项目</w:t>
                  </w:r>
                </w:p>
              </w:tc>
              <w:tc>
                <w:tcPr>
                  <w:tcW w:w="808" w:type="pct"/>
                  <w:vAlign w:val="center"/>
                </w:tcPr>
                <w:p w14:paraId="78030FC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不设置</w:t>
                  </w:r>
                </w:p>
              </w:tc>
            </w:tr>
          </w:tbl>
          <w:p w14:paraId="243C9A7E">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建设项目环境影响报告表编制技术指南》（污染影响类）（试行），土壤、声环境不开展专项评价，本项目不涉及集中式饮用水水源和热水、矿泉水、温泉等特殊地下水资源保护区，因此不开展地下水专项评价。</w:t>
            </w:r>
          </w:p>
          <w:p w14:paraId="677BD2B7">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综上</w:t>
            </w:r>
            <w:r>
              <w:rPr>
                <w:rFonts w:cs="Times New Roman"/>
                <w:color w:val="000000" w:themeColor="text1"/>
                <w14:textFill>
                  <w14:solidFill>
                    <w14:schemeClr w14:val="tx1"/>
                  </w14:solidFill>
                </w14:textFill>
              </w:rPr>
              <w:t>，本项目设置</w:t>
            </w:r>
            <w:r>
              <w:rPr>
                <w:rFonts w:hint="eastAsia" w:cs="Times New Roman"/>
                <w:color w:val="000000" w:themeColor="text1"/>
                <w14:textFill>
                  <w14:solidFill>
                    <w14:schemeClr w14:val="tx1"/>
                  </w14:solidFill>
                </w14:textFill>
              </w:rPr>
              <w:t>大气</w:t>
            </w:r>
            <w:r>
              <w:rPr>
                <w:rFonts w:cs="Times New Roman"/>
                <w:color w:val="000000" w:themeColor="text1"/>
                <w14:textFill>
                  <w14:solidFill>
                    <w14:schemeClr w14:val="tx1"/>
                  </w14:solidFill>
                </w14:textFill>
              </w:rPr>
              <w:t>专项评价</w:t>
            </w:r>
            <w:r>
              <w:rPr>
                <w:rFonts w:hint="eastAsia" w:cs="Times New Roman"/>
                <w:color w:val="000000" w:themeColor="text1"/>
                <w:lang w:val="en-US" w:eastAsia="zh-CN"/>
                <w14:textFill>
                  <w14:solidFill>
                    <w14:schemeClr w14:val="tx1"/>
                  </w14:solidFill>
                </w14:textFill>
              </w:rPr>
              <w:t>及环境风险专项评价</w:t>
            </w:r>
            <w:r>
              <w:rPr>
                <w:rFonts w:cs="Times New Roman"/>
                <w:color w:val="000000" w:themeColor="text1"/>
                <w14:textFill>
                  <w14:solidFill>
                    <w14:schemeClr w14:val="tx1"/>
                  </w14:solidFill>
                </w14:textFill>
              </w:rPr>
              <w:t>。</w:t>
            </w:r>
          </w:p>
        </w:tc>
      </w:tr>
      <w:tr w14:paraId="182F7B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81" w:hRule="atLeast"/>
          <w:jc w:val="center"/>
        </w:trPr>
        <w:tc>
          <w:tcPr>
            <w:tcW w:w="836" w:type="pct"/>
            <w:vAlign w:val="center"/>
          </w:tcPr>
          <w:p w14:paraId="4D09D852">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规划情况</w:t>
            </w:r>
          </w:p>
        </w:tc>
        <w:tc>
          <w:tcPr>
            <w:tcW w:w="4163" w:type="pct"/>
            <w:gridSpan w:val="3"/>
            <w:vAlign w:val="center"/>
          </w:tcPr>
          <w:p w14:paraId="3110AC20">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规划名称：</w:t>
            </w:r>
            <w:r>
              <w:rPr>
                <w:rFonts w:hint="eastAsia" w:cs="Times New Roman"/>
                <w:color w:val="000000" w:themeColor="text1"/>
                <w14:textFill>
                  <w14:solidFill>
                    <w14:schemeClr w14:val="tx1"/>
                  </w14:solidFill>
                </w14:textFill>
              </w:rPr>
              <w:t>四川平昌经济开发区</w:t>
            </w:r>
          </w:p>
          <w:p w14:paraId="67A817A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审查机关：四川省</w:t>
            </w:r>
            <w:r>
              <w:rPr>
                <w:rFonts w:hint="eastAsia" w:cs="Times New Roman"/>
                <w:color w:val="000000" w:themeColor="text1"/>
                <w14:textFill>
                  <w14:solidFill>
                    <w14:schemeClr w14:val="tx1"/>
                  </w14:solidFill>
                </w14:textFill>
              </w:rPr>
              <w:t>人民政府</w:t>
            </w:r>
          </w:p>
          <w:p w14:paraId="0DBC9F14">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审查文件名称及文号：</w:t>
            </w:r>
            <w:r>
              <w:rPr>
                <w:rFonts w:hint="eastAsia"/>
                <w:color w:val="000000" w:themeColor="text1"/>
                <w14:textFill>
                  <w14:solidFill>
                    <w14:schemeClr w14:val="tx1"/>
                  </w14:solidFill>
                </w14:textFill>
              </w:rPr>
              <w:t>四川省人民政府关于设立四川蒲江经济开发区等</w:t>
            </w:r>
            <w:r>
              <w:rPr>
                <w:color w:val="000000" w:themeColor="text1"/>
                <w14:textFill>
                  <w14:solidFill>
                    <w14:schemeClr w14:val="tx1"/>
                  </w14:solidFill>
                </w14:textFill>
              </w:rPr>
              <w:t>64</w:t>
            </w:r>
            <w:r>
              <w:rPr>
                <w:rFonts w:hint="eastAsia"/>
                <w:color w:val="000000" w:themeColor="text1"/>
                <w14:textFill>
                  <w14:solidFill>
                    <w14:schemeClr w14:val="tx1"/>
                  </w14:solidFill>
                </w14:textFill>
              </w:rPr>
              <w:t>家省级开发区的批复（川府函</w:t>
            </w:r>
            <w:r>
              <w:rPr>
                <w:rFonts w:hint="eastAsia"/>
                <w:color w:val="000000" w:themeColor="text1"/>
                <w:lang w:eastAsia="zh-CN"/>
                <w14:textFill>
                  <w14:solidFill>
                    <w14:schemeClr w14:val="tx1"/>
                  </w14:solidFill>
                </w14:textFill>
              </w:rPr>
              <w:t>〔2019〕20号</w:t>
            </w:r>
            <w:r>
              <w:rPr>
                <w:rFonts w:hint="eastAsia"/>
                <w:color w:val="000000" w:themeColor="text1"/>
                <w14:textFill>
                  <w14:solidFill>
                    <w14:schemeClr w14:val="tx1"/>
                  </w14:solidFill>
                </w14:textFill>
              </w:rPr>
              <w:t>）</w:t>
            </w:r>
          </w:p>
        </w:tc>
      </w:tr>
      <w:tr w14:paraId="4773D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57" w:hRule="atLeast"/>
          <w:jc w:val="center"/>
        </w:trPr>
        <w:tc>
          <w:tcPr>
            <w:tcW w:w="836" w:type="pct"/>
            <w:vAlign w:val="center"/>
          </w:tcPr>
          <w:p w14:paraId="7096A240">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规划环境影响评价情况</w:t>
            </w:r>
          </w:p>
        </w:tc>
        <w:tc>
          <w:tcPr>
            <w:tcW w:w="4163" w:type="pct"/>
            <w:gridSpan w:val="3"/>
            <w:vAlign w:val="center"/>
          </w:tcPr>
          <w:p w14:paraId="12E008D6">
            <w:pPr>
              <w:ind w:firstLine="480"/>
              <w:rPr>
                <w:rFonts w:cs="Times New Roman"/>
                <w:color w:val="000000" w:themeColor="text1"/>
                <w14:textFill>
                  <w14:solidFill>
                    <w14:schemeClr w14:val="tx1"/>
                  </w14:solidFill>
                </w14:textFill>
              </w:rPr>
            </w:pPr>
            <w:bookmarkStart w:id="10" w:name="OLE_LINK590"/>
            <w:bookmarkStart w:id="11" w:name="OLE_LINK589"/>
            <w:r>
              <w:rPr>
                <w:rFonts w:cs="Times New Roman"/>
                <w:color w:val="000000" w:themeColor="text1"/>
                <w14:textFill>
                  <w14:solidFill>
                    <w14:schemeClr w14:val="tx1"/>
                  </w14:solidFill>
                </w14:textFill>
              </w:rPr>
              <w:t>规划环境影响评价文件名称：《</w:t>
            </w:r>
            <w:r>
              <w:rPr>
                <w:rFonts w:hint="eastAsia"/>
                <w:color w:val="000000" w:themeColor="text1"/>
                <w14:textFill>
                  <w14:solidFill>
                    <w14:schemeClr w14:val="tx1"/>
                  </w14:solidFill>
                </w14:textFill>
              </w:rPr>
              <w:t>四川平昌经济开发区规划修编环境影响报告书</w:t>
            </w:r>
            <w:r>
              <w:rPr>
                <w:rFonts w:cs="Times New Roman"/>
                <w:color w:val="000000" w:themeColor="text1"/>
                <w14:textFill>
                  <w14:solidFill>
                    <w14:schemeClr w14:val="tx1"/>
                  </w14:solidFill>
                </w14:textFill>
              </w:rPr>
              <w:t>》</w:t>
            </w:r>
          </w:p>
          <w:p w14:paraId="37BFB337">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审查机关：四川省生态环境厅</w:t>
            </w:r>
          </w:p>
          <w:p w14:paraId="5DDB7712">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审查文件名称及文号：</w:t>
            </w:r>
            <w:r>
              <w:rPr>
                <w:rFonts w:hint="eastAsia"/>
                <w:color w:val="000000" w:themeColor="text1"/>
                <w14:textFill>
                  <w14:solidFill>
                    <w14:schemeClr w14:val="tx1"/>
                  </w14:solidFill>
                </w14:textFill>
              </w:rPr>
              <w:t>四川省生态环境厅关于印发《四川平昌经济开发区规划修编环境影响报告书》审查意见的函</w:t>
            </w:r>
            <w:r>
              <w:rPr>
                <w:rFonts w:cs="Times New Roman"/>
                <w:color w:val="000000" w:themeColor="text1"/>
                <w14:textFill>
                  <w14:solidFill>
                    <w14:schemeClr w14:val="tx1"/>
                  </w14:solidFill>
                </w14:textFill>
              </w:rPr>
              <w:t>（川环建函〔2023〕17号）</w:t>
            </w:r>
            <w:bookmarkEnd w:id="10"/>
            <w:bookmarkEnd w:id="11"/>
          </w:p>
        </w:tc>
      </w:tr>
      <w:tr w14:paraId="4B5953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21" w:hRule="atLeast"/>
          <w:jc w:val="center"/>
        </w:trPr>
        <w:tc>
          <w:tcPr>
            <w:tcW w:w="836" w:type="pct"/>
            <w:vAlign w:val="center"/>
          </w:tcPr>
          <w:p w14:paraId="42160A7E">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规划及规划环境影响评价符合性分析</w:t>
            </w:r>
          </w:p>
        </w:tc>
        <w:tc>
          <w:tcPr>
            <w:tcW w:w="4163" w:type="pct"/>
            <w:gridSpan w:val="3"/>
            <w:vAlign w:val="center"/>
          </w:tcPr>
          <w:p w14:paraId="5135E16C">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与四川平昌经济开发区符合性分析</w:t>
            </w:r>
          </w:p>
          <w:p w14:paraId="48B64B87">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eastAsiaTheme="minorEastAsia"/>
                <w:color w:val="000000" w:themeColor="text1"/>
                <w14:textFill>
                  <w14:solidFill>
                    <w14:schemeClr w14:val="tx1"/>
                  </w14:solidFill>
                </w14:textFill>
              </w:rPr>
              <w:t>2012</w:t>
            </w:r>
            <w:r>
              <w:rPr>
                <w:rFonts w:hint="default" w:ascii="Times New Roman" w:hAnsi="Times New Roman" w:cs="Times New Roman"/>
                <w:color w:val="000000" w:themeColor="text1"/>
                <w14:textFill>
                  <w14:solidFill>
                    <w14:schemeClr w14:val="tx1"/>
                  </w14:solidFill>
                </w14:textFill>
              </w:rPr>
              <w:t>年，平昌县人民政府批准成立平昌经济开发区，后更名为四川平昌经济开发区（以下简称经开区）。</w:t>
            </w:r>
            <w:r>
              <w:rPr>
                <w:rFonts w:hint="default" w:ascii="Times New Roman" w:hAnsi="Times New Roman" w:cs="Times New Roman" w:eastAsiaTheme="minorEastAsia"/>
                <w:color w:val="000000" w:themeColor="text1"/>
                <w14:textFill>
                  <w14:solidFill>
                    <w14:schemeClr w14:val="tx1"/>
                  </w14:solidFill>
                </w14:textFill>
              </w:rPr>
              <w:t>2014</w:t>
            </w:r>
            <w:r>
              <w:rPr>
                <w:rFonts w:hint="default" w:ascii="Times New Roman" w:hAnsi="Times New Roman" w:cs="Times New Roman"/>
                <w:color w:val="000000" w:themeColor="text1"/>
                <w14:textFill>
                  <w14:solidFill>
                    <w14:schemeClr w14:val="tx1"/>
                  </w14:solidFill>
                </w14:textFill>
              </w:rPr>
              <w:t>年，平昌县人民政府组织编制了《四川省平昌县经济开发区控制性详细规划》，同年开展了规划环评，取得了原四川省环境保护厅审查意见（川环建函〔</w:t>
            </w:r>
            <w:r>
              <w:rPr>
                <w:rFonts w:hint="default" w:ascii="Times New Roman" w:hAnsi="Times New Roman" w:cs="Times New Roman" w:eastAsiaTheme="minorEastAsia"/>
                <w:color w:val="000000" w:themeColor="text1"/>
                <w14:textFill>
                  <w14:solidFill>
                    <w14:schemeClr w14:val="tx1"/>
                  </w14:solidFill>
                </w14:textFill>
              </w:rPr>
              <w:t>2014</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eastAsiaTheme="minorEastAsia"/>
                <w:color w:val="000000" w:themeColor="text1"/>
                <w14:textFill>
                  <w14:solidFill>
                    <w14:schemeClr w14:val="tx1"/>
                  </w14:solidFill>
                </w14:textFill>
              </w:rPr>
              <w:t>267</w:t>
            </w:r>
            <w:r>
              <w:rPr>
                <w:rFonts w:hint="default" w:ascii="Times New Roman" w:hAnsi="Times New Roman" w:cs="Times New Roman"/>
                <w:color w:val="000000" w:themeColor="text1"/>
                <w14:textFill>
                  <w14:solidFill>
                    <w14:schemeClr w14:val="tx1"/>
                  </w14:solidFill>
                </w14:textFill>
              </w:rPr>
              <w:t>号）。经开区于</w:t>
            </w:r>
            <w:r>
              <w:rPr>
                <w:rFonts w:hint="default" w:ascii="Times New Roman" w:hAnsi="Times New Roman" w:cs="Times New Roman" w:eastAsiaTheme="minorEastAsia"/>
                <w:color w:val="000000" w:themeColor="text1"/>
                <w14:textFill>
                  <w14:solidFill>
                    <w14:schemeClr w14:val="tx1"/>
                  </w14:solidFill>
                </w14:textFill>
              </w:rPr>
              <w:t>2019</w:t>
            </w:r>
            <w:r>
              <w:rPr>
                <w:rFonts w:hint="default" w:ascii="Times New Roman" w:hAnsi="Times New Roman" w:cs="Times New Roman"/>
                <w:color w:val="000000" w:themeColor="text1"/>
                <w14:textFill>
                  <w14:solidFill>
                    <w14:schemeClr w14:val="tx1"/>
                  </w14:solidFill>
                </w14:textFill>
              </w:rPr>
              <w:t>年经省政府批复为省级开发区，</w:t>
            </w:r>
            <w:r>
              <w:rPr>
                <w:rFonts w:hint="default" w:ascii="Times New Roman" w:hAnsi="Times New Roman" w:cs="Times New Roman" w:eastAsiaTheme="minorEastAsia"/>
                <w:color w:val="000000" w:themeColor="text1"/>
                <w14:textFill>
                  <w14:solidFill>
                    <w14:schemeClr w14:val="tx1"/>
                  </w14:solidFill>
                </w14:textFill>
              </w:rPr>
              <w:t>2022</w:t>
            </w:r>
            <w:r>
              <w:rPr>
                <w:rFonts w:hint="default" w:ascii="Times New Roman" w:hAnsi="Times New Roman" w:cs="Times New Roman"/>
                <w:color w:val="000000" w:themeColor="text1"/>
                <w14:textFill>
                  <w14:solidFill>
                    <w14:schemeClr w14:val="tx1"/>
                  </w14:solidFill>
                </w14:textFill>
              </w:rPr>
              <w:t>年完成了规划环评跟踪评价工作。</w:t>
            </w:r>
          </w:p>
          <w:p w14:paraId="74E90E56">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eastAsiaTheme="minorEastAsia"/>
                <w:color w:val="000000" w:themeColor="text1"/>
                <w14:textFill>
                  <w14:solidFill>
                    <w14:schemeClr w14:val="tx1"/>
                  </w14:solidFill>
                </w14:textFill>
              </w:rPr>
              <w:t>2022</w:t>
            </w:r>
            <w:r>
              <w:rPr>
                <w:rFonts w:hint="default" w:ascii="Times New Roman" w:hAnsi="Times New Roman" w:cs="Times New Roman"/>
                <w:color w:val="000000" w:themeColor="text1"/>
                <w14:textFill>
                  <w14:solidFill>
                    <w14:schemeClr w14:val="tx1"/>
                  </w14:solidFill>
                </w14:textFill>
              </w:rPr>
              <w:t>年</w:t>
            </w:r>
            <w:r>
              <w:rPr>
                <w:rFonts w:hint="default" w:ascii="Times New Roman" w:hAnsi="Times New Roman" w:cs="Times New Roman" w:eastAsiaTheme="minorEastAsia"/>
                <w:color w:val="000000" w:themeColor="text1"/>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月，经平昌县人民政府同意，经开区组织了规划修编，其规划修编环评于</w:t>
            </w:r>
            <w:r>
              <w:rPr>
                <w:rFonts w:hint="default" w:ascii="Times New Roman" w:hAnsi="Times New Roman" w:cs="Times New Roman" w:eastAsiaTheme="minorEastAsia"/>
                <w:color w:val="000000" w:themeColor="text1"/>
                <w14:textFill>
                  <w14:solidFill>
                    <w14:schemeClr w14:val="tx1"/>
                  </w14:solidFill>
                </w14:textFill>
              </w:rPr>
              <w:t>2023</w:t>
            </w:r>
            <w:r>
              <w:rPr>
                <w:rFonts w:hint="default" w:ascii="Times New Roman" w:hAnsi="Times New Roman" w:cs="Times New Roman"/>
                <w:color w:val="000000" w:themeColor="text1"/>
                <w14:textFill>
                  <w14:solidFill>
                    <w14:schemeClr w14:val="tx1"/>
                  </w14:solidFill>
                </w14:textFill>
              </w:rPr>
              <w:t>年</w:t>
            </w:r>
            <w:r>
              <w:rPr>
                <w:rFonts w:hint="default" w:ascii="Times New Roman" w:hAnsi="Times New Roman" w:cs="Times New Roman" w:eastAsiaTheme="minorEastAsia"/>
                <w:color w:val="000000" w:themeColor="text1"/>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月</w:t>
            </w:r>
            <w:r>
              <w:rPr>
                <w:rFonts w:hint="default" w:ascii="Times New Roman" w:hAnsi="Times New Roman" w:cs="Times New Roman" w:eastAsiaTheme="minorEastAsia"/>
                <w:color w:val="000000" w:themeColor="text1"/>
                <w14:textFill>
                  <w14:solidFill>
                    <w14:schemeClr w14:val="tx1"/>
                  </w14:solidFill>
                </w14:textFill>
              </w:rPr>
              <w:t>22</w:t>
            </w:r>
            <w:r>
              <w:rPr>
                <w:rFonts w:hint="default" w:ascii="Times New Roman" w:hAnsi="Times New Roman" w:cs="Times New Roman"/>
                <w:color w:val="000000" w:themeColor="text1"/>
                <w14:textFill>
                  <w14:solidFill>
                    <w14:schemeClr w14:val="tx1"/>
                  </w14:solidFill>
                </w14:textFill>
              </w:rPr>
              <w:t>日取得《关于印发＜四川平昌经济开发区规划修编环境影响报告书＞审查意见的函》（川环建函〔</w:t>
            </w:r>
            <w:r>
              <w:rPr>
                <w:rFonts w:hint="default" w:ascii="Times New Roman" w:hAnsi="Times New Roman" w:cs="Times New Roman" w:eastAsiaTheme="minorEastAsia"/>
                <w:color w:val="000000" w:themeColor="text1"/>
                <w14:textFill>
                  <w14:solidFill>
                    <w14:schemeClr w14:val="tx1"/>
                  </w14:solidFill>
                </w14:textFill>
              </w:rPr>
              <w:t>2023</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eastAsiaTheme="minorEastAsia"/>
                <w:color w:val="000000" w:themeColor="text1"/>
                <w14:textFill>
                  <w14:solidFill>
                    <w14:schemeClr w14:val="tx1"/>
                  </w14:solidFill>
                </w14:textFill>
              </w:rPr>
              <w:t>17</w:t>
            </w:r>
            <w:r>
              <w:rPr>
                <w:rFonts w:hint="default" w:ascii="Times New Roman" w:hAnsi="Times New Roman" w:cs="Times New Roman"/>
                <w:color w:val="000000" w:themeColor="text1"/>
                <w14:textFill>
                  <w14:solidFill>
                    <w14:schemeClr w14:val="tx1"/>
                  </w14:solidFill>
                </w14:textFill>
              </w:rPr>
              <w:t>号）。修编后，平昌经开区规划总面积</w:t>
            </w:r>
            <w:r>
              <w:rPr>
                <w:rFonts w:hint="default" w:ascii="Times New Roman" w:hAnsi="Times New Roman" w:cs="Times New Roman" w:eastAsiaTheme="minorEastAsia"/>
                <w:color w:val="000000" w:themeColor="text1"/>
                <w14:textFill>
                  <w14:solidFill>
                    <w14:schemeClr w14:val="tx1"/>
                  </w14:solidFill>
                </w14:textFill>
              </w:rPr>
              <w:t>746.42</w:t>
            </w:r>
            <w:r>
              <w:rPr>
                <w:rFonts w:hint="default" w:ascii="Times New Roman" w:hAnsi="Times New Roman" w:cs="Times New Roman"/>
                <w:color w:val="000000" w:themeColor="text1"/>
                <w14:textFill>
                  <w14:solidFill>
                    <w14:schemeClr w14:val="tx1"/>
                  </w14:solidFill>
                </w14:textFill>
              </w:rPr>
              <w:t>公顷，主导产业为机械、食品饮料及能源，协同发展化工。辖星光机械制造产业园、金宝食品饮料产业园、驷马清洁能源产业园和托管的平昌石龙门化工园区。</w:t>
            </w:r>
          </w:p>
          <w:p w14:paraId="15DA10EA">
            <w:pPr>
              <w:ind w:firstLine="480"/>
              <w:rPr>
                <w:rFonts w:hint="default" w:ascii="Times New Roman" w:hAnsi="Times New Roman" w:cs="Times New Roman"/>
                <w:color w:val="000000" w:themeColor="text1"/>
                <w:kern w:val="0"/>
                <w:szCs w:val="24"/>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本项目位于平昌经济开发区中的星光机械制造产业园内，</w:t>
            </w:r>
            <w:r>
              <w:rPr>
                <w:rFonts w:hint="eastAsia" w:cs="Times New Roman"/>
                <w:color w:val="000000" w:themeColor="text1"/>
                <w:lang w:val="en-US" w:eastAsia="zh-CN"/>
                <w14:textFill>
                  <w14:solidFill>
                    <w14:schemeClr w14:val="tx1"/>
                  </w14:solidFill>
                </w14:textFill>
              </w:rPr>
              <w:t>属于</w:t>
            </w:r>
            <w:r>
              <w:rPr>
                <w:rFonts w:hint="default" w:ascii="Times New Roman" w:hAnsi="Times New Roman" w:cs="Times New Roman"/>
                <w:color w:val="000000" w:themeColor="text1"/>
                <w14:textFill>
                  <w14:solidFill>
                    <w14:schemeClr w14:val="tx1"/>
                  </w14:solidFill>
                </w14:textFill>
              </w:rPr>
              <w:t>水基岩屑综合利用项目，</w:t>
            </w:r>
            <w:r>
              <w:rPr>
                <w:rFonts w:hint="eastAsia" w:cs="Times New Roman"/>
                <w:color w:val="000000" w:themeColor="text1"/>
                <w:lang w:val="en-US" w:eastAsia="zh-CN"/>
                <w14:textFill>
                  <w14:solidFill>
                    <w14:schemeClr w14:val="tx1"/>
                  </w14:solidFill>
                </w14:textFill>
              </w:rPr>
              <w:t>与园区主导产业不冲突。</w:t>
            </w:r>
          </w:p>
          <w:p w14:paraId="5E368863">
            <w:pPr>
              <w:ind w:firstLine="480"/>
              <w:rPr>
                <w:color w:val="000000" w:themeColor="text1"/>
                <w14:textFill>
                  <w14:solidFill>
                    <w14:schemeClr w14:val="tx1"/>
                  </w14:solidFill>
                </w14:textFill>
              </w:rPr>
            </w:pPr>
            <w:r>
              <w:rPr>
                <w:rFonts w:hint="default" w:ascii="Times New Roman" w:hAnsi="Times New Roman" w:cs="Times New Roman"/>
                <w:color w:val="000000" w:themeColor="text1"/>
                <w:kern w:val="0"/>
                <w:szCs w:val="24"/>
                <w14:textFill>
                  <w14:solidFill>
                    <w14:schemeClr w14:val="tx1"/>
                  </w14:solidFill>
                </w14:textFill>
              </w:rPr>
              <w:t>经查阅《四川平昌经济开发区规划修编环境影响报告书》</w:t>
            </w:r>
            <w:r>
              <w:rPr>
                <w:rFonts w:hint="eastAsia" w:cs="Times New Roman"/>
                <w:color w:val="000000" w:themeColor="text1"/>
                <w:kern w:val="0"/>
                <w:szCs w:val="24"/>
                <w:lang w:val="en-US" w:eastAsia="zh-CN"/>
                <w14:textFill>
                  <w14:solidFill>
                    <w14:schemeClr w14:val="tx1"/>
                  </w14:solidFill>
                </w14:textFill>
              </w:rPr>
              <w:t>及审查意见，</w:t>
            </w:r>
            <w:r>
              <w:rPr>
                <w:rFonts w:hint="eastAsia"/>
                <w:color w:val="000000" w:themeColor="text1"/>
                <w14:textFill>
                  <w14:solidFill>
                    <w14:schemeClr w14:val="tx1"/>
                  </w14:solidFill>
                </w14:textFill>
              </w:rPr>
              <w:t>项目与环评及审查意见符合性分析见下表。</w:t>
            </w:r>
          </w:p>
          <w:p w14:paraId="5B168252">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2</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与四川</w:t>
            </w:r>
            <w:r>
              <w:rPr>
                <w:rFonts w:hint="eastAsia" w:cs="Times New Roman"/>
                <w:color w:val="000000" w:themeColor="text1"/>
                <w:lang w:val="en-US" w:eastAsia="zh-CN"/>
                <w14:textFill>
                  <w14:solidFill>
                    <w14:schemeClr w14:val="tx1"/>
                  </w14:solidFill>
                </w14:textFill>
              </w:rPr>
              <w:t>平昌</w:t>
            </w:r>
            <w:r>
              <w:rPr>
                <w:rFonts w:cs="Times New Roman"/>
                <w:color w:val="000000" w:themeColor="text1"/>
                <w14:textFill>
                  <w14:solidFill>
                    <w14:schemeClr w14:val="tx1"/>
                  </w14:solidFill>
                </w14:textFill>
              </w:rPr>
              <w:t>经济开发区生态环境准入清单要求对照表</w:t>
            </w:r>
          </w:p>
          <w:tbl>
            <w:tblPr>
              <w:tblStyle w:val="29"/>
              <w:tblW w:w="4963" w:type="pct"/>
              <w:jc w:val="center"/>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2321"/>
              <w:gridCol w:w="4308"/>
              <w:gridCol w:w="643"/>
            </w:tblGrid>
            <w:tr w14:paraId="7DD0A727">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52" w:type="pct"/>
                  <w:vAlign w:val="center"/>
                </w:tcPr>
                <w:p w14:paraId="4070CDD8">
                  <w:pPr>
                    <w:pStyle w:val="13"/>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default" w:ascii="Times New Roman" w:hAnsi="Times New Roman" w:cs="Times New Roman"/>
                      <w:b/>
                      <w:bCs w:val="0"/>
                      <w:color w:val="000000" w:themeColor="text1"/>
                      <w:lang w:val="en-US" w:eastAsia="zh-CN"/>
                      <w14:textFill>
                        <w14:solidFill>
                          <w14:schemeClr w14:val="tx1"/>
                        </w14:solidFill>
                      </w14:textFill>
                    </w:rPr>
                    <w:t>类别</w:t>
                  </w:r>
                </w:p>
              </w:tc>
              <w:tc>
                <w:tcPr>
                  <w:tcW w:w="1419" w:type="pct"/>
                  <w:vAlign w:val="center"/>
                </w:tcPr>
                <w:p w14:paraId="25D07424">
                  <w:pPr>
                    <w:pStyle w:val="51"/>
                    <w:rPr>
                      <w:rFonts w:hint="default" w:ascii="Times New Roman" w:hAnsi="Times New Roman" w:cs="Times New Roman"/>
                      <w:b/>
                      <w:bCs w:val="0"/>
                      <w:color w:val="000000" w:themeColor="text1"/>
                      <w14:textFill>
                        <w14:solidFill>
                          <w14:schemeClr w14:val="tx1"/>
                        </w14:solidFill>
                      </w14:textFill>
                    </w:rPr>
                  </w:pPr>
                  <w:r>
                    <w:rPr>
                      <w:rFonts w:hint="default" w:ascii="Times New Roman" w:hAnsi="Times New Roman" w:cs="Times New Roman"/>
                      <w:b/>
                      <w:bCs w:val="0"/>
                      <w:color w:val="000000" w:themeColor="text1"/>
                      <w14:textFill>
                        <w14:solidFill>
                          <w14:schemeClr w14:val="tx1"/>
                        </w14:solidFill>
                      </w14:textFill>
                    </w:rPr>
                    <w:t>要求内容</w:t>
                  </w:r>
                </w:p>
              </w:tc>
              <w:tc>
                <w:tcPr>
                  <w:tcW w:w="2634" w:type="pct"/>
                  <w:vAlign w:val="center"/>
                </w:tcPr>
                <w:p w14:paraId="4295BC19">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本项目情况</w:t>
                  </w:r>
                </w:p>
              </w:tc>
              <w:tc>
                <w:tcPr>
                  <w:tcW w:w="393" w:type="pct"/>
                  <w:vAlign w:val="center"/>
                </w:tcPr>
                <w:p w14:paraId="055DE2C1">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符合性</w:t>
                  </w:r>
                </w:p>
              </w:tc>
            </w:tr>
            <w:tr w14:paraId="182B4CB5">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52" w:type="pct"/>
                  <w:vAlign w:val="center"/>
                </w:tcPr>
                <w:p w14:paraId="40370AEF">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规划实施的制约因素及解决对策</w:t>
                  </w:r>
                </w:p>
              </w:tc>
              <w:tc>
                <w:tcPr>
                  <w:tcW w:w="1419" w:type="pct"/>
                  <w:vAlign w:val="center"/>
                </w:tcPr>
                <w:p w14:paraId="39B78AF2">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金宝食品饮料产业园和星光机械制造产业园邻近的镇龙山国家森林公园</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佛头山景区</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执行环境空气一类区功能标准，对规划实施构成制约。</w:t>
                  </w:r>
                </w:p>
                <w:p w14:paraId="621A9BD3">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 xml:space="preserve">解决对策： </w:t>
                  </w:r>
                </w:p>
                <w:p w14:paraId="66D2BB25">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 xml:space="preserve">1.严格落实平昌县秋冬季大气污染防治攻坚行动方案等要求，持续改善区域大气环境质量。禁止使用高污染燃料。 </w:t>
                  </w:r>
                </w:p>
                <w:p w14:paraId="45FE72A2">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 xml:space="preserve">2.严格落实入园项目生态环境准入。金宝食品饮料产业园及星光机械制造产业园新引入项目执行最严格的行业废气排放控制要求，生产工艺、设备，以及单位产品能耗、污染物排放和资源利用效率等均需达到同行业先进水平。 </w:t>
                  </w:r>
                </w:p>
                <w:p w14:paraId="02FEE8B3">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3.对园区企业开展废气治理措施排查整治，强化现有企业污染治理设施运行维护，严控无组织排放，逐步提高清洁生产水平。</w:t>
                  </w:r>
                </w:p>
              </w:tc>
              <w:tc>
                <w:tcPr>
                  <w:tcW w:w="2634" w:type="pct"/>
                  <w:vAlign w:val="center"/>
                </w:tcPr>
                <w:p w14:paraId="75B7E765">
                  <w:pPr>
                    <w:pStyle w:val="13"/>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项目所在位置属于星光机械制造产业园内，距离镇龙山国家森林公园（佛头山景区）4</w:t>
                  </w:r>
                  <w:r>
                    <w:rPr>
                      <w:rFonts w:hint="eastAsia" w:cs="Times New Roman"/>
                      <w:color w:val="000000" w:themeColor="text1"/>
                      <w:lang w:val="en-US" w:eastAsia="zh-CN"/>
                      <w14:textFill>
                        <w14:solidFill>
                          <w14:schemeClr w14:val="tx1"/>
                        </w14:solidFill>
                      </w14:textFill>
                    </w:rPr>
                    <w:t>.89k</w:t>
                  </w:r>
                  <w:r>
                    <w:rPr>
                      <w:rFonts w:hint="default" w:ascii="Times New Roman" w:hAnsi="Times New Roman" w:cs="Times New Roman"/>
                      <w:color w:val="000000" w:themeColor="text1"/>
                      <w:lang w:val="en-US" w:eastAsia="zh-CN"/>
                      <w14:textFill>
                        <w14:solidFill>
                          <w14:schemeClr w14:val="tx1"/>
                        </w14:solidFill>
                      </w14:textFill>
                    </w:rPr>
                    <w:t>m，评价范围不涉及</w:t>
                  </w:r>
                  <w:r>
                    <w:rPr>
                      <w:rFonts w:hint="eastAsia" w:cs="Times New Roman"/>
                      <w:color w:val="000000" w:themeColor="text1"/>
                      <w:lang w:val="en-US" w:eastAsia="zh-CN"/>
                      <w14:textFill>
                        <w14:solidFill>
                          <w14:schemeClr w14:val="tx1"/>
                        </w14:solidFill>
                      </w14:textFill>
                    </w:rPr>
                    <w:t>一类功能区</w:t>
                  </w:r>
                  <w:r>
                    <w:rPr>
                      <w:rFonts w:hint="default" w:ascii="Times New Roman" w:hAnsi="Times New Roman" w:cs="Times New Roman"/>
                      <w:color w:val="000000" w:themeColor="text1"/>
                      <w:lang w:val="en-US" w:eastAsia="zh-CN"/>
                      <w14:textFill>
                        <w14:solidFill>
                          <w14:schemeClr w14:val="tx1"/>
                        </w14:solidFill>
                      </w14:textFill>
                    </w:rPr>
                    <w:t>，见附图</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lang w:val="en-US" w:eastAsia="zh-CN"/>
                      <w14:textFill>
                        <w14:solidFill>
                          <w14:schemeClr w14:val="tx1"/>
                        </w14:solidFill>
                      </w14:textFill>
                    </w:rPr>
                    <w:t xml:space="preserve">。 </w:t>
                  </w:r>
                </w:p>
                <w:p w14:paraId="5ED69DF2">
                  <w:pPr>
                    <w:pStyle w:val="13"/>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本项目废气治理满足平昌县秋冬季大气污染防治攻坚行动方案等要求。</w:t>
                  </w:r>
                  <w:r>
                    <w:rPr>
                      <w:rFonts w:hint="default" w:ascii="Times New Roman" w:hAnsi="Times New Roman" w:cs="Times New Roman"/>
                      <w:color w:val="000000" w:themeColor="text1"/>
                      <w:lang w:val="en-US" w:eastAsia="zh-CN"/>
                      <w14:textFill>
                        <w14:solidFill>
                          <w14:schemeClr w14:val="tx1"/>
                        </w14:solidFill>
                      </w14:textFill>
                    </w:rPr>
                    <w:t>项目</w:t>
                  </w:r>
                  <w:r>
                    <w:rPr>
                      <w:rFonts w:hint="eastAsia" w:cs="Times New Roman"/>
                      <w:color w:val="000000" w:themeColor="text1"/>
                      <w:lang w:val="en-US" w:eastAsia="zh-CN"/>
                      <w14:textFill>
                        <w14:solidFill>
                          <w14:schemeClr w14:val="tx1"/>
                        </w14:solidFill>
                      </w14:textFill>
                    </w:rPr>
                    <w:t>使用天然气为燃料，不属于</w:t>
                  </w:r>
                  <w:r>
                    <w:rPr>
                      <w:rFonts w:hint="default" w:ascii="Times New Roman" w:hAnsi="Times New Roman" w:cs="Times New Roman"/>
                      <w:color w:val="000000" w:themeColor="text1"/>
                      <w:lang w:val="en-US" w:eastAsia="zh-CN"/>
                      <w14:textFill>
                        <w14:solidFill>
                          <w14:schemeClr w14:val="tx1"/>
                        </w14:solidFill>
                      </w14:textFill>
                    </w:rPr>
                    <w:t xml:space="preserve">高污染燃料。 </w:t>
                  </w:r>
                </w:p>
                <w:p w14:paraId="6C3F2F2C">
                  <w:pPr>
                    <w:pStyle w:val="13"/>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2、项目符合入园生态环境准入要求。项目</w:t>
                  </w:r>
                  <w:r>
                    <w:rPr>
                      <w:rFonts w:hint="eastAsia" w:cs="Times New Roman"/>
                      <w:color w:val="000000" w:themeColor="text1"/>
                      <w:lang w:val="en-US" w:eastAsia="zh-CN"/>
                      <w14:textFill>
                        <w14:solidFill>
                          <w14:schemeClr w14:val="tx1"/>
                        </w14:solidFill>
                      </w14:textFill>
                    </w:rPr>
                    <w:t>水基岩屑采用煅烧回转窑进行干燥、预热和煅烧，回转窑属于工业炉窑，后续免烧砌块制造环节属于砖瓦行业，水基岩屑煅烧环节可能会有二噁英排出，因此，本项目废气污染物排放限值按</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砖瓦工业</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大气污染物</w:t>
                  </w:r>
                  <w:r>
                    <w:rPr>
                      <w:rFonts w:hint="eastAsia" w:cs="Times New Roman"/>
                      <w:b w:val="0"/>
                      <w:bCs w:val="0"/>
                      <w:color w:val="000000" w:themeColor="text1"/>
                      <w:sz w:val="21"/>
                      <w:szCs w:val="21"/>
                      <w:lang w:val="en-US" w:eastAsia="zh-CN"/>
                      <w14:textFill>
                        <w14:solidFill>
                          <w14:schemeClr w14:val="tx1"/>
                        </w14:solidFill>
                      </w14:textFill>
                    </w:rPr>
                    <w:t>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GB29620-2013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工业炉窑大气污染物排放标准》（GB9078-1996）以及</w:t>
                  </w:r>
                  <w:r>
                    <w:rPr>
                      <w:rFonts w:hint="eastAsia" w:ascii="Times New Roman" w:hAnsi="Times New Roman" w:cs="Times New Roman"/>
                      <w:color w:val="000000" w:themeColor="text1"/>
                      <w:sz w:val="21"/>
                      <w:szCs w:val="21"/>
                      <w:lang w:val="en-US" w:eastAsia="zh-CN"/>
                      <w14:textFill>
                        <w14:solidFill>
                          <w14:schemeClr w14:val="tx1"/>
                        </w14:solidFill>
                      </w14:textFill>
                    </w:rPr>
                    <w:t>《生活垃圾焚烧污染控制标准》（GB18485-2014）中</w:t>
                  </w:r>
                  <w:r>
                    <w:rPr>
                      <w:rFonts w:hint="default" w:ascii="Times New Roman" w:hAnsi="Times New Roman" w:cs="Times New Roman"/>
                      <w:color w:val="000000" w:themeColor="text1"/>
                      <w:lang w:val="en-US" w:eastAsia="zh-CN"/>
                      <w14:textFill>
                        <w14:solidFill>
                          <w14:schemeClr w14:val="tx1"/>
                        </w14:solidFill>
                      </w14:textFill>
                    </w:rPr>
                    <w:t>最严格的废气排放</w:t>
                  </w:r>
                  <w:r>
                    <w:rPr>
                      <w:rFonts w:hint="eastAsia" w:cs="Times New Roman"/>
                      <w:color w:val="000000" w:themeColor="text1"/>
                      <w:lang w:val="en-US" w:eastAsia="zh-CN"/>
                      <w14:textFill>
                        <w14:solidFill>
                          <w14:schemeClr w14:val="tx1"/>
                        </w14:solidFill>
                      </w14:textFill>
                    </w:rPr>
                    <w:t>限值</w:t>
                  </w:r>
                  <w:r>
                    <w:rPr>
                      <w:rFonts w:hint="default" w:ascii="Times New Roman" w:hAnsi="Times New Roman" w:cs="Times New Roman"/>
                      <w:color w:val="000000" w:themeColor="text1"/>
                      <w:lang w:val="en-US" w:eastAsia="zh-CN"/>
                      <w14:textFill>
                        <w14:solidFill>
                          <w14:schemeClr w14:val="tx1"/>
                        </w14:solidFill>
                      </w14:textFill>
                    </w:rPr>
                    <w:t>要求</w:t>
                  </w:r>
                  <w:r>
                    <w:rPr>
                      <w:rFonts w:hint="eastAsia" w:cs="Times New Roman"/>
                      <w:color w:val="000000" w:themeColor="text1"/>
                      <w:lang w:val="en-US" w:eastAsia="zh-CN"/>
                      <w14:textFill>
                        <w14:solidFill>
                          <w14:schemeClr w14:val="tx1"/>
                        </w14:solidFill>
                      </w14:textFill>
                    </w:rPr>
                    <w:t>执行</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不属于重有色金属矿采选业、重有色金属冶炼业、谦虚电池制造业、电镀行业、化学原料及化学制品制造业以及皮革鞣制加工业等各6个行业中的项目，本项目已取得四川省生态环境厅关于项目涉及重金属排放是否与园区规划符合性的回复（见附件19）。</w:t>
                  </w:r>
                </w:p>
                <w:p w14:paraId="0DF7E4DB">
                  <w:pPr>
                    <w:pStyle w:val="13"/>
                    <w:jc w:val="both"/>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3、本项目为新建项目，本项目严控无组织排放；</w:t>
                  </w:r>
                  <w:r>
                    <w:rPr>
                      <w:rFonts w:hint="eastAsia" w:cs="Times New Roman"/>
                      <w:color w:val="000000" w:themeColor="text1"/>
                      <w14:textFill>
                        <w14:solidFill>
                          <w14:schemeClr w14:val="tx1"/>
                        </w14:solidFill>
                      </w14:textFill>
                    </w:rPr>
                    <w:t>原料堆存在密闭车间内；</w:t>
                  </w:r>
                  <w:r>
                    <w:rPr>
                      <w:rFonts w:hint="eastAsia" w:cs="Times New Roman"/>
                      <w:color w:val="000000" w:themeColor="text1"/>
                      <w:lang w:val="en-US" w:eastAsia="zh-CN"/>
                      <w14:textFill>
                        <w14:solidFill>
                          <w14:schemeClr w14:val="tx1"/>
                        </w14:solidFill>
                      </w14:textFill>
                    </w:rPr>
                    <w:t>成品堆存设置三面围挡+顶棚+洒水等防尘措施；输送</w:t>
                  </w:r>
                  <w:r>
                    <w:rPr>
                      <w:rFonts w:hint="eastAsia" w:cs="Times New Roman"/>
                      <w:color w:val="000000" w:themeColor="text1"/>
                      <w14:textFill>
                        <w14:solidFill>
                          <w14:schemeClr w14:val="tx1"/>
                        </w14:solidFill>
                      </w14:textFill>
                    </w:rPr>
                    <w:t>过程采用密闭传送带，生产过程各环节产生的粉尘均有效收集处理</w:t>
                  </w:r>
                  <w:r>
                    <w:rPr>
                      <w:rFonts w:hint="eastAsia" w:cs="Times New Roman"/>
                      <w:color w:val="000000" w:themeColor="text1"/>
                      <w:lang w:val="en-US" w:eastAsia="zh-CN"/>
                      <w14:textFill>
                        <w14:solidFill>
                          <w14:schemeClr w14:val="tx1"/>
                        </w14:solidFill>
                      </w14:textFill>
                    </w:rPr>
                    <w:t>。</w:t>
                  </w:r>
                </w:p>
              </w:tc>
              <w:tc>
                <w:tcPr>
                  <w:tcW w:w="393" w:type="pct"/>
                  <w:vAlign w:val="center"/>
                </w:tcPr>
                <w:p w14:paraId="6EEF5923">
                  <w:pPr>
                    <w:pStyle w:val="51"/>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b w:val="0"/>
                      <w:bCs/>
                      <w:color w:val="000000" w:themeColor="text1"/>
                      <w:lang w:val="en-US" w:eastAsia="zh-CN"/>
                      <w14:textFill>
                        <w14:solidFill>
                          <w14:schemeClr w14:val="tx1"/>
                        </w14:solidFill>
                      </w14:textFill>
                    </w:rPr>
                    <w:t>符合</w:t>
                  </w:r>
                </w:p>
              </w:tc>
            </w:tr>
            <w:tr w14:paraId="0EBD1722">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52" w:type="pct"/>
                  <w:vAlign w:val="center"/>
                </w:tcPr>
                <w:p w14:paraId="6EC4D4B5">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禁止和限制入园</w:t>
                  </w:r>
                </w:p>
              </w:tc>
              <w:tc>
                <w:tcPr>
                  <w:tcW w:w="1419" w:type="pct"/>
                  <w:vAlign w:val="center"/>
                </w:tcPr>
                <w:p w14:paraId="355542B8">
                  <w:pPr>
                    <w:pStyle w:val="13"/>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禁止引入不符合国家法律法规、产业政策和行业准入条件以及国家、地方明令禁止的项目，清洁生产水平达不到行业清洁生产标准二级或国内先进水平的项目；</w:t>
                  </w:r>
                </w:p>
                <w:p w14:paraId="1528D738">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禁止引入与主导产业环境不相容的项目</w:t>
                  </w:r>
                  <w:r>
                    <w:rPr>
                      <w:rFonts w:hint="default" w:ascii="Times New Roman" w:hAnsi="Times New Roman" w:cs="Times New Roman"/>
                      <w:color w:val="000000" w:themeColor="text1"/>
                      <w14:textFill>
                        <w14:solidFill>
                          <w14:schemeClr w14:val="tx1"/>
                        </w14:solidFill>
                      </w14:textFill>
                    </w:rPr>
                    <w:t>；</w:t>
                  </w:r>
                </w:p>
                <w:p w14:paraId="465F798C">
                  <w:pPr>
                    <w:pStyle w:val="13"/>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）禁止</w:t>
                  </w:r>
                  <w:r>
                    <w:rPr>
                      <w:rFonts w:hint="default" w:ascii="Times New Roman" w:hAnsi="Times New Roman" w:cs="Times New Roman"/>
                      <w:color w:val="000000" w:themeColor="text1"/>
                      <w:lang w:val="en-US" w:eastAsia="zh-CN"/>
                      <w14:textFill>
                        <w14:solidFill>
                          <w14:schemeClr w14:val="tx1"/>
                        </w14:solidFill>
                      </w14:textFill>
                    </w:rPr>
                    <w:t>引入农药、制浆（含废纸制浆）、印染染整、制革、水泥、专业电镀、金属冶炼、发酵类制药。</w:t>
                  </w:r>
                </w:p>
                <w:p w14:paraId="3F367822">
                  <w:pPr>
                    <w:pStyle w:val="13"/>
                    <w:jc w:val="both"/>
                    <w:rPr>
                      <w:rFonts w:hint="default" w:ascii="Times New Roman" w:hAnsi="Times New Roman" w:cs="Times New Roman"/>
                      <w:color w:val="000000" w:themeColor="text1"/>
                      <w:lang w:val="en-US"/>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（4）除石龙</w:t>
                  </w:r>
                  <w:r>
                    <w:rPr>
                      <w:rFonts w:hint="eastAsia" w:ascii="Times New Roman" w:hAnsi="Times New Roman" w:cs="Times New Roman"/>
                      <w:color w:val="000000" w:themeColor="text1"/>
                      <w:lang w:val="en-US" w:eastAsia="zh-CN"/>
                      <w14:textFill>
                        <w14:solidFill>
                          <w14:schemeClr w14:val="tx1"/>
                        </w14:solidFill>
                      </w14:textFill>
                    </w:rPr>
                    <w:t>门</w:t>
                  </w:r>
                  <w:r>
                    <w:rPr>
                      <w:rFonts w:hint="default" w:ascii="Times New Roman" w:hAnsi="Times New Roman" w:cs="Times New Roman"/>
                      <w:color w:val="000000" w:themeColor="text1"/>
                      <w:lang w:val="en-US" w:eastAsia="zh-CN"/>
                      <w14:textFill>
                        <w14:solidFill>
                          <w14:schemeClr w14:val="tx1"/>
                        </w14:solidFill>
                      </w14:textFill>
                    </w:rPr>
                    <w:t>化工园区外其他产业园禁止新建、扩建化工项目。</w:t>
                  </w:r>
                </w:p>
              </w:tc>
              <w:tc>
                <w:tcPr>
                  <w:tcW w:w="2634" w:type="pct"/>
                  <w:vAlign w:val="center"/>
                </w:tcPr>
                <w:p w14:paraId="509D784F">
                  <w:pPr>
                    <w:pStyle w:val="13"/>
                    <w:jc w:val="both"/>
                  </w:pPr>
                  <w:r>
                    <w:rPr>
                      <w:rFonts w:hint="eastAsia"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本项目属于《产业结构调整指导目录（2024年本）》中规定的</w:t>
                  </w:r>
                  <w:r>
                    <w:rPr>
                      <w:rFonts w:hint="eastAsia" w:cs="Times New Roman"/>
                      <w:color w:val="000000" w:themeColor="text1"/>
                      <w:lang w:val="en-US" w:eastAsia="zh-CN"/>
                      <w14:textFill>
                        <w14:solidFill>
                          <w14:schemeClr w14:val="tx1"/>
                        </w14:solidFill>
                      </w14:textFill>
                    </w:rPr>
                    <w:t>鼓励</w:t>
                  </w:r>
                  <w:r>
                    <w:rPr>
                      <w:rFonts w:hint="default" w:ascii="Times New Roman" w:hAnsi="Times New Roman" w:cs="Times New Roman"/>
                      <w:color w:val="000000" w:themeColor="text1"/>
                      <w14:textFill>
                        <w14:solidFill>
                          <w14:schemeClr w14:val="tx1"/>
                        </w14:solidFill>
                      </w14:textFill>
                    </w:rPr>
                    <w:t>类项目</w:t>
                  </w:r>
                  <w:r>
                    <w:rPr>
                      <w:rFonts w:hint="eastAsia" w:cs="Times New Roman"/>
                      <w:color w:val="000000" w:themeColor="text1"/>
                      <w:lang w:eastAsia="zh-CN"/>
                      <w14:textFill>
                        <w14:solidFill>
                          <w14:schemeClr w14:val="tx1"/>
                        </w14:solidFill>
                      </w14:textFill>
                    </w:rPr>
                    <w:t>；</w:t>
                  </w:r>
                </w:p>
                <w:p w14:paraId="3547AD51">
                  <w:pPr>
                    <w:pStyle w:val="13"/>
                    <w:jc w:val="both"/>
                    <w:rPr>
                      <w:rFonts w:hint="default" w:eastAsia="宋体"/>
                      <w:lang w:val="en-US" w:eastAsia="zh-CN"/>
                    </w:rPr>
                  </w:pPr>
                  <w:r>
                    <w:rPr>
                      <w:rFonts w:hint="eastAsia"/>
                      <w:lang w:val="en-US" w:eastAsia="zh-CN"/>
                    </w:rPr>
                    <w:t>2.本项目属于一般工业固废的综合利用项目，没有相应的行业清洁生产水平标准，在此从工艺技术、资源能源利用、污染控制等方面进行清洗生产水平分析。</w:t>
                  </w:r>
                </w:p>
                <w:p w14:paraId="259042FC">
                  <w:pPr>
                    <w:pStyle w:val="13"/>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①工艺技术先进性：</w:t>
                  </w:r>
                </w:p>
                <w:p w14:paraId="47F57E93">
                  <w:pPr>
                    <w:pStyle w:val="13"/>
                    <w:jc w:val="both"/>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为水基岩屑综合利用项目，实现了一般工业固体废物的资源化利用；水基岩屑经干燥、预热和煅烧预处理后，再配以水泥、砂石、固化剂、水等采用静压成型技术制备免烧砌块，煅烧回转窑自动化生产，配料自动计量，密闭进料、搅拌，免烧砌块产品</w:t>
                  </w:r>
                  <w:r>
                    <w:rPr>
                      <w:rFonts w:hint="eastAsia" w:cs="Times New Roman"/>
                      <w:color w:val="000000" w:themeColor="text1"/>
                      <w14:textFill>
                        <w14:solidFill>
                          <w14:schemeClr w14:val="tx1"/>
                        </w14:solidFill>
                      </w14:textFill>
                    </w:rPr>
                    <w:t>抗压强度均满足《非烧结垃圾尾矿砖》（JC/T422-2025）中的限值要求；放射性满足《建筑材料放射性核素限量》（GB6566-2010）</w:t>
                  </w:r>
                  <w:r>
                    <w:rPr>
                      <w:rFonts w:hint="eastAsia" w:cs="Times New Roman"/>
                      <w:color w:val="000000" w:themeColor="text1"/>
                      <w:lang w:val="en-US" w:eastAsia="zh-CN"/>
                      <w14:textFill>
                        <w14:solidFill>
                          <w14:schemeClr w14:val="tx1"/>
                        </w14:solidFill>
                      </w14:textFill>
                    </w:rPr>
                    <w:t>；煅烧废气设置</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color w:val="000000" w:themeColor="text1"/>
                      <w:lang w:val="en-US" w:eastAsia="zh-CN"/>
                      <w14:textFill>
                        <w14:solidFill>
                          <w14:schemeClr w14:val="tx1"/>
                        </w14:solidFill>
                      </w14:textFill>
                    </w:rPr>
                    <w:t>旋风除尘器+布袋除尘器1#+喷射活性炭+布袋除尘器2#+2座脱酸塔加以治理，经1根45m高排气筒（DA001）排放，废气达标排放，满足相应标准限值要求；</w:t>
                  </w:r>
                </w:p>
                <w:p w14:paraId="6D38A9DB">
                  <w:pPr>
                    <w:pStyle w:val="13"/>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②资源能源利用水平：</w:t>
                  </w:r>
                </w:p>
                <w:p w14:paraId="0F449F04">
                  <w:pPr>
                    <w:pStyle w:val="13"/>
                    <w:jc w:val="both"/>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年综合利用水基岩屑20万吨，替代页岩、粘土等天然矿产资源，减少矿石开采；生产过程中布袋除尘器1#除尘灰全部回用于制砖工序，固废资源化利用率达100%；生产废水回用于生产，不可回用部分委托有资质单位处理；仅排入生活污水，经预处理后进入园区市政管网；此外，本项目使用天然气进行煅烧水基岩屑，回转窑逆流设置，充分利用煅烧尾气的余热对水基岩屑进行干燥、预热，减少热量损失，热效率超过90%；</w:t>
                  </w:r>
                </w:p>
                <w:p w14:paraId="571AF917">
                  <w:pPr>
                    <w:pStyle w:val="13"/>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③污染控制水平：</w:t>
                  </w:r>
                </w:p>
                <w:p w14:paraId="27F5A68A">
                  <w:pPr>
                    <w:pStyle w:val="13"/>
                    <w:jc w:val="both"/>
                    <w:rPr>
                      <w:rFonts w:hint="eastAsia"/>
                      <w:color w:val="000000" w:themeColor="text1"/>
                      <w:szCs w:val="2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项目煅烧废气设置</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color w:val="000000" w:themeColor="text1"/>
                      <w:lang w:val="en-US" w:eastAsia="zh-CN"/>
                      <w14:textFill>
                        <w14:solidFill>
                          <w14:schemeClr w14:val="tx1"/>
                        </w14:solidFill>
                      </w14:textFill>
                    </w:rPr>
                    <w:t>旋风除尘器+布袋除尘器1#+喷射活性炭+布袋除尘器2#+2座脱酸塔加以治理，经1根45m高排气筒（DA001）排放；废气</w:t>
                  </w:r>
                  <w:r>
                    <w:rPr>
                      <w:rFonts w:hint="eastAsia" w:ascii="Times New Roman" w:hAnsi="Times New Roman" w:cs="Times New Roman"/>
                      <w:color w:val="000000" w:themeColor="text1"/>
                      <w:sz w:val="21"/>
                      <w:szCs w:val="21"/>
                      <w:lang w:val="en-US" w:eastAsia="zh-CN"/>
                      <w14:textFill>
                        <w14:solidFill>
                          <w14:schemeClr w14:val="tx1"/>
                        </w14:solidFill>
                      </w14:textFill>
                    </w:rPr>
                    <w:t>氮氧化物、氟化物执行《砖瓦工业大气污染物排放标准》（GB29620-2013）表2中限值要求</w:t>
                  </w:r>
                  <w:r>
                    <w:rPr>
                      <w:rFonts w:hint="eastAsia"/>
                      <w:color w:val="000000" w:themeColor="text1"/>
                      <w:szCs w:val="21"/>
                      <w:lang w:val="en-US" w:eastAsia="zh-CN"/>
                      <w14:textFill>
                        <w14:solidFill>
                          <w14:schemeClr w14:val="tx1"/>
                        </w14:solidFill>
                      </w14:textFill>
                    </w:rPr>
                    <w:t>，其他污染因子参照执行《生活垃圾焚烧污染控制标准》（GB18485-2014）；生产废水做到最大限度地回用于生产，不可回用部分委托有资质单位处理；布袋除尘器1#除尘灰回用于生产，所有固废妥善处置，不会对环境造成二次污染；产品</w:t>
                  </w:r>
                  <w:r>
                    <w:rPr>
                      <w:rFonts w:hint="eastAsia" w:ascii="Times New Roman" w:hAnsi="Times New Roman"/>
                      <w:b w:val="0"/>
                      <w:bCs w:val="0"/>
                      <w:color w:val="000000" w:themeColor="text1"/>
                      <w:szCs w:val="21"/>
                      <w:highlight w:val="none"/>
                      <w:lang w:val="en-US" w:eastAsia="zh-CN"/>
                      <w14:textFill>
                        <w14:solidFill>
                          <w14:schemeClr w14:val="tx1"/>
                        </w14:solidFill>
                      </w14:textFill>
                    </w:rPr>
                    <w:t>免烧砌块的抗压强度均满足</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非烧结垃圾尾矿砖</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JC/T422-2025</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中的限值要求；放射性满足《建筑材料放射性核素限量》（GB6566-2010）中的限值要求；产品</w:t>
                  </w:r>
                  <w:r>
                    <w:rPr>
                      <w:rFonts w:hint="eastAsia" w:ascii="Times New Roman" w:hAnsi="Times New Roman"/>
                      <w:b w:val="0"/>
                      <w:bCs w:val="0"/>
                      <w:color w:val="000000" w:themeColor="text1"/>
                      <w:szCs w:val="21"/>
                      <w:highlight w:val="none"/>
                      <w:lang w:val="en-US" w:eastAsia="zh-CN"/>
                      <w14:textFill>
                        <w14:solidFill>
                          <w14:schemeClr w14:val="tx1"/>
                        </w14:solidFill>
                      </w14:textFill>
                    </w:rPr>
                    <w:t>浸出液中各项污染物浓度均满足</w:t>
                  </w:r>
                  <w:r>
                    <w:rPr>
                      <w:rFonts w:hint="eastAsia" w:ascii="宋体" w:hAnsi="宋体" w:eastAsia="宋体" w:cs="宋体"/>
                      <w:color w:val="000000" w:themeColor="text1"/>
                      <w:kern w:val="0"/>
                      <w:sz w:val="21"/>
                      <w:szCs w:val="21"/>
                      <w:lang w:val="en-US" w:eastAsia="zh-CN" w:bidi="ar"/>
                      <w14:textFill>
                        <w14:solidFill>
                          <w14:schemeClr w14:val="tx1"/>
                        </w14:solidFill>
                      </w14:textFill>
                    </w:rPr>
                    <w:t>《陆上石油天然气开采水基钻井废弃物处理处置及资源化利用技术规范》（</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SY/T7466-2020</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表1</w:t>
                  </w:r>
                  <w:r>
                    <w:rPr>
                      <w:rFonts w:hint="eastAsia" w:ascii="宋体" w:hAnsi="宋体" w:cs="宋体"/>
                      <w:color w:val="000000" w:themeColor="text1"/>
                      <w:kern w:val="0"/>
                      <w:sz w:val="21"/>
                      <w:szCs w:val="21"/>
                      <w:lang w:val="en-US" w:eastAsia="zh-CN" w:bidi="ar"/>
                      <w14:textFill>
                        <w14:solidFill>
                          <w14:schemeClr w14:val="tx1"/>
                        </w14:solidFill>
                      </w14:textFill>
                    </w:rPr>
                    <w:t>及</w:t>
                  </w:r>
                  <w:r>
                    <w:rPr>
                      <w:rFonts w:hint="eastAsia" w:ascii="宋体" w:hAnsi="宋体" w:cs="宋体"/>
                      <w:color w:val="000000" w:themeColor="text1"/>
                      <w:kern w:val="0"/>
                      <w:szCs w:val="21"/>
                      <w:lang w:bidi="ar"/>
                      <w14:textFill>
                        <w14:solidFill>
                          <w14:schemeClr w14:val="tx1"/>
                        </w14:solidFill>
                      </w14:textFill>
                    </w:rPr>
                    <w:t>《陆上石油天然气钻井环境保护技术规范》</w:t>
                  </w:r>
                  <w:r>
                    <w:rPr>
                      <w:rFonts w:hint="default" w:ascii="Times New Roman" w:hAnsi="Times New Roman" w:cs="Times New Roman"/>
                      <w:color w:val="000000" w:themeColor="text1"/>
                      <w:kern w:val="0"/>
                      <w:szCs w:val="21"/>
                      <w:lang w:bidi="ar"/>
                      <w14:textFill>
                        <w14:solidFill>
                          <w14:schemeClr w14:val="tx1"/>
                        </w14:solidFill>
                      </w14:textFill>
                    </w:rPr>
                    <w:t>（SY/T7298-2024）</w:t>
                  </w:r>
                  <w:r>
                    <w:rPr>
                      <w:rFonts w:hint="eastAsia" w:ascii="Times New Roman" w:hAnsi="Times New Roman" w:cs="Times New Roman"/>
                      <w:color w:val="000000" w:themeColor="text1"/>
                      <w:kern w:val="0"/>
                      <w:szCs w:val="21"/>
                      <w:lang w:val="en-US" w:eastAsia="zh-CN" w:bidi="ar"/>
                      <w14:textFill>
                        <w14:solidFill>
                          <w14:schemeClr w14:val="tx1"/>
                        </w14:solidFill>
                      </w14:textFill>
                    </w:rPr>
                    <w:t>附录A中表A.1中的限值要求</w:t>
                  </w:r>
                  <w:r>
                    <w:rPr>
                      <w:rFonts w:hint="eastAsia"/>
                      <w:color w:val="000000" w:themeColor="text1"/>
                      <w:szCs w:val="21"/>
                      <w:lang w:val="en-US" w:eastAsia="zh-CN"/>
                      <w14:textFill>
                        <w14:solidFill>
                          <w14:schemeClr w14:val="tx1"/>
                        </w14:solidFill>
                      </w14:textFill>
                    </w:rPr>
                    <w:t>。</w:t>
                  </w:r>
                </w:p>
                <w:p w14:paraId="7760961B">
                  <w:pPr>
                    <w:pStyle w:val="13"/>
                    <w:jc w:val="both"/>
                    <w:rPr>
                      <w:rFonts w:hint="default" w:ascii="Times New Roman" w:hAnsi="Times New Roman" w:cs="Times New Roman"/>
                      <w:color w:val="000000" w:themeColor="text1"/>
                      <w14:textFill>
                        <w14:solidFill>
                          <w14:schemeClr w14:val="tx1"/>
                        </w14:solidFill>
                      </w14:textFill>
                    </w:rPr>
                  </w:pPr>
                  <w:r>
                    <w:rPr>
                      <w:rFonts w:hint="eastAsia"/>
                      <w:color w:val="000000" w:themeColor="text1"/>
                      <w:szCs w:val="21"/>
                      <w:lang w:val="en-US" w:eastAsia="zh-CN"/>
                      <w14:textFill>
                        <w14:solidFill>
                          <w14:schemeClr w14:val="tx1"/>
                        </w14:solidFill>
                      </w14:textFill>
                    </w:rPr>
                    <w:t>因此，本项目的</w:t>
                  </w:r>
                  <w:r>
                    <w:rPr>
                      <w:rFonts w:hint="default" w:ascii="Times New Roman" w:hAnsi="Times New Roman" w:cs="Times New Roman"/>
                      <w:color w:val="000000" w:themeColor="text1"/>
                      <w:szCs w:val="21"/>
                      <w:lang w:val="en-US" w:eastAsia="zh-CN"/>
                      <w14:textFill>
                        <w14:solidFill>
                          <w14:schemeClr w14:val="tx1"/>
                        </w14:solidFill>
                      </w14:textFill>
                    </w:rPr>
                    <w:t>清洁生产水平能够达到</w:t>
                  </w:r>
                  <w:r>
                    <w:rPr>
                      <w:rFonts w:hint="eastAsia" w:cs="Times New Roman"/>
                      <w:color w:val="000000" w:themeColor="text1"/>
                      <w:szCs w:val="21"/>
                      <w:lang w:val="en-US" w:eastAsia="zh-CN"/>
                      <w14:textFill>
                        <w14:solidFill>
                          <w14:schemeClr w14:val="tx1"/>
                        </w14:solidFill>
                      </w14:textFill>
                    </w:rPr>
                    <w:t>国内先进</w:t>
                  </w:r>
                  <w:r>
                    <w:rPr>
                      <w:rFonts w:hint="default" w:ascii="Times New Roman" w:hAnsi="Times New Roman" w:cs="Times New Roman"/>
                      <w:color w:val="000000" w:themeColor="text1"/>
                      <w:szCs w:val="21"/>
                      <w:lang w:val="en-US" w:eastAsia="zh-CN"/>
                      <w14:textFill>
                        <w14:solidFill>
                          <w14:schemeClr w14:val="tx1"/>
                        </w14:solidFill>
                      </w14:textFill>
                    </w:rPr>
                    <w:t>水平</w:t>
                  </w:r>
                  <w:r>
                    <w:rPr>
                      <w:rFonts w:hint="default" w:ascii="Times New Roman" w:hAnsi="Times New Roman" w:cs="Times New Roman"/>
                      <w:color w:val="000000" w:themeColor="text1"/>
                      <w14:textFill>
                        <w14:solidFill>
                          <w14:schemeClr w14:val="tx1"/>
                        </w14:solidFill>
                      </w14:textFill>
                    </w:rPr>
                    <w:t>；</w:t>
                  </w:r>
                </w:p>
                <w:p w14:paraId="224785C9">
                  <w:pPr>
                    <w:pStyle w:val="13"/>
                    <w:jc w:val="both"/>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园区</w:t>
                  </w:r>
                  <w:r>
                    <w:rPr>
                      <w:rFonts w:hint="default" w:ascii="Times New Roman" w:hAnsi="Times New Roman" w:cs="Times New Roman"/>
                      <w:color w:val="000000" w:themeColor="text1"/>
                      <w14:textFill>
                        <w14:solidFill>
                          <w14:schemeClr w14:val="tx1"/>
                        </w14:solidFill>
                      </w14:textFill>
                    </w:rPr>
                    <w:t>主导产业为机械制造，重点发展汽摩整车制造及配套产业、现代山地农机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本项目为水基岩屑综合利用</w:t>
                  </w:r>
                  <w:r>
                    <w:rPr>
                      <w:rFonts w:hint="eastAsia" w:cs="Times New Roman"/>
                      <w:color w:val="000000" w:themeColor="text1"/>
                      <w:lang w:val="en-US" w:eastAsia="zh-CN"/>
                      <w14:textFill>
                        <w14:solidFill>
                          <w14:schemeClr w14:val="tx1"/>
                        </w14:solidFill>
                      </w14:textFill>
                    </w:rPr>
                    <w:t>项目</w:t>
                  </w:r>
                  <w:r>
                    <w:rPr>
                      <w:rFonts w:hint="default" w:ascii="Times New Roman" w:hAnsi="Times New Roman" w:cs="Times New Roman"/>
                      <w:color w:val="000000" w:themeColor="text1"/>
                      <w:lang w:val="en-US" w:eastAsia="zh-CN"/>
                      <w14:textFill>
                        <w14:solidFill>
                          <w14:schemeClr w14:val="tx1"/>
                        </w14:solidFill>
                      </w14:textFill>
                    </w:rPr>
                    <w:t>，与主导产业不冲突</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不属于禁止引入类行业</w:t>
                  </w:r>
                  <w:r>
                    <w:rPr>
                      <w:rFonts w:hint="default" w:ascii="Times New Roman" w:hAnsi="Times New Roman" w:cs="Times New Roman"/>
                      <w:color w:val="000000" w:themeColor="text1"/>
                      <w14:textFill>
                        <w14:solidFill>
                          <w14:schemeClr w14:val="tx1"/>
                        </w14:solidFill>
                      </w14:textFill>
                    </w:rPr>
                    <w:t>；</w:t>
                  </w:r>
                </w:p>
                <w:p w14:paraId="10211220">
                  <w:pPr>
                    <w:pStyle w:val="13"/>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lang w:val="en-US" w:eastAsia="zh-CN"/>
                      <w14:textFill>
                        <w14:solidFill>
                          <w14:schemeClr w14:val="tx1"/>
                        </w14:solidFill>
                      </w14:textFill>
                    </w:rPr>
                    <w:t>不属于化工项目。</w:t>
                  </w:r>
                </w:p>
              </w:tc>
              <w:tc>
                <w:tcPr>
                  <w:tcW w:w="393" w:type="pct"/>
                  <w:vAlign w:val="center"/>
                </w:tcPr>
                <w:p w14:paraId="5FC11E87">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w:t>
                  </w:r>
                </w:p>
              </w:tc>
            </w:tr>
            <w:tr w14:paraId="46DF1566">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52" w:type="pct"/>
                  <w:vAlign w:val="center"/>
                </w:tcPr>
                <w:p w14:paraId="64EFDD4E">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鼓励</w:t>
                  </w:r>
                </w:p>
              </w:tc>
              <w:tc>
                <w:tcPr>
                  <w:tcW w:w="1419" w:type="pct"/>
                  <w:vAlign w:val="center"/>
                </w:tcPr>
                <w:p w14:paraId="6109F172">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符合经济开发区规划产业，企业效益明显，对区域不造成明显污染，遵循清洁生产及循环经济的项目；在用水、节水、排水设计等方面达到国内先进水平；清洁生产标准达到或优于国家先进水平的项目。</w:t>
                  </w:r>
                </w:p>
              </w:tc>
              <w:tc>
                <w:tcPr>
                  <w:tcW w:w="2634" w:type="pct"/>
                  <w:vAlign w:val="center"/>
                </w:tcPr>
                <w:p w14:paraId="558082C5">
                  <w:pPr>
                    <w:pStyle w:val="13"/>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本项目为水基岩屑综合利用</w:t>
                  </w:r>
                  <w:r>
                    <w:rPr>
                      <w:rFonts w:hint="eastAsia"/>
                      <w:color w:val="000000" w:themeColor="text1"/>
                      <w:lang w:val="en-US" w:eastAsia="zh-CN"/>
                      <w14:textFill>
                        <w14:solidFill>
                          <w14:schemeClr w14:val="tx1"/>
                        </w14:solidFill>
                      </w14:textFill>
                    </w:rPr>
                    <w:t>项目</w:t>
                  </w:r>
                  <w:r>
                    <w:rPr>
                      <w:rFonts w:hint="eastAsia"/>
                      <w:color w:val="000000" w:themeColor="text1"/>
                      <w14:textFill>
                        <w14:solidFill>
                          <w14:schemeClr w14:val="tx1"/>
                        </w14:solidFill>
                      </w14:textFill>
                    </w:rPr>
                    <w:t>，与主导产业不冲突</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不属于鼓励类项目，为允许类项目</w:t>
                  </w:r>
                </w:p>
              </w:tc>
              <w:tc>
                <w:tcPr>
                  <w:tcW w:w="393" w:type="pct"/>
                  <w:vAlign w:val="center"/>
                </w:tcPr>
                <w:p w14:paraId="3E25B009">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C3305FA">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52" w:type="pct"/>
                  <w:vAlign w:val="center"/>
                </w:tcPr>
                <w:p w14:paraId="7744B282">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允许</w:t>
                  </w:r>
                </w:p>
              </w:tc>
              <w:tc>
                <w:tcPr>
                  <w:tcW w:w="1419" w:type="pct"/>
                  <w:vAlign w:val="center"/>
                </w:tcPr>
                <w:p w14:paraId="218117DE">
                  <w:pPr>
                    <w:autoSpaceDE w:val="0"/>
                    <w:autoSpaceDN w:val="0"/>
                    <w:adjustRightInd w:val="0"/>
                    <w:spacing w:line="240" w:lineRule="auto"/>
                    <w:ind w:firstLine="0" w:firstLineChars="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不属于上述鼓励、禁止产业类型，园区及各功能区同时也不排斥本区主业的上下游企业、循环经济项目；以及与片区主业不相禁忌和不形成交叉影响的企业；退城入园、等量淘汰、等量置换等符合现行国家产业政策的白酒产业。</w:t>
                  </w:r>
                </w:p>
              </w:tc>
              <w:tc>
                <w:tcPr>
                  <w:tcW w:w="2634" w:type="pct"/>
                  <w:vAlign w:val="center"/>
                </w:tcPr>
                <w:p w14:paraId="707D7630">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本项目为水基岩屑综合利用</w:t>
                  </w:r>
                  <w:r>
                    <w:rPr>
                      <w:rFonts w:hint="eastAsia" w:cs="Times New Roman"/>
                      <w:color w:val="000000" w:themeColor="text1"/>
                      <w:lang w:val="en-US" w:eastAsia="zh-CN"/>
                      <w14:textFill>
                        <w14:solidFill>
                          <w14:schemeClr w14:val="tx1"/>
                        </w14:solidFill>
                      </w14:textFill>
                    </w:rPr>
                    <w:t>项目</w:t>
                  </w:r>
                  <w:r>
                    <w:rPr>
                      <w:rFonts w:hint="default" w:ascii="Times New Roman" w:hAnsi="Times New Roman" w:cs="Times New Roman"/>
                      <w:color w:val="000000" w:themeColor="text1"/>
                      <w14:textFill>
                        <w14:solidFill>
                          <w14:schemeClr w14:val="tx1"/>
                        </w14:solidFill>
                      </w14:textFill>
                    </w:rPr>
                    <w:t>，不属于上述禁止类、限制类、鼓励类产业类型，属于与片区主导产业不冲突的企业，</w:t>
                  </w:r>
                  <w:r>
                    <w:rPr>
                      <w:rFonts w:hint="eastAsia" w:ascii="Times New Roman" w:hAnsi="Times New Roman" w:cs="Times New Roman"/>
                      <w:color w:val="000000" w:themeColor="text1"/>
                      <w:lang w:eastAsia="zh-CN"/>
                      <w14:textFill>
                        <w14:solidFill>
                          <w14:schemeClr w14:val="tx1"/>
                        </w14:solidFill>
                      </w14:textFill>
                    </w:rPr>
                    <w:t>属于</w:t>
                  </w:r>
                  <w:r>
                    <w:rPr>
                      <w:rFonts w:hint="default" w:ascii="Times New Roman" w:hAnsi="Times New Roman" w:cs="Times New Roman"/>
                      <w:color w:val="000000" w:themeColor="text1"/>
                      <w14:textFill>
                        <w14:solidFill>
                          <w14:schemeClr w14:val="tx1"/>
                        </w14:solidFill>
                      </w14:textFill>
                    </w:rPr>
                    <w:t>允许类。</w:t>
                  </w:r>
                </w:p>
              </w:tc>
              <w:tc>
                <w:tcPr>
                  <w:tcW w:w="393" w:type="pct"/>
                  <w:vAlign w:val="center"/>
                </w:tcPr>
                <w:p w14:paraId="182C07C6">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w:t>
                  </w:r>
                </w:p>
              </w:tc>
            </w:tr>
          </w:tbl>
          <w:p w14:paraId="629D65DA">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w:t>
            </w:r>
            <w:r>
              <w:rPr>
                <w:color w:val="000000" w:themeColor="text1"/>
                <w14:textFill>
                  <w14:solidFill>
                    <w14:schemeClr w14:val="tx1"/>
                  </w14:solidFill>
                </w14:textFill>
              </w:rPr>
              <w:t>本项目与四川平昌经济开发区星光机械制造产业园主导产业不冲突，不属于《四川平昌经济开发区规划修编环境影响报告书》</w:t>
            </w:r>
            <w:r>
              <w:rPr>
                <w:rFonts w:hint="eastAsia"/>
                <w:color w:val="000000" w:themeColor="text1"/>
                <w:lang w:eastAsia="zh-CN"/>
                <w14:textFill>
                  <w14:solidFill>
                    <w14:schemeClr w14:val="tx1"/>
                  </w14:solidFill>
                </w14:textFill>
              </w:rPr>
              <w:t>及其</w:t>
            </w:r>
            <w:r>
              <w:rPr>
                <w:color w:val="000000" w:themeColor="text1"/>
                <w14:textFill>
                  <w14:solidFill>
                    <w14:schemeClr w14:val="tx1"/>
                  </w14:solidFill>
                </w14:textFill>
              </w:rPr>
              <w:t>审查意见的函中禁止</w:t>
            </w:r>
            <w:r>
              <w:rPr>
                <w:rFonts w:hint="eastAsia"/>
                <w:color w:val="000000" w:themeColor="text1"/>
                <w14:textFill>
                  <w14:solidFill>
                    <w14:schemeClr w14:val="tx1"/>
                  </w14:solidFill>
                </w14:textFill>
              </w:rPr>
              <w:t>、限制</w:t>
            </w:r>
            <w:r>
              <w:rPr>
                <w:color w:val="000000" w:themeColor="text1"/>
                <w14:textFill>
                  <w14:solidFill>
                    <w14:schemeClr w14:val="tx1"/>
                  </w14:solidFill>
                </w14:textFill>
              </w:rPr>
              <w:t>入园产业类型，</w:t>
            </w:r>
            <w:r>
              <w:rPr>
                <w:rFonts w:cs="Times New Roman"/>
                <w:color w:val="000000" w:themeColor="text1"/>
                <w14:textFill>
                  <w14:solidFill>
                    <w14:schemeClr w14:val="tx1"/>
                  </w14:solidFill>
                </w14:textFill>
              </w:rPr>
              <w:t>符合《</w:t>
            </w:r>
            <w:r>
              <w:rPr>
                <w:rFonts w:hint="eastAsia"/>
                <w:color w:val="000000" w:themeColor="text1"/>
                <w14:textFill>
                  <w14:solidFill>
                    <w14:schemeClr w14:val="tx1"/>
                  </w14:solidFill>
                </w14:textFill>
              </w:rPr>
              <w:t>四川平昌经济开发区修编环境影响报告书</w:t>
            </w:r>
            <w:r>
              <w:rPr>
                <w:rFonts w:cs="Times New Roman"/>
                <w:color w:val="000000" w:themeColor="text1"/>
                <w14:textFill>
                  <w14:solidFill>
                    <w14:schemeClr w14:val="tx1"/>
                  </w14:solidFill>
                </w14:textFill>
              </w:rPr>
              <w:t>》及其</w:t>
            </w:r>
            <w:r>
              <w:rPr>
                <w:rFonts w:hint="eastAsia" w:cs="Times New Roman"/>
                <w:color w:val="000000" w:themeColor="text1"/>
                <w14:textFill>
                  <w14:solidFill>
                    <w14:schemeClr w14:val="tx1"/>
                  </w14:solidFill>
                </w14:textFill>
              </w:rPr>
              <w:t>审查意见</w:t>
            </w:r>
            <w:r>
              <w:rPr>
                <w:rFonts w:cs="Times New Roman"/>
                <w:color w:val="000000" w:themeColor="text1"/>
                <w14:textFill>
                  <w14:solidFill>
                    <w14:schemeClr w14:val="tx1"/>
                  </w14:solidFill>
                </w14:textFill>
              </w:rPr>
              <w:t>要求。</w:t>
            </w:r>
          </w:p>
        </w:tc>
      </w:tr>
      <w:tr w14:paraId="26C349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21" w:hRule="atLeast"/>
          <w:jc w:val="center"/>
        </w:trPr>
        <w:tc>
          <w:tcPr>
            <w:tcW w:w="836" w:type="pct"/>
            <w:vAlign w:val="center"/>
          </w:tcPr>
          <w:p w14:paraId="6A61D23D">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其他符合性分析</w:t>
            </w:r>
          </w:p>
        </w:tc>
        <w:tc>
          <w:tcPr>
            <w:tcW w:w="4163" w:type="pct"/>
            <w:gridSpan w:val="3"/>
            <w:vAlign w:val="center"/>
          </w:tcPr>
          <w:p w14:paraId="606DAED7">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1、产业政策符合性分析</w:t>
            </w:r>
          </w:p>
          <w:p w14:paraId="2B989DC9">
            <w:pPr>
              <w:ind w:firstLine="480"/>
              <w:rPr>
                <w:rFonts w:hint="eastAsia"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以</w:t>
            </w:r>
            <w:r>
              <w:rPr>
                <w:rFonts w:hint="eastAsia" w:cs="Times New Roman"/>
                <w:color w:val="000000" w:themeColor="text1"/>
                <w14:textFill>
                  <w14:solidFill>
                    <w14:schemeClr w14:val="tx1"/>
                  </w14:solidFill>
                </w14:textFill>
              </w:rPr>
              <w:t>水基岩屑为原料</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将其干燥、预热和煅烧预处理后</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再配以</w:t>
            </w:r>
            <w:r>
              <w:rPr>
                <w:rFonts w:hint="eastAsia" w:cs="Times New Roman"/>
                <w:color w:val="000000" w:themeColor="text1"/>
                <w14:textFill>
                  <w14:solidFill>
                    <w14:schemeClr w14:val="tx1"/>
                  </w14:solidFill>
                </w14:textFill>
              </w:rPr>
              <w:t>水泥、</w:t>
            </w:r>
            <w:r>
              <w:rPr>
                <w:rFonts w:hint="eastAsia" w:cs="Times New Roman"/>
                <w:color w:val="000000" w:themeColor="text1"/>
                <w:lang w:val="en-US" w:eastAsia="zh-CN"/>
                <w14:textFill>
                  <w14:solidFill>
                    <w14:schemeClr w14:val="tx1"/>
                  </w14:solidFill>
                </w14:textFill>
              </w:rPr>
              <w:t>砂石、固化剂</w:t>
            </w:r>
            <w:r>
              <w:rPr>
                <w:rFonts w:hint="eastAsia" w:cs="Times New Roman"/>
                <w:color w:val="000000" w:themeColor="text1"/>
                <w14:textFill>
                  <w14:solidFill>
                    <w14:schemeClr w14:val="tx1"/>
                  </w14:solidFill>
                </w14:textFill>
              </w:rPr>
              <w:t>等，</w:t>
            </w:r>
            <w:r>
              <w:rPr>
                <w:rFonts w:hint="eastAsia" w:cs="Times New Roman"/>
                <w:color w:val="000000" w:themeColor="text1"/>
                <w:lang w:val="en-US" w:eastAsia="zh-CN"/>
                <w14:textFill>
                  <w14:solidFill>
                    <w14:schemeClr w14:val="tx1"/>
                  </w14:solidFill>
                </w14:textFill>
              </w:rPr>
              <w:t>生产</w:t>
            </w:r>
            <w:r>
              <w:rPr>
                <w:rFonts w:hint="eastAsia" w:cs="Times New Roman"/>
                <w:color w:val="000000" w:themeColor="text1"/>
                <w:lang w:eastAsia="zh-CN"/>
                <w14:textFill>
                  <w14:solidFill>
                    <w14:schemeClr w14:val="tx1"/>
                  </w14:solidFill>
                </w14:textFill>
              </w:rPr>
              <w:t>免烧砌块</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根据《国民经济行业分类》（GB/T4754-2017）及1号修改清单，本项目属于</w:t>
            </w:r>
            <w:r>
              <w:rPr>
                <w:rFonts w:hint="eastAsia" w:cs="Times New Roman"/>
                <w:color w:val="000000" w:themeColor="text1"/>
                <w14:textFill>
                  <w14:solidFill>
                    <w14:schemeClr w14:val="tx1"/>
                  </w14:solidFill>
                </w14:textFill>
              </w:rPr>
              <w:t>C</w:t>
            </w:r>
            <w:r>
              <w:rPr>
                <w:rFonts w:cs="Times New Roman"/>
                <w:color w:val="000000" w:themeColor="text1"/>
                <w14:textFill>
                  <w14:solidFill>
                    <w14:schemeClr w14:val="tx1"/>
                  </w14:solidFill>
                </w14:textFill>
              </w:rPr>
              <w:t>3031</w:t>
            </w:r>
            <w:r>
              <w:rPr>
                <w:rFonts w:hint="eastAsia" w:cs="Times New Roman"/>
                <w:color w:val="000000" w:themeColor="text1"/>
                <w14:textFill>
                  <w14:solidFill>
                    <w14:schemeClr w14:val="tx1"/>
                  </w14:solidFill>
                </w14:textFill>
              </w:rPr>
              <w:t>黏土砖瓦及建筑砌块制造（免烧</w:t>
            </w:r>
            <w:r>
              <w:rPr>
                <w:rFonts w:hint="eastAsia" w:cs="Times New Roman"/>
                <w:color w:val="000000" w:themeColor="text1"/>
                <w:lang w:val="en-US" w:eastAsia="zh-CN"/>
                <w14:textFill>
                  <w14:solidFill>
                    <w14:schemeClr w14:val="tx1"/>
                  </w14:solidFill>
                </w14:textFill>
              </w:rPr>
              <w:t>砌块</w:t>
            </w:r>
            <w:r>
              <w:rPr>
                <w:rFonts w:hint="eastAsia" w:cs="Times New Roman"/>
                <w:color w:val="000000" w:themeColor="text1"/>
                <w14:textFill>
                  <w14:solidFill>
                    <w14:schemeClr w14:val="tx1"/>
                  </w14:solidFill>
                </w14:textFill>
              </w:rPr>
              <w:t>属黏土砖瓦及建筑砌块制造）；N</w:t>
            </w:r>
            <w:r>
              <w:rPr>
                <w:rFonts w:cs="Times New Roman"/>
                <w:color w:val="000000" w:themeColor="text1"/>
                <w14:textFill>
                  <w14:solidFill>
                    <w14:schemeClr w14:val="tx1"/>
                  </w14:solidFill>
                </w14:textFill>
              </w:rPr>
              <w:t>7723</w:t>
            </w:r>
            <w:bookmarkStart w:id="12" w:name="OLE_LINK21"/>
            <w:bookmarkStart w:id="13" w:name="OLE_LINK26"/>
            <w:r>
              <w:rPr>
                <w:rFonts w:hint="eastAsia" w:cs="Times New Roman"/>
                <w:color w:val="000000" w:themeColor="text1"/>
                <w14:textFill>
                  <w14:solidFill>
                    <w14:schemeClr w14:val="tx1"/>
                  </w14:solidFill>
                </w14:textFill>
              </w:rPr>
              <w:t>固体废物治理</w:t>
            </w:r>
            <w:bookmarkEnd w:id="12"/>
            <w:bookmarkEnd w:id="13"/>
            <w:r>
              <w:rPr>
                <w:rFonts w:hint="eastAsia"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利用</w:t>
            </w:r>
            <w:r>
              <w:rPr>
                <w:rFonts w:hint="eastAsia" w:cs="Times New Roman"/>
                <w:color w:val="000000" w:themeColor="text1"/>
                <w14:textFill>
                  <w14:solidFill>
                    <w14:schemeClr w14:val="tx1"/>
                  </w14:solidFill>
                </w14:textFill>
              </w:rPr>
              <w:t>水基岩屑为原料）</w:t>
            </w:r>
            <w:r>
              <w:rPr>
                <w:rFonts w:cs="Times New Roman"/>
                <w:color w:val="000000" w:themeColor="text1"/>
                <w14:textFill>
                  <w14:solidFill>
                    <w14:schemeClr w14:val="tx1"/>
                  </w14:solidFill>
                </w14:textFill>
              </w:rPr>
              <w:t>。根据</w:t>
            </w:r>
            <w:bookmarkStart w:id="14" w:name="OLE_LINK12"/>
            <w:bookmarkStart w:id="15" w:name="OLE_LINK13"/>
            <w:r>
              <w:rPr>
                <w:rFonts w:hint="eastAsia" w:cs="Times New Roman"/>
                <w:color w:val="000000" w:themeColor="text1"/>
                <w:lang w:eastAsia="zh-CN"/>
                <w14:textFill>
                  <w14:solidFill>
                    <w14:schemeClr w14:val="tx1"/>
                  </w14:solidFill>
                </w14:textFill>
              </w:rPr>
              <w:t>《产业结构调整指导目录（2024年本）》</w:t>
            </w:r>
            <w:bookmarkEnd w:id="14"/>
            <w:bookmarkEnd w:id="15"/>
            <w:r>
              <w:rPr>
                <w:rFonts w:cs="Times New Roman"/>
                <w:color w:val="000000" w:themeColor="text1"/>
                <w14:textFill>
                  <w14:solidFill>
                    <w14:schemeClr w14:val="tx1"/>
                  </w14:solidFill>
                </w14:textFill>
              </w:rPr>
              <w:t>中有关条款，本项目</w:t>
            </w:r>
            <w:r>
              <w:rPr>
                <w:rFonts w:hint="eastAsia" w:cs="Times New Roman"/>
                <w:color w:val="000000" w:themeColor="text1"/>
                <w14:textFill>
                  <w14:solidFill>
                    <w14:schemeClr w14:val="tx1"/>
                  </w14:solidFill>
                </w14:textFill>
              </w:rPr>
              <w:t>属于“鼓励类”中的“四十二、环境保护与资源节约综合利用</w:t>
            </w:r>
            <w:r>
              <w:rPr>
                <w:rFonts w:hint="eastAsia" w:cs="Times New Roman"/>
                <w:color w:val="000000" w:themeColor="text1"/>
                <w:lang w:val="en-US" w:eastAsia="zh-CN"/>
                <w14:textFill>
                  <w14:solidFill>
                    <w14:schemeClr w14:val="tx1"/>
                  </w14:solidFill>
                </w14:textFill>
              </w:rPr>
              <w:t>10</w:t>
            </w:r>
            <w:r>
              <w:rPr>
                <w:rFonts w:hint="eastAsia" w:cs="Times New Roman"/>
                <w:color w:val="000000" w:themeColor="text1"/>
                <w14:textFill>
                  <w14:solidFill>
                    <w14:schemeClr w14:val="tx1"/>
                  </w14:solidFill>
                </w14:textFill>
              </w:rPr>
              <w:t>．</w:t>
            </w:r>
            <w:r>
              <w:rPr>
                <w:rFonts w:hint="eastAsia" w:cs="Times New Roman"/>
                <w:b/>
                <w:bCs/>
                <w:color w:val="000000" w:themeColor="text1"/>
                <w14:textFill>
                  <w14:solidFill>
                    <w14:schemeClr w14:val="tx1"/>
                  </w14:solidFill>
                </w14:textFill>
              </w:rPr>
              <w:t>工业</w:t>
            </w:r>
            <w:r>
              <w:rPr>
                <w:rFonts w:hint="eastAsia" w:cs="Times New Roman"/>
                <w:b/>
                <w:bCs/>
                <w:color w:val="000000" w:themeColor="text1"/>
                <w:lang w:eastAsia="zh-CN"/>
                <w14:textFill>
                  <w14:solidFill>
                    <w14:schemeClr w14:val="tx1"/>
                  </w14:solidFill>
                </w14:textFill>
              </w:rPr>
              <w:t>‘</w:t>
            </w:r>
            <w:r>
              <w:rPr>
                <w:rFonts w:hint="eastAsia" w:cs="Times New Roman"/>
                <w:b/>
                <w:bCs/>
                <w:color w:val="000000" w:themeColor="text1"/>
                <w14:textFill>
                  <w14:solidFill>
                    <w14:schemeClr w14:val="tx1"/>
                  </w14:solidFill>
                </w14:textFill>
              </w:rPr>
              <w:t>三废</w:t>
            </w:r>
            <w:r>
              <w:rPr>
                <w:rFonts w:hint="eastAsia" w:cs="Times New Roman"/>
                <w:b/>
                <w:bCs/>
                <w:color w:val="000000" w:themeColor="text1"/>
                <w:lang w:eastAsia="zh-CN"/>
                <w14:textFill>
                  <w14:solidFill>
                    <w14:schemeClr w14:val="tx1"/>
                  </w14:solidFill>
                </w14:textFill>
              </w:rPr>
              <w:t>’</w:t>
            </w:r>
            <w:r>
              <w:rPr>
                <w:rFonts w:hint="eastAsia" w:cs="Times New Roman"/>
                <w:b/>
                <w:bCs/>
                <w:color w:val="000000" w:themeColor="text1"/>
                <w14:textFill>
                  <w14:solidFill>
                    <w14:schemeClr w14:val="tx1"/>
                  </w14:solidFill>
                </w14:textFill>
              </w:rPr>
              <w:t>循环利用：</w:t>
            </w:r>
            <w:r>
              <w:rPr>
                <w:rFonts w:hint="eastAsia" w:cs="Times New Roman"/>
                <w:b/>
                <w:bCs/>
                <w:color w:val="000000" w:themeColor="text1"/>
                <w:lang w:eastAsia="zh-CN"/>
                <w14:textFill>
                  <w14:solidFill>
                    <w14:schemeClr w14:val="tx1"/>
                  </w14:solidFill>
                </w14:textFill>
              </w:rPr>
              <w:t>‘</w:t>
            </w:r>
            <w:r>
              <w:rPr>
                <w:rFonts w:hint="eastAsia" w:cs="Times New Roman"/>
                <w:b/>
                <w:bCs/>
                <w:color w:val="000000" w:themeColor="text1"/>
                <w14:textFill>
                  <w14:solidFill>
                    <w14:schemeClr w14:val="tx1"/>
                  </w14:solidFill>
                </w14:textFill>
              </w:rPr>
              <w:t>三废</w:t>
            </w:r>
            <w:r>
              <w:rPr>
                <w:rFonts w:hint="eastAsia" w:cs="Times New Roman"/>
                <w:b/>
                <w:bCs/>
                <w:color w:val="000000" w:themeColor="text1"/>
                <w:lang w:eastAsia="zh-CN"/>
                <w14:textFill>
                  <w14:solidFill>
                    <w14:schemeClr w14:val="tx1"/>
                  </w14:solidFill>
                </w14:textFill>
              </w:rPr>
              <w:t>’</w:t>
            </w:r>
            <w:r>
              <w:rPr>
                <w:rFonts w:hint="eastAsia" w:cs="Times New Roman"/>
                <w:b/>
                <w:bCs/>
                <w:color w:val="000000" w:themeColor="text1"/>
                <w14:textFill>
                  <w14:solidFill>
                    <w14:schemeClr w14:val="tx1"/>
                  </w14:solidFill>
                </w14:textFill>
              </w:rPr>
              <w:t>综合利用与治理技术、装备和工程</w:t>
            </w:r>
            <w:r>
              <w:rPr>
                <w:rFonts w:hint="eastAsia" w:cs="Times New Roman"/>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三废</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处理用生物菌种和添加剂开发与生产</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w:t>
            </w:r>
          </w:p>
          <w:p w14:paraId="65DA33EE">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关于印发&lt;自然资源要素支撑产业高质量发展指导目录（2024年本）&gt;</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自然资发〔2024〕273号</w:t>
            </w:r>
            <w:r>
              <w:rPr>
                <w:rFonts w:hint="eastAsia"/>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中，不属于限制和禁止的项目。</w:t>
            </w:r>
          </w:p>
          <w:p w14:paraId="09D695D3">
            <w:pPr>
              <w:ind w:firstLine="480"/>
              <w:rPr>
                <w:color w:val="000000" w:themeColor="text1"/>
                <w14:textFill>
                  <w14:solidFill>
                    <w14:schemeClr w14:val="tx1"/>
                  </w14:solidFill>
                </w14:textFill>
              </w:rPr>
            </w:pPr>
            <w:r>
              <w:rPr>
                <w:rFonts w:cs="Times New Roman"/>
                <w:color w:val="000000" w:themeColor="text1"/>
                <w14:textFill>
                  <w14:solidFill>
                    <w14:schemeClr w14:val="tx1"/>
                  </w14:solidFill>
                </w14:textFill>
              </w:rPr>
              <w:t>项目经</w:t>
            </w:r>
            <w:r>
              <w:rPr>
                <w:rFonts w:hint="eastAsia" w:cs="Times New Roman"/>
                <w:color w:val="000000" w:themeColor="text1"/>
                <w:lang w:eastAsia="zh-CN"/>
                <w14:textFill>
                  <w14:solidFill>
                    <w14:schemeClr w14:val="tx1"/>
                  </w14:solidFill>
                </w14:textFill>
              </w:rPr>
              <w:t>平昌县发展和改革局</w:t>
            </w:r>
            <w:r>
              <w:rPr>
                <w:rFonts w:hint="eastAsia" w:ascii="宋体" w:hAnsi="宋体" w:eastAsia="宋体" w:cs="宋体"/>
                <w:color w:val="000000" w:themeColor="text1"/>
                <w14:textFill>
                  <w14:solidFill>
                    <w14:schemeClr w14:val="tx1"/>
                  </w14:solidFill>
                </w14:textFill>
              </w:rPr>
              <w:t>以“</w:t>
            </w:r>
            <w:r>
              <w:rPr>
                <w:rFonts w:hint="eastAsia" w:cs="Times New Roman"/>
                <w:color w:val="000000" w:themeColor="text1"/>
                <w:sz w:val="24"/>
                <w:szCs w:val="24"/>
                <w14:textFill>
                  <w14:solidFill>
                    <w14:schemeClr w14:val="tx1"/>
                  </w14:solidFill>
                </w14:textFill>
              </w:rPr>
              <w:t>川投资备【</w:t>
            </w:r>
            <w:r>
              <w:rPr>
                <w:rFonts w:cs="Times New Roman"/>
                <w:color w:val="000000" w:themeColor="text1"/>
                <w:sz w:val="24"/>
                <w:szCs w:val="24"/>
                <w14:textFill>
                  <w14:solidFill>
                    <w14:schemeClr w14:val="tx1"/>
                  </w14:solidFill>
                </w14:textFill>
              </w:rPr>
              <w:t>2407-511923-04-01-943048</w:t>
            </w:r>
            <w:r>
              <w:rPr>
                <w:rFonts w:hint="eastAsia" w:cs="Times New Roman"/>
                <w:color w:val="000000" w:themeColor="text1"/>
                <w:sz w:val="24"/>
                <w:szCs w:val="24"/>
                <w14:textFill>
                  <w14:solidFill>
                    <w14:schemeClr w14:val="tx1"/>
                  </w14:solidFill>
                </w14:textFill>
              </w:rPr>
              <w:t>】</w:t>
            </w:r>
            <w:r>
              <w:rPr>
                <w:rFonts w:cs="Times New Roman"/>
                <w:color w:val="000000" w:themeColor="text1"/>
                <w:sz w:val="24"/>
                <w:szCs w:val="24"/>
                <w14:textFill>
                  <w14:solidFill>
                    <w14:schemeClr w14:val="tx1"/>
                  </w14:solidFill>
                </w14:textFill>
              </w:rPr>
              <w:t>FGQB-0548</w:t>
            </w:r>
            <w:r>
              <w:rPr>
                <w:rFonts w:hint="eastAsia" w:cs="Times New Roman"/>
                <w:color w:val="000000" w:themeColor="text1"/>
                <w:sz w:val="24"/>
                <w:szCs w:val="24"/>
                <w14:textFill>
                  <w14:solidFill>
                    <w14:schemeClr w14:val="tx1"/>
                  </w14:solidFill>
                </w14:textFill>
              </w:rPr>
              <w:t>号</w:t>
            </w:r>
            <w:r>
              <w:rPr>
                <w:rFonts w:hint="eastAsia" w:ascii="宋体" w:hAnsi="宋体" w:eastAsia="宋体" w:cs="宋体"/>
                <w:color w:val="000000" w:themeColor="text1"/>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进行</w:t>
            </w:r>
            <w:r>
              <w:rPr>
                <w:rFonts w:cs="Times New Roman"/>
                <w:color w:val="000000" w:themeColor="text1"/>
                <w14:textFill>
                  <w14:solidFill>
                    <w14:schemeClr w14:val="tx1"/>
                  </w14:solidFill>
                </w14:textFill>
              </w:rPr>
              <w:t>备案。</w:t>
            </w:r>
          </w:p>
          <w:p w14:paraId="5F88A28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综上，本项目符合国家现行产业政策。</w:t>
            </w:r>
          </w:p>
          <w:p w14:paraId="19B7DDFA">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2、土地利用规划符合性分析</w:t>
            </w:r>
          </w:p>
          <w:p w14:paraId="33C9C105">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本项目位于四川省巴中市平昌县星光工业园施迈路</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号厂房、2号、</w:t>
            </w:r>
            <w:r>
              <w:rPr>
                <w:rFonts w:hint="default" w:ascii="Times New Roman" w:hAnsi="Times New Roman" w:eastAsia="TimesNewRomanPSMT" w:cs="Times New Roman"/>
                <w:color w:val="000000" w:themeColor="text1"/>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号厂房，含厂房中间间隔区域及办公楼），位于星光机械制造产业园内。建设单位（巴中瑞成环保科技有限公司）已与标准厂房产权所属方（四川金联玉合电气有限公司</w:t>
            </w:r>
            <w:r>
              <w:rPr>
                <w:rFonts w:hint="default" w:ascii="Times New Roman" w:hAnsi="Times New Roman" w:eastAsia="TimesNewRomanPSMT"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原单位名称为四川施迈电气有限公司）签订了租赁合同，取得了厂房使用权。</w:t>
            </w:r>
          </w:p>
          <w:p w14:paraId="15716529">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经查阅，项目租用</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号厂房</w:t>
            </w:r>
            <w:r>
              <w:rPr>
                <w:rFonts w:hint="default" w:ascii="Times New Roman" w:hAnsi="Times New Roman" w:cs="Times New Roman"/>
                <w:color w:val="000000" w:themeColor="text1"/>
                <w:u w:val="none"/>
                <w14:textFill>
                  <w14:solidFill>
                    <w14:schemeClr w14:val="tx1"/>
                  </w14:solidFill>
                </w14:textFill>
              </w:rPr>
              <w:t>不动产权证书号为</w:t>
            </w:r>
            <w:r>
              <w:rPr>
                <w:rFonts w:hint="default" w:ascii="Times New Roman" w:hAnsi="Times New Roman" w:cs="Times New Roman"/>
                <w:color w:val="000000" w:themeColor="text1"/>
                <w:u w:val="single"/>
                <w14:textFill>
                  <w14:solidFill>
                    <w14:schemeClr w14:val="tx1"/>
                  </w14:solidFill>
                </w14:textFill>
              </w:rPr>
              <w:t>川（</w:t>
            </w:r>
            <w:r>
              <w:rPr>
                <w:rFonts w:hint="default" w:ascii="Times New Roman" w:hAnsi="Times New Roman" w:eastAsia="TimesNewRomanPSMT" w:cs="Times New Roman"/>
                <w:color w:val="000000" w:themeColor="text1"/>
                <w:u w:val="single"/>
                <w14:textFill>
                  <w14:solidFill>
                    <w14:schemeClr w14:val="tx1"/>
                  </w14:solidFill>
                </w14:textFill>
              </w:rPr>
              <w:t>2023</w:t>
            </w:r>
            <w:r>
              <w:rPr>
                <w:rFonts w:hint="default" w:ascii="Times New Roman" w:hAnsi="Times New Roman" w:cs="Times New Roman"/>
                <w:color w:val="000000" w:themeColor="text1"/>
                <w:u w:val="single"/>
                <w14:textFill>
                  <w14:solidFill>
                    <w14:schemeClr w14:val="tx1"/>
                  </w14:solidFill>
                </w14:textFill>
              </w:rPr>
              <w:t>）平昌县不动产权第</w:t>
            </w:r>
            <w:r>
              <w:rPr>
                <w:rFonts w:hint="default" w:ascii="Times New Roman" w:hAnsi="Times New Roman" w:eastAsia="TimesNewRomanPSMT" w:cs="Times New Roman"/>
                <w:color w:val="000000" w:themeColor="text1"/>
                <w:u w:val="single"/>
                <w14:textFill>
                  <w14:solidFill>
                    <w14:schemeClr w14:val="tx1"/>
                  </w14:solidFill>
                </w14:textFill>
              </w:rPr>
              <w:t>0000128</w:t>
            </w:r>
            <w:r>
              <w:rPr>
                <w:rFonts w:hint="default" w:ascii="Times New Roman" w:hAnsi="Times New Roman" w:cs="Times New Roman"/>
                <w:color w:val="000000" w:themeColor="text1"/>
                <w:u w:val="single"/>
                <w14:textFill>
                  <w14:solidFill>
                    <w14:schemeClr w14:val="tx1"/>
                  </w14:solidFill>
                </w14:textFill>
              </w:rPr>
              <w:t>号</w:t>
            </w:r>
            <w:r>
              <w:rPr>
                <w:rFonts w:hint="default" w:ascii="Times New Roman" w:hAnsi="Times New Roman" w:cs="Times New Roman"/>
                <w:color w:val="000000" w:themeColor="text1"/>
                <w14:textFill>
                  <w14:solidFill>
                    <w14:schemeClr w14:val="tx1"/>
                  </w14:solidFill>
                </w14:textFill>
              </w:rPr>
              <w:t>，用途为</w:t>
            </w:r>
            <w:r>
              <w:rPr>
                <w:rFonts w:hint="default" w:ascii="Times New Roman" w:hAnsi="Times New Roman" w:cs="Times New Roman"/>
                <w:color w:val="000000" w:themeColor="text1"/>
                <w:u w:val="single"/>
                <w14:textFill>
                  <w14:solidFill>
                    <w14:schemeClr w14:val="tx1"/>
                  </w14:solidFill>
                </w14:textFill>
              </w:rPr>
              <w:t>工业用地</w:t>
            </w:r>
            <w:r>
              <w:rPr>
                <w:rFonts w:hint="default" w:ascii="Times New Roman" w:hAnsi="Times New Roman" w:cs="Times New Roman"/>
                <w:color w:val="000000" w:themeColor="text1"/>
                <w14:textFill>
                  <w14:solidFill>
                    <w14:schemeClr w14:val="tx1"/>
                  </w14:solidFill>
                </w14:textFill>
              </w:rPr>
              <w:t>；项目租用2号厂房</w:t>
            </w:r>
            <w:r>
              <w:rPr>
                <w:rFonts w:hint="default" w:ascii="Times New Roman" w:hAnsi="Times New Roman" w:cs="Times New Roman"/>
                <w:color w:val="000000" w:themeColor="text1"/>
                <w:u w:val="none"/>
                <w14:textFill>
                  <w14:solidFill>
                    <w14:schemeClr w14:val="tx1"/>
                  </w14:solidFill>
                </w14:textFill>
              </w:rPr>
              <w:t>不动产权证书号为</w:t>
            </w:r>
            <w:r>
              <w:rPr>
                <w:rFonts w:hint="default" w:ascii="Times New Roman" w:hAnsi="Times New Roman" w:cs="Times New Roman"/>
                <w:color w:val="000000" w:themeColor="text1"/>
                <w:u w:val="single"/>
                <w14:textFill>
                  <w14:solidFill>
                    <w14:schemeClr w14:val="tx1"/>
                  </w14:solidFill>
                </w14:textFill>
              </w:rPr>
              <w:t>川（</w:t>
            </w:r>
            <w:r>
              <w:rPr>
                <w:rFonts w:hint="default" w:ascii="Times New Roman" w:hAnsi="Times New Roman" w:eastAsia="TimesNewRomanPSMT" w:cs="Times New Roman"/>
                <w:color w:val="000000" w:themeColor="text1"/>
                <w:u w:val="single"/>
                <w14:textFill>
                  <w14:solidFill>
                    <w14:schemeClr w14:val="tx1"/>
                  </w14:solidFill>
                </w14:textFill>
              </w:rPr>
              <w:t>2024</w:t>
            </w:r>
            <w:r>
              <w:rPr>
                <w:rFonts w:hint="default" w:ascii="Times New Roman" w:hAnsi="Times New Roman" w:cs="Times New Roman"/>
                <w:color w:val="000000" w:themeColor="text1"/>
                <w:u w:val="single"/>
                <w14:textFill>
                  <w14:solidFill>
                    <w14:schemeClr w14:val="tx1"/>
                  </w14:solidFill>
                </w14:textFill>
              </w:rPr>
              <w:t>）平昌县不动产权第</w:t>
            </w:r>
            <w:r>
              <w:rPr>
                <w:rFonts w:hint="default" w:ascii="Times New Roman" w:hAnsi="Times New Roman" w:eastAsia="TimesNewRomanPSMT" w:cs="Times New Roman"/>
                <w:color w:val="000000" w:themeColor="text1"/>
                <w:u w:val="single"/>
                <w14:textFill>
                  <w14:solidFill>
                    <w14:schemeClr w14:val="tx1"/>
                  </w14:solidFill>
                </w14:textFill>
              </w:rPr>
              <w:t>0001391</w:t>
            </w:r>
            <w:r>
              <w:rPr>
                <w:rFonts w:hint="default" w:ascii="Times New Roman" w:hAnsi="Times New Roman" w:cs="Times New Roman"/>
                <w:color w:val="000000" w:themeColor="text1"/>
                <w:u w:val="single"/>
                <w14:textFill>
                  <w14:solidFill>
                    <w14:schemeClr w14:val="tx1"/>
                  </w14:solidFill>
                </w14:textFill>
              </w:rPr>
              <w:t>号</w:t>
            </w:r>
            <w:r>
              <w:rPr>
                <w:rFonts w:hint="default" w:ascii="Times New Roman" w:hAnsi="Times New Roman" w:cs="Times New Roman"/>
                <w:color w:val="000000" w:themeColor="text1"/>
                <w14:textFill>
                  <w14:solidFill>
                    <w14:schemeClr w14:val="tx1"/>
                  </w14:solidFill>
                </w14:textFill>
              </w:rPr>
              <w:t>，用途为</w:t>
            </w:r>
            <w:r>
              <w:rPr>
                <w:rFonts w:hint="default" w:ascii="Times New Roman" w:hAnsi="Times New Roman" w:cs="Times New Roman"/>
                <w:color w:val="000000" w:themeColor="text1"/>
                <w:u w:val="single"/>
                <w14:textFill>
                  <w14:solidFill>
                    <w14:schemeClr w14:val="tx1"/>
                  </w14:solidFill>
                </w14:textFill>
              </w:rPr>
              <w:t>工业用地</w:t>
            </w:r>
            <w:r>
              <w:rPr>
                <w:rFonts w:hint="default" w:ascii="Times New Roman" w:hAnsi="Times New Roman" w:cs="Times New Roman"/>
                <w:color w:val="000000" w:themeColor="text1"/>
                <w14:textFill>
                  <w14:solidFill>
                    <w14:schemeClr w14:val="tx1"/>
                  </w14:solidFill>
                </w14:textFill>
              </w:rPr>
              <w:t>；项目租用</w:t>
            </w:r>
            <w:r>
              <w:rPr>
                <w:rFonts w:hint="default" w:ascii="Times New Roman" w:hAnsi="Times New Roman" w:eastAsia="TimesNewRomanPSMT" w:cs="Times New Roman"/>
                <w:color w:val="000000" w:themeColor="text1"/>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号厂房不动产权证书号为</w:t>
            </w:r>
            <w:r>
              <w:rPr>
                <w:rFonts w:hint="default" w:ascii="Times New Roman" w:hAnsi="Times New Roman" w:cs="Times New Roman"/>
                <w:color w:val="000000" w:themeColor="text1"/>
                <w:u w:val="single"/>
                <w14:textFill>
                  <w14:solidFill>
                    <w14:schemeClr w14:val="tx1"/>
                  </w14:solidFill>
                </w14:textFill>
              </w:rPr>
              <w:t>川（</w:t>
            </w:r>
            <w:r>
              <w:rPr>
                <w:rFonts w:hint="default" w:ascii="Times New Roman" w:hAnsi="Times New Roman" w:eastAsia="TimesNewRomanPSMT" w:cs="Times New Roman"/>
                <w:color w:val="000000" w:themeColor="text1"/>
                <w:u w:val="single"/>
                <w14:textFill>
                  <w14:solidFill>
                    <w14:schemeClr w14:val="tx1"/>
                  </w14:solidFill>
                </w14:textFill>
              </w:rPr>
              <w:t>2024</w:t>
            </w:r>
            <w:r>
              <w:rPr>
                <w:rFonts w:hint="default" w:ascii="Times New Roman" w:hAnsi="Times New Roman" w:cs="Times New Roman"/>
                <w:color w:val="000000" w:themeColor="text1"/>
                <w:u w:val="single"/>
                <w14:textFill>
                  <w14:solidFill>
                    <w14:schemeClr w14:val="tx1"/>
                  </w14:solidFill>
                </w14:textFill>
              </w:rPr>
              <w:t>）平昌县不动产权第</w:t>
            </w:r>
            <w:r>
              <w:rPr>
                <w:rFonts w:hint="default" w:ascii="Times New Roman" w:hAnsi="Times New Roman" w:eastAsia="TimesNewRomanPSMT" w:cs="Times New Roman"/>
                <w:color w:val="000000" w:themeColor="text1"/>
                <w:u w:val="single"/>
                <w14:textFill>
                  <w14:solidFill>
                    <w14:schemeClr w14:val="tx1"/>
                  </w14:solidFill>
                </w14:textFill>
              </w:rPr>
              <w:t>0001392</w:t>
            </w:r>
            <w:r>
              <w:rPr>
                <w:rFonts w:hint="default" w:ascii="Times New Roman" w:hAnsi="Times New Roman" w:cs="Times New Roman"/>
                <w:color w:val="000000" w:themeColor="text1"/>
                <w:u w:val="single"/>
                <w14:textFill>
                  <w14:solidFill>
                    <w14:schemeClr w14:val="tx1"/>
                  </w14:solidFill>
                </w14:textFill>
              </w:rPr>
              <w:t>号</w:t>
            </w:r>
            <w:r>
              <w:rPr>
                <w:rFonts w:hint="default" w:ascii="Times New Roman" w:hAnsi="Times New Roman" w:cs="Times New Roman"/>
                <w:color w:val="000000" w:themeColor="text1"/>
                <w14:textFill>
                  <w14:solidFill>
                    <w14:schemeClr w14:val="tx1"/>
                  </w14:solidFill>
                </w14:textFill>
              </w:rPr>
              <w:t>，用途为</w:t>
            </w:r>
            <w:r>
              <w:rPr>
                <w:rFonts w:hint="default" w:ascii="Times New Roman" w:hAnsi="Times New Roman" w:cs="Times New Roman"/>
                <w:color w:val="000000" w:themeColor="text1"/>
                <w:u w:val="single"/>
                <w14:textFill>
                  <w14:solidFill>
                    <w14:schemeClr w14:val="tx1"/>
                  </w14:solidFill>
                </w14:textFill>
              </w:rPr>
              <w:t>工业用地</w:t>
            </w:r>
            <w:r>
              <w:rPr>
                <w:rFonts w:hint="default" w:ascii="Times New Roman" w:hAnsi="Times New Roman" w:cs="Times New Roman"/>
                <w:color w:val="000000" w:themeColor="text1"/>
                <w14:textFill>
                  <w14:solidFill>
                    <w14:schemeClr w14:val="tx1"/>
                  </w14:solidFill>
                </w14:textFill>
              </w:rPr>
              <w:t>；同时根据园区土地利用规划图，土地用途为</w:t>
            </w:r>
            <w:r>
              <w:rPr>
                <w:rFonts w:hint="default" w:ascii="Times New Roman" w:hAnsi="Times New Roman" w:cs="Times New Roman"/>
                <w:color w:val="000000" w:themeColor="text1"/>
                <w:u w:val="single"/>
                <w14:textFill>
                  <w14:solidFill>
                    <w14:schemeClr w14:val="tx1"/>
                  </w14:solidFill>
                </w14:textFill>
              </w:rPr>
              <w:t>工业用地</w:t>
            </w:r>
            <w:r>
              <w:rPr>
                <w:rFonts w:hint="default" w:ascii="Times New Roman" w:hAnsi="Times New Roman" w:cs="Times New Roman"/>
                <w:color w:val="000000" w:themeColor="text1"/>
                <w14:textFill>
                  <w14:solidFill>
                    <w14:schemeClr w14:val="tx1"/>
                  </w14:solidFill>
                </w14:textFill>
              </w:rPr>
              <w:t>。</w:t>
            </w:r>
          </w:p>
          <w:p w14:paraId="217A6285">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综上</w:t>
            </w:r>
            <w:r>
              <w:rPr>
                <w:rFonts w:cs="Times New Roman"/>
                <w:color w:val="000000" w:themeColor="text1"/>
                <w14:textFill>
                  <w14:solidFill>
                    <w14:schemeClr w14:val="tx1"/>
                  </w14:solidFill>
                </w14:textFill>
              </w:rPr>
              <w:t>，本项目用地符合当地土地利用规划。</w:t>
            </w:r>
          </w:p>
          <w:p w14:paraId="1F9E65AD">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3、与生态环境分区管控符合性分析</w:t>
            </w:r>
          </w:p>
          <w:p w14:paraId="57831EF9">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根据巴环委办〔</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2024</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eastAsia" w:cs="Times New Roman"/>
                <w:color w:val="000000" w:themeColor="text1"/>
                <w:kern w:val="0"/>
                <w:sz w:val="24"/>
                <w:szCs w:val="24"/>
                <w:lang w:val="en-US" w:eastAsia="zh-CN" w:bidi="ar"/>
                <w14:textFill>
                  <w14:solidFill>
                    <w14:schemeClr w14:val="tx1"/>
                  </w14:solidFill>
                </w14:textFill>
              </w:rPr>
              <w:t>号</w:t>
            </w:r>
            <w:r>
              <w:rPr>
                <w:rFonts w:hint="eastAsia" w:ascii="宋体" w:hAnsi="宋体" w:eastAsia="宋体" w:cs="宋体"/>
                <w:color w:val="000000" w:themeColor="text1"/>
                <w:kern w:val="0"/>
                <w:sz w:val="24"/>
                <w:szCs w:val="24"/>
                <w:lang w:val="en-US" w:eastAsia="zh-CN" w:bidi="ar"/>
                <w14:textFill>
                  <w14:solidFill>
                    <w14:schemeClr w14:val="tx1"/>
                  </w14:solidFill>
                </w14:textFill>
              </w:rPr>
              <w:t>可知，巴中全市行政区域从生态环境保护角度划分为优先保护、重点管控和一般管控三类共</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38</w:t>
            </w:r>
            <w:r>
              <w:rPr>
                <w:rFonts w:hint="eastAsia" w:ascii="宋体" w:hAnsi="宋体" w:eastAsia="宋体" w:cs="宋体"/>
                <w:color w:val="000000" w:themeColor="text1"/>
                <w:kern w:val="0"/>
                <w:sz w:val="24"/>
                <w:szCs w:val="24"/>
                <w:lang w:val="en-US" w:eastAsia="zh-CN" w:bidi="ar"/>
                <w14:textFill>
                  <w14:solidFill>
                    <w14:schemeClr w14:val="tx1"/>
                  </w14:solidFill>
                </w14:textFill>
              </w:rPr>
              <w:t>个环境管控单元。</w:t>
            </w:r>
          </w:p>
          <w:p w14:paraId="45C05CEE">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）优先保护单元。以生态环境保护为主的区域，全市划分优先保护单元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13</w:t>
            </w:r>
            <w:r>
              <w:rPr>
                <w:rFonts w:hint="eastAsia" w:ascii="宋体" w:hAnsi="宋体" w:eastAsia="宋体" w:cs="宋体"/>
                <w:color w:val="000000" w:themeColor="text1"/>
                <w:kern w:val="0"/>
                <w:sz w:val="24"/>
                <w:szCs w:val="24"/>
                <w:lang w:val="en-US" w:eastAsia="zh-CN" w:bidi="ar"/>
                <w14:textFill>
                  <w14:solidFill>
                    <w14:schemeClr w14:val="tx1"/>
                  </w14:solidFill>
                </w14:textFill>
              </w:rPr>
              <w:t>个，主要包括生态保护红线、自然保护地、饮用水水源保护区和重点生态环境敏感区、脆弱区等，以生态环境保护优先为原则，严格执行相关法律、法规要求，严守生态环境质量底线，确保生态环境功能不降低。</w:t>
            </w:r>
          </w:p>
          <w:p w14:paraId="50025D20">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w:t>
            </w:r>
            <w:r>
              <w:rPr>
                <w:rFonts w:hint="eastAsia" w:ascii="宋体" w:hAnsi="宋体" w:eastAsia="宋体" w:cs="宋体"/>
                <w:color w:val="000000" w:themeColor="text1"/>
                <w:kern w:val="0"/>
                <w:sz w:val="24"/>
                <w:szCs w:val="24"/>
                <w:lang w:val="en-US" w:eastAsia="zh-CN" w:bidi="ar"/>
                <w14:textFill>
                  <w14:solidFill>
                    <w14:schemeClr w14:val="tx1"/>
                  </w14:solidFill>
                </w14:textFill>
              </w:rPr>
              <w:t>）重点管控单元。涉及水、大气、土壤、自然资源等资源环境要素重点管控的区域，全市划分重点管控单元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w:t>
            </w:r>
            <w:r>
              <w:rPr>
                <w:rFonts w:hint="eastAsia" w:ascii="宋体" w:hAnsi="宋体" w:eastAsia="宋体" w:cs="宋体"/>
                <w:color w:val="000000" w:themeColor="text1"/>
                <w:kern w:val="0"/>
                <w:sz w:val="24"/>
                <w:szCs w:val="24"/>
                <w:lang w:val="en-US" w:eastAsia="zh-CN" w:bidi="ar"/>
                <w14:textFill>
                  <w14:solidFill>
                    <w14:schemeClr w14:val="tx1"/>
                  </w14:solidFill>
                </w14:textFill>
              </w:rPr>
              <w:t>个，</w:t>
            </w:r>
            <w:r>
              <w:rPr>
                <w:rFonts w:hint="eastAsia" w:ascii="宋体" w:hAnsi="宋体" w:cs="宋体"/>
                <w:color w:val="000000" w:themeColor="text1"/>
                <w:kern w:val="0"/>
                <w:sz w:val="24"/>
                <w:szCs w:val="24"/>
                <w:lang w:val="en-US" w:eastAsia="zh-CN" w:bidi="ar"/>
                <w14:textFill>
                  <w14:solidFill>
                    <w14:schemeClr w14:val="tx1"/>
                  </w14:solidFill>
                </w14:textFill>
              </w:rPr>
              <w:t>主要包括</w:t>
            </w:r>
            <w:r>
              <w:rPr>
                <w:rFonts w:hint="eastAsia" w:ascii="宋体" w:hAnsi="宋体" w:eastAsia="宋体" w:cs="宋体"/>
                <w:color w:val="000000" w:themeColor="text1"/>
                <w:kern w:val="0"/>
                <w:sz w:val="24"/>
                <w:szCs w:val="24"/>
                <w:lang w:val="en-US" w:eastAsia="zh-CN" w:bidi="ar"/>
                <w14:textFill>
                  <w14:solidFill>
                    <w14:schemeClr w14:val="tx1"/>
                  </w14:solidFill>
                </w14:textFill>
              </w:rPr>
              <w:t>人口密集的城镇规划区和产业集聚的工业园区（工业集聚区）等，不断提升资源利用效率，有针对性地加强污染物排放控制和环境风险防控，解决生态环境质量不达标、生态环境风险突出等问题，制定差别化的生态环境准入要求。</w:t>
            </w:r>
          </w:p>
          <w:p w14:paraId="34845B35">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）一般管控单元。除优先保护单元和重点管控单元之外的其他区域，全市共划分一般管控单元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eastAsia" w:ascii="宋体" w:hAnsi="宋体" w:eastAsia="宋体" w:cs="宋体"/>
                <w:color w:val="000000" w:themeColor="text1"/>
                <w:kern w:val="0"/>
                <w:sz w:val="24"/>
                <w:szCs w:val="24"/>
                <w:lang w:val="en-US" w:eastAsia="zh-CN" w:bidi="ar"/>
                <w14:textFill>
                  <w14:solidFill>
                    <w14:schemeClr w14:val="tx1"/>
                  </w14:solidFill>
                </w14:textFill>
              </w:rPr>
              <w:t>个。执行区域生态环境保护的基本要求，重点加强农业、生活等领域污染治理。</w:t>
            </w:r>
          </w:p>
          <w:p w14:paraId="0DF80FD6">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（1）环境管控单元符合性分析</w:t>
            </w:r>
          </w:p>
          <w:p w14:paraId="39973574">
            <w:pPr>
              <w:ind w:firstLine="480"/>
              <w:rPr>
                <w:color w:val="000000" w:themeColor="text1"/>
                <w14:textFill>
                  <w14:solidFill>
                    <w14:schemeClr w14:val="tx1"/>
                  </w14:solidFill>
                </w14:textFill>
              </w:rPr>
            </w:pPr>
            <w:r>
              <w:rPr>
                <w:rFonts w:cs="Times New Roman"/>
                <w:color w:val="000000" w:themeColor="text1"/>
                <w14:textFill>
                  <w14:solidFill>
                    <w14:schemeClr w14:val="tx1"/>
                  </w14:solidFill>
                </w14:textFill>
              </w:rPr>
              <w:t>本项目位于</w:t>
            </w:r>
            <w:r>
              <w:rPr>
                <w:rFonts w:hint="eastAsia"/>
                <w:color w:val="000000" w:themeColor="text1"/>
                <w14:textFill>
                  <w14:solidFill>
                    <w14:schemeClr w14:val="tx1"/>
                  </w14:solidFill>
                </w14:textFill>
              </w:rPr>
              <w:t>四川省平昌县星光工业园施迈路</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号</w:t>
            </w:r>
            <w:r>
              <w:rPr>
                <w:rFonts w:cs="Times New Roman"/>
                <w:color w:val="000000" w:themeColor="text1"/>
                <w14:textFill>
                  <w14:solidFill>
                    <w14:schemeClr w14:val="tx1"/>
                  </w14:solidFill>
                </w14:textFill>
              </w:rPr>
              <w:t>，中心地理坐标为经度：107度8分17.472秒；纬度31度31分55.248秒。</w:t>
            </w:r>
            <w:r>
              <w:rPr>
                <w:rFonts w:cs="Times New Roman"/>
                <w:bCs/>
                <w:color w:val="000000" w:themeColor="text1"/>
                <w:szCs w:val="24"/>
                <w14:textFill>
                  <w14:solidFill>
                    <w14:schemeClr w14:val="tx1"/>
                  </w14:solidFill>
                </w14:textFill>
              </w:rPr>
              <w:t>根据四川政务服务网生态环境分区管控</w:t>
            </w:r>
            <w:r>
              <w:rPr>
                <w:rFonts w:cs="Times New Roman"/>
                <w:bCs/>
                <w:color w:val="000000" w:themeColor="text1"/>
                <w14:textFill>
                  <w14:solidFill>
                    <w14:schemeClr w14:val="tx1"/>
                  </w14:solidFill>
                </w14:textFill>
              </w:rPr>
              <w:t>公众服务</w:t>
            </w:r>
            <w:r>
              <w:rPr>
                <w:rFonts w:cs="Times New Roman"/>
                <w:bCs/>
                <w:color w:val="000000" w:themeColor="text1"/>
                <w:szCs w:val="24"/>
                <w14:textFill>
                  <w14:solidFill>
                    <w14:schemeClr w14:val="tx1"/>
                  </w14:solidFill>
                </w14:textFill>
              </w:rPr>
              <w:t>系统查询结果，</w:t>
            </w:r>
            <w:r>
              <w:rPr>
                <w:rFonts w:cs="Times New Roman"/>
                <w:color w:val="000000" w:themeColor="text1"/>
                <w14:textFill>
                  <w14:solidFill>
                    <w14:schemeClr w14:val="tx1"/>
                  </w14:solidFill>
                </w14:textFill>
              </w:rPr>
              <w:t>本项目涉及环境管控单元</w:t>
            </w:r>
            <w:r>
              <w:rPr>
                <w:rFonts w:hint="eastAsia" w:cs="Times New Roman"/>
                <w:color w:val="000000" w:themeColor="text1"/>
                <w14:textFill>
                  <w14:solidFill>
                    <w14:schemeClr w14:val="tx1"/>
                  </w14:solidFill>
                </w14:textFill>
              </w:rPr>
              <w:t>1个，</w:t>
            </w:r>
            <w:r>
              <w:rPr>
                <w:rFonts w:cs="Times New Roman"/>
                <w:color w:val="000000" w:themeColor="text1"/>
                <w14:textFill>
                  <w14:solidFill>
                    <w14:schemeClr w14:val="tx1"/>
                  </w14:solidFill>
                </w14:textFill>
              </w:rPr>
              <w:t>要素管控</w:t>
            </w:r>
            <w:r>
              <w:rPr>
                <w:rFonts w:hint="eastAsia" w:cs="Times New Roman"/>
                <w:color w:val="000000" w:themeColor="text1"/>
                <w14:textFill>
                  <w14:solidFill>
                    <w14:schemeClr w14:val="tx1"/>
                  </w14:solidFill>
                </w14:textFill>
              </w:rPr>
              <w:t>分区7</w:t>
            </w:r>
            <w:r>
              <w:rPr>
                <w:rFonts w:cs="Times New Roman"/>
                <w:color w:val="000000" w:themeColor="text1"/>
                <w14:textFill>
                  <w14:solidFill>
                    <w14:schemeClr w14:val="tx1"/>
                  </w14:solidFill>
                </w14:textFill>
              </w:rPr>
              <w:t>个，涉及管控单元见下表。</w:t>
            </w:r>
          </w:p>
          <w:p w14:paraId="7EC3E031">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3</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本项目涉及环境管控单元一览表</w:t>
            </w:r>
          </w:p>
          <w:tbl>
            <w:tblPr>
              <w:tblStyle w:val="29"/>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0"/>
              <w:gridCol w:w="2316"/>
              <w:gridCol w:w="849"/>
              <w:gridCol w:w="708"/>
              <w:gridCol w:w="925"/>
              <w:gridCol w:w="1592"/>
            </w:tblGrid>
            <w:tr w14:paraId="608A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692CE5E3">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环境管控单元编码</w:t>
                  </w:r>
                </w:p>
              </w:tc>
              <w:tc>
                <w:tcPr>
                  <w:tcW w:w="1485" w:type="pct"/>
                  <w:shd w:val="clear" w:color="auto" w:fill="auto"/>
                  <w:vAlign w:val="center"/>
                </w:tcPr>
                <w:p w14:paraId="7A7C12D2">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环境管控单元名称</w:t>
                  </w:r>
                </w:p>
              </w:tc>
              <w:tc>
                <w:tcPr>
                  <w:tcW w:w="554" w:type="pct"/>
                  <w:shd w:val="clear" w:color="auto" w:fill="auto"/>
                  <w:vAlign w:val="center"/>
                </w:tcPr>
                <w:p w14:paraId="04EB0EEF">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所属市（州）</w:t>
                  </w:r>
                </w:p>
              </w:tc>
              <w:tc>
                <w:tcPr>
                  <w:tcW w:w="549" w:type="pct"/>
                  <w:shd w:val="clear" w:color="auto" w:fill="auto"/>
                  <w:vAlign w:val="center"/>
                </w:tcPr>
                <w:p w14:paraId="48A8980D">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所属区县</w:t>
                  </w:r>
                </w:p>
              </w:tc>
              <w:tc>
                <w:tcPr>
                  <w:tcW w:w="640" w:type="pct"/>
                  <w:shd w:val="clear" w:color="auto" w:fill="auto"/>
                  <w:vAlign w:val="center"/>
                </w:tcPr>
                <w:p w14:paraId="06DE1187">
                  <w:pPr>
                    <w:pStyle w:val="51"/>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环境要素</w:t>
                  </w:r>
                  <w:r>
                    <w:rPr>
                      <w:rFonts w:cs="Times New Roman"/>
                      <w:color w:val="000000" w:themeColor="text1"/>
                      <w14:textFill>
                        <w14:solidFill>
                          <w14:schemeClr w14:val="tx1"/>
                        </w14:solidFill>
                      </w14:textFill>
                    </w:rPr>
                    <w:t>类型</w:t>
                  </w:r>
                </w:p>
              </w:tc>
              <w:tc>
                <w:tcPr>
                  <w:tcW w:w="1045" w:type="pct"/>
                  <w:shd w:val="clear" w:color="auto" w:fill="auto"/>
                  <w:vAlign w:val="center"/>
                </w:tcPr>
                <w:p w14:paraId="1053239D">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管控类型</w:t>
                  </w:r>
                </w:p>
              </w:tc>
            </w:tr>
            <w:tr w14:paraId="44F5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2956057E">
                  <w:pPr>
                    <w:pStyle w:val="13"/>
                    <w:rPr>
                      <w:rFonts w:hint="eastAsia" w:cs="Times New Roman"/>
                      <w:color w:val="000000" w:themeColor="text1"/>
                      <w14:textFill>
                        <w14:solidFill>
                          <w14:schemeClr w14:val="tx1"/>
                        </w14:solidFill>
                      </w14:textFill>
                    </w:rPr>
                  </w:pPr>
                  <w:bookmarkStart w:id="16" w:name="_Hlk205992800"/>
                  <w:r>
                    <w:rPr>
                      <w:rFonts w:hint="eastAsia" w:cs="Times New Roman"/>
                      <w:color w:val="000000" w:themeColor="text1"/>
                      <w14:textFill>
                        <w14:solidFill>
                          <w14:schemeClr w14:val="tx1"/>
                        </w14:solidFill>
                      </w14:textFill>
                    </w:rPr>
                    <w:t>ZH51192320002</w:t>
                  </w:r>
                </w:p>
              </w:tc>
              <w:tc>
                <w:tcPr>
                  <w:tcW w:w="1485" w:type="pct"/>
                  <w:shd w:val="clear" w:color="auto" w:fill="auto"/>
                  <w:vAlign w:val="center"/>
                </w:tcPr>
                <w:p w14:paraId="641D8318">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平昌经济开发区（星光机械制造产业片区、金宝食品饮料产业片区、驷马清洁能源产业片区、石龙门化工园片区)</w:t>
                  </w:r>
                </w:p>
              </w:tc>
              <w:tc>
                <w:tcPr>
                  <w:tcW w:w="554" w:type="pct"/>
                  <w:shd w:val="clear" w:color="auto" w:fill="auto"/>
                  <w:vAlign w:val="center"/>
                </w:tcPr>
                <w:p w14:paraId="5B3B252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070C5508">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7F26D8E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环境管控单元</w:t>
                  </w:r>
                </w:p>
              </w:tc>
              <w:tc>
                <w:tcPr>
                  <w:tcW w:w="1045" w:type="pct"/>
                  <w:shd w:val="clear" w:color="auto" w:fill="auto"/>
                  <w:vAlign w:val="center"/>
                </w:tcPr>
                <w:p w14:paraId="105C6E0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工业重点管控单元</w:t>
                  </w:r>
                </w:p>
              </w:tc>
            </w:tr>
            <w:bookmarkEnd w:id="16"/>
            <w:tr w14:paraId="7E0E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0F3AFFF7">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YS5119233110001</w:t>
                  </w:r>
                </w:p>
              </w:tc>
              <w:tc>
                <w:tcPr>
                  <w:tcW w:w="1485" w:type="pct"/>
                  <w:shd w:val="clear" w:color="auto" w:fill="auto"/>
                  <w:vAlign w:val="center"/>
                </w:tcPr>
                <w:p w14:paraId="657A600C">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平昌县其他区域</w:t>
                  </w:r>
                </w:p>
              </w:tc>
              <w:tc>
                <w:tcPr>
                  <w:tcW w:w="554" w:type="pct"/>
                  <w:shd w:val="clear" w:color="auto" w:fill="auto"/>
                  <w:vAlign w:val="center"/>
                </w:tcPr>
                <w:p w14:paraId="22C3AAD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477DC4F5">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3EF9D674">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生态</w:t>
                  </w:r>
                </w:p>
              </w:tc>
              <w:tc>
                <w:tcPr>
                  <w:tcW w:w="1045" w:type="pct"/>
                  <w:shd w:val="clear" w:color="auto" w:fill="auto"/>
                  <w:vAlign w:val="center"/>
                </w:tcPr>
                <w:p w14:paraId="11A4E5C1">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一般管控区</w:t>
                  </w:r>
                </w:p>
              </w:tc>
            </w:tr>
            <w:tr w14:paraId="1D66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17EC7379">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YS5119232210001</w:t>
                  </w:r>
                </w:p>
              </w:tc>
              <w:tc>
                <w:tcPr>
                  <w:tcW w:w="1485" w:type="pct"/>
                  <w:shd w:val="clear" w:color="auto" w:fill="auto"/>
                  <w:vAlign w:val="center"/>
                </w:tcPr>
                <w:p w14:paraId="65169ED4">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巴河</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平昌县</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江陵</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控制单元</w:t>
                  </w:r>
                </w:p>
              </w:tc>
              <w:tc>
                <w:tcPr>
                  <w:tcW w:w="554" w:type="pct"/>
                  <w:shd w:val="clear" w:color="auto" w:fill="auto"/>
                  <w:vAlign w:val="center"/>
                </w:tcPr>
                <w:p w14:paraId="2FD81BD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10B18F88">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06DC0843">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水</w:t>
                  </w:r>
                </w:p>
              </w:tc>
              <w:tc>
                <w:tcPr>
                  <w:tcW w:w="1045" w:type="pct"/>
                  <w:shd w:val="clear" w:color="auto" w:fill="auto"/>
                  <w:vAlign w:val="center"/>
                </w:tcPr>
                <w:p w14:paraId="42359A21">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水环境工业污染重点管控区</w:t>
                  </w:r>
                </w:p>
              </w:tc>
            </w:tr>
            <w:tr w14:paraId="6350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06658408">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YS5119232310001</w:t>
                  </w:r>
                </w:p>
              </w:tc>
              <w:tc>
                <w:tcPr>
                  <w:tcW w:w="1485" w:type="pct"/>
                  <w:shd w:val="clear" w:color="auto" w:fill="auto"/>
                  <w:vAlign w:val="center"/>
                </w:tcPr>
                <w:p w14:paraId="7F86E10C">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平昌经济开发区（星光机械制造产业片区、金宝食品饮料产业片区、驷马清洁能源产业片区、石龙门化工园片区</w:t>
                  </w:r>
                  <w:r>
                    <w:rPr>
                      <w:rFonts w:cs="Times New Roman"/>
                      <w:color w:val="000000" w:themeColor="text1"/>
                      <w14:textFill>
                        <w14:solidFill>
                          <w14:schemeClr w14:val="tx1"/>
                        </w14:solidFill>
                      </w14:textFill>
                    </w:rPr>
                    <w:t>)</w:t>
                  </w:r>
                </w:p>
              </w:tc>
              <w:tc>
                <w:tcPr>
                  <w:tcW w:w="554" w:type="pct"/>
                  <w:shd w:val="clear" w:color="auto" w:fill="auto"/>
                  <w:vAlign w:val="center"/>
                </w:tcPr>
                <w:p w14:paraId="747487C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35892E2A">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6ABCD181">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大气</w:t>
                  </w:r>
                </w:p>
              </w:tc>
              <w:tc>
                <w:tcPr>
                  <w:tcW w:w="1045" w:type="pct"/>
                  <w:shd w:val="clear" w:color="auto" w:fill="auto"/>
                  <w:vAlign w:val="center"/>
                </w:tcPr>
                <w:p w14:paraId="68BE304E">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大气环境高排放重点管控区</w:t>
                  </w:r>
                </w:p>
              </w:tc>
            </w:tr>
            <w:tr w14:paraId="3C9F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127BF123">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YS5119232510001</w:t>
                  </w:r>
                </w:p>
              </w:tc>
              <w:tc>
                <w:tcPr>
                  <w:tcW w:w="1485" w:type="pct"/>
                  <w:shd w:val="clear" w:color="auto" w:fill="auto"/>
                  <w:vAlign w:val="center"/>
                </w:tcPr>
                <w:p w14:paraId="37DE8DE1">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平昌县水资源重点管控区</w:t>
                  </w:r>
                </w:p>
              </w:tc>
              <w:tc>
                <w:tcPr>
                  <w:tcW w:w="554" w:type="pct"/>
                  <w:shd w:val="clear" w:color="auto" w:fill="auto"/>
                  <w:vAlign w:val="center"/>
                </w:tcPr>
                <w:p w14:paraId="6FF5B31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3FE5A9EB">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68B4675F">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自然资源</w:t>
                  </w:r>
                </w:p>
              </w:tc>
              <w:tc>
                <w:tcPr>
                  <w:tcW w:w="1045" w:type="pct"/>
                  <w:shd w:val="clear" w:color="auto" w:fill="auto"/>
                  <w:vAlign w:val="center"/>
                </w:tcPr>
                <w:p w14:paraId="6BEEA0E5">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生态用水补给区</w:t>
                  </w:r>
                </w:p>
              </w:tc>
            </w:tr>
            <w:tr w14:paraId="6FD4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5E546470">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YS5119232550001</w:t>
                  </w:r>
                </w:p>
              </w:tc>
              <w:tc>
                <w:tcPr>
                  <w:tcW w:w="1485" w:type="pct"/>
                  <w:shd w:val="clear" w:color="auto" w:fill="auto"/>
                  <w:vAlign w:val="center"/>
                </w:tcPr>
                <w:p w14:paraId="669DF27A">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平昌县自然资源重点管控区</w:t>
                  </w:r>
                </w:p>
              </w:tc>
              <w:tc>
                <w:tcPr>
                  <w:tcW w:w="554" w:type="pct"/>
                  <w:shd w:val="clear" w:color="auto" w:fill="auto"/>
                  <w:vAlign w:val="center"/>
                </w:tcPr>
                <w:p w14:paraId="546C31B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55BB71C6">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1308994A">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自然资源</w:t>
                  </w:r>
                </w:p>
              </w:tc>
              <w:tc>
                <w:tcPr>
                  <w:tcW w:w="1045" w:type="pct"/>
                  <w:shd w:val="clear" w:color="auto" w:fill="auto"/>
                  <w:vAlign w:val="center"/>
                </w:tcPr>
                <w:p w14:paraId="4BED75FD">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自然资源重点管控区</w:t>
                  </w:r>
                </w:p>
              </w:tc>
            </w:tr>
            <w:tr w14:paraId="52C3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5F08725B">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YS5119232530001</w:t>
                  </w:r>
                </w:p>
              </w:tc>
              <w:tc>
                <w:tcPr>
                  <w:tcW w:w="1485" w:type="pct"/>
                  <w:shd w:val="clear" w:color="auto" w:fill="auto"/>
                  <w:vAlign w:val="center"/>
                </w:tcPr>
                <w:p w14:paraId="6218052B">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平昌县城镇开发边界</w:t>
                  </w:r>
                </w:p>
              </w:tc>
              <w:tc>
                <w:tcPr>
                  <w:tcW w:w="554" w:type="pct"/>
                  <w:shd w:val="clear" w:color="auto" w:fill="auto"/>
                  <w:vAlign w:val="center"/>
                </w:tcPr>
                <w:p w14:paraId="4E8B22F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4AC9C14A">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39090003">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自然资源</w:t>
                  </w:r>
                </w:p>
              </w:tc>
              <w:tc>
                <w:tcPr>
                  <w:tcW w:w="1045" w:type="pct"/>
                  <w:shd w:val="clear" w:color="auto" w:fill="auto"/>
                  <w:vAlign w:val="center"/>
                </w:tcPr>
                <w:p w14:paraId="29523B8C">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土地资源重点管控区</w:t>
                  </w:r>
                </w:p>
              </w:tc>
            </w:tr>
            <w:tr w14:paraId="5843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2600B31C">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YS5119232610001</w:t>
                  </w:r>
                </w:p>
              </w:tc>
              <w:tc>
                <w:tcPr>
                  <w:tcW w:w="1485" w:type="pct"/>
                  <w:shd w:val="clear" w:color="auto" w:fill="auto"/>
                  <w:vAlign w:val="center"/>
                </w:tcPr>
                <w:p w14:paraId="03E3FD36">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渠江江河湖库岸线重点管控区</w:t>
                  </w:r>
                </w:p>
              </w:tc>
              <w:tc>
                <w:tcPr>
                  <w:tcW w:w="554" w:type="pct"/>
                  <w:shd w:val="clear" w:color="auto" w:fill="auto"/>
                  <w:vAlign w:val="center"/>
                </w:tcPr>
                <w:p w14:paraId="5C75B16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2A23530C">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2835C7A8">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岸线</w:t>
                  </w:r>
                </w:p>
              </w:tc>
              <w:tc>
                <w:tcPr>
                  <w:tcW w:w="1045" w:type="pct"/>
                  <w:shd w:val="clear" w:color="auto" w:fill="auto"/>
                  <w:vAlign w:val="center"/>
                </w:tcPr>
                <w:p w14:paraId="323938C5">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江河湖</w:t>
                  </w:r>
                  <w:r>
                    <w:rPr>
                      <w:rFonts w:hint="eastAsia" w:cs="Times New Roman"/>
                      <w:color w:val="000000" w:themeColor="text1"/>
                      <w:lang w:val="en-US" w:eastAsia="zh-CN"/>
                      <w14:textFill>
                        <w14:solidFill>
                          <w14:schemeClr w14:val="tx1"/>
                        </w14:solidFill>
                      </w14:textFill>
                    </w:rPr>
                    <w:t>库</w:t>
                  </w:r>
                  <w:r>
                    <w:rPr>
                      <w:rFonts w:hint="eastAsia" w:cs="Times New Roman"/>
                      <w:color w:val="000000" w:themeColor="text1"/>
                      <w14:textFill>
                        <w14:solidFill>
                          <w14:schemeClr w14:val="tx1"/>
                        </w14:solidFill>
                      </w14:textFill>
                    </w:rPr>
                    <w:t>岸线重点管控区</w:t>
                  </w:r>
                </w:p>
              </w:tc>
            </w:tr>
          </w:tbl>
          <w:p w14:paraId="5BFF1391">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综合而言，本项目位于</w:t>
            </w:r>
            <w:r>
              <w:rPr>
                <w:rFonts w:hint="eastAsia" w:cs="Times New Roman"/>
                <w:color w:val="000000" w:themeColor="text1"/>
                <w14:textFill>
                  <w14:solidFill>
                    <w14:schemeClr w14:val="tx1"/>
                  </w14:solidFill>
                </w14:textFill>
              </w:rPr>
              <w:t>平昌经济开发区（星光机械制造产业片区、金宝食品饮料产业片区、驷马清洁能源产业片区、石龙门化工园片区</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的工业重点管控单元，不涉及生态红线。</w:t>
            </w:r>
          </w:p>
          <w:tbl>
            <w:tblPr>
              <w:tblStyle w:val="30"/>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6"/>
              <w:gridCol w:w="4094"/>
            </w:tblGrid>
            <w:tr w14:paraId="5F12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4CDA7586">
                  <w:pPr>
                    <w:pStyle w:val="13"/>
                    <w:rPr>
                      <w:color w:val="000000" w:themeColor="text1"/>
                      <w:vertAlign w:val="baseline"/>
                      <w14:textFill>
                        <w14:solidFill>
                          <w14:schemeClr w14:val="tx1"/>
                        </w14:solidFill>
                      </w14:textFill>
                    </w:rPr>
                  </w:pPr>
                  <w:r>
                    <w:rPr>
                      <w:color w:val="000000" w:themeColor="text1"/>
                      <w14:textFill>
                        <w14:solidFill>
                          <w14:schemeClr w14:val="tx1"/>
                        </w14:solidFill>
                      </w14:textFill>
                    </w:rPr>
                    <w:drawing>
                      <wp:inline distT="0" distB="0" distL="114300" distR="114300">
                        <wp:extent cx="2485390" cy="1863090"/>
                        <wp:effectExtent l="0" t="0" r="10160" b="381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4"/>
                                <a:stretch>
                                  <a:fillRect/>
                                </a:stretch>
                              </pic:blipFill>
                              <pic:spPr>
                                <a:xfrm>
                                  <a:off x="0" y="0"/>
                                  <a:ext cx="2485390" cy="1863090"/>
                                </a:xfrm>
                                <a:prstGeom prst="rect">
                                  <a:avLst/>
                                </a:prstGeom>
                                <a:noFill/>
                                <a:ln>
                                  <a:noFill/>
                                </a:ln>
                              </pic:spPr>
                            </pic:pic>
                          </a:graphicData>
                        </a:graphic>
                      </wp:inline>
                    </w:drawing>
                  </w:r>
                </w:p>
              </w:tc>
              <w:tc>
                <w:tcPr>
                  <w:tcW w:w="2500" w:type="pct"/>
                  <w:vAlign w:val="center"/>
                </w:tcPr>
                <w:p w14:paraId="14301605">
                  <w:pPr>
                    <w:pStyle w:val="13"/>
                    <w:rPr>
                      <w:color w:val="000000" w:themeColor="text1"/>
                      <w:vertAlign w:val="baseline"/>
                      <w14:textFill>
                        <w14:solidFill>
                          <w14:schemeClr w14:val="tx1"/>
                        </w14:solidFill>
                      </w14:textFill>
                    </w:rPr>
                  </w:pPr>
                  <w:r>
                    <w:rPr>
                      <w:color w:val="000000" w:themeColor="text1"/>
                      <w14:textFill>
                        <w14:solidFill>
                          <w14:schemeClr w14:val="tx1"/>
                        </w14:solidFill>
                      </w14:textFill>
                    </w:rPr>
                    <w:drawing>
                      <wp:inline distT="0" distB="0" distL="114300" distR="114300">
                        <wp:extent cx="2061210" cy="1891030"/>
                        <wp:effectExtent l="0" t="0" r="15240" b="1397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15"/>
                                <a:stretch>
                                  <a:fillRect/>
                                </a:stretch>
                              </pic:blipFill>
                              <pic:spPr>
                                <a:xfrm>
                                  <a:off x="0" y="0"/>
                                  <a:ext cx="2061210" cy="1891030"/>
                                </a:xfrm>
                                <a:prstGeom prst="rect">
                                  <a:avLst/>
                                </a:prstGeom>
                                <a:noFill/>
                                <a:ln>
                                  <a:noFill/>
                                </a:ln>
                              </pic:spPr>
                            </pic:pic>
                          </a:graphicData>
                        </a:graphic>
                      </wp:inline>
                    </w:drawing>
                  </w:r>
                </w:p>
              </w:tc>
            </w:tr>
            <w:tr w14:paraId="26DF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49D287C6">
                  <w:pPr>
                    <w:pStyle w:val="13"/>
                    <w:rPr>
                      <w:color w:val="000000" w:themeColor="text1"/>
                      <w:vertAlign w:val="baseline"/>
                      <w14:textFill>
                        <w14:solidFill>
                          <w14:schemeClr w14:val="tx1"/>
                        </w14:solidFill>
                      </w14:textFill>
                    </w:rPr>
                  </w:pPr>
                  <w:r>
                    <w:rPr>
                      <w:color w:val="000000" w:themeColor="text1"/>
                      <w14:textFill>
                        <w14:solidFill>
                          <w14:schemeClr w14:val="tx1"/>
                        </w14:solidFill>
                      </w14:textFill>
                    </w:rPr>
                    <w:drawing>
                      <wp:inline distT="0" distB="0" distL="114300" distR="114300">
                        <wp:extent cx="2277110" cy="2882265"/>
                        <wp:effectExtent l="0" t="0" r="8890" b="13335"/>
                        <wp:docPr id="3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1"/>
                                <pic:cNvPicPr>
                                  <a:picLocks noChangeAspect="1"/>
                                </pic:cNvPicPr>
                              </pic:nvPicPr>
                              <pic:blipFill>
                                <a:blip r:embed="rId16"/>
                                <a:stretch>
                                  <a:fillRect/>
                                </a:stretch>
                              </pic:blipFill>
                              <pic:spPr>
                                <a:xfrm>
                                  <a:off x="0" y="0"/>
                                  <a:ext cx="2277110" cy="2882265"/>
                                </a:xfrm>
                                <a:prstGeom prst="rect">
                                  <a:avLst/>
                                </a:prstGeom>
                                <a:noFill/>
                                <a:ln>
                                  <a:noFill/>
                                </a:ln>
                              </pic:spPr>
                            </pic:pic>
                          </a:graphicData>
                        </a:graphic>
                      </wp:inline>
                    </w:drawing>
                  </w:r>
                </w:p>
              </w:tc>
              <w:tc>
                <w:tcPr>
                  <w:tcW w:w="2500" w:type="pct"/>
                  <w:vAlign w:val="center"/>
                </w:tcPr>
                <w:p w14:paraId="4B8038B4">
                  <w:pPr>
                    <w:pStyle w:val="13"/>
                    <w:rPr>
                      <w:color w:val="000000" w:themeColor="text1"/>
                      <w:vertAlign w:val="baseline"/>
                      <w14:textFill>
                        <w14:solidFill>
                          <w14:schemeClr w14:val="tx1"/>
                        </w14:solidFill>
                      </w14:textFill>
                    </w:rPr>
                  </w:pPr>
                  <w:r>
                    <w:rPr>
                      <w:color w:val="000000" w:themeColor="text1"/>
                      <w14:textFill>
                        <w14:solidFill>
                          <w14:schemeClr w14:val="tx1"/>
                        </w14:solidFill>
                      </w14:textFill>
                    </w:rPr>
                    <w:drawing>
                      <wp:inline distT="0" distB="0" distL="114300" distR="114300">
                        <wp:extent cx="2260600" cy="2908300"/>
                        <wp:effectExtent l="0" t="0" r="6350" b="6350"/>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17"/>
                                <a:stretch>
                                  <a:fillRect/>
                                </a:stretch>
                              </pic:blipFill>
                              <pic:spPr>
                                <a:xfrm>
                                  <a:off x="0" y="0"/>
                                  <a:ext cx="2260600" cy="2908300"/>
                                </a:xfrm>
                                <a:prstGeom prst="rect">
                                  <a:avLst/>
                                </a:prstGeom>
                                <a:noFill/>
                                <a:ln>
                                  <a:noFill/>
                                </a:ln>
                              </pic:spPr>
                            </pic:pic>
                          </a:graphicData>
                        </a:graphic>
                      </wp:inline>
                    </w:drawing>
                  </w:r>
                </w:p>
              </w:tc>
            </w:tr>
          </w:tbl>
          <w:p w14:paraId="0B9044E4">
            <w:pPr>
              <w:pStyle w:val="12"/>
              <w:spacing w:after="0" w:line="240" w:lineRule="auto"/>
              <w:rPr>
                <w:rFonts w:hint="eastAsia"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图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图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w:t>
            </w:r>
            <w:r>
              <w:rPr>
                <w:rFonts w:cs="Times New Roman"/>
                <w:bCs/>
                <w:color w:val="000000" w:themeColor="text1"/>
                <w14:textFill>
                  <w14:solidFill>
                    <w14:schemeClr w14:val="tx1"/>
                  </w14:solidFill>
                </w14:textFill>
              </w:rPr>
              <w:t>四川政务服务网生态环境</w:t>
            </w:r>
            <w:r>
              <w:rPr>
                <w:rFonts w:cs="Times New Roman"/>
                <w:color w:val="000000" w:themeColor="text1"/>
                <w14:textFill>
                  <w14:solidFill>
                    <w14:schemeClr w14:val="tx1"/>
                  </w14:solidFill>
                </w14:textFill>
              </w:rPr>
              <w:t>分区</w:t>
            </w:r>
            <w:r>
              <w:rPr>
                <w:rFonts w:cs="Times New Roman"/>
                <w:bCs/>
                <w:color w:val="000000" w:themeColor="text1"/>
                <w14:textFill>
                  <w14:solidFill>
                    <w14:schemeClr w14:val="tx1"/>
                  </w14:solidFill>
                </w14:textFill>
              </w:rPr>
              <w:t>管控公众服务系统查询</w:t>
            </w:r>
            <w:r>
              <w:rPr>
                <w:rFonts w:hint="eastAsia" w:cs="Times New Roman"/>
                <w:bCs/>
                <w:color w:val="000000" w:themeColor="text1"/>
                <w14:textFill>
                  <w14:solidFill>
                    <w14:schemeClr w14:val="tx1"/>
                  </w14:solidFill>
                </w14:textFill>
              </w:rPr>
              <w:t>结果截图</w:t>
            </w:r>
          </w:p>
          <w:p w14:paraId="4F66AD15">
            <w:pPr>
              <w:spacing w:line="240" w:lineRule="auto"/>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项目与管控单元位置关系如下图所示：</w:t>
            </w:r>
          </w:p>
          <w:p w14:paraId="77A66DDC">
            <w:pPr>
              <w:pStyle w:val="27"/>
              <w:keepNext/>
              <w:spacing w:line="240" w:lineRule="auto"/>
              <w:rPr>
                <w:rFonts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528185" cy="3265805"/>
                  <wp:effectExtent l="0" t="0" r="5715" b="1079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8"/>
                          <a:stretch>
                            <a:fillRect/>
                          </a:stretch>
                        </pic:blipFill>
                        <pic:spPr>
                          <a:xfrm>
                            <a:off x="0" y="0"/>
                            <a:ext cx="4528185" cy="3265805"/>
                          </a:xfrm>
                          <a:prstGeom prst="rect">
                            <a:avLst/>
                          </a:prstGeom>
                        </pic:spPr>
                      </pic:pic>
                    </a:graphicData>
                  </a:graphic>
                </wp:inline>
              </w:drawing>
            </w:r>
          </w:p>
          <w:p w14:paraId="46D17CF8">
            <w:pPr>
              <w:pStyle w:val="12"/>
              <w:spacing w:after="0"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图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图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2</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本项目所在环境管控单元图</w:t>
            </w:r>
          </w:p>
          <w:p w14:paraId="0152FF51">
            <w:pPr>
              <w:pStyle w:val="75"/>
              <w:keepNext w:val="0"/>
              <w:keepLines w:val="0"/>
              <w:pageBreakBefore w:val="0"/>
              <w:widowControl w:val="0"/>
              <w:kinsoku/>
              <w:wordWrap/>
              <w:overflowPunct w:val="0"/>
              <w:topLinePunct w:val="0"/>
              <w:autoSpaceDE/>
              <w:autoSpaceDN/>
              <w:bidi w:val="0"/>
              <w:adjustRightInd w:val="0"/>
              <w:snapToGrid w:val="0"/>
              <w:ind w:left="0" w:leftChars="0" w:firstLine="0" w:firstLineChars="0"/>
              <w:jc w:val="center"/>
              <w:textAlignment w:val="baseline"/>
              <w:rPr>
                <w:rFonts w:hint="eastAsia" w:ascii="Times New Roman" w:hAnsi="Times New Roman"/>
                <w:color w:val="auto"/>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1307465</wp:posOffset>
                      </wp:positionH>
                      <wp:positionV relativeFrom="paragraph">
                        <wp:posOffset>4549140</wp:posOffset>
                      </wp:positionV>
                      <wp:extent cx="1151255" cy="346075"/>
                      <wp:effectExtent l="6350" t="6350" r="404495" b="466725"/>
                      <wp:wrapNone/>
                      <wp:docPr id="21" name="圆角矩形标注 21"/>
                      <wp:cNvGraphicFramePr/>
                      <a:graphic xmlns:a="http://schemas.openxmlformats.org/drawingml/2006/main">
                        <a:graphicData uri="http://schemas.microsoft.com/office/word/2010/wordprocessingShape">
                          <wps:wsp>
                            <wps:cNvSpPr/>
                            <wps:spPr>
                              <a:xfrm>
                                <a:off x="3262630" y="5337175"/>
                                <a:ext cx="1151255" cy="346075"/>
                              </a:xfrm>
                              <a:prstGeom prst="wedgeRoundRectCallout">
                                <a:avLst>
                                  <a:gd name="adj1" fmla="val 80667"/>
                                  <a:gd name="adj2" fmla="val 175137"/>
                                  <a:gd name="adj3" fmla="val 16667"/>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B6A3413">
                                  <w:pPr>
                                    <w:spacing w:line="240" w:lineRule="auto"/>
                                    <w:ind w:firstLine="0" w:firstLineChars="0"/>
                                    <w:jc w:val="both"/>
                                    <w:rPr>
                                      <w:rFonts w:hint="default" w:eastAsia="宋体"/>
                                      <w:lang w:val="en-US" w:eastAsia="zh-CN"/>
                                    </w:rPr>
                                  </w:pPr>
                                  <w:r>
                                    <w:rPr>
                                      <w:rFonts w:hint="eastAsia"/>
                                      <w:lang w:val="en-US" w:eastAsia="zh-CN"/>
                                    </w:rPr>
                                    <w:t>本项目所在地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02.95pt;margin-top:358.2pt;height:27.25pt;width:90.65pt;z-index:251660288;v-text-anchor:middle;mso-width-relative:page;mso-height-relative:page;" filled="f" stroked="t" coordsize="21600,21600" o:gfxdata="UEsDBAoAAAAAAIdO4kAAAAAAAAAAAAAAAAAEAAAAZHJzL1BLAwQUAAAACACHTuJAZSx4lNoAAAAL&#10;AQAADwAAAGRycy9kb3ducmV2LnhtbE2PwU7DMAyG70i8Q2QkLoglLaPdStNpMCFuSOvgnjamqWic&#10;qsm68fYLJzja/vT7+8vN2Q5sxsn3jiQkCwEMqXW6p07Cx+H1fgXMB0VaDY5Qwg962FTXV6UqtDvR&#10;Huc6dCyGkC+UBBPCWHDuW4NW+YUbkeLty01WhThOHdeTOsVwO/BUiIxb1VP8YNSILwbb7/poJQyf&#10;S7Pb981zVs/vWc3t9u7tsJXy9iYRT8ACnsMfDL/6UR2q6NS4I2nPBgmpeFxHVEKeZEtgkXhY5Smw&#10;Jm5ysQZelfx/h+oCUEsDBBQAAAAIAIdO4kA6R0BezAIAAHcFAAAOAAAAZHJzL2Uyb0RvYy54bWyt&#10;VE1vEzEQvSPxHyzfabKbrxJ1U0WJgpAqWrUgzo7Xm13kj8V2sik/AO6ckUBcgDNnfk4LP4Pn3W2b&#10;lh56IAdnvDN+M++NxweHWyXJRlhXGJ3QaK9LidDcpIVeJfTVy8WTfUqcZzpl0miR0HPh6OHk8aOD&#10;qhyL2ORGpsISgGg3rsqE5t6X407H8Vwo5vZMKTScmbGKeWztqpNaVgFdyU7c7Q47lbFpaQ0XzuHr&#10;vHHSFtE+BNBkWcHF3PC1Eto3qFZI5kHJ5UXp6KSuNssE98dZ5oQnMqFg6usVSWAvw9qZHLDxyrIy&#10;L3hbAntICXc4KVZoJL2GmjPPyNoW/0CpglvjTOb3uFGdhkitCFhE3TvanOWsFDUXSO3Ka9Hd/4Pl&#10;LzYnlhRpQuOIEs0UOn7x6f2fbx9/f/5x8evr5ZcPlz+/EzihVFW6MQ6clSe23TmYgfY2syr8gxDZ&#10;JrQXD+NhDxqfJ3TQ642i0aBRWmw94QiIokEUDwaUcET0+sNuE9C5QSqt88+EUSQYCa1EuhKnZq3T&#10;U/R0xqQ0a18rzjZHztfSp239LH0DLpmS6OSGSbLfHQ5Hbad3YuLdGFQY9e4J6t0KGrZAqLNNC+uq&#10;0lCDNotCyvpSSU0qEI1HXejAGSYlww2FqUqo7fSKEiZXGEHubU3EGVmk4XgAcna1nElLUH9CF4su&#10;foEB0t0KC7nnzOVNXO1qiKrCY0ploRK6Hw5fnZYaIKGPTeeC5bfLbdvOpUnPcR2saebElXxRIMMR&#10;c/6EWcgJKng6/DGWTBrwM61FSW7su/u+h3jcV3gpqTBo4P52zaygRD7XuMlPo34fsL7e9AejGBu7&#10;61nuevRazQwkQYNRXW2GeC+vzMwa9RovzDRkhYtpjtyNyu1m5psHAG8UF9NpHYZpLJk/0mclD+BN&#10;L6drb7LCB92DUI067QbzWLejfTvCwO/u66ib93Ly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GUs&#10;eJTaAAAACwEAAA8AAAAAAAAAAQAgAAAAIgAAAGRycy9kb3ducmV2LnhtbFBLAQIUABQAAAAIAIdO&#10;4kA6R0BezAIAAHcFAAAOAAAAAAAAAAEAIAAAACkBAABkcnMvZTJvRG9jLnhtbFBLBQYAAAAABgAG&#10;AFkBAABnBgAAAAA=&#10;" adj="28224,48630,14400">
                      <v:fill on="f" focussize="0,0"/>
                      <v:stroke weight="1pt" color="#FF0000 [2404]" miterlimit="8" joinstyle="miter"/>
                      <v:imagedata o:title=""/>
                      <o:lock v:ext="edit" aspectratio="f"/>
                      <v:textbox>
                        <w:txbxContent>
                          <w:p w14:paraId="1B6A3413">
                            <w:pPr>
                              <w:spacing w:line="240" w:lineRule="auto"/>
                              <w:ind w:firstLine="0" w:firstLineChars="0"/>
                              <w:jc w:val="both"/>
                              <w:rPr>
                                <w:rFonts w:hint="default" w:eastAsia="宋体"/>
                                <w:lang w:val="en-US" w:eastAsia="zh-CN"/>
                              </w:rPr>
                            </w:pPr>
                            <w:r>
                              <w:rPr>
                                <w:rFonts w:hint="eastAsia"/>
                                <w:lang w:val="en-US" w:eastAsia="zh-CN"/>
                              </w:rPr>
                              <w:t>本项目所在地</w:t>
                            </w:r>
                          </w:p>
                        </w:txbxContent>
                      </v:textbox>
                    </v:shape>
                  </w:pict>
                </mc:Fallback>
              </mc:AlternateContent>
            </w:r>
            <w:r>
              <w:rPr>
                <w:rFonts w:hint="eastAsia" w:ascii="Times New Roman" w:hAnsi="Times New Roman"/>
                <w:color w:val="auto"/>
                <w:lang w:val="en-US" w:eastAsia="zh-CN"/>
              </w:rPr>
              <w:drawing>
                <wp:inline distT="0" distB="0" distL="114300" distR="114300">
                  <wp:extent cx="5208905" cy="7364730"/>
                  <wp:effectExtent l="0" t="0" r="10795" b="7620"/>
                  <wp:docPr id="2" name="图片 7" descr="c1c9135aa2814ad00f7e7613768edf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c1c9135aa2814ad00f7e7613768edf23"/>
                          <pic:cNvPicPr>
                            <a:picLocks noChangeAspect="1"/>
                          </pic:cNvPicPr>
                        </pic:nvPicPr>
                        <pic:blipFill>
                          <a:blip r:embed="rId19"/>
                          <a:stretch>
                            <a:fillRect/>
                          </a:stretch>
                        </pic:blipFill>
                        <pic:spPr>
                          <a:xfrm>
                            <a:off x="0" y="0"/>
                            <a:ext cx="5208905" cy="7364730"/>
                          </a:xfrm>
                          <a:prstGeom prst="rect">
                            <a:avLst/>
                          </a:prstGeom>
                          <a:noFill/>
                          <a:ln>
                            <a:noFill/>
                          </a:ln>
                        </pic:spPr>
                      </pic:pic>
                    </a:graphicData>
                  </a:graphic>
                </wp:inline>
              </w:drawing>
            </w:r>
          </w:p>
          <w:p w14:paraId="594FD529">
            <w:pPr>
              <w:pStyle w:val="78"/>
              <w:bidi w:val="0"/>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rPr>
              <w:t>图</w:t>
            </w:r>
            <w:r>
              <w:rPr>
                <w:rFonts w:hint="default" w:ascii="Times New Roman" w:hAnsi="Times New Roman" w:eastAsia="宋体" w:cs="Times New Roman"/>
                <w:b/>
                <w:bCs/>
                <w:color w:val="auto"/>
                <w:highlight w:val="none"/>
                <w:lang w:val="en-US" w:eastAsia="zh-CN"/>
              </w:rPr>
              <w:t>1-3</w:t>
            </w:r>
            <w:r>
              <w:rPr>
                <w:rFonts w:hint="default" w:ascii="Times New Roman" w:hAnsi="Times New Roman" w:eastAsia="宋体" w:cs="Times New Roman"/>
                <w:b/>
                <w:bCs/>
                <w:color w:val="auto"/>
                <w:highlight w:val="none"/>
              </w:rPr>
              <w:t xml:space="preserve"> </w:t>
            </w:r>
            <w:r>
              <w:rPr>
                <w:rFonts w:hint="default" w:ascii="Times New Roman" w:hAnsi="Times New Roman" w:eastAsia="宋体" w:cs="Times New Roman"/>
                <w:b/>
                <w:bCs/>
                <w:color w:val="auto"/>
                <w:highlight w:val="none"/>
                <w:lang w:val="en-US" w:eastAsia="zh-CN"/>
              </w:rPr>
              <w:t>项目与巴中市域生态保护红线关系图</w:t>
            </w:r>
          </w:p>
          <w:p w14:paraId="70E8DE90"/>
          <w:p w14:paraId="764FF469"/>
          <w:p w14:paraId="05654C81">
            <w:pPr>
              <w:ind w:firstLine="0" w:firstLineChars="0"/>
            </w:pPr>
          </w:p>
          <w:p w14:paraId="3D1DD541">
            <w:pPr>
              <w:keepNext/>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234305" cy="3754120"/>
                  <wp:effectExtent l="0" t="0" r="4445" b="1778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0"/>
                          <a:stretch>
                            <a:fillRect/>
                          </a:stretch>
                        </pic:blipFill>
                        <pic:spPr>
                          <a:xfrm>
                            <a:off x="0" y="0"/>
                            <a:ext cx="5234305" cy="3754120"/>
                          </a:xfrm>
                          <a:prstGeom prst="rect">
                            <a:avLst/>
                          </a:prstGeom>
                        </pic:spPr>
                      </pic:pic>
                    </a:graphicData>
                  </a:graphic>
                </wp:inline>
              </w:drawing>
            </w:r>
          </w:p>
          <w:p w14:paraId="247C4AA9">
            <w:pPr>
              <w:pStyle w:val="12"/>
              <w:rPr>
                <w:rFonts w:hint="eastAsia" w:eastAsia="宋体" w:cs="Times New Roman"/>
                <w:color w:val="000000" w:themeColor="text1"/>
                <w:lang w:eastAsia="zh-CN"/>
                <w14:textFill>
                  <w14:solidFill>
                    <w14:schemeClr w14:val="tx1"/>
                  </w14:solidFill>
                </w14:textFill>
              </w:rPr>
            </w:pPr>
            <w:r>
              <w:rPr>
                <w:color w:val="000000" w:themeColor="text1"/>
                <w:sz w:val="2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3094990</wp:posOffset>
                      </wp:positionH>
                      <wp:positionV relativeFrom="paragraph">
                        <wp:posOffset>310515</wp:posOffset>
                      </wp:positionV>
                      <wp:extent cx="1090930" cy="346710"/>
                      <wp:effectExtent l="490855" t="6350" r="18415" b="408940"/>
                      <wp:wrapNone/>
                      <wp:docPr id="19" name="矩形标注 19"/>
                      <wp:cNvGraphicFramePr/>
                      <a:graphic xmlns:a="http://schemas.openxmlformats.org/drawingml/2006/main">
                        <a:graphicData uri="http://schemas.microsoft.com/office/word/2010/wordprocessingShape">
                          <wps:wsp>
                            <wps:cNvSpPr/>
                            <wps:spPr>
                              <a:xfrm>
                                <a:off x="4833620" y="5188585"/>
                                <a:ext cx="1090930" cy="346710"/>
                              </a:xfrm>
                              <a:prstGeom prst="wedgeRectCallout">
                                <a:avLst>
                                  <a:gd name="adj1" fmla="val -90745"/>
                                  <a:gd name="adj2" fmla="val 159890"/>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EFF1B61">
                                  <w:pPr>
                                    <w:ind w:left="0" w:leftChars="0" w:firstLine="0" w:firstLineChars="0"/>
                                    <w:jc w:val="both"/>
                                    <w:rPr>
                                      <w:rFonts w:hint="default" w:eastAsia="宋体"/>
                                      <w:color w:val="FF0000"/>
                                      <w:sz w:val="21"/>
                                      <w:szCs w:val="20"/>
                                      <w:lang w:val="en-US" w:eastAsia="zh-CN"/>
                                    </w:rPr>
                                  </w:pPr>
                                  <w:r>
                                    <w:rPr>
                                      <w:rFonts w:hint="eastAsia"/>
                                      <w:color w:val="FF0000"/>
                                      <w:sz w:val="21"/>
                                      <w:szCs w:val="20"/>
                                      <w:lang w:val="en-US" w:eastAsia="zh-CN"/>
                                    </w:rPr>
                                    <w:t>本项目所在地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43.7pt;margin-top:24.45pt;height:27.3pt;width:85.9pt;z-index:251659264;v-text-anchor:middle;mso-width-relative:page;mso-height-relative:page;" filled="f" stroked="t" coordsize="21600,21600" o:gfxdata="UEsDBAoAAAAAAIdO4kAAAAAAAAAAAAAAAAAEAAAAZHJzL1BLAwQUAAAACACHTuJAMt/lJNgAAAAK&#10;AQAADwAAAGRycy9kb3ducmV2LnhtbE2PwU6DQBCG7ya+w2ZMvNmlSCtFlqap0YuntiZeF3YEUnYW&#10;2S3g2zs96W0m8+Wf78+3s+3EiINvHSlYLiIQSJUzLdUKPk6vDykIHzQZ3TlCBT/oYVvc3uQ6M26i&#10;A47HUAsOIZ9pBU0IfSalrxq02i9cj8S3LzdYHXgdamkGPXG47WQcRWtpdUv8odE97huszseLVfCe&#10;VuNu9x3vP9s5Ob8dppMr8UWp+7tl9Awi4Bz+YLjqszoU7FS6CxkvOgVJ+pQweh02IBhYrzYxiJLJ&#10;6HEFssjl/wrFL1BLAwQUAAAACACHTuJA5ALpN7kCAABJBQAADgAAAGRycy9lMm9Eb2MueG1srVTN&#10;bhMxEL4j8Q6W7+3u5qfZRN1UUaIgpIpWFMTZ8Xp3jfyH7WRTXoDHAHGCM2ceh/IajL2bNhQOHMjB&#10;mdkZfzPzzYzPL/ZSoB2zjmtV4Ow0xYgpqkuu6gK/frU+yTFynqiSCK1YgW+Zwxfzp0/OWzNjA91o&#10;UTKLAES5WWsK3HhvZkniaMMkcafaMAXGSltJPKi2TkpLWkCXIhmk6VnSalsaqylzDr6uOiPuEe2/&#10;AOqq4pStNN1KpnyHapkgHkpyDTcOz2O2VcWov6oqxzwSBYZKfTwhCMibcCbzczKrLTENp30K5F9S&#10;eFSTJFxB0HuoFfEEbS3/A0pyarXTlT+lWiZdIZERqCJLH3Fz0xDDYi1AtTP3pLv/B0tf7K4t4iVM&#10;whQjRSR0/OfHrz++f7779OHu2xcEn4Gj1rgZuN6Ya9trDsRQ8L6yMvxDKWhf4FE+HJ4NgN3bAo+z&#10;PB/n445jtveIgkOWTtPpEBwoeAxHZ5MsNiF5QDLW+WdMSxSEAresrNlLaOSSCKG3PtJMdpfOR77L&#10;PmlSvs0wqqSA9u2IQCfTdDLqY9dHToNjp2w8zaeH+D0mZHLIIARQes2FiGMiFGqhgMEkDekTmP0K&#10;Zg5EaYA/p2qMiKhhqai3MUunBS/D9QDkbL1ZCosguQKv1yn8AjMQ7je3EHtFXNP5RVNHoOQe9k5w&#10;WeA8XD7cFgpAQn+6jgTJ7zf7vk0bXd5Cg63uJt8ZuuYQ4ZI4f00scAWlwGPgr+CohIb6dC9h1Gj7&#10;/m/fgz9MIFgxamF1oPZ3W2IZRuK5gtmcZqMRwPqojMaTMA722LI5tqitXGqgBLoH2UUx+HtxECur&#10;5Rt4MxYhKpiIohC7Y7lXlr5baXh1KFssohvslyH+Ut0YGsC7Xi62XlfcB94DUR07vQIbFtvRvwZh&#10;hY/16PXwAs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DLf5STYAAAACgEAAA8AAAAAAAAAAQAg&#10;AAAAIgAAAGRycy9kb3ducmV2LnhtbFBLAQIUABQAAAAIAIdO4kDkAuk3uQIAAEkFAAAOAAAAAAAA&#10;AAEAIAAAACcBAABkcnMvZTJvRG9jLnhtbFBLBQYAAAAABgAGAFkBAABSBgAAAAA=&#10;" adj="-8801,45336">
                      <v:fill on="f" focussize="0,0"/>
                      <v:stroke weight="1pt" color="#FF0000 [2404]" miterlimit="8" joinstyle="miter"/>
                      <v:imagedata o:title=""/>
                      <o:lock v:ext="edit" aspectratio="f"/>
                      <v:textbox>
                        <w:txbxContent>
                          <w:p w14:paraId="1EFF1B61">
                            <w:pPr>
                              <w:ind w:left="0" w:leftChars="0" w:firstLine="0" w:firstLineChars="0"/>
                              <w:jc w:val="both"/>
                              <w:rPr>
                                <w:rFonts w:hint="default" w:eastAsia="宋体"/>
                                <w:color w:val="FF0000"/>
                                <w:sz w:val="21"/>
                                <w:szCs w:val="20"/>
                                <w:lang w:val="en-US" w:eastAsia="zh-CN"/>
                              </w:rPr>
                            </w:pPr>
                            <w:r>
                              <w:rPr>
                                <w:rFonts w:hint="eastAsia"/>
                                <w:color w:val="FF0000"/>
                                <w:sz w:val="21"/>
                                <w:szCs w:val="20"/>
                                <w:lang w:val="en-US" w:eastAsia="zh-CN"/>
                              </w:rPr>
                              <w:t>本项目所在地</w:t>
                            </w:r>
                          </w:p>
                        </w:txbxContent>
                      </v:textbox>
                    </v:shape>
                  </w:pict>
                </mc:Fallback>
              </mc:AlternateContent>
            </w:r>
            <w:r>
              <w:rPr>
                <w:rFonts w:hint="eastAsia" w:eastAsia="宋体" w:cs="Times New Roman"/>
                <w:color w:val="000000" w:themeColor="text1"/>
                <w:lang w:eastAsia="zh-CN"/>
                <w14:textFill>
                  <w14:solidFill>
                    <w14:schemeClr w14:val="tx1"/>
                  </w14:solidFill>
                </w14:textFill>
              </w:rPr>
              <w:drawing>
                <wp:inline distT="0" distB="0" distL="114300" distR="114300">
                  <wp:extent cx="5214620" cy="2346325"/>
                  <wp:effectExtent l="0" t="0" r="5080" b="15875"/>
                  <wp:docPr id="1" name="图片 1" descr="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地图"/>
                          <pic:cNvPicPr>
                            <a:picLocks noChangeAspect="1"/>
                          </pic:cNvPicPr>
                        </pic:nvPicPr>
                        <pic:blipFill>
                          <a:blip r:embed="rId21"/>
                          <a:stretch>
                            <a:fillRect/>
                          </a:stretch>
                        </pic:blipFill>
                        <pic:spPr>
                          <a:xfrm>
                            <a:off x="0" y="0"/>
                            <a:ext cx="5214620" cy="2346325"/>
                          </a:xfrm>
                          <a:prstGeom prst="rect">
                            <a:avLst/>
                          </a:prstGeom>
                        </pic:spPr>
                      </pic:pic>
                    </a:graphicData>
                  </a:graphic>
                </wp:inline>
              </w:drawing>
            </w:r>
          </w:p>
          <w:p w14:paraId="3C8AEB4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图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4</w:t>
            </w:r>
            <w:r>
              <w:rPr>
                <w:rFonts w:cs="Times New Roman"/>
                <w:color w:val="000000" w:themeColor="text1"/>
                <w14:textFill>
                  <w14:solidFill>
                    <w14:schemeClr w14:val="tx1"/>
                  </w14:solidFill>
                </w14:textFill>
              </w:rPr>
              <w:t xml:space="preserve"> 本项目与管控单元相对位置图</w:t>
            </w:r>
          </w:p>
          <w:p w14:paraId="032E38B9">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（2）与巴中市及</w:t>
            </w:r>
            <w:r>
              <w:rPr>
                <w:rFonts w:hint="eastAsia" w:cs="Times New Roman"/>
                <w:b/>
                <w:color w:val="000000" w:themeColor="text1"/>
                <w14:textFill>
                  <w14:solidFill>
                    <w14:schemeClr w14:val="tx1"/>
                  </w14:solidFill>
                </w14:textFill>
              </w:rPr>
              <w:t>平昌县</w:t>
            </w:r>
            <w:r>
              <w:rPr>
                <w:rFonts w:cs="Times New Roman"/>
                <w:b/>
                <w:color w:val="000000" w:themeColor="text1"/>
                <w14:textFill>
                  <w14:solidFill>
                    <w14:schemeClr w14:val="tx1"/>
                  </w14:solidFill>
                </w14:textFill>
              </w:rPr>
              <w:t>总体生态环境管控要求符合性分析</w:t>
            </w:r>
          </w:p>
          <w:p w14:paraId="04664A1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根据《巴中市生态环境保护委员会办公室关于加强生态环境分区管控的通知》（</w:t>
            </w:r>
            <w:r>
              <w:rPr>
                <w:rFonts w:cs="Times New Roman"/>
                <w:color w:val="000000" w:themeColor="text1"/>
                <w:szCs w:val="24"/>
                <w14:textFill>
                  <w14:solidFill>
                    <w14:schemeClr w14:val="tx1"/>
                  </w14:solidFill>
                </w14:textFill>
              </w:rPr>
              <w:t>巴环委办〔2024〕3号</w:t>
            </w:r>
            <w:r>
              <w:rPr>
                <w:rFonts w:cs="Times New Roman"/>
                <w:color w:val="000000" w:themeColor="text1"/>
                <w14:textFill>
                  <w14:solidFill>
                    <w14:schemeClr w14:val="tx1"/>
                  </w14:solidFill>
                </w14:textFill>
              </w:rPr>
              <w:t>），项目与巴中市及</w:t>
            </w:r>
            <w:r>
              <w:rPr>
                <w:rFonts w:hint="eastAsia" w:cs="Times New Roman"/>
                <w:color w:val="000000" w:themeColor="text1"/>
                <w:lang w:val="en-US" w:eastAsia="zh-CN"/>
                <w14:textFill>
                  <w14:solidFill>
                    <w14:schemeClr w14:val="tx1"/>
                  </w14:solidFill>
                </w14:textFill>
              </w:rPr>
              <w:t>平昌县</w:t>
            </w:r>
            <w:r>
              <w:rPr>
                <w:rFonts w:cs="Times New Roman"/>
                <w:color w:val="000000" w:themeColor="text1"/>
                <w14:textFill>
                  <w14:solidFill>
                    <w14:schemeClr w14:val="tx1"/>
                  </w14:solidFill>
                </w14:textFill>
              </w:rPr>
              <w:t>总体生态环境管控要求符合性分析如下：</w:t>
            </w:r>
          </w:p>
          <w:p w14:paraId="1402EDF3">
            <w:pPr>
              <w:pStyle w:val="12"/>
              <w:keepNext/>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表</w:t>
            </w:r>
            <w:r>
              <w:rPr>
                <w:rFonts w:hint="eastAsia" w:cs="Times New Roman"/>
                <w:color w:val="000000" w:themeColor="text1"/>
                <w:szCs w:val="21"/>
                <w:lang w:val="en-US" w:eastAsia="zh-CN"/>
                <w14:textFill>
                  <w14:solidFill>
                    <w14:schemeClr w14:val="tx1"/>
                  </w14:solidFill>
                </w14:textFill>
              </w:rPr>
              <w:t>1</w:t>
            </w:r>
            <w:r>
              <w:rPr>
                <w:rFonts w:cs="Times New Roman"/>
                <w:color w:val="000000" w:themeColor="text1"/>
                <w:szCs w:val="21"/>
                <w14:textFill>
                  <w14:solidFill>
                    <w14:schemeClr w14:val="tx1"/>
                  </w14:solidFill>
                </w14:textFill>
              </w:rPr>
              <w:noBreakHyphen/>
            </w:r>
            <w:r>
              <w:rPr>
                <w:rFonts w:cs="Times New Roman"/>
                <w:color w:val="000000" w:themeColor="text1"/>
                <w:szCs w:val="21"/>
                <w14:textFill>
                  <w14:solidFill>
                    <w14:schemeClr w14:val="tx1"/>
                  </w14:solidFill>
                </w14:textFill>
              </w:rPr>
              <w:fldChar w:fldCharType="begin"/>
            </w:r>
            <w:r>
              <w:rPr>
                <w:rFonts w:cs="Times New Roman"/>
                <w:color w:val="000000" w:themeColor="text1"/>
                <w:szCs w:val="21"/>
                <w14:textFill>
                  <w14:solidFill>
                    <w14:schemeClr w14:val="tx1"/>
                  </w14:solidFill>
                </w14:textFill>
              </w:rPr>
              <w:instrText xml:space="preserve"> SEQ 表 \* ARABIC \s 1 </w:instrText>
            </w:r>
            <w:r>
              <w:rPr>
                <w:rFonts w:cs="Times New Roman"/>
                <w:color w:val="000000" w:themeColor="text1"/>
                <w:szCs w:val="21"/>
                <w14:textFill>
                  <w14:solidFill>
                    <w14:schemeClr w14:val="tx1"/>
                  </w14:solidFill>
                </w14:textFill>
              </w:rPr>
              <w:fldChar w:fldCharType="separate"/>
            </w:r>
            <w:r>
              <w:rPr>
                <w:rFonts w:cs="Times New Roman"/>
                <w:color w:val="000000" w:themeColor="text1"/>
                <w:szCs w:val="21"/>
                <w14:textFill>
                  <w14:solidFill>
                    <w14:schemeClr w14:val="tx1"/>
                  </w14:solidFill>
                </w14:textFill>
              </w:rPr>
              <w:t>4</w:t>
            </w:r>
            <w:r>
              <w:rPr>
                <w:rFonts w:cs="Times New Roman"/>
                <w:color w:val="000000" w:themeColor="text1"/>
                <w:szCs w:val="21"/>
                <w14:textFill>
                  <w14:solidFill>
                    <w14:schemeClr w14:val="tx1"/>
                  </w14:solidFill>
                </w14:textFill>
              </w:rPr>
              <w:fldChar w:fldCharType="end"/>
            </w:r>
            <w:r>
              <w:rPr>
                <w:rFonts w:hint="eastAsia" w:cs="Times New Roman"/>
                <w:color w:val="000000" w:themeColor="text1"/>
                <w:szCs w:val="21"/>
                <w:lang w:val="en-US" w:eastAsia="zh-CN"/>
                <w14:textFill>
                  <w14:solidFill>
                    <w14:schemeClr w14:val="tx1"/>
                  </w14:solidFill>
                </w14:textFill>
              </w:rPr>
              <w:t xml:space="preserve">  </w:t>
            </w:r>
            <w:r>
              <w:rPr>
                <w:rFonts w:cs="Times New Roman"/>
                <w:color w:val="000000" w:themeColor="text1"/>
                <w:sz w:val="21"/>
                <w:szCs w:val="21"/>
                <w14:textFill>
                  <w14:solidFill>
                    <w14:schemeClr w14:val="tx1"/>
                  </w14:solidFill>
                </w14:textFill>
              </w:rPr>
              <w:t>与巴中市及</w:t>
            </w:r>
            <w:r>
              <w:rPr>
                <w:rFonts w:hint="eastAsia" w:cs="Times New Roman"/>
                <w:color w:val="000000" w:themeColor="text1"/>
                <w:sz w:val="21"/>
                <w:szCs w:val="21"/>
                <w:lang w:val="en-US" w:eastAsia="zh-CN"/>
                <w14:textFill>
                  <w14:solidFill>
                    <w14:schemeClr w14:val="tx1"/>
                  </w14:solidFill>
                </w14:textFill>
              </w:rPr>
              <w:t>平昌县</w:t>
            </w:r>
            <w:r>
              <w:rPr>
                <w:rFonts w:cs="Times New Roman"/>
                <w:color w:val="000000" w:themeColor="text1"/>
                <w:sz w:val="21"/>
                <w:szCs w:val="21"/>
                <w14:textFill>
                  <w14:solidFill>
                    <w14:schemeClr w14:val="tx1"/>
                  </w14:solidFill>
                </w14:textFill>
              </w:rPr>
              <w:t>总体生态环境管控要求符合性分析表</w:t>
            </w:r>
          </w:p>
          <w:tbl>
            <w:tblPr>
              <w:tblStyle w:val="29"/>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3755"/>
              <w:gridCol w:w="2482"/>
              <w:gridCol w:w="889"/>
            </w:tblGrid>
            <w:tr w14:paraId="555A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shd w:val="clear" w:color="auto" w:fill="auto"/>
                  <w:vAlign w:val="center"/>
                </w:tcPr>
                <w:p w14:paraId="392BCBF2">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行政区划</w:t>
                  </w:r>
                </w:p>
              </w:tc>
              <w:tc>
                <w:tcPr>
                  <w:tcW w:w="4131" w:type="dxa"/>
                  <w:shd w:val="clear" w:color="auto" w:fill="auto"/>
                  <w:vAlign w:val="center"/>
                </w:tcPr>
                <w:p w14:paraId="603BD615">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总体管控要求</w:t>
                  </w:r>
                </w:p>
              </w:tc>
              <w:tc>
                <w:tcPr>
                  <w:tcW w:w="2705" w:type="dxa"/>
                  <w:shd w:val="clear" w:color="auto" w:fill="auto"/>
                  <w:vAlign w:val="center"/>
                </w:tcPr>
                <w:p w14:paraId="7290D54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945" w:type="dxa"/>
                  <w:shd w:val="clear" w:color="auto" w:fill="auto"/>
                  <w:vAlign w:val="center"/>
                </w:tcPr>
                <w:p w14:paraId="39538D24">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1BC0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restart"/>
                  <w:shd w:val="clear" w:color="auto" w:fill="auto"/>
                  <w:vAlign w:val="center"/>
                </w:tcPr>
                <w:p w14:paraId="09BA4F6D">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巴中市</w:t>
                  </w:r>
                </w:p>
              </w:tc>
              <w:tc>
                <w:tcPr>
                  <w:tcW w:w="4131" w:type="dxa"/>
                  <w:shd w:val="clear" w:color="auto" w:fill="auto"/>
                  <w:vAlign w:val="center"/>
                </w:tcPr>
                <w:p w14:paraId="4B85CD0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1.培育和引入产业必须符合国家产业政策，严控新建</w:t>
                  </w:r>
                  <w:r>
                    <w:rPr>
                      <w:rFonts w:hint="eastAsia" w:ascii="宋体" w:hAnsi="宋体" w:eastAsia="宋体" w:cs="宋体"/>
                      <w:color w:val="000000" w:themeColor="text1"/>
                      <w14:textFill>
                        <w14:solidFill>
                          <w14:schemeClr w14:val="tx1"/>
                        </w14:solidFill>
                      </w14:textFill>
                    </w:rPr>
                    <w:t>、扩建“两高”项</w:t>
                  </w:r>
                  <w:r>
                    <w:rPr>
                      <w:rFonts w:cs="Times New Roman"/>
                      <w:color w:val="000000" w:themeColor="text1"/>
                      <w14:textFill>
                        <w14:solidFill>
                          <w14:schemeClr w14:val="tx1"/>
                        </w14:solidFill>
                      </w14:textFill>
                    </w:rPr>
                    <w:t>目，强化企业环境管理；</w:t>
                  </w:r>
                </w:p>
              </w:tc>
              <w:tc>
                <w:tcPr>
                  <w:tcW w:w="2705" w:type="dxa"/>
                  <w:shd w:val="clear" w:color="auto" w:fill="auto"/>
                  <w:vAlign w:val="center"/>
                </w:tcPr>
                <w:p w14:paraId="6716995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符合国家产业政策，不属</w:t>
                  </w:r>
                  <w:r>
                    <w:rPr>
                      <w:rFonts w:hint="eastAsia" w:ascii="宋体" w:hAnsi="宋体" w:eastAsia="宋体" w:cs="宋体"/>
                      <w:color w:val="000000" w:themeColor="text1"/>
                      <w14:textFill>
                        <w14:solidFill>
                          <w14:schemeClr w14:val="tx1"/>
                        </w14:solidFill>
                      </w14:textFill>
                    </w:rPr>
                    <w:t>于“两高”项目</w:t>
                  </w:r>
                  <w:r>
                    <w:rPr>
                      <w:rFonts w:cs="Times New Roman"/>
                      <w:color w:val="000000" w:themeColor="text1"/>
                      <w14:textFill>
                        <w14:solidFill>
                          <w14:schemeClr w14:val="tx1"/>
                        </w14:solidFill>
                      </w14:textFill>
                    </w:rPr>
                    <w:t>。</w:t>
                  </w:r>
                </w:p>
              </w:tc>
              <w:tc>
                <w:tcPr>
                  <w:tcW w:w="945" w:type="dxa"/>
                  <w:shd w:val="clear" w:color="auto" w:fill="auto"/>
                  <w:vAlign w:val="center"/>
                </w:tcPr>
                <w:p w14:paraId="6905BA14">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7573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450CA09A">
                  <w:pPr>
                    <w:pStyle w:val="13"/>
                    <w:rPr>
                      <w:rFonts w:cs="Times New Roman"/>
                      <w:bCs/>
                      <w:color w:val="000000" w:themeColor="text1"/>
                      <w14:textFill>
                        <w14:solidFill>
                          <w14:schemeClr w14:val="tx1"/>
                        </w14:solidFill>
                      </w14:textFill>
                    </w:rPr>
                  </w:pPr>
                </w:p>
              </w:tc>
              <w:tc>
                <w:tcPr>
                  <w:tcW w:w="4131" w:type="dxa"/>
                  <w:shd w:val="clear" w:color="auto" w:fill="auto"/>
                  <w:vAlign w:val="center"/>
                </w:tcPr>
                <w:p w14:paraId="107A177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2.强化水、大气、土壤等污染源头管控，深化环境污染治理，完善污染治理基础设施，巩固提升环境质量；</w:t>
                  </w:r>
                </w:p>
              </w:tc>
              <w:tc>
                <w:tcPr>
                  <w:tcW w:w="2705" w:type="dxa"/>
                  <w:shd w:val="clear" w:color="auto" w:fill="auto"/>
                  <w:vAlign w:val="center"/>
                </w:tcPr>
                <w:p w14:paraId="36E2790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针对水、大气、土壤等污染均提出了明确的措施。</w:t>
                  </w:r>
                </w:p>
              </w:tc>
              <w:tc>
                <w:tcPr>
                  <w:tcW w:w="945" w:type="dxa"/>
                  <w:shd w:val="clear" w:color="auto" w:fill="auto"/>
                  <w:vAlign w:val="center"/>
                </w:tcPr>
                <w:p w14:paraId="29492096">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1D66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7C31F564">
                  <w:pPr>
                    <w:pStyle w:val="13"/>
                    <w:rPr>
                      <w:rFonts w:cs="Times New Roman"/>
                      <w:bCs/>
                      <w:color w:val="000000" w:themeColor="text1"/>
                      <w14:textFill>
                        <w14:solidFill>
                          <w14:schemeClr w14:val="tx1"/>
                        </w14:solidFill>
                      </w14:textFill>
                    </w:rPr>
                  </w:pPr>
                </w:p>
              </w:tc>
              <w:tc>
                <w:tcPr>
                  <w:tcW w:w="4131" w:type="dxa"/>
                  <w:shd w:val="clear" w:color="auto" w:fill="auto"/>
                  <w:vAlign w:val="center"/>
                </w:tcPr>
                <w:p w14:paraId="23A00B0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3.合理控制并优化生态环境敏感区内的旅游开发建设活动，合理开发利用水利资源，大力发展生态康养旅游产业。严格落实自然保护地、生态保护红线、集中式饮用水水源保护区等管控要求；</w:t>
                  </w:r>
                </w:p>
              </w:tc>
              <w:tc>
                <w:tcPr>
                  <w:tcW w:w="2705" w:type="dxa"/>
                  <w:shd w:val="clear" w:color="auto" w:fill="auto"/>
                  <w:vAlign w:val="center"/>
                </w:tcPr>
                <w:p w14:paraId="4DD384E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不涉及自然保护地、生态保护红线、集中式饮用水水源保护区等生态环境敏感区。</w:t>
                  </w:r>
                </w:p>
              </w:tc>
              <w:tc>
                <w:tcPr>
                  <w:tcW w:w="945" w:type="dxa"/>
                  <w:shd w:val="clear" w:color="auto" w:fill="auto"/>
                  <w:vAlign w:val="center"/>
                </w:tcPr>
                <w:p w14:paraId="469D58D8">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4A83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7657C159">
                  <w:pPr>
                    <w:pStyle w:val="13"/>
                    <w:rPr>
                      <w:rFonts w:cs="Times New Roman"/>
                      <w:bCs/>
                      <w:color w:val="000000" w:themeColor="text1"/>
                      <w14:textFill>
                        <w14:solidFill>
                          <w14:schemeClr w14:val="tx1"/>
                        </w14:solidFill>
                      </w14:textFill>
                    </w:rPr>
                  </w:pPr>
                </w:p>
              </w:tc>
              <w:tc>
                <w:tcPr>
                  <w:tcW w:w="4131" w:type="dxa"/>
                  <w:shd w:val="clear" w:color="auto" w:fill="auto"/>
                  <w:vAlign w:val="center"/>
                </w:tcPr>
                <w:p w14:paraId="1FA16E7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4.加强农村环境综合治理，积极发展生态农业和有机农业，严格控制化肥、农药、农膜使用量，合理布局畜禽养殖，持续推进畜禽粪污综合利用；</w:t>
                  </w:r>
                </w:p>
              </w:tc>
              <w:tc>
                <w:tcPr>
                  <w:tcW w:w="2705" w:type="dxa"/>
                  <w:shd w:val="clear" w:color="auto" w:fill="auto"/>
                  <w:vAlign w:val="center"/>
                </w:tcPr>
                <w:p w14:paraId="0F16A95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不涉及畜禽养殖。</w:t>
                  </w:r>
                </w:p>
              </w:tc>
              <w:tc>
                <w:tcPr>
                  <w:tcW w:w="945" w:type="dxa"/>
                  <w:shd w:val="clear" w:color="auto" w:fill="auto"/>
                  <w:vAlign w:val="center"/>
                </w:tcPr>
                <w:p w14:paraId="736A27BE">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26B4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36D2DBBB">
                  <w:pPr>
                    <w:pStyle w:val="13"/>
                    <w:rPr>
                      <w:rFonts w:cs="Times New Roman"/>
                      <w:bCs/>
                      <w:color w:val="000000" w:themeColor="text1"/>
                      <w14:textFill>
                        <w14:solidFill>
                          <w14:schemeClr w14:val="tx1"/>
                        </w14:solidFill>
                      </w14:textFill>
                    </w:rPr>
                  </w:pPr>
                </w:p>
              </w:tc>
              <w:tc>
                <w:tcPr>
                  <w:tcW w:w="4131" w:type="dxa"/>
                  <w:shd w:val="clear" w:color="auto" w:fill="auto"/>
                  <w:vAlign w:val="center"/>
                </w:tcPr>
                <w:p w14:paraId="5244787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5.加强城乡集中式饮用水水源保护，确保饮用水水源安全；</w:t>
                  </w:r>
                </w:p>
              </w:tc>
              <w:tc>
                <w:tcPr>
                  <w:tcW w:w="2705" w:type="dxa"/>
                  <w:shd w:val="clear" w:color="auto" w:fill="auto"/>
                  <w:vAlign w:val="center"/>
                </w:tcPr>
                <w:p w14:paraId="27CD42E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不涉及饮用水水源地。</w:t>
                  </w:r>
                </w:p>
              </w:tc>
              <w:tc>
                <w:tcPr>
                  <w:tcW w:w="945" w:type="dxa"/>
                  <w:shd w:val="clear" w:color="auto" w:fill="auto"/>
                  <w:vAlign w:val="center"/>
                </w:tcPr>
                <w:p w14:paraId="088D103C">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1A77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7590EEF2">
                  <w:pPr>
                    <w:pStyle w:val="13"/>
                    <w:rPr>
                      <w:rFonts w:cs="Times New Roman"/>
                      <w:bCs/>
                      <w:color w:val="000000" w:themeColor="text1"/>
                      <w14:textFill>
                        <w14:solidFill>
                          <w14:schemeClr w14:val="tx1"/>
                        </w14:solidFill>
                      </w14:textFill>
                    </w:rPr>
                  </w:pPr>
                </w:p>
              </w:tc>
              <w:tc>
                <w:tcPr>
                  <w:tcW w:w="4131" w:type="dxa"/>
                  <w:shd w:val="clear" w:color="auto" w:fill="auto"/>
                  <w:vAlign w:val="center"/>
                </w:tcPr>
                <w:p w14:paraId="542BA13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6.加强与相邻省、市的环境风险联防联控。</w:t>
                  </w:r>
                </w:p>
              </w:tc>
              <w:tc>
                <w:tcPr>
                  <w:tcW w:w="2705" w:type="dxa"/>
                  <w:shd w:val="clear" w:color="auto" w:fill="auto"/>
                  <w:vAlign w:val="center"/>
                </w:tcPr>
                <w:p w14:paraId="28D58D9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在落实了环评提出的相关要求后，环境风险可控。</w:t>
                  </w:r>
                </w:p>
              </w:tc>
              <w:tc>
                <w:tcPr>
                  <w:tcW w:w="945" w:type="dxa"/>
                  <w:shd w:val="clear" w:color="auto" w:fill="auto"/>
                  <w:vAlign w:val="center"/>
                </w:tcPr>
                <w:p w14:paraId="23A5609A">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39DE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restart"/>
                  <w:shd w:val="clear" w:color="auto" w:fill="auto"/>
                  <w:vAlign w:val="center"/>
                </w:tcPr>
                <w:p w14:paraId="7D5E54E2">
                  <w:pPr>
                    <w:pStyle w:val="13"/>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平昌县</w:t>
                  </w:r>
                </w:p>
              </w:tc>
              <w:tc>
                <w:tcPr>
                  <w:tcW w:w="4131" w:type="dxa"/>
                  <w:shd w:val="clear" w:color="auto" w:fill="auto"/>
                  <w:vAlign w:val="center"/>
                </w:tcPr>
                <w:p w14:paraId="26EB5D3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14:textFill>
                        <w14:solidFill>
                          <w14:schemeClr w14:val="tx1"/>
                        </w14:solidFill>
                      </w14:textFill>
                    </w:rPr>
                    <w:t>统筹生态环境保护与经济社会发展的关系，落实农产品主产区的功能定位要求；</w:t>
                  </w:r>
                </w:p>
              </w:tc>
              <w:tc>
                <w:tcPr>
                  <w:tcW w:w="2705" w:type="dxa"/>
                  <w:vMerge w:val="restart"/>
                  <w:shd w:val="clear" w:color="auto" w:fill="auto"/>
                  <w:vAlign w:val="center"/>
                </w:tcPr>
                <w:p w14:paraId="2E63A4E1">
                  <w:pPr>
                    <w:pStyle w:val="13"/>
                    <w:rPr>
                      <w:rFonts w:hint="eastAsia" w:cs="Times New Roman"/>
                      <w:bCs/>
                      <w:color w:val="000000" w:themeColor="text1"/>
                      <w14:textFill>
                        <w14:solidFill>
                          <w14:schemeClr w14:val="tx1"/>
                        </w14:solidFill>
                      </w14:textFill>
                    </w:rPr>
                  </w:pPr>
                  <w:bookmarkStart w:id="17" w:name="OLE_LINK14"/>
                  <w:bookmarkStart w:id="18" w:name="OLE_LINK16"/>
                  <w:r>
                    <w:rPr>
                      <w:rFonts w:cs="Times New Roman"/>
                      <w:color w:val="000000" w:themeColor="text1"/>
                      <w14:textFill>
                        <w14:solidFill>
                          <w14:schemeClr w14:val="tx1"/>
                        </w14:solidFill>
                      </w14:textFill>
                    </w:rPr>
                    <w:t>针对水、大气、土壤等污染均提出了明确的措施</w:t>
                  </w:r>
                  <w:r>
                    <w:rPr>
                      <w:rFonts w:hint="eastAsia" w:cs="Times New Roman"/>
                      <w:color w:val="000000" w:themeColor="text1"/>
                      <w14:textFill>
                        <w14:solidFill>
                          <w14:schemeClr w14:val="tx1"/>
                        </w14:solidFill>
                      </w14:textFill>
                    </w:rPr>
                    <w:t>，不会对环境造成明显影响。</w:t>
                  </w:r>
                  <w:bookmarkEnd w:id="17"/>
                  <w:bookmarkEnd w:id="18"/>
                </w:p>
              </w:tc>
              <w:tc>
                <w:tcPr>
                  <w:tcW w:w="945" w:type="dxa"/>
                  <w:shd w:val="clear" w:color="auto" w:fill="auto"/>
                  <w:vAlign w:val="center"/>
                </w:tcPr>
                <w:p w14:paraId="3FB9116C">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7486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1C600D7E">
                  <w:pPr>
                    <w:pStyle w:val="13"/>
                    <w:rPr>
                      <w:rFonts w:cs="Times New Roman"/>
                      <w:bCs/>
                      <w:color w:val="000000" w:themeColor="text1"/>
                      <w14:textFill>
                        <w14:solidFill>
                          <w14:schemeClr w14:val="tx1"/>
                        </w14:solidFill>
                      </w14:textFill>
                    </w:rPr>
                  </w:pPr>
                </w:p>
              </w:tc>
              <w:tc>
                <w:tcPr>
                  <w:tcW w:w="4131" w:type="dxa"/>
                  <w:shd w:val="clear" w:color="auto" w:fill="auto"/>
                  <w:vAlign w:val="center"/>
                </w:tcPr>
                <w:p w14:paraId="2BF250F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w:t>
                  </w:r>
                  <w:r>
                    <w:rPr>
                      <w:rFonts w:hint="eastAsia" w:cs="Times New Roman"/>
                      <w:color w:val="000000" w:themeColor="text1"/>
                      <w14:textFill>
                        <w14:solidFill>
                          <w14:schemeClr w14:val="tx1"/>
                        </w14:solidFill>
                      </w14:textFill>
                    </w:rPr>
                    <w:t>持续推进流域水生态环境修复与治理，更加注重城乡生态环境保护基础设施建设与管理；</w:t>
                  </w:r>
                </w:p>
              </w:tc>
              <w:tc>
                <w:tcPr>
                  <w:tcW w:w="2705" w:type="dxa"/>
                  <w:vMerge w:val="continue"/>
                  <w:shd w:val="clear" w:color="auto" w:fill="auto"/>
                  <w:vAlign w:val="center"/>
                </w:tcPr>
                <w:p w14:paraId="0A183A45">
                  <w:pPr>
                    <w:pStyle w:val="13"/>
                    <w:rPr>
                      <w:rFonts w:cs="Times New Roman"/>
                      <w:bCs/>
                      <w:color w:val="000000" w:themeColor="text1"/>
                      <w14:textFill>
                        <w14:solidFill>
                          <w14:schemeClr w14:val="tx1"/>
                        </w14:solidFill>
                      </w14:textFill>
                    </w:rPr>
                  </w:pPr>
                </w:p>
              </w:tc>
              <w:tc>
                <w:tcPr>
                  <w:tcW w:w="945" w:type="dxa"/>
                  <w:shd w:val="clear" w:color="auto" w:fill="auto"/>
                  <w:vAlign w:val="center"/>
                </w:tcPr>
                <w:p w14:paraId="5E802130">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6810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55403A3B">
                  <w:pPr>
                    <w:pStyle w:val="13"/>
                    <w:rPr>
                      <w:rFonts w:cs="Times New Roman"/>
                      <w:bCs/>
                      <w:color w:val="000000" w:themeColor="text1"/>
                      <w14:textFill>
                        <w14:solidFill>
                          <w14:schemeClr w14:val="tx1"/>
                        </w14:solidFill>
                      </w14:textFill>
                    </w:rPr>
                  </w:pPr>
                </w:p>
              </w:tc>
              <w:tc>
                <w:tcPr>
                  <w:tcW w:w="4131" w:type="dxa"/>
                  <w:shd w:val="clear" w:color="auto" w:fill="auto"/>
                  <w:vAlign w:val="center"/>
                </w:tcPr>
                <w:p w14:paraId="1C06CEF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w:t>
                  </w:r>
                  <w:r>
                    <w:rPr>
                      <w:rFonts w:hint="eastAsia" w:cs="Times New Roman"/>
                      <w:color w:val="000000" w:themeColor="text1"/>
                      <w14:textFill>
                        <w14:solidFill>
                          <w14:schemeClr w14:val="tx1"/>
                        </w14:solidFill>
                      </w14:textFill>
                    </w:rPr>
                    <w:t>注重生态种养业发展，减少农药、农膜、化肥使用量，更加强化畜禽粪污综合利用；</w:t>
                  </w:r>
                </w:p>
              </w:tc>
              <w:tc>
                <w:tcPr>
                  <w:tcW w:w="2705" w:type="dxa"/>
                  <w:shd w:val="clear" w:color="auto" w:fill="auto"/>
                  <w:vAlign w:val="center"/>
                </w:tcPr>
                <w:p w14:paraId="4C3E91ED">
                  <w:pPr>
                    <w:pStyle w:val="13"/>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不涉及种养业。</w:t>
                  </w:r>
                </w:p>
              </w:tc>
              <w:tc>
                <w:tcPr>
                  <w:tcW w:w="945" w:type="dxa"/>
                  <w:shd w:val="clear" w:color="auto" w:fill="auto"/>
                  <w:vAlign w:val="center"/>
                </w:tcPr>
                <w:p w14:paraId="177113C8">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7900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602E2268">
                  <w:pPr>
                    <w:pStyle w:val="13"/>
                    <w:rPr>
                      <w:rFonts w:cs="Times New Roman"/>
                      <w:bCs/>
                      <w:color w:val="000000" w:themeColor="text1"/>
                      <w14:textFill>
                        <w14:solidFill>
                          <w14:schemeClr w14:val="tx1"/>
                        </w14:solidFill>
                      </w14:textFill>
                    </w:rPr>
                  </w:pPr>
                </w:p>
              </w:tc>
              <w:tc>
                <w:tcPr>
                  <w:tcW w:w="4131" w:type="dxa"/>
                  <w:shd w:val="clear" w:color="auto" w:fill="auto"/>
                  <w:vAlign w:val="center"/>
                </w:tcPr>
                <w:p w14:paraId="64EAEA3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w:t>
                  </w:r>
                  <w:r>
                    <w:rPr>
                      <w:rFonts w:hint="eastAsia" w:cs="Times New Roman"/>
                      <w:color w:val="000000" w:themeColor="text1"/>
                      <w14:textFill>
                        <w14:solidFill>
                          <w14:schemeClr w14:val="tx1"/>
                        </w14:solidFill>
                      </w14:textFill>
                    </w:rPr>
                    <w:t>严格环境准入条件，加强工业企业污染防治；</w:t>
                  </w:r>
                </w:p>
              </w:tc>
              <w:tc>
                <w:tcPr>
                  <w:tcW w:w="2705" w:type="dxa"/>
                  <w:shd w:val="clear" w:color="auto" w:fill="auto"/>
                  <w:vAlign w:val="center"/>
                </w:tcPr>
                <w:p w14:paraId="2328122E">
                  <w:pPr>
                    <w:pStyle w:val="13"/>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针对水、大气、土壤等污染均提出了明确的措施</w:t>
                  </w:r>
                  <w:r>
                    <w:rPr>
                      <w:rFonts w:hint="eastAsia" w:cs="Times New Roman"/>
                      <w:color w:val="000000" w:themeColor="text1"/>
                      <w14:textFill>
                        <w14:solidFill>
                          <w14:schemeClr w14:val="tx1"/>
                        </w14:solidFill>
                      </w14:textFill>
                    </w:rPr>
                    <w:t>，不会对环境造成明显影响。</w:t>
                  </w:r>
                </w:p>
              </w:tc>
              <w:tc>
                <w:tcPr>
                  <w:tcW w:w="945" w:type="dxa"/>
                  <w:shd w:val="clear" w:color="auto" w:fill="auto"/>
                  <w:vAlign w:val="center"/>
                </w:tcPr>
                <w:p w14:paraId="534E2C27">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符合</w:t>
                  </w:r>
                </w:p>
              </w:tc>
            </w:tr>
            <w:tr w14:paraId="458B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29CFD805">
                  <w:pPr>
                    <w:pStyle w:val="13"/>
                    <w:rPr>
                      <w:rFonts w:cs="Times New Roman"/>
                      <w:bCs/>
                      <w:color w:val="000000" w:themeColor="text1"/>
                      <w14:textFill>
                        <w14:solidFill>
                          <w14:schemeClr w14:val="tx1"/>
                        </w14:solidFill>
                      </w14:textFill>
                    </w:rPr>
                  </w:pPr>
                </w:p>
              </w:tc>
              <w:tc>
                <w:tcPr>
                  <w:tcW w:w="4131" w:type="dxa"/>
                  <w:shd w:val="clear" w:color="auto" w:fill="auto"/>
                  <w:vAlign w:val="center"/>
                </w:tcPr>
                <w:p w14:paraId="259F11A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w:t>
                  </w:r>
                  <w:r>
                    <w:rPr>
                      <w:rFonts w:hint="eastAsia" w:cs="Times New Roman"/>
                      <w:color w:val="000000" w:themeColor="text1"/>
                      <w14:textFill>
                        <w14:solidFill>
                          <w14:schemeClr w14:val="tx1"/>
                        </w14:solidFill>
                      </w14:textFill>
                    </w:rPr>
                    <w:t>鼓励发展绿色农产品园区建设。</w:t>
                  </w:r>
                </w:p>
              </w:tc>
              <w:tc>
                <w:tcPr>
                  <w:tcW w:w="2705" w:type="dxa"/>
                  <w:shd w:val="clear" w:color="auto" w:fill="auto"/>
                  <w:vAlign w:val="center"/>
                </w:tcPr>
                <w:p w14:paraId="62752BB4">
                  <w:pPr>
                    <w:pStyle w:val="13"/>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不涉及农产品园区</w:t>
                  </w:r>
                  <w:r>
                    <w:rPr>
                      <w:rFonts w:cs="Times New Roman"/>
                      <w:bCs/>
                      <w:color w:val="000000" w:themeColor="text1"/>
                      <w14:textFill>
                        <w14:solidFill>
                          <w14:schemeClr w14:val="tx1"/>
                        </w14:solidFill>
                      </w14:textFill>
                    </w:rPr>
                    <w:t>。</w:t>
                  </w:r>
                </w:p>
              </w:tc>
              <w:tc>
                <w:tcPr>
                  <w:tcW w:w="945" w:type="dxa"/>
                  <w:shd w:val="clear" w:color="auto" w:fill="auto"/>
                  <w:vAlign w:val="center"/>
                </w:tcPr>
                <w:p w14:paraId="441A71C8">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符合</w:t>
                  </w:r>
                </w:p>
              </w:tc>
            </w:tr>
          </w:tbl>
          <w:p w14:paraId="2FA021B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综上，本项目符合巴中市及</w:t>
            </w:r>
            <w:r>
              <w:rPr>
                <w:rFonts w:hint="eastAsia" w:cs="Times New Roman"/>
                <w:color w:val="000000" w:themeColor="text1"/>
                <w14:textFill>
                  <w14:solidFill>
                    <w14:schemeClr w14:val="tx1"/>
                  </w14:solidFill>
                </w14:textFill>
              </w:rPr>
              <w:t>平昌县</w:t>
            </w:r>
            <w:r>
              <w:rPr>
                <w:rFonts w:cs="Times New Roman"/>
                <w:color w:val="000000" w:themeColor="text1"/>
                <w14:textFill>
                  <w14:solidFill>
                    <w14:schemeClr w14:val="tx1"/>
                  </w14:solidFill>
                </w14:textFill>
              </w:rPr>
              <w:t>总体生态环境管控要求。</w:t>
            </w:r>
          </w:p>
          <w:p w14:paraId="046EE9D4">
            <w:pPr>
              <w:ind w:firstLine="480"/>
              <w:rPr>
                <w:rFonts w:cs="Times New Roman"/>
                <w:color w:val="000000" w:themeColor="text1"/>
                <w14:textFill>
                  <w14:solidFill>
                    <w14:schemeClr w14:val="tx1"/>
                  </w14:solidFill>
                </w14:textFill>
              </w:rPr>
            </w:pPr>
          </w:p>
          <w:p w14:paraId="7694302B">
            <w:pPr>
              <w:ind w:firstLine="480"/>
              <w:rPr>
                <w:rFonts w:cs="Times New Roman"/>
                <w:color w:val="000000" w:themeColor="text1"/>
                <w14:textFill>
                  <w14:solidFill>
                    <w14:schemeClr w14:val="tx1"/>
                  </w14:solidFill>
                </w14:textFill>
              </w:rPr>
            </w:pPr>
          </w:p>
          <w:p w14:paraId="0492A153">
            <w:pPr>
              <w:ind w:firstLine="480"/>
              <w:rPr>
                <w:rFonts w:cs="Times New Roman"/>
                <w:color w:val="000000" w:themeColor="text1"/>
                <w14:textFill>
                  <w14:solidFill>
                    <w14:schemeClr w14:val="tx1"/>
                  </w14:solidFill>
                </w14:textFill>
              </w:rPr>
            </w:pPr>
          </w:p>
          <w:p w14:paraId="64A58C77">
            <w:pPr>
              <w:ind w:firstLine="480"/>
              <w:rPr>
                <w:rFonts w:cs="Times New Roman"/>
                <w:color w:val="000000" w:themeColor="text1"/>
                <w14:textFill>
                  <w14:solidFill>
                    <w14:schemeClr w14:val="tx1"/>
                  </w14:solidFill>
                </w14:textFill>
              </w:rPr>
            </w:pPr>
          </w:p>
          <w:p w14:paraId="64177964">
            <w:pPr>
              <w:ind w:left="0" w:leftChars="0" w:firstLine="0" w:firstLineChars="0"/>
              <w:rPr>
                <w:rFonts w:hint="eastAsia" w:eastAsia="宋体" w:cs="Times New Roman"/>
                <w:color w:val="000000" w:themeColor="text1"/>
                <w:lang w:eastAsia="zh-CN"/>
                <w14:textFill>
                  <w14:solidFill>
                    <w14:schemeClr w14:val="tx1"/>
                  </w14:solidFill>
                </w14:textFill>
              </w:rPr>
            </w:pPr>
          </w:p>
          <w:p w14:paraId="5A6B7DFA">
            <w:pPr>
              <w:ind w:left="0" w:leftChars="0" w:firstLine="0" w:firstLineChars="0"/>
              <w:rPr>
                <w:rFonts w:hint="eastAsia" w:eastAsia="宋体" w:cs="Times New Roman"/>
                <w:color w:val="000000" w:themeColor="text1"/>
                <w:lang w:eastAsia="zh-CN"/>
                <w14:textFill>
                  <w14:solidFill>
                    <w14:schemeClr w14:val="tx1"/>
                  </w14:solidFill>
                </w14:textFill>
              </w:rPr>
            </w:pPr>
          </w:p>
          <w:p w14:paraId="6206B378">
            <w:pPr>
              <w:ind w:left="0" w:leftChars="0" w:firstLine="0" w:firstLineChars="0"/>
              <w:rPr>
                <w:rFonts w:hint="eastAsia" w:eastAsia="宋体" w:cs="Times New Roman"/>
                <w:color w:val="000000" w:themeColor="text1"/>
                <w:lang w:eastAsia="zh-CN"/>
                <w14:textFill>
                  <w14:solidFill>
                    <w14:schemeClr w14:val="tx1"/>
                  </w14:solidFill>
                </w14:textFill>
              </w:rPr>
            </w:pPr>
          </w:p>
          <w:p w14:paraId="56864165">
            <w:pPr>
              <w:ind w:firstLine="480"/>
              <w:rPr>
                <w:rFonts w:cs="Times New Roman"/>
                <w:color w:val="000000" w:themeColor="text1"/>
                <w14:textFill>
                  <w14:solidFill>
                    <w14:schemeClr w14:val="tx1"/>
                  </w14:solidFill>
                </w14:textFill>
              </w:rPr>
            </w:pPr>
          </w:p>
          <w:p w14:paraId="45CB63DF">
            <w:pPr>
              <w:pStyle w:val="27"/>
              <w:jc w:val="both"/>
              <w:rPr>
                <w:rFonts w:cs="Times New Roman"/>
                <w:color w:val="000000" w:themeColor="text1"/>
                <w14:textFill>
                  <w14:solidFill>
                    <w14:schemeClr w14:val="tx1"/>
                  </w14:solidFill>
                </w14:textFill>
              </w:rPr>
            </w:pPr>
          </w:p>
        </w:tc>
      </w:tr>
    </w:tbl>
    <w:p w14:paraId="1F9AC45E">
      <w:pPr>
        <w:ind w:firstLine="0" w:firstLineChars="0"/>
        <w:rPr>
          <w:rFonts w:cs="Times New Roman"/>
          <w:color w:val="000000" w:themeColor="text1"/>
          <w14:textFill>
            <w14:solidFill>
              <w14:schemeClr w14:val="tx1"/>
            </w14:solidFill>
          </w14:textFill>
        </w:rPr>
        <w:sectPr>
          <w:footerReference r:id="rId11" w:type="default"/>
          <w:pgSz w:w="11906" w:h="16838"/>
          <w:pgMar w:top="1440" w:right="1080" w:bottom="1440" w:left="1080" w:header="851" w:footer="567" w:gutter="0"/>
          <w:pgNumType w:start="1"/>
          <w:cols w:space="425" w:num="1"/>
          <w:docGrid w:type="lines" w:linePitch="326" w:charSpace="0"/>
        </w:sectPr>
      </w:pPr>
    </w:p>
    <w:tbl>
      <w:tblPr>
        <w:tblStyle w:val="29"/>
        <w:tblW w:w="4999" w:type="pct"/>
        <w:tblInd w:w="0" w:type="dxa"/>
        <w:tblLayout w:type="fixed"/>
        <w:tblCellMar>
          <w:top w:w="0" w:type="dxa"/>
          <w:left w:w="108" w:type="dxa"/>
          <w:bottom w:w="0" w:type="dxa"/>
          <w:right w:w="108" w:type="dxa"/>
        </w:tblCellMar>
      </w:tblPr>
      <w:tblGrid>
        <w:gridCol w:w="667"/>
        <w:gridCol w:w="12568"/>
      </w:tblGrid>
      <w:tr w14:paraId="01F6C60A">
        <w:tblPrEx>
          <w:tblCellMar>
            <w:top w:w="0" w:type="dxa"/>
            <w:left w:w="108" w:type="dxa"/>
            <w:bottom w:w="0" w:type="dxa"/>
            <w:right w:w="108" w:type="dxa"/>
          </w:tblCellMar>
        </w:tblPrEx>
        <w:trPr>
          <w:trHeight w:val="9282" w:hRule="atLeast"/>
        </w:trPr>
        <w:tc>
          <w:tcPr>
            <w:tcW w:w="252" w:type="pct"/>
            <w:tcBorders>
              <w:top w:val="single" w:color="auto" w:sz="4" w:space="0"/>
              <w:left w:val="single" w:color="auto" w:sz="4" w:space="0"/>
              <w:bottom w:val="single" w:color="auto" w:sz="4" w:space="0"/>
              <w:right w:val="single" w:color="auto" w:sz="4" w:space="0"/>
            </w:tcBorders>
            <w:vAlign w:val="center"/>
          </w:tcPr>
          <w:p w14:paraId="09175181">
            <w:pPr>
              <w:pStyle w:val="27"/>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其他符合性分析</w:t>
            </w:r>
          </w:p>
        </w:tc>
        <w:tc>
          <w:tcPr>
            <w:tcW w:w="4747" w:type="pct"/>
            <w:tcBorders>
              <w:top w:val="single" w:color="auto" w:sz="4" w:space="0"/>
              <w:left w:val="single" w:color="auto" w:sz="4" w:space="0"/>
              <w:bottom w:val="single" w:color="auto" w:sz="4" w:space="0"/>
              <w:right w:val="single" w:color="auto" w:sz="4" w:space="0"/>
            </w:tcBorders>
            <w:vAlign w:val="center"/>
          </w:tcPr>
          <w:p w14:paraId="25F3CA78">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（3）与生态准入清单符合性分析</w:t>
            </w:r>
          </w:p>
          <w:p w14:paraId="047548CB">
            <w:pPr>
              <w:ind w:firstLine="480"/>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本项目与生态环境准入清单符合性分析如下：</w:t>
            </w:r>
          </w:p>
          <w:p w14:paraId="792DF498">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5</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与生态准入清单符合性对照表</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717"/>
              <w:gridCol w:w="738"/>
              <w:gridCol w:w="6863"/>
              <w:gridCol w:w="2180"/>
              <w:gridCol w:w="755"/>
            </w:tblGrid>
            <w:tr w14:paraId="6D67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8" w:type="pct"/>
                  <w:gridSpan w:val="3"/>
                  <w:vAlign w:val="center"/>
                </w:tcPr>
                <w:p w14:paraId="3283506C">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类别</w:t>
                  </w:r>
                </w:p>
              </w:tc>
              <w:tc>
                <w:tcPr>
                  <w:tcW w:w="2781" w:type="pct"/>
                  <w:vAlign w:val="center"/>
                </w:tcPr>
                <w:p w14:paraId="7A7A6F14">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管控要求</w:t>
                  </w:r>
                </w:p>
              </w:tc>
              <w:tc>
                <w:tcPr>
                  <w:tcW w:w="883" w:type="pct"/>
                  <w:vAlign w:val="center"/>
                </w:tcPr>
                <w:p w14:paraId="0F0D6039">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306" w:type="pct"/>
                  <w:vAlign w:val="center"/>
                </w:tcPr>
                <w:p w14:paraId="0F31326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1B15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restart"/>
                  <w:vAlign w:val="center"/>
                </w:tcPr>
                <w:p w14:paraId="171E084E">
                  <w:pPr>
                    <w:pStyle w:val="13"/>
                    <w:wordWrap w:val="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工业重点管控单元</w:t>
                  </w:r>
                </w:p>
              </w:tc>
              <w:tc>
                <w:tcPr>
                  <w:tcW w:w="290" w:type="pct"/>
                  <w:vMerge w:val="restart"/>
                  <w:vAlign w:val="center"/>
                </w:tcPr>
                <w:p w14:paraId="76316223">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巴中市</w:t>
                  </w:r>
                  <w:r>
                    <w:rPr>
                      <w:rFonts w:cs="Times New Roman"/>
                      <w:color w:val="000000" w:themeColor="text1"/>
                      <w14:textFill>
                        <w14:solidFill>
                          <w14:schemeClr w14:val="tx1"/>
                        </w14:solidFill>
                      </w14:textFill>
                    </w:rPr>
                    <w:t>管控要求</w:t>
                  </w:r>
                </w:p>
              </w:tc>
              <w:tc>
                <w:tcPr>
                  <w:tcW w:w="298" w:type="pct"/>
                  <w:vMerge w:val="restart"/>
                  <w:vAlign w:val="center"/>
                </w:tcPr>
                <w:p w14:paraId="5F8ED5B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2781" w:type="pct"/>
                  <w:vAlign w:val="center"/>
                </w:tcPr>
                <w:p w14:paraId="39FA83CB">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禁止在长江干支流、重要湖泊岸线一公里范围内新建、扩建化工园区和化工项目。禁止在长江干流岸线三公里范围内和重要支流岸线一公里范围内新建、改建、扩建尾矿库（以提升安全、生态环境保护水平为目的的改建除外。</w:t>
                  </w:r>
                </w:p>
                <w:p w14:paraId="3918BEB0">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（2）禁止在长江流域河湖管理范围内倾倒、填埋、堆放、弃置、处理固体废物。</w:t>
                  </w:r>
                </w:p>
                <w:p w14:paraId="152ACF54">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（3）在禁燃区内禁止销售、燃用高污染燃料。禁燃区内禁止新建、扩建燃用高污染燃料的设施。</w:t>
                  </w:r>
                </w:p>
                <w:p w14:paraId="05A8E69C">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（4）未通过认定的化工园区，不得新建、改扩建化工项目（安全、环保、节能和智能化改造项目除外），按属地原则依法依规妥善做好未通过认定化工园区及园内企业的转型、关闭、处置及监管工作。</w:t>
                  </w:r>
                </w:p>
              </w:tc>
              <w:tc>
                <w:tcPr>
                  <w:tcW w:w="883" w:type="pct"/>
                  <w:vAlign w:val="center"/>
                </w:tcPr>
                <w:p w14:paraId="3BA3931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本项目不属于化工项目，不在河湖管理范围内倾倒、填埋、堆放、弃置、处理固体废物，不使用高污染燃料。</w:t>
                  </w:r>
                </w:p>
              </w:tc>
              <w:tc>
                <w:tcPr>
                  <w:tcW w:w="306" w:type="pct"/>
                  <w:vAlign w:val="center"/>
                </w:tcPr>
                <w:p w14:paraId="0D4E977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AA8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57D985D2">
                  <w:pPr>
                    <w:pStyle w:val="13"/>
                    <w:rPr>
                      <w:rFonts w:cs="Times New Roman"/>
                      <w:color w:val="000000" w:themeColor="text1"/>
                      <w14:textFill>
                        <w14:solidFill>
                          <w14:schemeClr w14:val="tx1"/>
                        </w14:solidFill>
                      </w14:textFill>
                    </w:rPr>
                  </w:pPr>
                </w:p>
              </w:tc>
              <w:tc>
                <w:tcPr>
                  <w:tcW w:w="290" w:type="pct"/>
                  <w:vMerge w:val="continue"/>
                  <w:vAlign w:val="center"/>
                </w:tcPr>
                <w:p w14:paraId="4EEFBBEE">
                  <w:pPr>
                    <w:pStyle w:val="13"/>
                    <w:rPr>
                      <w:rFonts w:cs="Times New Roman"/>
                      <w:color w:val="000000" w:themeColor="text1"/>
                      <w14:textFill>
                        <w14:solidFill>
                          <w14:schemeClr w14:val="tx1"/>
                        </w14:solidFill>
                      </w14:textFill>
                    </w:rPr>
                  </w:pPr>
                </w:p>
              </w:tc>
              <w:tc>
                <w:tcPr>
                  <w:tcW w:w="298" w:type="pct"/>
                  <w:vMerge w:val="continue"/>
                  <w:vAlign w:val="center"/>
                </w:tcPr>
                <w:p w14:paraId="5E096FDA">
                  <w:pPr>
                    <w:pStyle w:val="13"/>
                    <w:rPr>
                      <w:rFonts w:cs="Times New Roman"/>
                      <w:color w:val="000000" w:themeColor="text1"/>
                      <w14:textFill>
                        <w14:solidFill>
                          <w14:schemeClr w14:val="tx1"/>
                        </w14:solidFill>
                      </w14:textFill>
                    </w:rPr>
                  </w:pPr>
                </w:p>
              </w:tc>
              <w:tc>
                <w:tcPr>
                  <w:tcW w:w="2781" w:type="pct"/>
                  <w:vAlign w:val="center"/>
                </w:tcPr>
                <w:p w14:paraId="5DA793D5">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（1）继续化解过剩产能，严禁钢铁、水泥、电解铝、平板玻璃等行业新增产能，对确有必要新建的必须实施等量或减量置换。</w:t>
                  </w:r>
                </w:p>
                <w:p w14:paraId="2B14E898">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（2）严格执行《矿产资源开采</w:t>
                  </w:r>
                  <w:r>
                    <w:rPr>
                      <w:rFonts w:hint="eastAsia" w:cs="Times New Roman"/>
                      <w:color w:val="000000" w:themeColor="text1"/>
                      <w:lang w:eastAsia="zh-CN"/>
                      <w14:textFill>
                        <w14:solidFill>
                          <w14:schemeClr w14:val="tx1"/>
                        </w14:solidFill>
                      </w14:textFill>
                    </w:rPr>
                    <w:t>登记</w:t>
                  </w:r>
                  <w:bookmarkStart w:id="68" w:name="_GoBack"/>
                  <w:bookmarkEnd w:id="68"/>
                  <w:r>
                    <w:rPr>
                      <w:rFonts w:cs="Times New Roman"/>
                      <w:color w:val="000000" w:themeColor="text1"/>
                      <w14:textFill>
                        <w14:solidFill>
                          <w14:schemeClr w14:val="tx1"/>
                        </w14:solidFill>
                      </w14:textFill>
                    </w:rPr>
                    <w:t>管理办法》的相关规定。</w:t>
                  </w:r>
                </w:p>
              </w:tc>
              <w:tc>
                <w:tcPr>
                  <w:tcW w:w="883" w:type="pct"/>
                  <w:vAlign w:val="center"/>
                </w:tcPr>
                <w:p w14:paraId="5C2BE65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本项目不属于产能过剩行业，不涉及矿产资源开采。</w:t>
                  </w:r>
                </w:p>
              </w:tc>
              <w:tc>
                <w:tcPr>
                  <w:tcW w:w="306" w:type="pct"/>
                  <w:vAlign w:val="center"/>
                </w:tcPr>
                <w:p w14:paraId="1B313AC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B32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45BE3998">
                  <w:pPr>
                    <w:pStyle w:val="13"/>
                    <w:rPr>
                      <w:rFonts w:cs="Times New Roman"/>
                      <w:color w:val="000000" w:themeColor="text1"/>
                      <w14:textFill>
                        <w14:solidFill>
                          <w14:schemeClr w14:val="tx1"/>
                        </w14:solidFill>
                      </w14:textFill>
                    </w:rPr>
                  </w:pPr>
                </w:p>
              </w:tc>
              <w:tc>
                <w:tcPr>
                  <w:tcW w:w="290" w:type="pct"/>
                  <w:vMerge w:val="continue"/>
                  <w:vAlign w:val="center"/>
                </w:tcPr>
                <w:p w14:paraId="2DB453A9">
                  <w:pPr>
                    <w:pStyle w:val="13"/>
                    <w:rPr>
                      <w:rFonts w:cs="Times New Roman"/>
                      <w:color w:val="000000" w:themeColor="text1"/>
                      <w14:textFill>
                        <w14:solidFill>
                          <w14:schemeClr w14:val="tx1"/>
                        </w14:solidFill>
                      </w14:textFill>
                    </w:rPr>
                  </w:pPr>
                </w:p>
              </w:tc>
              <w:tc>
                <w:tcPr>
                  <w:tcW w:w="298" w:type="pct"/>
                  <w:vMerge w:val="continue"/>
                  <w:vAlign w:val="center"/>
                </w:tcPr>
                <w:p w14:paraId="79FA5342">
                  <w:pPr>
                    <w:pStyle w:val="13"/>
                    <w:rPr>
                      <w:rFonts w:cs="Times New Roman"/>
                      <w:color w:val="000000" w:themeColor="text1"/>
                      <w14:textFill>
                        <w14:solidFill>
                          <w14:schemeClr w14:val="tx1"/>
                        </w14:solidFill>
                      </w14:textFill>
                    </w:rPr>
                  </w:pPr>
                </w:p>
              </w:tc>
              <w:tc>
                <w:tcPr>
                  <w:tcW w:w="2781" w:type="pct"/>
                  <w:vAlign w:val="center"/>
                </w:tcPr>
                <w:p w14:paraId="4D76EEE7">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（1）现有属于园区禁止引入产业门类的企业，原则上限制发展，污染物排放只降不增，允许以提升安全、生态环境保护水平为目的的改建，引导企业结合产业升级等适时搬迁。</w:t>
                  </w:r>
                </w:p>
                <w:p w14:paraId="1358F527">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（2）加强流域水污染防治，推进流域水生态环境修复与治理；加强城市精细化管理，提升市民对环境的幸福感、获得感。</w:t>
                  </w:r>
                </w:p>
              </w:tc>
              <w:tc>
                <w:tcPr>
                  <w:tcW w:w="883" w:type="pct"/>
                  <w:vAlign w:val="center"/>
                </w:tcPr>
                <w:p w14:paraId="56C19B7A">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本项目属于新引进企业，且属于园区允许类产业。</w:t>
                  </w:r>
                </w:p>
              </w:tc>
              <w:tc>
                <w:tcPr>
                  <w:tcW w:w="306" w:type="pct"/>
                  <w:vAlign w:val="center"/>
                </w:tcPr>
                <w:p w14:paraId="5C768E0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3DD1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4D78A093">
                  <w:pPr>
                    <w:pStyle w:val="13"/>
                    <w:rPr>
                      <w:rFonts w:cs="Times New Roman"/>
                      <w:color w:val="000000" w:themeColor="text1"/>
                      <w14:textFill>
                        <w14:solidFill>
                          <w14:schemeClr w14:val="tx1"/>
                        </w14:solidFill>
                      </w14:textFill>
                    </w:rPr>
                  </w:pPr>
                </w:p>
              </w:tc>
              <w:tc>
                <w:tcPr>
                  <w:tcW w:w="290" w:type="pct"/>
                  <w:vMerge w:val="continue"/>
                  <w:vAlign w:val="center"/>
                </w:tcPr>
                <w:p w14:paraId="7B49B79C">
                  <w:pPr>
                    <w:pStyle w:val="13"/>
                    <w:rPr>
                      <w:rFonts w:cs="Times New Roman"/>
                      <w:color w:val="000000" w:themeColor="text1"/>
                      <w14:textFill>
                        <w14:solidFill>
                          <w14:schemeClr w14:val="tx1"/>
                        </w14:solidFill>
                      </w14:textFill>
                    </w:rPr>
                  </w:pPr>
                </w:p>
              </w:tc>
              <w:tc>
                <w:tcPr>
                  <w:tcW w:w="298" w:type="pct"/>
                  <w:vMerge w:val="restart"/>
                  <w:vAlign w:val="center"/>
                </w:tcPr>
                <w:p w14:paraId="4BEA26C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污染物排放管控</w:t>
                  </w:r>
                </w:p>
              </w:tc>
              <w:tc>
                <w:tcPr>
                  <w:tcW w:w="2781" w:type="pct"/>
                  <w:vAlign w:val="center"/>
                </w:tcPr>
                <w:p w14:paraId="5A953950">
                  <w:pPr>
                    <w:pStyle w:val="13"/>
                    <w:jc w:val="left"/>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（1）为达2025年及2035年环境空气质量目标，14个工业重点管控单元大气污染物允许排放量2025年为：PM</w:t>
                  </w:r>
                  <w:r>
                    <w:rPr>
                      <w:rFonts w:ascii="Times New Roman" w:hAnsi="Times New Roman" w:eastAsia="宋体" w:cs="Times New Roman"/>
                      <w:color w:val="000000" w:themeColor="text1"/>
                      <w:vertAlign w:val="subscript"/>
                      <w14:textFill>
                        <w14:solidFill>
                          <w14:schemeClr w14:val="tx1"/>
                        </w14:solidFill>
                      </w14:textFill>
                    </w:rPr>
                    <w:t>2.5</w:t>
                  </w:r>
                  <w:r>
                    <w:rPr>
                      <w:rFonts w:ascii="Times New Roman" w:hAnsi="Times New Roman" w:eastAsia="宋体" w:cs="Times New Roman"/>
                      <w:color w:val="000000" w:themeColor="text1"/>
                      <w14:textFill>
                        <w14:solidFill>
                          <w14:schemeClr w14:val="tx1"/>
                        </w14:solidFill>
                      </w14:textFill>
                    </w:rPr>
                    <w:t>允许排放量4950吨、SO</w:t>
                  </w:r>
                  <w:r>
                    <w:rPr>
                      <w:rFonts w:ascii="Times New Roman" w:hAnsi="Times New Roman" w:eastAsia="宋体" w:cs="Times New Roman"/>
                      <w:color w:val="000000" w:themeColor="text1"/>
                      <w:vertAlign w:val="subscript"/>
                      <w14:textFill>
                        <w14:solidFill>
                          <w14:schemeClr w14:val="tx1"/>
                        </w14:solidFill>
                      </w14:textFill>
                    </w:rPr>
                    <w:t>2</w:t>
                  </w:r>
                  <w:r>
                    <w:rPr>
                      <w:rFonts w:ascii="Times New Roman" w:hAnsi="Times New Roman" w:eastAsia="宋体" w:cs="Times New Roman"/>
                      <w:color w:val="000000" w:themeColor="text1"/>
                      <w14:textFill>
                        <w14:solidFill>
                          <w14:schemeClr w14:val="tx1"/>
                        </w14:solidFill>
                      </w14:textFill>
                    </w:rPr>
                    <w:t>允许排放量3502吨、NOx允许排放量8906吨、VOCs允许排放量12506吨，2035年为：PM</w:t>
                  </w:r>
                  <w:r>
                    <w:rPr>
                      <w:rFonts w:ascii="Times New Roman" w:hAnsi="Times New Roman" w:eastAsia="宋体" w:cs="Times New Roman"/>
                      <w:color w:val="000000" w:themeColor="text1"/>
                      <w:vertAlign w:val="subscript"/>
                      <w14:textFill>
                        <w14:solidFill>
                          <w14:schemeClr w14:val="tx1"/>
                        </w14:solidFill>
                      </w14:textFill>
                    </w:rPr>
                    <w:t>2.5</w:t>
                  </w:r>
                  <w:r>
                    <w:rPr>
                      <w:rFonts w:ascii="Times New Roman" w:hAnsi="Times New Roman" w:eastAsia="宋体" w:cs="Times New Roman"/>
                      <w:color w:val="000000" w:themeColor="text1"/>
                      <w14:textFill>
                        <w14:solidFill>
                          <w14:schemeClr w14:val="tx1"/>
                        </w14:solidFill>
                      </w14:textFill>
                    </w:rPr>
                    <w:t>允许排放量4595吨、SO</w:t>
                  </w:r>
                  <w:r>
                    <w:rPr>
                      <w:rFonts w:ascii="Times New Roman" w:hAnsi="Times New Roman" w:eastAsia="宋体" w:cs="Times New Roman"/>
                      <w:color w:val="000000" w:themeColor="text1"/>
                      <w:vertAlign w:val="subscript"/>
                      <w14:textFill>
                        <w14:solidFill>
                          <w14:schemeClr w14:val="tx1"/>
                        </w14:solidFill>
                      </w14:textFill>
                    </w:rPr>
                    <w:t>2</w:t>
                  </w:r>
                  <w:r>
                    <w:rPr>
                      <w:rFonts w:ascii="Times New Roman" w:hAnsi="Times New Roman" w:eastAsia="宋体" w:cs="Times New Roman"/>
                      <w:color w:val="000000" w:themeColor="text1"/>
                      <w14:textFill>
                        <w14:solidFill>
                          <w14:schemeClr w14:val="tx1"/>
                        </w14:solidFill>
                      </w14:textFill>
                    </w:rPr>
                    <w:t>允许排放量3133吨、NOx允许排放量8656吨、VOCs允许排放量12098吨。</w:t>
                  </w:r>
                </w:p>
                <w:p w14:paraId="3A44E1CD">
                  <w:pPr>
                    <w:pStyle w:val="13"/>
                    <w:jc w:val="left"/>
                    <w:rPr>
                      <w:rFonts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（2）为保证2025、2035年区域地表水控制断面达标，15个工业重点管控单元COD、氨氮、总磷允许排放量2025年控制在233465.09吨、2863.81吨、409.92吨以下，2035年控制在24638.35吨、3007.02吨、430.41吨以下。</w:t>
                  </w:r>
                </w:p>
              </w:tc>
              <w:tc>
                <w:tcPr>
                  <w:tcW w:w="883" w:type="pct"/>
                  <w:vAlign w:val="center"/>
                </w:tcPr>
                <w:p w14:paraId="08D0BB94">
                  <w:pPr>
                    <w:pStyle w:val="13"/>
                    <w:rPr>
                      <w:rFonts w:hint="eastAsia"/>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本项目位于工业重点管控单元，经核算本项目废气中颗粒物排放量为</w:t>
                  </w:r>
                  <w:r>
                    <w:rPr>
                      <w:rFonts w:hint="eastAsia" w:cs="Times New Roman"/>
                      <w:color w:val="000000" w:themeColor="text1"/>
                      <w:kern w:val="21"/>
                      <w:szCs w:val="21"/>
                      <w:lang w:val="en-US" w:eastAsia="zh-CN"/>
                      <w14:textFill>
                        <w14:solidFill>
                          <w14:schemeClr w14:val="tx1"/>
                        </w14:solidFill>
                      </w14:textFill>
                    </w:rPr>
                    <w:t>0.9491</w:t>
                  </w:r>
                  <w:r>
                    <w:rPr>
                      <w:rFonts w:hint="eastAsia" w:cs="Times New Roman"/>
                      <w:color w:val="000000" w:themeColor="text1"/>
                      <w:lang w:val="en-US" w:eastAsia="zh-CN"/>
                      <w14:textFill>
                        <w14:solidFill>
                          <w14:schemeClr w14:val="tx1"/>
                        </w14:solidFill>
                      </w14:textFill>
                    </w:rPr>
                    <w:t>t/a、SO</w:t>
                  </w:r>
                  <w:r>
                    <w:rPr>
                      <w:rFonts w:hint="eastAsia" w:cs="Times New Roman"/>
                      <w:color w:val="000000" w:themeColor="text1"/>
                      <w:vertAlign w:val="subscript"/>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排放量为4.1216t/a、NOx排放量为8.9856t/a、VOCs排放量为3.3895t/a</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废水中COD排放量为0.3861t/a。</w:t>
                  </w:r>
                </w:p>
                <w:p w14:paraId="11C0DDE4">
                  <w:pPr>
                    <w:pStyle w:val="13"/>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各污染物均经有效处理后排放，总体排放量较小，占区域比例极小，不会对区域环境质量的达标造成明显影响。</w:t>
                  </w:r>
                </w:p>
              </w:tc>
              <w:tc>
                <w:tcPr>
                  <w:tcW w:w="306" w:type="pct"/>
                  <w:vAlign w:val="center"/>
                </w:tcPr>
                <w:p w14:paraId="7BA18C20">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749C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194650D3">
                  <w:pPr>
                    <w:pStyle w:val="13"/>
                    <w:rPr>
                      <w:rFonts w:cs="Times New Roman"/>
                      <w:color w:val="000000" w:themeColor="text1"/>
                      <w14:textFill>
                        <w14:solidFill>
                          <w14:schemeClr w14:val="tx1"/>
                        </w14:solidFill>
                      </w14:textFill>
                    </w:rPr>
                  </w:pPr>
                </w:p>
              </w:tc>
              <w:tc>
                <w:tcPr>
                  <w:tcW w:w="290" w:type="pct"/>
                  <w:vMerge w:val="continue"/>
                  <w:vAlign w:val="center"/>
                </w:tcPr>
                <w:p w14:paraId="27B50211">
                  <w:pPr>
                    <w:pStyle w:val="13"/>
                    <w:rPr>
                      <w:rFonts w:cs="Times New Roman"/>
                      <w:color w:val="000000" w:themeColor="text1"/>
                      <w14:textFill>
                        <w14:solidFill>
                          <w14:schemeClr w14:val="tx1"/>
                        </w14:solidFill>
                      </w14:textFill>
                    </w:rPr>
                  </w:pPr>
                </w:p>
              </w:tc>
              <w:tc>
                <w:tcPr>
                  <w:tcW w:w="298" w:type="pct"/>
                  <w:vMerge w:val="continue"/>
                  <w:vAlign w:val="center"/>
                </w:tcPr>
                <w:p w14:paraId="661D17C5">
                  <w:pPr>
                    <w:pStyle w:val="13"/>
                    <w:rPr>
                      <w:rFonts w:cs="Times New Roman"/>
                      <w:color w:val="000000" w:themeColor="text1"/>
                      <w14:textFill>
                        <w14:solidFill>
                          <w14:schemeClr w14:val="tx1"/>
                        </w14:solidFill>
                      </w14:textFill>
                    </w:rPr>
                  </w:pPr>
                </w:p>
              </w:tc>
              <w:tc>
                <w:tcPr>
                  <w:tcW w:w="2781" w:type="pct"/>
                  <w:vAlign w:val="center"/>
                </w:tcPr>
                <w:p w14:paraId="2935995E">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（1）污水收集处理率达100%。</w:t>
                  </w:r>
                </w:p>
                <w:p w14:paraId="08497C86">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（2）推进工业园区污水处理设施建设，确保园区工业废水达标排放。</w:t>
                  </w:r>
                </w:p>
                <w:p w14:paraId="1810240B">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（3）完善园区及企业雨污</w:t>
                  </w:r>
                  <w:r>
                    <w:rPr>
                      <w:rFonts w:hint="eastAsia" w:ascii="宋体" w:hAnsi="宋体" w:eastAsia="宋体" w:cs="宋体"/>
                      <w:color w:val="000000" w:themeColor="text1"/>
                      <w14:textFill>
                        <w14:solidFill>
                          <w14:schemeClr w14:val="tx1"/>
                        </w14:solidFill>
                      </w14:textFill>
                    </w:rPr>
                    <w:t>分流系统，全面推进医药、化工等行业初期雨水收集处理，推动有条件的园区实施入园企业“一企一管、明管输送、实时监测”。</w:t>
                  </w:r>
                  <w:r>
                    <w:rPr>
                      <w:rFonts w:cs="Times New Roman"/>
                      <w:color w:val="000000" w:themeColor="text1"/>
                      <w14:textFill>
                        <w14:solidFill>
                          <w14:schemeClr w14:val="tx1"/>
                        </w14:solidFill>
                      </w14:textFill>
                    </w:rPr>
                    <w:t>加强企业废水预处理和排水管理，鼓励纳管企业与园区污水处理厂运营单位通过签订委托处理合同等方式协同处理废水。</w:t>
                  </w:r>
                </w:p>
              </w:tc>
              <w:tc>
                <w:tcPr>
                  <w:tcW w:w="883" w:type="pct"/>
                  <w:vAlign w:val="center"/>
                </w:tcPr>
                <w:p w14:paraId="3E43856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14:textFill>
                        <w14:solidFill>
                          <w14:schemeClr w14:val="tx1"/>
                        </w14:solidFill>
                      </w14:textFill>
                    </w:rPr>
                    <w:t>为新建项目，不涉及现有源</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本项目厂区雨污分流，市政管网设施完善；外排废水为生活污水，经预处理后排入市政管网</w:t>
                  </w:r>
                  <w:r>
                    <w:rPr>
                      <w:rFonts w:cs="Times New Roman"/>
                      <w:color w:val="000000" w:themeColor="text1"/>
                      <w14:textFill>
                        <w14:solidFill>
                          <w14:schemeClr w14:val="tx1"/>
                        </w14:solidFill>
                      </w14:textFill>
                    </w:rPr>
                    <w:t>。</w:t>
                  </w:r>
                </w:p>
              </w:tc>
              <w:tc>
                <w:tcPr>
                  <w:tcW w:w="306" w:type="pct"/>
                  <w:vAlign w:val="center"/>
                </w:tcPr>
                <w:p w14:paraId="3F60836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D2B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16E56C2D">
                  <w:pPr>
                    <w:pStyle w:val="13"/>
                    <w:rPr>
                      <w:rFonts w:cs="Times New Roman"/>
                      <w:color w:val="000000" w:themeColor="text1"/>
                      <w14:textFill>
                        <w14:solidFill>
                          <w14:schemeClr w14:val="tx1"/>
                        </w14:solidFill>
                      </w14:textFill>
                    </w:rPr>
                  </w:pPr>
                </w:p>
              </w:tc>
              <w:tc>
                <w:tcPr>
                  <w:tcW w:w="290" w:type="pct"/>
                  <w:vMerge w:val="continue"/>
                  <w:vAlign w:val="center"/>
                </w:tcPr>
                <w:p w14:paraId="7A73BC35">
                  <w:pPr>
                    <w:pStyle w:val="13"/>
                    <w:rPr>
                      <w:rFonts w:cs="Times New Roman"/>
                      <w:color w:val="000000" w:themeColor="text1"/>
                      <w14:textFill>
                        <w14:solidFill>
                          <w14:schemeClr w14:val="tx1"/>
                        </w14:solidFill>
                      </w14:textFill>
                    </w:rPr>
                  </w:pPr>
                </w:p>
              </w:tc>
              <w:tc>
                <w:tcPr>
                  <w:tcW w:w="298" w:type="pct"/>
                  <w:vMerge w:val="continue"/>
                  <w:vAlign w:val="center"/>
                </w:tcPr>
                <w:p w14:paraId="45083BFF">
                  <w:pPr>
                    <w:pStyle w:val="13"/>
                    <w:rPr>
                      <w:rFonts w:cs="Times New Roman"/>
                      <w:color w:val="000000" w:themeColor="text1"/>
                      <w14:textFill>
                        <w14:solidFill>
                          <w14:schemeClr w14:val="tx1"/>
                        </w14:solidFill>
                      </w14:textFill>
                    </w:rPr>
                  </w:pPr>
                </w:p>
              </w:tc>
              <w:tc>
                <w:tcPr>
                  <w:tcW w:w="2781" w:type="pct"/>
                  <w:vAlign w:val="center"/>
                </w:tcPr>
                <w:p w14:paraId="5FCE7E76">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（1）新、改、扩建涉及VOCs排放项目，从原辅材料和工艺过程大力推广使用低（无）VOCs含量的涂料、有机溶剂、胶黏剂、油墨等原辅材料，配套改进生产工艺。</w:t>
                  </w:r>
                </w:p>
                <w:p w14:paraId="68B0FC8B">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w:t>
                  </w:r>
                </w:p>
                <w:p w14:paraId="5B9B8DCE">
                  <w:pPr>
                    <w:pStyle w:val="13"/>
                    <w:jc w:val="left"/>
                    <w:rPr>
                      <w:rFonts w:hint="eastAsia"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（3）到2030年巴中中心城区污水处理率达到100%，工业废水排放达标率100%。</w:t>
                  </w:r>
                </w:p>
              </w:tc>
              <w:tc>
                <w:tcPr>
                  <w:tcW w:w="883" w:type="pct"/>
                  <w:vAlign w:val="center"/>
                </w:tcPr>
                <w:p w14:paraId="799BEFE0">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回转窑干燥、预热阶段挥发出的有机物（石油烃）在脱硫塔处冷凝液化成浮油，定期收集，委托有资质单位处置；极少量达标排放进入环境空气中</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预处理后通过市政管网送至</w:t>
                  </w:r>
                  <w:r>
                    <w:rPr>
                      <w:rFonts w:hint="eastAsia" w:cs="Times New Roman"/>
                      <w:color w:val="000000" w:themeColor="text1"/>
                      <w:lang w:val="en-US" w:eastAsia="zh-CN"/>
                      <w14:textFill>
                        <w14:solidFill>
                          <w14:schemeClr w14:val="tx1"/>
                        </w14:solidFill>
                      </w14:textFill>
                    </w:rPr>
                    <w:t>星光工业</w:t>
                  </w:r>
                  <w:r>
                    <w:rPr>
                      <w:rFonts w:cs="Times New Roman"/>
                      <w:color w:val="000000" w:themeColor="text1"/>
                      <w14:textFill>
                        <w14:solidFill>
                          <w14:schemeClr w14:val="tx1"/>
                        </w14:solidFill>
                      </w14:textFill>
                    </w:rPr>
                    <w:t>园区污水处理</w:t>
                  </w:r>
                  <w:r>
                    <w:rPr>
                      <w:rFonts w:hint="eastAsia" w:cs="Times New Roman"/>
                      <w:color w:val="000000" w:themeColor="text1"/>
                      <w:lang w:val="en-US" w:eastAsia="zh-CN"/>
                      <w14:textFill>
                        <w14:solidFill>
                          <w14:schemeClr w14:val="tx1"/>
                        </w14:solidFill>
                      </w14:textFill>
                    </w:rPr>
                    <w:t>厂</w:t>
                  </w:r>
                  <w:r>
                    <w:rPr>
                      <w:rFonts w:cs="Times New Roman"/>
                      <w:color w:val="000000" w:themeColor="text1"/>
                      <w14:textFill>
                        <w14:solidFill>
                          <w14:schemeClr w14:val="tx1"/>
                        </w14:solidFill>
                      </w14:textFill>
                    </w:rPr>
                    <w:t>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生产废水部分回用，不能回用部分委托有资质单位处理</w:t>
                  </w:r>
                  <w:r>
                    <w:rPr>
                      <w:rFonts w:cs="Times New Roman"/>
                      <w:color w:val="000000" w:themeColor="text1"/>
                      <w14:textFill>
                        <w14:solidFill>
                          <w14:schemeClr w14:val="tx1"/>
                        </w14:solidFill>
                      </w14:textFill>
                    </w:rPr>
                    <w:t>。</w:t>
                  </w:r>
                </w:p>
              </w:tc>
              <w:tc>
                <w:tcPr>
                  <w:tcW w:w="306" w:type="pct"/>
                  <w:vAlign w:val="center"/>
                </w:tcPr>
                <w:p w14:paraId="6E4E4E9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95E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79E87FA2">
                  <w:pPr>
                    <w:pStyle w:val="13"/>
                    <w:rPr>
                      <w:rFonts w:cs="Times New Roman"/>
                      <w:color w:val="000000" w:themeColor="text1"/>
                      <w14:textFill>
                        <w14:solidFill>
                          <w14:schemeClr w14:val="tx1"/>
                        </w14:solidFill>
                      </w14:textFill>
                    </w:rPr>
                  </w:pPr>
                </w:p>
              </w:tc>
              <w:tc>
                <w:tcPr>
                  <w:tcW w:w="290" w:type="pct"/>
                  <w:vMerge w:val="continue"/>
                  <w:vAlign w:val="center"/>
                </w:tcPr>
                <w:p w14:paraId="67755AD7">
                  <w:pPr>
                    <w:pStyle w:val="13"/>
                    <w:rPr>
                      <w:rFonts w:cs="Times New Roman"/>
                      <w:color w:val="000000" w:themeColor="text1"/>
                      <w14:textFill>
                        <w14:solidFill>
                          <w14:schemeClr w14:val="tx1"/>
                        </w14:solidFill>
                      </w14:textFill>
                    </w:rPr>
                  </w:pPr>
                </w:p>
              </w:tc>
              <w:tc>
                <w:tcPr>
                  <w:tcW w:w="298" w:type="pct"/>
                  <w:vMerge w:val="continue"/>
                  <w:vAlign w:val="center"/>
                </w:tcPr>
                <w:p w14:paraId="1C2AE703">
                  <w:pPr>
                    <w:pStyle w:val="13"/>
                    <w:rPr>
                      <w:rFonts w:cs="Times New Roman"/>
                      <w:color w:val="000000" w:themeColor="text1"/>
                      <w14:textFill>
                        <w14:solidFill>
                          <w14:schemeClr w14:val="tx1"/>
                        </w14:solidFill>
                      </w14:textFill>
                    </w:rPr>
                  </w:pPr>
                </w:p>
              </w:tc>
              <w:tc>
                <w:tcPr>
                  <w:tcW w:w="2781" w:type="pct"/>
                  <w:vAlign w:val="center"/>
                </w:tcPr>
                <w:p w14:paraId="38EB371A">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化工园区应按照分类收集，分质处理的要求，配备专业化工生产废水集中处理设施（独立建设或依托骨干企业）及专管或明管输送的配套管网，化工生产废水纳管率达到100%。入河排污口设置应符合相关规定。</w:t>
                  </w:r>
                </w:p>
                <w:p w14:paraId="2DB0FA6B">
                  <w:pPr>
                    <w:pStyle w:val="13"/>
                    <w:jc w:val="left"/>
                    <w:rPr>
                      <w:rFonts w:hint="eastAsia" w:ascii="宋体" w:hAnsi="宋体" w:eastAsia="宋体" w:cs="宋体"/>
                      <w:color w:val="000000" w:themeColor="text1"/>
                      <w14:textFill>
                        <w14:solidFill>
                          <w14:schemeClr w14:val="tx1"/>
                        </w14:solidFill>
                      </w14:textFill>
                    </w:rPr>
                  </w:pPr>
                  <w:r>
                    <w:rPr>
                      <w:rFonts w:cs="Times New Roman"/>
                      <w:color w:val="000000" w:themeColor="text1"/>
                      <w14:textFill>
                        <w14:solidFill>
                          <w14:schemeClr w14:val="tx1"/>
                        </w14:solidFill>
                      </w14:textFill>
                    </w:rPr>
                    <w:t>（2）重点行业建设项目应遵循重点重金属污染物排</w:t>
                  </w:r>
                  <w:r>
                    <w:rPr>
                      <w:rFonts w:hint="eastAsia" w:ascii="宋体" w:hAnsi="宋体" w:eastAsia="宋体" w:cs="宋体"/>
                      <w:color w:val="000000" w:themeColor="text1"/>
                      <w14:textFill>
                        <w14:solidFill>
                          <w14:schemeClr w14:val="tx1"/>
                        </w14:solidFill>
                      </w14:textFill>
                    </w:rPr>
                    <w:t>放“等量替代”</w:t>
                  </w:r>
                  <w:r>
                    <w:rPr>
                      <w:rFonts w:cs="Times New Roman"/>
                      <w:color w:val="000000" w:themeColor="text1"/>
                      <w14:textFill>
                        <w14:solidFill>
                          <w14:schemeClr w14:val="tx1"/>
                        </w14:solidFill>
                      </w14:textFill>
                    </w:rPr>
                    <w:t>原则。按国家规定，建设单位在提交环境影响评价文件时应明确重点重金属污染物排放总量及来源，无明确具体总量来源的，各级生态环境部门不得批准相关环境影响评价文件。重金属污染物排放总量替代管理豁免的情形参见《四</w:t>
                  </w:r>
                  <w:r>
                    <w:rPr>
                      <w:rFonts w:hint="eastAsia" w:ascii="宋体" w:hAnsi="宋体" w:eastAsia="宋体" w:cs="宋体"/>
                      <w:color w:val="000000" w:themeColor="text1"/>
                      <w14:textFill>
                        <w14:solidFill>
                          <w14:schemeClr w14:val="tx1"/>
                        </w14:solidFill>
                      </w14:textFill>
                    </w:rPr>
                    <w:t>川省“十四五”重金属污染防控工作方案》；重点行业、重点重金属的界定参见《四川省“十四五”重金属污染防控工作方案》。</w:t>
                  </w:r>
                </w:p>
                <w:p w14:paraId="34ED3010">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w:t>
                  </w:r>
                </w:p>
              </w:tc>
              <w:tc>
                <w:tcPr>
                  <w:tcW w:w="883" w:type="pct"/>
                  <w:vAlign w:val="center"/>
                </w:tcPr>
                <w:p w14:paraId="26E033CE">
                  <w:pPr>
                    <w:pStyle w:val="13"/>
                    <w:jc w:val="both"/>
                    <w:rPr>
                      <w:rFonts w:hint="default" w:ascii="Times New Roman" w:hAnsi="Times New Roman"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eastAsia="zh-CN"/>
                      <w14:textFill>
                        <w14:solidFill>
                          <w14:schemeClr w14:val="tx1"/>
                        </w14:solidFill>
                      </w14:textFill>
                    </w:rPr>
                    <w:t>属于</w:t>
                  </w:r>
                  <w:r>
                    <w:rPr>
                      <w:rFonts w:hint="eastAsia" w:cs="Times New Roman"/>
                      <w:color w:val="000000" w:themeColor="text1"/>
                      <w14:textFill>
                        <w14:solidFill>
                          <w14:schemeClr w14:val="tx1"/>
                        </w14:solidFill>
                      </w14:textFill>
                    </w:rPr>
                    <w:t>固体废物</w:t>
                  </w:r>
                  <w:r>
                    <w:rPr>
                      <w:rFonts w:hint="eastAsia" w:cs="Times New Roman"/>
                      <w:color w:val="000000" w:themeColor="text1"/>
                      <w:lang w:val="en-US" w:eastAsia="zh-CN"/>
                      <w14:textFill>
                        <w14:solidFill>
                          <w14:schemeClr w14:val="tx1"/>
                        </w14:solidFill>
                      </w14:textFill>
                    </w:rPr>
                    <w:t>综合利用</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不属于重点行业，</w:t>
                  </w:r>
                  <w:r>
                    <w:rPr>
                      <w:rFonts w:hint="eastAsia" w:cs="Times New Roman"/>
                      <w:color w:val="000000" w:themeColor="text1"/>
                      <w:lang w:val="en-US" w:eastAsia="zh-CN"/>
                      <w14:textFill>
                        <w14:solidFill>
                          <w14:schemeClr w14:val="tx1"/>
                        </w14:solidFill>
                      </w14:textFill>
                    </w:rPr>
                    <w:t>所在地不属于重点区域</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不属于重有色金属矿采选业、重有色金属冶炼业、谦虚电池制造业、电镀行业、化学原料及化学制品制造业以及皮革鞣制加工业等各6个行业中的项目，本项目已取得四川省生态环境厅关于项目涉及重金属排放是否与园区规划符合性的回复（见附件19）。</w:t>
                  </w:r>
                </w:p>
                <w:p w14:paraId="3423A18B">
                  <w:pPr>
                    <w:pStyle w:val="13"/>
                    <w:rPr>
                      <w:rFonts w:hint="eastAsia" w:cs="Times New Roman"/>
                      <w:color w:val="000000" w:themeColor="text1"/>
                      <w:lang w:eastAsia="zh-CN"/>
                      <w14:textFill>
                        <w14:solidFill>
                          <w14:schemeClr w14:val="tx1"/>
                        </w14:solidFill>
                      </w14:textFill>
                    </w:rPr>
                  </w:pPr>
                  <w:r>
                    <w:rPr>
                      <w:rFonts w:hint="eastAsia" w:cs="Times New Roman"/>
                      <w:color w:val="000000" w:themeColor="text1"/>
                      <w14:textFill>
                        <w14:solidFill>
                          <w14:schemeClr w14:val="tx1"/>
                        </w14:solidFill>
                      </w14:textFill>
                    </w:rPr>
                    <w:t>不涉及V</w:t>
                  </w:r>
                  <w:r>
                    <w:rPr>
                      <w:rFonts w:cs="Times New Roman"/>
                      <w:color w:val="000000" w:themeColor="text1"/>
                      <w14:textFill>
                        <w14:solidFill>
                          <w14:schemeClr w14:val="tx1"/>
                        </w14:solidFill>
                      </w14:textFill>
                    </w:rPr>
                    <w:t>OC</w:t>
                  </w:r>
                  <w:r>
                    <w:rPr>
                      <w:rFonts w:hint="eastAsia" w:cs="Times New Roman"/>
                      <w:color w:val="000000" w:themeColor="text1"/>
                      <w14:textFill>
                        <w14:solidFill>
                          <w14:schemeClr w14:val="tx1"/>
                        </w14:solidFill>
                      </w14:textFill>
                    </w:rPr>
                    <w:t>s物料</w:t>
                  </w:r>
                  <w:r>
                    <w:rPr>
                      <w:rFonts w:hint="eastAsia" w:cs="Times New Roman"/>
                      <w:color w:val="000000" w:themeColor="text1"/>
                      <w:lang w:eastAsia="zh-CN"/>
                      <w14:textFill>
                        <w14:solidFill>
                          <w14:schemeClr w14:val="tx1"/>
                        </w14:solidFill>
                      </w14:textFill>
                    </w:rPr>
                    <w:t>；</w:t>
                  </w:r>
                </w:p>
                <w:p w14:paraId="4F3F705C">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回转窑干燥、预热阶段挥发出的有机物（石油烃）在脱硫塔处冷凝液化成浮油，定期收集，委托有资质单位处置；极少量进入环境空气中</w:t>
                  </w:r>
                  <w:r>
                    <w:rPr>
                      <w:rFonts w:cs="Times New Roman"/>
                      <w:color w:val="000000" w:themeColor="text1"/>
                      <w14:textFill>
                        <w14:solidFill>
                          <w14:schemeClr w14:val="tx1"/>
                        </w14:solidFill>
                      </w14:textFill>
                    </w:rPr>
                    <w:t>。</w:t>
                  </w:r>
                </w:p>
              </w:tc>
              <w:tc>
                <w:tcPr>
                  <w:tcW w:w="306" w:type="pct"/>
                  <w:vAlign w:val="center"/>
                </w:tcPr>
                <w:p w14:paraId="2C10BE3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A0E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16D34893">
                  <w:pPr>
                    <w:pStyle w:val="13"/>
                    <w:rPr>
                      <w:rFonts w:cs="Times New Roman"/>
                      <w:color w:val="000000" w:themeColor="text1"/>
                      <w14:textFill>
                        <w14:solidFill>
                          <w14:schemeClr w14:val="tx1"/>
                        </w14:solidFill>
                      </w14:textFill>
                    </w:rPr>
                  </w:pPr>
                </w:p>
              </w:tc>
              <w:tc>
                <w:tcPr>
                  <w:tcW w:w="290" w:type="pct"/>
                  <w:vMerge w:val="continue"/>
                  <w:vAlign w:val="center"/>
                </w:tcPr>
                <w:p w14:paraId="190DA65B">
                  <w:pPr>
                    <w:pStyle w:val="13"/>
                    <w:rPr>
                      <w:rFonts w:cs="Times New Roman"/>
                      <w:color w:val="000000" w:themeColor="text1"/>
                      <w14:textFill>
                        <w14:solidFill>
                          <w14:schemeClr w14:val="tx1"/>
                        </w14:solidFill>
                      </w14:textFill>
                    </w:rPr>
                  </w:pPr>
                </w:p>
              </w:tc>
              <w:tc>
                <w:tcPr>
                  <w:tcW w:w="298" w:type="pct"/>
                  <w:vMerge w:val="restart"/>
                  <w:vAlign w:val="center"/>
                </w:tcPr>
                <w:p w14:paraId="6F8A212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环境风险防控</w:t>
                  </w:r>
                </w:p>
              </w:tc>
              <w:tc>
                <w:tcPr>
                  <w:tcW w:w="2781" w:type="pct"/>
                  <w:vAlign w:val="center"/>
                </w:tcPr>
                <w:p w14:paraId="72A495D9">
                  <w:pPr>
                    <w:pStyle w:val="13"/>
                    <w:jc w:val="left"/>
                    <w:rPr>
                      <w:rFonts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强化大气污染区域联防联控措施，实施重污染天气应急管控。修订重污染天气应急预案，动态更新污染源排放清单，落实重点企业错峰生产、压产限产、工地停工等强制性措施，有效减缓重污染天气影响。</w:t>
                  </w:r>
                </w:p>
              </w:tc>
              <w:tc>
                <w:tcPr>
                  <w:tcW w:w="883" w:type="pct"/>
                  <w:vAlign w:val="center"/>
                </w:tcPr>
                <w:p w14:paraId="5DCC854B">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本项目建成后严格落实区域重污染天气应急预案相关要求，在重污染天气严格按要求进行错峰生产、限产、停产等。</w:t>
                  </w:r>
                </w:p>
              </w:tc>
              <w:tc>
                <w:tcPr>
                  <w:tcW w:w="306" w:type="pct"/>
                  <w:vAlign w:val="center"/>
                </w:tcPr>
                <w:p w14:paraId="6EDE1639">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6D1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0E11EFFC">
                  <w:pPr>
                    <w:pStyle w:val="13"/>
                    <w:rPr>
                      <w:rFonts w:cs="Times New Roman"/>
                      <w:color w:val="000000" w:themeColor="text1"/>
                      <w14:textFill>
                        <w14:solidFill>
                          <w14:schemeClr w14:val="tx1"/>
                        </w14:solidFill>
                      </w14:textFill>
                    </w:rPr>
                  </w:pPr>
                </w:p>
              </w:tc>
              <w:tc>
                <w:tcPr>
                  <w:tcW w:w="290" w:type="pct"/>
                  <w:vMerge w:val="continue"/>
                  <w:vAlign w:val="center"/>
                </w:tcPr>
                <w:p w14:paraId="4293E14E">
                  <w:pPr>
                    <w:pStyle w:val="13"/>
                    <w:rPr>
                      <w:rFonts w:cs="Times New Roman"/>
                      <w:color w:val="000000" w:themeColor="text1"/>
                      <w14:textFill>
                        <w14:solidFill>
                          <w14:schemeClr w14:val="tx1"/>
                        </w14:solidFill>
                      </w14:textFill>
                    </w:rPr>
                  </w:pPr>
                </w:p>
              </w:tc>
              <w:tc>
                <w:tcPr>
                  <w:tcW w:w="298" w:type="pct"/>
                  <w:vMerge w:val="continue"/>
                  <w:vAlign w:val="center"/>
                </w:tcPr>
                <w:p w14:paraId="3E374620">
                  <w:pPr>
                    <w:pStyle w:val="13"/>
                    <w:rPr>
                      <w:rFonts w:cs="Times New Roman"/>
                      <w:color w:val="000000" w:themeColor="text1"/>
                      <w14:textFill>
                        <w14:solidFill>
                          <w14:schemeClr w14:val="tx1"/>
                        </w14:solidFill>
                      </w14:textFill>
                    </w:rPr>
                  </w:pPr>
                </w:p>
              </w:tc>
              <w:tc>
                <w:tcPr>
                  <w:tcW w:w="2781" w:type="pct"/>
                  <w:vAlign w:val="center"/>
                </w:tcPr>
                <w:p w14:paraId="35049F7B">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（1）涉及有毒有害、易燃易爆物质新建、改扩建项目，严控准入要求。</w:t>
                  </w:r>
                </w:p>
                <w:p w14:paraId="0D67095A">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w:t>
                  </w:r>
                </w:p>
                <w:p w14:paraId="44DE891A">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有色金属冶炼、石油加工、化工、焦化、电镀、制革等行业企业拆除生产设施设备、构筑物和污染治理设施，要事先制定残留污染物清理和安全处置方案，要严格按照有关规定实施安全处理处置，防范拆除活动污染土壤。</w:t>
                  </w:r>
                </w:p>
                <w:p w14:paraId="7280DDBC">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（4）已污染地块，应当依法开展土壤污染状况调查、治理与修复，符合相关环境质量要求后，方可进入用地程序。</w:t>
                  </w:r>
                </w:p>
              </w:tc>
              <w:tc>
                <w:tcPr>
                  <w:tcW w:w="883" w:type="pct"/>
                  <w:vAlign w:val="center"/>
                </w:tcPr>
                <w:p w14:paraId="54C764A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eastAsia="zh-CN"/>
                      <w14:textFill>
                        <w14:solidFill>
                          <w14:schemeClr w14:val="tx1"/>
                        </w14:solidFill>
                      </w14:textFill>
                    </w:rPr>
                    <w:t>满足准入要求</w:t>
                  </w:r>
                  <w:r>
                    <w:rPr>
                      <w:rFonts w:cs="Times New Roman"/>
                      <w:color w:val="000000" w:themeColor="text1"/>
                      <w14:textFill>
                        <w14:solidFill>
                          <w14:schemeClr w14:val="tx1"/>
                        </w14:solidFill>
                      </w14:textFill>
                    </w:rPr>
                    <w:t>。经风险评估，本项目风险潜势为I级，总体环境风险较低。</w:t>
                  </w:r>
                </w:p>
              </w:tc>
              <w:tc>
                <w:tcPr>
                  <w:tcW w:w="306" w:type="pct"/>
                  <w:vAlign w:val="center"/>
                </w:tcPr>
                <w:p w14:paraId="006CBE6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E58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55B7A1B6">
                  <w:pPr>
                    <w:pStyle w:val="13"/>
                    <w:rPr>
                      <w:rFonts w:cs="Times New Roman"/>
                      <w:color w:val="000000" w:themeColor="text1"/>
                      <w14:textFill>
                        <w14:solidFill>
                          <w14:schemeClr w14:val="tx1"/>
                        </w14:solidFill>
                      </w14:textFill>
                    </w:rPr>
                  </w:pPr>
                </w:p>
              </w:tc>
              <w:tc>
                <w:tcPr>
                  <w:tcW w:w="290" w:type="pct"/>
                  <w:vMerge w:val="continue"/>
                  <w:vAlign w:val="center"/>
                </w:tcPr>
                <w:p w14:paraId="00C3AB32">
                  <w:pPr>
                    <w:pStyle w:val="13"/>
                    <w:rPr>
                      <w:rFonts w:cs="Times New Roman"/>
                      <w:color w:val="000000" w:themeColor="text1"/>
                      <w14:textFill>
                        <w14:solidFill>
                          <w14:schemeClr w14:val="tx1"/>
                        </w14:solidFill>
                      </w14:textFill>
                    </w:rPr>
                  </w:pPr>
                </w:p>
              </w:tc>
              <w:tc>
                <w:tcPr>
                  <w:tcW w:w="298" w:type="pct"/>
                  <w:vMerge w:val="restart"/>
                  <w:vAlign w:val="center"/>
                </w:tcPr>
                <w:p w14:paraId="6D8B5C1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资源开发利用效率要求</w:t>
                  </w:r>
                </w:p>
              </w:tc>
              <w:tc>
                <w:tcPr>
                  <w:tcW w:w="2781" w:type="pct"/>
                  <w:vAlign w:val="center"/>
                </w:tcPr>
                <w:p w14:paraId="79314686">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（1）到2022年，万元国内生产总值用水量、万元工业增加值用水量较2015年分别降低30%和28%。</w:t>
                  </w:r>
                </w:p>
              </w:tc>
              <w:tc>
                <w:tcPr>
                  <w:tcW w:w="883" w:type="pct"/>
                  <w:vAlign w:val="center"/>
                </w:tcPr>
                <w:p w14:paraId="726B69C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本项目用水量较少，用水仅为市政供水的自来水，不涉及取水。</w:t>
                  </w:r>
                </w:p>
              </w:tc>
              <w:tc>
                <w:tcPr>
                  <w:tcW w:w="306" w:type="pct"/>
                  <w:vAlign w:val="center"/>
                </w:tcPr>
                <w:p w14:paraId="1DC5F51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853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37F345F5">
                  <w:pPr>
                    <w:pStyle w:val="13"/>
                    <w:rPr>
                      <w:rFonts w:cs="Times New Roman"/>
                      <w:color w:val="000000" w:themeColor="text1"/>
                      <w14:textFill>
                        <w14:solidFill>
                          <w14:schemeClr w14:val="tx1"/>
                        </w14:solidFill>
                      </w14:textFill>
                    </w:rPr>
                  </w:pPr>
                </w:p>
              </w:tc>
              <w:tc>
                <w:tcPr>
                  <w:tcW w:w="290" w:type="pct"/>
                  <w:vMerge w:val="continue"/>
                  <w:vAlign w:val="center"/>
                </w:tcPr>
                <w:p w14:paraId="0ACFAC7C">
                  <w:pPr>
                    <w:pStyle w:val="13"/>
                    <w:rPr>
                      <w:rFonts w:cs="Times New Roman"/>
                      <w:color w:val="000000" w:themeColor="text1"/>
                      <w14:textFill>
                        <w14:solidFill>
                          <w14:schemeClr w14:val="tx1"/>
                        </w14:solidFill>
                      </w14:textFill>
                    </w:rPr>
                  </w:pPr>
                </w:p>
              </w:tc>
              <w:tc>
                <w:tcPr>
                  <w:tcW w:w="298" w:type="pct"/>
                  <w:vMerge w:val="continue"/>
                  <w:vAlign w:val="center"/>
                </w:tcPr>
                <w:p w14:paraId="5C18DAC6">
                  <w:pPr>
                    <w:pStyle w:val="13"/>
                    <w:rPr>
                      <w:rFonts w:cs="Times New Roman"/>
                      <w:color w:val="000000" w:themeColor="text1"/>
                      <w14:textFill>
                        <w14:solidFill>
                          <w14:schemeClr w14:val="tx1"/>
                        </w14:solidFill>
                      </w14:textFill>
                    </w:rPr>
                  </w:pPr>
                </w:p>
              </w:tc>
              <w:tc>
                <w:tcPr>
                  <w:tcW w:w="2781" w:type="pct"/>
                  <w:vAlign w:val="center"/>
                </w:tcPr>
                <w:p w14:paraId="7899B537">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（1）巴中市2025年地下水开采</w:t>
                  </w:r>
                  <w:r>
                    <w:rPr>
                      <w:rFonts w:hint="eastAsia" w:cs="Times New Roman"/>
                      <w:color w:val="000000" w:themeColor="text1"/>
                      <w:lang w:eastAsia="zh-CN"/>
                      <w14:textFill>
                        <w14:solidFill>
                          <w14:schemeClr w14:val="tx1"/>
                        </w14:solidFill>
                      </w14:textFill>
                    </w:rPr>
                    <w:t>控制</w:t>
                  </w:r>
                  <w:r>
                    <w:rPr>
                      <w:rFonts w:cs="Times New Roman"/>
                      <w:color w:val="000000" w:themeColor="text1"/>
                      <w14:textFill>
                        <w14:solidFill>
                          <w14:schemeClr w14:val="tx1"/>
                        </w14:solidFill>
                      </w14:textFill>
                    </w:rPr>
                    <w:t>量保持在1400万m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以内。</w:t>
                  </w:r>
                </w:p>
                <w:p w14:paraId="1C08A19D">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（2）地下水开采量控制在可开采量的允许范围内，抑制用水过度增长。</w:t>
                  </w:r>
                </w:p>
              </w:tc>
              <w:tc>
                <w:tcPr>
                  <w:tcW w:w="883" w:type="pct"/>
                  <w:vAlign w:val="center"/>
                </w:tcPr>
                <w:p w14:paraId="122CCE7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本项目用水为市政供水的自来水，不涉及地下水。</w:t>
                  </w:r>
                </w:p>
              </w:tc>
              <w:tc>
                <w:tcPr>
                  <w:tcW w:w="306" w:type="pct"/>
                  <w:vAlign w:val="center"/>
                </w:tcPr>
                <w:p w14:paraId="5BF886B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355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0222A07D">
                  <w:pPr>
                    <w:pStyle w:val="13"/>
                    <w:rPr>
                      <w:rFonts w:cs="Times New Roman"/>
                      <w:color w:val="000000" w:themeColor="text1"/>
                      <w14:textFill>
                        <w14:solidFill>
                          <w14:schemeClr w14:val="tx1"/>
                        </w14:solidFill>
                      </w14:textFill>
                    </w:rPr>
                  </w:pPr>
                </w:p>
              </w:tc>
              <w:tc>
                <w:tcPr>
                  <w:tcW w:w="290" w:type="pct"/>
                  <w:vMerge w:val="continue"/>
                  <w:vAlign w:val="center"/>
                </w:tcPr>
                <w:p w14:paraId="0573987B">
                  <w:pPr>
                    <w:pStyle w:val="13"/>
                    <w:rPr>
                      <w:rFonts w:cs="Times New Roman"/>
                      <w:color w:val="000000" w:themeColor="text1"/>
                      <w14:textFill>
                        <w14:solidFill>
                          <w14:schemeClr w14:val="tx1"/>
                        </w14:solidFill>
                      </w14:textFill>
                    </w:rPr>
                  </w:pPr>
                </w:p>
              </w:tc>
              <w:tc>
                <w:tcPr>
                  <w:tcW w:w="298" w:type="pct"/>
                  <w:vMerge w:val="continue"/>
                  <w:vAlign w:val="center"/>
                </w:tcPr>
                <w:p w14:paraId="3EAD5B96">
                  <w:pPr>
                    <w:pStyle w:val="13"/>
                    <w:rPr>
                      <w:rFonts w:cs="Times New Roman"/>
                      <w:color w:val="000000" w:themeColor="text1"/>
                      <w14:textFill>
                        <w14:solidFill>
                          <w14:schemeClr w14:val="tx1"/>
                        </w14:solidFill>
                      </w14:textFill>
                    </w:rPr>
                  </w:pPr>
                </w:p>
              </w:tc>
              <w:tc>
                <w:tcPr>
                  <w:tcW w:w="2781" w:type="pct"/>
                  <w:vAlign w:val="center"/>
                </w:tcPr>
                <w:p w14:paraId="207F061D">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（1）新、改扩建项目污染能耗指标满足《四川省省级生态工业园区指标》综合类生态工业园区要求。</w:t>
                  </w:r>
                </w:p>
                <w:p w14:paraId="3F134109">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（2）实施新建项目与煤炭消费总量控制挂钩机制，耗煤建设项目实行煤炭消耗等量减量替代。</w:t>
                  </w:r>
                </w:p>
                <w:p w14:paraId="469057B9">
                  <w:pPr>
                    <w:pStyle w:val="13"/>
                    <w:jc w:val="left"/>
                    <w:rPr>
                      <w:rFonts w:hint="eastAsia" w:ascii="宋体" w:hAnsi="宋体" w:eastAsia="宋体" w:cs="宋体"/>
                      <w:color w:val="000000" w:themeColor="text1"/>
                      <w14:textFill>
                        <w14:solidFill>
                          <w14:schemeClr w14:val="tx1"/>
                        </w14:solidFill>
                      </w14:textFill>
                    </w:rPr>
                  </w:pPr>
                  <w:r>
                    <w:rPr>
                      <w:rFonts w:cs="Times New Roman"/>
                      <w:color w:val="000000" w:themeColor="text1"/>
                      <w14:textFill>
                        <w14:solidFill>
                          <w14:schemeClr w14:val="tx1"/>
                        </w14:solidFill>
                      </w14:textFill>
                    </w:rPr>
                    <w:t>（3）提高煤炭利用效率和天然气利用占</w:t>
                  </w:r>
                  <w:r>
                    <w:rPr>
                      <w:rFonts w:hint="eastAsia" w:ascii="宋体" w:hAnsi="宋体" w:eastAsia="宋体" w:cs="宋体"/>
                      <w:color w:val="000000" w:themeColor="text1"/>
                      <w14:textFill>
                        <w14:solidFill>
                          <w14:schemeClr w14:val="tx1"/>
                        </w14:solidFill>
                      </w14:textFill>
                    </w:rPr>
                    <w:t>比，工业领域有序推进“煤改电”和有序推进“煤改气”。</w:t>
                  </w:r>
                </w:p>
                <w:p w14:paraId="6063C610">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（4）全面淘汰每小时10蒸吨以下的燃煤锅炉；在供气管网覆盖不到的其他地区，改用电、新能源或洁净煤。</w:t>
                  </w:r>
                </w:p>
                <w:p w14:paraId="4BC39446">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w:t>
                  </w:r>
                </w:p>
              </w:tc>
              <w:tc>
                <w:tcPr>
                  <w:tcW w:w="883" w:type="pct"/>
                  <w:vAlign w:val="center"/>
                </w:tcPr>
                <w:p w14:paraId="291C1580">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本项目回转窑使用清洁能源天然气燃料，辅以电力，不使用高污染燃料；采用一般工业固废（水基岩屑）作为原料，属于一般工业固废资源化利用，因此，污染能耗指标满足</w:t>
                  </w:r>
                  <w:r>
                    <w:rPr>
                      <w:rFonts w:cs="Times New Roman"/>
                      <w:color w:val="000000" w:themeColor="text1"/>
                      <w14:textFill>
                        <w14:solidFill>
                          <w14:schemeClr w14:val="tx1"/>
                        </w14:solidFill>
                      </w14:textFill>
                    </w:rPr>
                    <w:t>《四川省省级生态工业园区指标》综合类生态工业园区要求；本项目使用的能源为电、天然气，不涉及煤炭使用。</w:t>
                  </w:r>
                </w:p>
              </w:tc>
              <w:tc>
                <w:tcPr>
                  <w:tcW w:w="306" w:type="pct"/>
                  <w:vAlign w:val="center"/>
                </w:tcPr>
                <w:p w14:paraId="3571A1B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CFE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42C8979A">
                  <w:pPr>
                    <w:pStyle w:val="13"/>
                    <w:rPr>
                      <w:rFonts w:cs="Times New Roman"/>
                      <w:color w:val="000000" w:themeColor="text1"/>
                      <w14:textFill>
                        <w14:solidFill>
                          <w14:schemeClr w14:val="tx1"/>
                        </w14:solidFill>
                      </w14:textFill>
                    </w:rPr>
                  </w:pPr>
                </w:p>
              </w:tc>
              <w:tc>
                <w:tcPr>
                  <w:tcW w:w="290" w:type="pct"/>
                  <w:vMerge w:val="continue"/>
                  <w:vAlign w:val="center"/>
                </w:tcPr>
                <w:p w14:paraId="246CBCDF">
                  <w:pPr>
                    <w:pStyle w:val="13"/>
                    <w:rPr>
                      <w:rFonts w:cs="Times New Roman"/>
                      <w:color w:val="000000" w:themeColor="text1"/>
                      <w14:textFill>
                        <w14:solidFill>
                          <w14:schemeClr w14:val="tx1"/>
                        </w14:solidFill>
                      </w14:textFill>
                    </w:rPr>
                  </w:pPr>
                </w:p>
              </w:tc>
              <w:tc>
                <w:tcPr>
                  <w:tcW w:w="298" w:type="pct"/>
                  <w:vMerge w:val="continue"/>
                  <w:vAlign w:val="center"/>
                </w:tcPr>
                <w:p w14:paraId="7A968D40">
                  <w:pPr>
                    <w:pStyle w:val="13"/>
                    <w:rPr>
                      <w:rFonts w:cs="Times New Roman"/>
                      <w:color w:val="000000" w:themeColor="text1"/>
                      <w14:textFill>
                        <w14:solidFill>
                          <w14:schemeClr w14:val="tx1"/>
                        </w14:solidFill>
                      </w14:textFill>
                    </w:rPr>
                  </w:pPr>
                </w:p>
              </w:tc>
              <w:tc>
                <w:tcPr>
                  <w:tcW w:w="2781" w:type="pct"/>
                  <w:vAlign w:val="center"/>
                </w:tcPr>
                <w:p w14:paraId="03053CC4">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（1）到2025年，巴中市万元工业增加值用水降低至22.4m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，工业用水重复利用率达到75.5%以上；到2030年，巴中市万元工业增加值用水量降低到17.1m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，工业用水重复利用率达到81.3%以上。</w:t>
                  </w:r>
                </w:p>
                <w:p w14:paraId="388F0A5E">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（2）新、改扩建项目污染水耗指标满足《四川省省级生态工业园区指标》综合类生态工业园区要求。</w:t>
                  </w:r>
                </w:p>
                <w:p w14:paraId="6D121DFA">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鼓励引导新建、改建、扩建工业园区应当按照有关要求统筹建设工业废水集中处理和回用设施，适时推进企业间串联用水、分质用水、一水多用，实现水循环梯级优化利用和废水集中处理回用，创建节水型工业园区。</w:t>
                  </w:r>
                </w:p>
                <w:p w14:paraId="666F5F6F">
                  <w:pPr>
                    <w:pStyle w:val="13"/>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w:t>
                  </w:r>
                </w:p>
              </w:tc>
              <w:tc>
                <w:tcPr>
                  <w:tcW w:w="883" w:type="pct"/>
                  <w:vAlign w:val="center"/>
                </w:tcPr>
                <w:p w14:paraId="59AD15F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用水为园区供水，仅外排生活污水，废水部分回用于生产，不可回用部分委托有资质单位处理。项目污染水耗满足</w:t>
                  </w:r>
                  <w:r>
                    <w:rPr>
                      <w:rFonts w:cs="Times New Roman"/>
                      <w:color w:val="000000" w:themeColor="text1"/>
                      <w14:textFill>
                        <w14:solidFill>
                          <w14:schemeClr w14:val="tx1"/>
                        </w14:solidFill>
                      </w14:textFill>
                    </w:rPr>
                    <w:t>《四川省省级生态工业园区指标》综合类生态工业园区要求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不属于高水耗项目</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w:t>
                  </w:r>
                  <w:r>
                    <w:rPr>
                      <w:rFonts w:cs="Times New Roman"/>
                      <w:color w:val="000000" w:themeColor="text1"/>
                      <w14:textFill>
                        <w14:solidFill>
                          <w14:schemeClr w14:val="tx1"/>
                        </w14:solidFill>
                      </w14:textFill>
                    </w:rPr>
                    <w:t>供水均为自来水，不涉及取水</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预处理后通过市政管网送至</w:t>
                  </w:r>
                  <w:r>
                    <w:rPr>
                      <w:rFonts w:hint="eastAsia" w:cs="Times New Roman"/>
                      <w:color w:val="000000" w:themeColor="text1"/>
                      <w:lang w:val="en-US" w:eastAsia="zh-CN"/>
                      <w14:textFill>
                        <w14:solidFill>
                          <w14:schemeClr w14:val="tx1"/>
                        </w14:solidFill>
                      </w14:textFill>
                    </w:rPr>
                    <w:t>星光工业</w:t>
                  </w:r>
                  <w:r>
                    <w:rPr>
                      <w:rFonts w:cs="Times New Roman"/>
                      <w:color w:val="000000" w:themeColor="text1"/>
                      <w14:textFill>
                        <w14:solidFill>
                          <w14:schemeClr w14:val="tx1"/>
                        </w14:solidFill>
                      </w14:textFill>
                    </w:rPr>
                    <w:t>园区污水处理</w:t>
                  </w:r>
                  <w:r>
                    <w:rPr>
                      <w:rFonts w:hint="eastAsia" w:cs="Times New Roman"/>
                      <w:color w:val="000000" w:themeColor="text1"/>
                      <w:lang w:val="en-US" w:eastAsia="zh-CN"/>
                      <w14:textFill>
                        <w14:solidFill>
                          <w14:schemeClr w14:val="tx1"/>
                        </w14:solidFill>
                      </w14:textFill>
                    </w:rPr>
                    <w:t>厂</w:t>
                  </w:r>
                  <w:r>
                    <w:rPr>
                      <w:rFonts w:cs="Times New Roman"/>
                      <w:color w:val="000000" w:themeColor="text1"/>
                      <w14:textFill>
                        <w14:solidFill>
                          <w14:schemeClr w14:val="tx1"/>
                        </w14:solidFill>
                      </w14:textFill>
                    </w:rPr>
                    <w:t>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生产废水部分回用，不能回用部分委托有资质单位处理</w:t>
                  </w:r>
                  <w:r>
                    <w:rPr>
                      <w:rFonts w:cs="Times New Roman"/>
                      <w:color w:val="000000" w:themeColor="text1"/>
                      <w14:textFill>
                        <w14:solidFill>
                          <w14:schemeClr w14:val="tx1"/>
                        </w14:solidFill>
                      </w14:textFill>
                    </w:rPr>
                    <w:t>。</w:t>
                  </w:r>
                </w:p>
              </w:tc>
              <w:tc>
                <w:tcPr>
                  <w:tcW w:w="306" w:type="pct"/>
                  <w:vAlign w:val="center"/>
                </w:tcPr>
                <w:p w14:paraId="602F989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0F2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3F3B834B">
                  <w:pPr>
                    <w:pStyle w:val="13"/>
                    <w:rPr>
                      <w:rFonts w:cs="Times New Roman"/>
                      <w:color w:val="000000" w:themeColor="text1"/>
                      <w14:textFill>
                        <w14:solidFill>
                          <w14:schemeClr w14:val="tx1"/>
                        </w14:solidFill>
                      </w14:textFill>
                    </w:rPr>
                  </w:pPr>
                </w:p>
              </w:tc>
              <w:tc>
                <w:tcPr>
                  <w:tcW w:w="290" w:type="pct"/>
                  <w:vMerge w:val="restart"/>
                  <w:vAlign w:val="center"/>
                </w:tcPr>
                <w:p w14:paraId="40EA194C">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平昌县管控要求</w:t>
                  </w:r>
                </w:p>
              </w:tc>
              <w:tc>
                <w:tcPr>
                  <w:tcW w:w="298" w:type="pct"/>
                  <w:vAlign w:val="center"/>
                </w:tcPr>
                <w:p w14:paraId="4A790CDE">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空间布局约束</w:t>
                  </w:r>
                </w:p>
              </w:tc>
              <w:tc>
                <w:tcPr>
                  <w:tcW w:w="2781" w:type="pct"/>
                  <w:vAlign w:val="center"/>
                </w:tcPr>
                <w:p w14:paraId="489BDD19">
                  <w:pPr>
                    <w:pStyle w:val="13"/>
                    <w:jc w:val="left"/>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-统筹生态环境保护与经济社会发展的关系，落实农产品主产区的功能定位要求；</w:t>
                  </w:r>
                </w:p>
                <w:p w14:paraId="2C535456">
                  <w:pPr>
                    <w:pStyle w:val="13"/>
                    <w:jc w:val="left"/>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-持续推进流域水生态环境修复与治理，更加注重城乡生态环境保护基础设施建设与管理；</w:t>
                  </w:r>
                </w:p>
                <w:p w14:paraId="3DD221B1">
                  <w:pPr>
                    <w:pStyle w:val="13"/>
                    <w:jc w:val="left"/>
                    <w:rPr>
                      <w:rFonts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-鼓励发展绿色农产品园区建设。</w:t>
                  </w:r>
                </w:p>
              </w:tc>
              <w:tc>
                <w:tcPr>
                  <w:tcW w:w="883" w:type="pct"/>
                  <w:vAlign w:val="center"/>
                </w:tcPr>
                <w:p w14:paraId="2CEDA512">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本项目为新建，不属于不符合空间布局的待退出的活动。</w:t>
                  </w:r>
                </w:p>
              </w:tc>
              <w:tc>
                <w:tcPr>
                  <w:tcW w:w="306" w:type="pct"/>
                  <w:vAlign w:val="center"/>
                </w:tcPr>
                <w:p w14:paraId="6ACCA60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0327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413A914B">
                  <w:pPr>
                    <w:pStyle w:val="13"/>
                    <w:rPr>
                      <w:rFonts w:cs="Times New Roman"/>
                      <w:color w:val="000000" w:themeColor="text1"/>
                      <w14:textFill>
                        <w14:solidFill>
                          <w14:schemeClr w14:val="tx1"/>
                        </w14:solidFill>
                      </w14:textFill>
                    </w:rPr>
                  </w:pPr>
                </w:p>
              </w:tc>
              <w:tc>
                <w:tcPr>
                  <w:tcW w:w="290" w:type="pct"/>
                  <w:vMerge w:val="continue"/>
                  <w:vAlign w:val="center"/>
                </w:tcPr>
                <w:p w14:paraId="3FE9D3F5">
                  <w:pPr>
                    <w:pStyle w:val="13"/>
                    <w:rPr>
                      <w:rFonts w:hint="eastAsia" w:cs="Times New Roman"/>
                      <w:color w:val="000000" w:themeColor="text1"/>
                      <w:lang w:val="en-US" w:eastAsia="zh-CN"/>
                      <w14:textFill>
                        <w14:solidFill>
                          <w14:schemeClr w14:val="tx1"/>
                        </w14:solidFill>
                      </w14:textFill>
                    </w:rPr>
                  </w:pPr>
                </w:p>
              </w:tc>
              <w:tc>
                <w:tcPr>
                  <w:tcW w:w="298" w:type="pct"/>
                  <w:vAlign w:val="center"/>
                </w:tcPr>
                <w:p w14:paraId="3A8E9A3E">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污染物排放管控</w:t>
                  </w:r>
                </w:p>
              </w:tc>
              <w:tc>
                <w:tcPr>
                  <w:tcW w:w="2781" w:type="pct"/>
                  <w:vAlign w:val="center"/>
                </w:tcPr>
                <w:p w14:paraId="22E9C0A5">
                  <w:pPr>
                    <w:pStyle w:val="13"/>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严格环境准入条件，加强工业企业污染防治。</w:t>
                  </w:r>
                </w:p>
              </w:tc>
              <w:tc>
                <w:tcPr>
                  <w:tcW w:w="883" w:type="pct"/>
                  <w:vAlign w:val="center"/>
                </w:tcPr>
                <w:p w14:paraId="512C939C">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本项目各污染物均采取环保措施有效处理，严格落实相关规范、排放标准要求。</w:t>
                  </w:r>
                </w:p>
              </w:tc>
              <w:tc>
                <w:tcPr>
                  <w:tcW w:w="306" w:type="pct"/>
                  <w:vAlign w:val="center"/>
                </w:tcPr>
                <w:p w14:paraId="21DF737D">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0012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579D9128">
                  <w:pPr>
                    <w:pStyle w:val="13"/>
                    <w:rPr>
                      <w:rFonts w:cs="Times New Roman"/>
                      <w:color w:val="000000" w:themeColor="text1"/>
                      <w14:textFill>
                        <w14:solidFill>
                          <w14:schemeClr w14:val="tx1"/>
                        </w14:solidFill>
                      </w14:textFill>
                    </w:rPr>
                  </w:pPr>
                </w:p>
              </w:tc>
              <w:tc>
                <w:tcPr>
                  <w:tcW w:w="290" w:type="pct"/>
                  <w:vMerge w:val="continue"/>
                  <w:vAlign w:val="center"/>
                </w:tcPr>
                <w:p w14:paraId="4B8CC8B9">
                  <w:pPr>
                    <w:pStyle w:val="13"/>
                    <w:rPr>
                      <w:rFonts w:hint="default" w:cs="Times New Roman"/>
                      <w:color w:val="000000" w:themeColor="text1"/>
                      <w:lang w:val="en-US" w:eastAsia="zh-CN"/>
                      <w14:textFill>
                        <w14:solidFill>
                          <w14:schemeClr w14:val="tx1"/>
                        </w14:solidFill>
                      </w14:textFill>
                    </w:rPr>
                  </w:pPr>
                </w:p>
              </w:tc>
              <w:tc>
                <w:tcPr>
                  <w:tcW w:w="298" w:type="pct"/>
                  <w:vAlign w:val="center"/>
                </w:tcPr>
                <w:p w14:paraId="4D722B29">
                  <w:pPr>
                    <w:pStyle w:val="13"/>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环境风险防控</w:t>
                  </w:r>
                </w:p>
              </w:tc>
              <w:tc>
                <w:tcPr>
                  <w:tcW w:w="2781" w:type="pct"/>
                  <w:vAlign w:val="center"/>
                </w:tcPr>
                <w:p w14:paraId="427CDD80">
                  <w:pPr>
                    <w:pStyle w:val="13"/>
                    <w:jc w:val="left"/>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注重生态种养业发展，减少农药、农膜、化肥使用量，更加强化畜禽粪污综合利用。</w:t>
                  </w:r>
                </w:p>
              </w:tc>
              <w:tc>
                <w:tcPr>
                  <w:tcW w:w="883" w:type="pct"/>
                  <w:vAlign w:val="center"/>
                </w:tcPr>
                <w:p w14:paraId="0DD93F4D">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本项目不涉及种养业，不涉及农药、农膜、化肥的使用，不涉及畜禽粪污。</w:t>
                  </w:r>
                </w:p>
              </w:tc>
              <w:tc>
                <w:tcPr>
                  <w:tcW w:w="306" w:type="pct"/>
                  <w:vAlign w:val="center"/>
                </w:tcPr>
                <w:p w14:paraId="62DF3B89">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222F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restart"/>
                  <w:vAlign w:val="center"/>
                </w:tcPr>
                <w:p w14:paraId="3A794897">
                  <w:pPr>
                    <w:pStyle w:val="13"/>
                    <w:jc w:val="left"/>
                    <w:rPr>
                      <w:rFonts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平昌经济开发区（星光机械工业园、马家坪-何家坪食品饮料园、驷马能源工业园、石龙门化工园区）ZH51192320002</w:t>
                  </w:r>
                </w:p>
              </w:tc>
              <w:tc>
                <w:tcPr>
                  <w:tcW w:w="290" w:type="pct"/>
                  <w:vMerge w:val="restart"/>
                  <w:vAlign w:val="center"/>
                </w:tcPr>
                <w:p w14:paraId="7092BA4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单元特性管控要求</w:t>
                  </w:r>
                </w:p>
              </w:tc>
              <w:tc>
                <w:tcPr>
                  <w:tcW w:w="298" w:type="pct"/>
                  <w:vAlign w:val="center"/>
                </w:tcPr>
                <w:p w14:paraId="4801276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2781" w:type="pct"/>
                  <w:vAlign w:val="center"/>
                </w:tcPr>
                <w:p w14:paraId="3A9A1125">
                  <w:pPr>
                    <w:pStyle w:val="13"/>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工业园区及周边工业备用地：（1）禁止重污染型企业，包括电镀、皮革、屠宰、化学纸浆造纸、发酵类制药企业，印染等水污染物排放量大且难以处理的企业，以及焦化、黄磷、冶金等大气污染排放量大或排放人体有害物质较多的企业；（2）禁止引入汽车维修等修理行业的露天喷涂作业和无溶剂回收设施的干洗设备。（3）其他执行工业重点管控单元总体准入要求。</w:t>
                  </w:r>
                </w:p>
                <w:p w14:paraId="5513C4E6">
                  <w:pPr>
                    <w:pStyle w:val="13"/>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饮料食品工业区：（1）禁止重污染型企业，包括电镀、皮革、化学纸浆造纸、发酵类制药企业，印染等水污染物排放量大且难以处理的企业，以及焦化、黄磷、冶金等大气污染排放量大或排放人体有害物质较多的企业。 （2）其他执行工业重点管控单元总体准入要求。</w:t>
                  </w:r>
                </w:p>
                <w:p w14:paraId="2F87172A">
                  <w:pPr>
                    <w:pStyle w:val="13"/>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驷马清洁能源工业区：（1）禁止重污染型企业，包括电镀、皮革、屠宰、化学纸浆造纸、发酵类制药企业，印染等水污染物排放量大且难以处理的企业，以及焦化、黄磷、冶金等大气污染排放量大或排放人体有害物质较多的企业。（2）其他执行工业重点管控单元总体准入要求。</w:t>
                  </w:r>
                </w:p>
                <w:p w14:paraId="0C9F30C2">
                  <w:pPr>
                    <w:pStyle w:val="13"/>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石龙门化工片区：1、仅能建设LNG、CNG、磷酸铁锂、利用工业级碳酸二甲酯制备电池级碳酸二甲酯、电池级碳酸二乙酯、碳酸甲乙酯、锂离子电池电解液项目。2、除石龙门化工片区外，本管控单元内禁止新建、扩建化工项目。</w:t>
                  </w:r>
                </w:p>
              </w:tc>
              <w:tc>
                <w:tcPr>
                  <w:tcW w:w="883" w:type="pct"/>
                  <w:vAlign w:val="center"/>
                </w:tcPr>
                <w:p w14:paraId="521E3FB1">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本项目位于星光工业园区内，本项目属于固废综合</w:t>
                  </w:r>
                  <w:r>
                    <w:rPr>
                      <w:rFonts w:hint="eastAsia" w:cs="Times New Roman"/>
                      <w:color w:val="000000" w:themeColor="text1"/>
                      <w:lang w:eastAsia="zh-CN"/>
                      <w14:textFill>
                        <w14:solidFill>
                          <w14:schemeClr w14:val="tx1"/>
                        </w14:solidFill>
                      </w14:textFill>
                    </w:rPr>
                    <w:t>利用</w:t>
                  </w:r>
                  <w:r>
                    <w:rPr>
                      <w:rFonts w:hint="eastAsia" w:cs="Times New Roman"/>
                      <w:color w:val="000000" w:themeColor="text1"/>
                      <w14:textFill>
                        <w14:solidFill>
                          <w14:schemeClr w14:val="tx1"/>
                        </w14:solidFill>
                      </w14:textFill>
                    </w:rPr>
                    <w:t>，不属于禁止建设的企业类别。</w:t>
                  </w:r>
                </w:p>
              </w:tc>
              <w:tc>
                <w:tcPr>
                  <w:tcW w:w="306" w:type="pct"/>
                  <w:vAlign w:val="center"/>
                </w:tcPr>
                <w:p w14:paraId="6D7E527F">
                  <w:pPr>
                    <w:pStyle w:val="13"/>
                    <w:rPr>
                      <w:rFonts w:cs="Times New Roman"/>
                      <w:color w:val="000000" w:themeColor="text1"/>
                      <w14:textFill>
                        <w14:solidFill>
                          <w14:schemeClr w14:val="tx1"/>
                        </w14:solidFill>
                      </w14:textFill>
                    </w:rPr>
                  </w:pPr>
                  <w:bookmarkStart w:id="19" w:name="OLE_LINK7"/>
                  <w:r>
                    <w:rPr>
                      <w:rFonts w:cs="Times New Roman"/>
                      <w:color w:val="000000" w:themeColor="text1"/>
                      <w14:textFill>
                        <w14:solidFill>
                          <w14:schemeClr w14:val="tx1"/>
                        </w14:solidFill>
                      </w14:textFill>
                    </w:rPr>
                    <w:t>符合</w:t>
                  </w:r>
                  <w:bookmarkEnd w:id="19"/>
                </w:p>
              </w:tc>
            </w:tr>
            <w:tr w14:paraId="69DD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339FDD25">
                  <w:pPr>
                    <w:pStyle w:val="13"/>
                    <w:rPr>
                      <w:rFonts w:cs="Times New Roman"/>
                      <w:color w:val="000000" w:themeColor="text1"/>
                      <w14:textFill>
                        <w14:solidFill>
                          <w14:schemeClr w14:val="tx1"/>
                        </w14:solidFill>
                      </w14:textFill>
                    </w:rPr>
                  </w:pPr>
                </w:p>
              </w:tc>
              <w:tc>
                <w:tcPr>
                  <w:tcW w:w="290" w:type="pct"/>
                  <w:vMerge w:val="continue"/>
                  <w:vAlign w:val="center"/>
                </w:tcPr>
                <w:p w14:paraId="16F3A24B">
                  <w:pPr>
                    <w:pStyle w:val="13"/>
                    <w:rPr>
                      <w:rFonts w:cs="Times New Roman"/>
                      <w:color w:val="000000" w:themeColor="text1"/>
                      <w14:textFill>
                        <w14:solidFill>
                          <w14:schemeClr w14:val="tx1"/>
                        </w14:solidFill>
                      </w14:textFill>
                    </w:rPr>
                  </w:pPr>
                </w:p>
              </w:tc>
              <w:tc>
                <w:tcPr>
                  <w:tcW w:w="298" w:type="pct"/>
                  <w:vMerge w:val="restart"/>
                  <w:vAlign w:val="center"/>
                </w:tcPr>
                <w:p w14:paraId="1BA5E686">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污染物排放管控</w:t>
                  </w:r>
                </w:p>
              </w:tc>
              <w:tc>
                <w:tcPr>
                  <w:tcW w:w="2781" w:type="pct"/>
                  <w:vAlign w:val="center"/>
                </w:tcPr>
                <w:p w14:paraId="0DF75CA2">
                  <w:pPr>
                    <w:pStyle w:val="13"/>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平昌经济开发区-星光工业园区及周边工业备用地：执行工业重点管控单元总体准入要求。平昌经济开发区-饮料食品工业区： （1）从事肉类加工的企业应当采取措施，对污水进行生化等科学处置，保证废水的综合利用和无害化处理设施正常运转，污水达标后排入园区污水处理厂。 （2）从事肉类加工的企业应当采取措施，对畜禽粪便、尸体和污水等废弃物进行收集、贮存、清运和无害化处理，防止排放恶臭气体。 （3）其他执行工业重点单元总体准入要求。 平昌经济开发区-驷马清洁能源工业区： 执行工业重点管控单元总体准入要求。</w:t>
                  </w:r>
                </w:p>
              </w:tc>
              <w:tc>
                <w:tcPr>
                  <w:tcW w:w="883" w:type="pct"/>
                  <w:vAlign w:val="center"/>
                </w:tcPr>
                <w:p w14:paraId="65A974B6">
                  <w:pPr>
                    <w:pStyle w:val="13"/>
                    <w:rPr>
                      <w:rFonts w:hint="eastAsia"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14:textFill>
                        <w14:solidFill>
                          <w14:schemeClr w14:val="tx1"/>
                        </w14:solidFill>
                      </w14:textFill>
                    </w:rPr>
                    <w:t>位于星光工艺园区内，符合</w:t>
                  </w:r>
                  <w:r>
                    <w:rPr>
                      <w:rFonts w:cs="Times New Roman"/>
                      <w:color w:val="000000" w:themeColor="text1"/>
                      <w14:textFill>
                        <w14:solidFill>
                          <w14:schemeClr w14:val="tx1"/>
                        </w14:solidFill>
                      </w14:textFill>
                    </w:rPr>
                    <w:t>工业重点管控单元总体准入要求。</w:t>
                  </w:r>
                </w:p>
              </w:tc>
              <w:tc>
                <w:tcPr>
                  <w:tcW w:w="306" w:type="pct"/>
                  <w:vAlign w:val="center"/>
                </w:tcPr>
                <w:p w14:paraId="30EF5D5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0D1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1F7A0432">
                  <w:pPr>
                    <w:pStyle w:val="13"/>
                    <w:rPr>
                      <w:rFonts w:cs="Times New Roman"/>
                      <w:color w:val="000000" w:themeColor="text1"/>
                      <w14:textFill>
                        <w14:solidFill>
                          <w14:schemeClr w14:val="tx1"/>
                        </w14:solidFill>
                      </w14:textFill>
                    </w:rPr>
                  </w:pPr>
                </w:p>
              </w:tc>
              <w:tc>
                <w:tcPr>
                  <w:tcW w:w="290" w:type="pct"/>
                  <w:vMerge w:val="continue"/>
                  <w:vAlign w:val="center"/>
                </w:tcPr>
                <w:p w14:paraId="26FFA5DE">
                  <w:pPr>
                    <w:pStyle w:val="13"/>
                    <w:rPr>
                      <w:rFonts w:cs="Times New Roman"/>
                      <w:color w:val="000000" w:themeColor="text1"/>
                      <w14:textFill>
                        <w14:solidFill>
                          <w14:schemeClr w14:val="tx1"/>
                        </w14:solidFill>
                      </w14:textFill>
                    </w:rPr>
                  </w:pPr>
                </w:p>
              </w:tc>
              <w:tc>
                <w:tcPr>
                  <w:tcW w:w="298" w:type="pct"/>
                  <w:vMerge w:val="continue"/>
                  <w:vAlign w:val="center"/>
                </w:tcPr>
                <w:p w14:paraId="388AF5DD">
                  <w:pPr>
                    <w:pStyle w:val="13"/>
                    <w:rPr>
                      <w:rFonts w:cs="Times New Roman"/>
                      <w:color w:val="000000" w:themeColor="text1"/>
                      <w14:textFill>
                        <w14:solidFill>
                          <w14:schemeClr w14:val="tx1"/>
                        </w14:solidFill>
                      </w14:textFill>
                    </w:rPr>
                  </w:pPr>
                </w:p>
              </w:tc>
              <w:tc>
                <w:tcPr>
                  <w:tcW w:w="2781" w:type="pct"/>
                  <w:vAlign w:val="center"/>
                </w:tcPr>
                <w:p w14:paraId="754AB9F9">
                  <w:pPr>
                    <w:pStyle w:val="13"/>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（1）食品饮料重点行业项目新建应参考巴中市“三线一单”生态环境分区管控中食品饮料行业环境绩效准入门槛，对食品饮料产业中的白酒行业和肉制品加工行业执行GB27631-2011行业标准和《清洁生产评价指</w:t>
                  </w:r>
                  <w:r>
                    <w:rPr>
                      <w:rFonts w:hint="default" w:ascii="Times New Roman" w:hAnsi="Times New Roman" w:cs="Times New Roman"/>
                      <w:color w:val="000000" w:themeColor="text1"/>
                      <w14:textFill>
                        <w14:solidFill>
                          <w14:schemeClr w14:val="tx1"/>
                        </w14:solidFill>
                      </w14:textFill>
                    </w:rPr>
                    <w:t>标体系 肉制品加工业》（DB11/T 1405-2017）二级标准，单位产品废水量≤14m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/t，单位产品化学需氧量（CODCr）产生量≤16.1kg/t、单位产品氨氮（NH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-N）≤0.65kg</w:t>
                  </w:r>
                  <w:r>
                    <w:rPr>
                      <w:rFonts w:hint="eastAsia" w:cs="Times New Roman"/>
                      <w:color w:val="000000" w:themeColor="text1"/>
                      <w14:textFill>
                        <w14:solidFill>
                          <w14:schemeClr w14:val="tx1"/>
                        </w14:solidFill>
                      </w14:textFill>
                    </w:rPr>
                    <w:t>/t；</w:t>
                  </w:r>
                </w:p>
                <w:p w14:paraId="4E3117E6">
                  <w:pPr>
                    <w:pStyle w:val="13"/>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（2）石龙门化工园区—排水不得进入四川驷马河省级自然保护区、四川驷马河国家级湿地公园；</w:t>
                  </w:r>
                </w:p>
                <w:p w14:paraId="12A4886A">
                  <w:pPr>
                    <w:pStyle w:val="13"/>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（3）其他执行工业重点管控单元总体准入要求。</w:t>
                  </w:r>
                </w:p>
              </w:tc>
              <w:tc>
                <w:tcPr>
                  <w:tcW w:w="883" w:type="pct"/>
                  <w:vAlign w:val="center"/>
                </w:tcPr>
                <w:p w14:paraId="4D120BB2">
                  <w:pPr>
                    <w:pStyle w:val="13"/>
                    <w:rPr>
                      <w:rFonts w:hint="eastAsia"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本项目不属于食品饮料行业。本项目</w:t>
                  </w:r>
                  <w:r>
                    <w:rPr>
                      <w:rFonts w:hint="eastAsia" w:cs="Times New Roman"/>
                      <w:color w:val="000000" w:themeColor="text1"/>
                      <w14:textFill>
                        <w14:solidFill>
                          <w14:schemeClr w14:val="tx1"/>
                        </w14:solidFill>
                      </w14:textFill>
                    </w:rPr>
                    <w:t>不在石龙门化工园区范围内。</w:t>
                  </w:r>
                  <w:bookmarkStart w:id="20" w:name="OLE_LINK8"/>
                  <w:r>
                    <w:rPr>
                      <w:rFonts w:cs="Times New Roman"/>
                      <w:color w:val="000000" w:themeColor="text1"/>
                      <w14:textFill>
                        <w14:solidFill>
                          <w14:schemeClr w14:val="tx1"/>
                        </w14:solidFill>
                      </w14:textFill>
                    </w:rPr>
                    <w:t>本项目符合工业重点管控单元总体准入要求。</w:t>
                  </w:r>
                  <w:bookmarkEnd w:id="20"/>
                </w:p>
              </w:tc>
              <w:tc>
                <w:tcPr>
                  <w:tcW w:w="306" w:type="pct"/>
                  <w:vAlign w:val="center"/>
                </w:tcPr>
                <w:p w14:paraId="4857868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2DE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20DDBDE2">
                  <w:pPr>
                    <w:pStyle w:val="13"/>
                    <w:rPr>
                      <w:rFonts w:cs="Times New Roman"/>
                      <w:color w:val="000000" w:themeColor="text1"/>
                      <w14:textFill>
                        <w14:solidFill>
                          <w14:schemeClr w14:val="tx1"/>
                        </w14:solidFill>
                      </w14:textFill>
                    </w:rPr>
                  </w:pPr>
                </w:p>
              </w:tc>
              <w:tc>
                <w:tcPr>
                  <w:tcW w:w="290" w:type="pct"/>
                  <w:vMerge w:val="continue"/>
                  <w:vAlign w:val="center"/>
                </w:tcPr>
                <w:p w14:paraId="75CA571F">
                  <w:pPr>
                    <w:pStyle w:val="13"/>
                    <w:rPr>
                      <w:rFonts w:cs="Times New Roman"/>
                      <w:color w:val="000000" w:themeColor="text1"/>
                      <w14:textFill>
                        <w14:solidFill>
                          <w14:schemeClr w14:val="tx1"/>
                        </w14:solidFill>
                      </w14:textFill>
                    </w:rPr>
                  </w:pPr>
                </w:p>
              </w:tc>
              <w:tc>
                <w:tcPr>
                  <w:tcW w:w="298" w:type="pct"/>
                  <w:vMerge w:val="restart"/>
                  <w:vAlign w:val="center"/>
                </w:tcPr>
                <w:p w14:paraId="6E7D402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环境风险防控</w:t>
                  </w:r>
                </w:p>
              </w:tc>
              <w:tc>
                <w:tcPr>
                  <w:tcW w:w="2781" w:type="pct"/>
                  <w:vAlign w:val="center"/>
                </w:tcPr>
                <w:p w14:paraId="41763DB1">
                  <w:pPr>
                    <w:pStyle w:val="13"/>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石龙门化工园区-（1）强化园区多级环境风险防控体系建设，制定突发环境事件应急预案，加强应急演练及应急监测监控系统建设，确保环境风险可控。 （2）加快完善园区废水收集处理系统、事故应急池、应急指挥中心和监测监控体系建设。执行工业重点管控单元总体准入要求。</w:t>
                  </w:r>
                </w:p>
              </w:tc>
              <w:tc>
                <w:tcPr>
                  <w:tcW w:w="883" w:type="pct"/>
                  <w:vAlign w:val="center"/>
                </w:tcPr>
                <w:p w14:paraId="70297ED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14:textFill>
                        <w14:solidFill>
                          <w14:schemeClr w14:val="tx1"/>
                        </w14:solidFill>
                      </w14:textFill>
                    </w:rPr>
                    <w:t>不在石龙门化工园区范围内。</w:t>
                  </w:r>
                  <w:r>
                    <w:rPr>
                      <w:rFonts w:cs="Times New Roman"/>
                      <w:color w:val="000000" w:themeColor="text1"/>
                      <w14:textFill>
                        <w14:solidFill>
                          <w14:schemeClr w14:val="tx1"/>
                        </w14:solidFill>
                      </w14:textFill>
                    </w:rPr>
                    <w:t>符合工业重点管控单元总体准入要求。</w:t>
                  </w:r>
                </w:p>
              </w:tc>
              <w:tc>
                <w:tcPr>
                  <w:tcW w:w="306" w:type="pct"/>
                  <w:vAlign w:val="center"/>
                </w:tcPr>
                <w:p w14:paraId="02F52D79">
                  <w:pPr>
                    <w:pStyle w:val="13"/>
                    <w:rPr>
                      <w:rFonts w:cs="Times New Roman"/>
                      <w:color w:val="000000" w:themeColor="text1"/>
                      <w14:textFill>
                        <w14:solidFill>
                          <w14:schemeClr w14:val="tx1"/>
                        </w14:solidFill>
                      </w14:textFill>
                    </w:rPr>
                  </w:pPr>
                  <w:bookmarkStart w:id="21" w:name="OLE_LINK9"/>
                  <w:r>
                    <w:rPr>
                      <w:rFonts w:cs="Times New Roman"/>
                      <w:color w:val="000000" w:themeColor="text1"/>
                      <w14:textFill>
                        <w14:solidFill>
                          <w14:schemeClr w14:val="tx1"/>
                        </w14:solidFill>
                      </w14:textFill>
                    </w:rPr>
                    <w:t>符合</w:t>
                  </w:r>
                  <w:bookmarkEnd w:id="21"/>
                </w:p>
              </w:tc>
            </w:tr>
            <w:tr w14:paraId="221A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6EF8FD65">
                  <w:pPr>
                    <w:pStyle w:val="13"/>
                    <w:rPr>
                      <w:rFonts w:cs="Times New Roman"/>
                      <w:color w:val="000000" w:themeColor="text1"/>
                      <w14:textFill>
                        <w14:solidFill>
                          <w14:schemeClr w14:val="tx1"/>
                        </w14:solidFill>
                      </w14:textFill>
                    </w:rPr>
                  </w:pPr>
                </w:p>
              </w:tc>
              <w:tc>
                <w:tcPr>
                  <w:tcW w:w="290" w:type="pct"/>
                  <w:vMerge w:val="continue"/>
                  <w:vAlign w:val="center"/>
                </w:tcPr>
                <w:p w14:paraId="611E006E">
                  <w:pPr>
                    <w:pStyle w:val="13"/>
                    <w:rPr>
                      <w:rFonts w:cs="Times New Roman"/>
                      <w:color w:val="000000" w:themeColor="text1"/>
                      <w14:textFill>
                        <w14:solidFill>
                          <w14:schemeClr w14:val="tx1"/>
                        </w14:solidFill>
                      </w14:textFill>
                    </w:rPr>
                  </w:pPr>
                </w:p>
              </w:tc>
              <w:tc>
                <w:tcPr>
                  <w:tcW w:w="298" w:type="pct"/>
                  <w:vMerge w:val="continue"/>
                  <w:vAlign w:val="center"/>
                </w:tcPr>
                <w:p w14:paraId="570355CD">
                  <w:pPr>
                    <w:pStyle w:val="13"/>
                    <w:rPr>
                      <w:rFonts w:cs="Times New Roman"/>
                      <w:color w:val="000000" w:themeColor="text1"/>
                      <w14:textFill>
                        <w14:solidFill>
                          <w14:schemeClr w14:val="tx1"/>
                        </w14:solidFill>
                      </w14:textFill>
                    </w:rPr>
                  </w:pPr>
                </w:p>
              </w:tc>
              <w:tc>
                <w:tcPr>
                  <w:tcW w:w="2781" w:type="pct"/>
                  <w:vAlign w:val="center"/>
                </w:tcPr>
                <w:p w14:paraId="3CCAEFDE">
                  <w:pPr>
                    <w:pStyle w:val="13"/>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平昌经济开发区-星光工业园区及周边工业备用地： （1）禁止引入原料、中间品、产品涉及剧毒化学品的企业；禁止引入涉及重金属污染物排放的项目，如电镀行业。 （2）汽车摩托车制造等行业企业及其它可能危害土壤环境质量的生产设施设备、构筑物和污染治理设施的拆除，要事先制定残留污染物清理和安全处置方案，并报所在地县(区)级环境保护、经济和信息化部门备案</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要严格按照有关规定实施安全处理处置，防范拆除活动污染土壤。 平昌经济开发区-饮料食品工业区：（1）严禁企业自设工业垃圾填埋场所平昌经济开发区-平昌经济开发区（驷马清洁能源）工业区（2）严禁企业自设工业垃圾填埋场所。 其他执行工业重点管控单元总体准入要求。</w:t>
                  </w:r>
                </w:p>
              </w:tc>
              <w:tc>
                <w:tcPr>
                  <w:tcW w:w="883" w:type="pct"/>
                  <w:vAlign w:val="center"/>
                </w:tcPr>
                <w:p w14:paraId="6CFA7AA1">
                  <w:pPr>
                    <w:pStyle w:val="13"/>
                    <w:jc w:val="both"/>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位于星光工业园区内，</w:t>
                  </w:r>
                  <w:r>
                    <w:rPr>
                      <w:rFonts w:hint="eastAsia" w:cs="Times New Roman"/>
                      <w:color w:val="000000" w:themeColor="text1"/>
                      <w14:textFill>
                        <w14:solidFill>
                          <w14:schemeClr w14:val="tx1"/>
                        </w14:solidFill>
                      </w14:textFill>
                    </w:rPr>
                    <w:t>原料、中间品、产品均不涉及剧毒化学品；</w:t>
                  </w:r>
                  <w:r>
                    <w:rPr>
                      <w:rFonts w:hint="eastAsia" w:cs="Times New Roman"/>
                      <w:color w:val="000000" w:themeColor="text1"/>
                      <w:lang w:val="en-US" w:eastAsia="zh-CN"/>
                      <w14:textFill>
                        <w14:solidFill>
                          <w14:schemeClr w14:val="tx1"/>
                        </w14:solidFill>
                      </w14:textFill>
                    </w:rPr>
                    <w:t>本项目不属于重有色金属矿采选业、重有色金属冶炼业、谦虚电池制造业、电镀行业、化学原料及化学制品制造业以及皮革鞣制加工业等各6个行业中的项目，本项目已取得四川省生态环境厅关于项目涉及重金属排放是否与园区规划符合性的回复（见附件19）。</w:t>
                  </w:r>
                </w:p>
                <w:p w14:paraId="5060D923">
                  <w:pPr>
                    <w:pStyle w:val="13"/>
                    <w:rPr>
                      <w:rFonts w:hint="eastAsia"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r>
                    <w:rPr>
                      <w:rFonts w:hint="eastAsia" w:cs="Times New Roman"/>
                      <w:color w:val="000000" w:themeColor="text1"/>
                      <w14:textFill>
                        <w14:solidFill>
                          <w14:schemeClr w14:val="tx1"/>
                        </w14:solidFill>
                      </w14:textFill>
                    </w:rPr>
                    <w:t>本项目不属于汽车摩托车制造行业。</w:t>
                  </w:r>
                </w:p>
              </w:tc>
              <w:tc>
                <w:tcPr>
                  <w:tcW w:w="306" w:type="pct"/>
                  <w:vAlign w:val="center"/>
                </w:tcPr>
                <w:p w14:paraId="2E76E41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5E6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restart"/>
                  <w:vAlign w:val="center"/>
                </w:tcPr>
                <w:p w14:paraId="3ED5BC30">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巴河-平昌县-江陵控制单元</w:t>
                  </w:r>
                </w:p>
              </w:tc>
              <w:tc>
                <w:tcPr>
                  <w:tcW w:w="290" w:type="pct"/>
                  <w:vMerge w:val="restart"/>
                  <w:vAlign w:val="center"/>
                </w:tcPr>
                <w:p w14:paraId="1879E9B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水环境工业污染重点管控区</w:t>
                  </w:r>
                </w:p>
              </w:tc>
              <w:tc>
                <w:tcPr>
                  <w:tcW w:w="298" w:type="pct"/>
                  <w:vAlign w:val="center"/>
                </w:tcPr>
                <w:p w14:paraId="7EAC74A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2781" w:type="pct"/>
                  <w:vAlign w:val="center"/>
                </w:tcPr>
                <w:p w14:paraId="520BCB1C">
                  <w:pPr>
                    <w:pStyle w:val="13"/>
                    <w:ind w:firstLine="0" w:firstLineChars="0"/>
                    <w:jc w:val="left"/>
                    <w:rPr>
                      <w:rFonts w:hint="eastAsia"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严控磷铵、黄磷等产业违规新增产能。加快退出不符合产业政策和环保要求、不满足安全生产条件的涉磷企业。</w:t>
                  </w:r>
                </w:p>
              </w:tc>
              <w:tc>
                <w:tcPr>
                  <w:tcW w:w="883" w:type="pct"/>
                  <w:vAlign w:val="center"/>
                </w:tcPr>
                <w:p w14:paraId="447CC683">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本项目不属于涉磷企业。</w:t>
                  </w:r>
                </w:p>
              </w:tc>
              <w:tc>
                <w:tcPr>
                  <w:tcW w:w="306" w:type="pct"/>
                  <w:vAlign w:val="center"/>
                </w:tcPr>
                <w:p w14:paraId="3BA5738B">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4515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43ED26AC">
                  <w:pPr>
                    <w:pStyle w:val="13"/>
                    <w:rPr>
                      <w:rFonts w:hint="eastAsia" w:cs="Times New Roman"/>
                      <w:color w:val="000000" w:themeColor="text1"/>
                      <w:lang w:val="en-US" w:eastAsia="zh-CN"/>
                      <w14:textFill>
                        <w14:solidFill>
                          <w14:schemeClr w14:val="tx1"/>
                        </w14:solidFill>
                      </w14:textFill>
                    </w:rPr>
                  </w:pPr>
                </w:p>
              </w:tc>
              <w:tc>
                <w:tcPr>
                  <w:tcW w:w="290" w:type="pct"/>
                  <w:vMerge w:val="continue"/>
                  <w:vAlign w:val="center"/>
                </w:tcPr>
                <w:p w14:paraId="2E06A03D">
                  <w:pPr>
                    <w:pStyle w:val="13"/>
                    <w:rPr>
                      <w:rFonts w:hint="eastAsia" w:cs="Times New Roman"/>
                      <w:color w:val="000000" w:themeColor="text1"/>
                      <w:lang w:val="en-US" w:eastAsia="zh-CN"/>
                      <w14:textFill>
                        <w14:solidFill>
                          <w14:schemeClr w14:val="tx1"/>
                        </w14:solidFill>
                      </w14:textFill>
                    </w:rPr>
                  </w:pPr>
                </w:p>
              </w:tc>
              <w:tc>
                <w:tcPr>
                  <w:tcW w:w="298" w:type="pct"/>
                  <w:vAlign w:val="center"/>
                </w:tcPr>
                <w:p w14:paraId="332FC0C9">
                  <w:pPr>
                    <w:pStyle w:val="13"/>
                    <w:ind w:firstLine="0" w:firstLineChars="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污染物排放管控</w:t>
                  </w:r>
                </w:p>
              </w:tc>
              <w:tc>
                <w:tcPr>
                  <w:tcW w:w="2781" w:type="pct"/>
                  <w:vAlign w:val="center"/>
                </w:tcPr>
                <w:p w14:paraId="7F44274D">
                  <w:pPr>
                    <w:pStyle w:val="13"/>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1、深入实施工业企业污水处理设施升级改造，全面实现工业废水达标排放。2、强化工业集聚区污水治理，推进工业污水集中处理设施及配套收集系统建设与提标升级改造，大力推进现有污水收集、处理设施问题排查及整治；完善园区及企业雨污分流系统，全面推进医药、化工等行业初期雨水收集处理，推动有条件的园区实施入园企业“一企一管、明管输送、实时监测”。3、化工园区应按照分类收集，分质处理的要求，配备专业化工生产废水集中处理设施（独立建设或依托骨干企业）及专管或明管输送的配套管网，化工生产废水纳管率达到100%；入河排污口设置应符合相关规定。4、加强工业园区集中污水处理设施运行监管</w:t>
                  </w:r>
                  <w:r>
                    <w:rPr>
                      <w:rFonts w:hint="eastAsia" w:cs="Times New Roman"/>
                      <w:color w:val="000000" w:themeColor="text1"/>
                      <w:lang w:eastAsia="zh-CN"/>
                      <w14:textFill>
                        <w14:solidFill>
                          <w14:schemeClr w14:val="tx1"/>
                        </w14:solidFill>
                      </w14:textFill>
                    </w:rPr>
                    <w:t>，加</w:t>
                  </w:r>
                  <w:r>
                    <w:rPr>
                      <w:rFonts w:hint="eastAsia" w:cs="Times New Roman"/>
                      <w:color w:val="000000" w:themeColor="text1"/>
                      <w14:textFill>
                        <w14:solidFill>
                          <w14:schemeClr w14:val="tx1"/>
                        </w14:solidFill>
                      </w14:textFill>
                    </w:rPr>
                    <w:t>强企业废水预处理和排水管理，鼓励纳管企业与园区污水处理厂运营单位通过签订委托处理合同等方式协同处理废水。5、加强新化学物质环境管理，严格执行《新化学物质环境管理登记办法》</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落实企业新化学物质环境风险防控主体责任。落实国家《优先控制化学品名录（第一批）》《优先控制化学品名录（第二批）》《重点管控新污染物清单（2023年版）》环境风险管控措施。</w:t>
                  </w:r>
                </w:p>
              </w:tc>
              <w:tc>
                <w:tcPr>
                  <w:tcW w:w="883" w:type="pct"/>
                  <w:vAlign w:val="center"/>
                </w:tcPr>
                <w:p w14:paraId="324DAB29">
                  <w:pPr>
                    <w:pStyle w:val="13"/>
                    <w:rPr>
                      <w:rFonts w:hint="eastAsia" w:cs="Times New Roman"/>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本项目</w:t>
                  </w:r>
                  <w:r>
                    <w:rPr>
                      <w:rFonts w:hint="eastAsia"/>
                      <w:color w:val="000000" w:themeColor="text1"/>
                      <w:lang w:val="en-US" w:eastAsia="zh-CN"/>
                      <w14:textFill>
                        <w14:solidFill>
                          <w14:schemeClr w14:val="tx1"/>
                        </w14:solidFill>
                      </w14:textFill>
                    </w:rPr>
                    <w:t>厂区雨污分流，</w:t>
                  </w: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预处理后通过市政管网送至</w:t>
                  </w:r>
                  <w:r>
                    <w:rPr>
                      <w:rFonts w:hint="eastAsia" w:cs="Times New Roman"/>
                      <w:color w:val="000000" w:themeColor="text1"/>
                      <w:lang w:val="en-US" w:eastAsia="zh-CN"/>
                      <w14:textFill>
                        <w14:solidFill>
                          <w14:schemeClr w14:val="tx1"/>
                        </w14:solidFill>
                      </w14:textFill>
                    </w:rPr>
                    <w:t>星光工业</w:t>
                  </w:r>
                  <w:r>
                    <w:rPr>
                      <w:rFonts w:cs="Times New Roman"/>
                      <w:color w:val="000000" w:themeColor="text1"/>
                      <w14:textFill>
                        <w14:solidFill>
                          <w14:schemeClr w14:val="tx1"/>
                        </w14:solidFill>
                      </w14:textFill>
                    </w:rPr>
                    <w:t>园区污水处理</w:t>
                  </w:r>
                  <w:r>
                    <w:rPr>
                      <w:rFonts w:hint="eastAsia" w:cs="Times New Roman"/>
                      <w:color w:val="000000" w:themeColor="text1"/>
                      <w:lang w:val="en-US" w:eastAsia="zh-CN"/>
                      <w14:textFill>
                        <w14:solidFill>
                          <w14:schemeClr w14:val="tx1"/>
                        </w14:solidFill>
                      </w14:textFill>
                    </w:rPr>
                    <w:t>厂</w:t>
                  </w:r>
                  <w:r>
                    <w:rPr>
                      <w:rFonts w:cs="Times New Roman"/>
                      <w:color w:val="000000" w:themeColor="text1"/>
                      <w14:textFill>
                        <w14:solidFill>
                          <w14:schemeClr w14:val="tx1"/>
                        </w14:solidFill>
                      </w14:textFill>
                    </w:rPr>
                    <w:t>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生产废水部分回用，不能回用部分委托有资质单位处理</w:t>
                  </w:r>
                  <w:r>
                    <w:rPr>
                      <w:rFonts w:hint="eastAsia"/>
                      <w:color w:val="000000" w:themeColor="text1"/>
                      <w14:textFill>
                        <w14:solidFill>
                          <w14:schemeClr w14:val="tx1"/>
                        </w14:solidFill>
                      </w14:textFill>
                    </w:rPr>
                    <w:t>；本项目厂区内雨污分流；本项目不涉及需要重点管控的新化学物质。</w:t>
                  </w:r>
                </w:p>
              </w:tc>
              <w:tc>
                <w:tcPr>
                  <w:tcW w:w="306" w:type="pct"/>
                  <w:vAlign w:val="center"/>
                </w:tcPr>
                <w:p w14:paraId="06350E3D">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1323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restart"/>
                  <w:vAlign w:val="center"/>
                </w:tcPr>
                <w:p w14:paraId="4603CD79">
                  <w:pPr>
                    <w:pStyle w:val="13"/>
                    <w:ind w:firstLine="0" w:firstLineChars="0"/>
                    <w:jc w:val="left"/>
                    <w:rPr>
                      <w:rFonts w:hint="eastAsia"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平昌经济开发区《星光机械制造产业片区、金宝食品饮料产业片区、驷马清洁能源产业片区、石龙门化工园片区)</w:t>
                  </w:r>
                </w:p>
              </w:tc>
              <w:tc>
                <w:tcPr>
                  <w:tcW w:w="290" w:type="pct"/>
                  <w:vMerge w:val="restart"/>
                  <w:vAlign w:val="center"/>
                </w:tcPr>
                <w:p w14:paraId="398472B8">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大气高排放重点管控区</w:t>
                  </w:r>
                </w:p>
              </w:tc>
              <w:tc>
                <w:tcPr>
                  <w:tcW w:w="298" w:type="pct"/>
                  <w:vMerge w:val="restart"/>
                  <w:vAlign w:val="center"/>
                </w:tcPr>
                <w:p w14:paraId="46206642">
                  <w:pPr>
                    <w:pStyle w:val="13"/>
                    <w:ind w:firstLine="0" w:firstLineChars="0"/>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污染物排放管控</w:t>
                  </w:r>
                </w:p>
              </w:tc>
              <w:tc>
                <w:tcPr>
                  <w:tcW w:w="2781" w:type="pct"/>
                  <w:vAlign w:val="center"/>
                </w:tcPr>
                <w:p w14:paraId="07E48BD4">
                  <w:pPr>
                    <w:pStyle w:val="13"/>
                    <w:ind w:firstLine="0" w:firstLineChars="0"/>
                    <w:jc w:val="left"/>
                    <w:rPr>
                      <w:rFonts w:hint="eastAsia"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1、全面淘汰10蒸吨/小时及以下燃煤锅炉，原则上不再新建35蒸吨/小时及以下的燃煤锅炉，推进县级及以上城市建成区淘汰35蒸吨/小时及以下燃煤锅炉，以工业余热、电厂热力、清洁能源等替代煤炭。 2、加快推进火电、钢铁、铸造（含烧结、球团、高炉工序）水泥、焦化行业燃煤锅炉和工业炉窑超低排放改造及深度治理。稳步实施陶瓷、玻璃、铁合金、有色、砖瓦等行业企业深度治理，推进工业炉窑煤改电（气）和低氮燃烧改造。全面加强钢铁、建材、有色、焦化、铸造重点行业无组织排放治理。生物质锅炉采用专用锅炉，配套布袋等高效除尘设施，禁止掺烧煤炭、垃圾等其他物料。</w:t>
                  </w:r>
                </w:p>
              </w:tc>
              <w:tc>
                <w:tcPr>
                  <w:tcW w:w="883" w:type="pct"/>
                  <w:vAlign w:val="center"/>
                </w:tcPr>
                <w:p w14:paraId="752EDB7D">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项目所在区域执行最新的</w:t>
                  </w:r>
                  <w:r>
                    <w:rPr>
                      <w:rFonts w:hint="eastAsia" w:ascii="Times New Roman" w:hAnsi="Times New Roman" w:eastAsia="宋体" w:cs="Times New Roman"/>
                      <w:color w:val="000000" w:themeColor="text1"/>
                      <w14:textFill>
                        <w14:solidFill>
                          <w14:schemeClr w14:val="tx1"/>
                        </w14:solidFill>
                      </w14:textFill>
                    </w:rPr>
                    <w:t>《环境空气质量标准》（GB3095-20</w:t>
                  </w:r>
                  <w:r>
                    <w:rPr>
                      <w:rFonts w:hint="eastAsia" w:ascii="Times New Roman" w:hAnsi="Times New Roman" w:eastAsia="宋体" w:cs="Times New Roman"/>
                      <w:color w:val="000000" w:themeColor="text1"/>
                      <w:lang w:val="en-US" w:eastAsia="zh-CN"/>
                      <w14:textFill>
                        <w14:solidFill>
                          <w14:schemeClr w14:val="tx1"/>
                        </w14:solidFill>
                      </w14:textFill>
                    </w:rPr>
                    <w:t>26</w:t>
                  </w:r>
                  <w:r>
                    <w:rPr>
                      <w:rFonts w:hint="eastAsia"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过渡期二级浓度限值。</w:t>
                  </w:r>
                </w:p>
              </w:tc>
              <w:tc>
                <w:tcPr>
                  <w:tcW w:w="306" w:type="pct"/>
                  <w:vAlign w:val="center"/>
                </w:tcPr>
                <w:p w14:paraId="62FB5C60">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B21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9" w:type="pct"/>
                  <w:vMerge w:val="continue"/>
                  <w:vAlign w:val="center"/>
                </w:tcPr>
                <w:p w14:paraId="74C0CE62">
                  <w:pPr>
                    <w:pStyle w:val="13"/>
                    <w:ind w:firstLine="0" w:firstLineChars="0"/>
                    <w:jc w:val="left"/>
                    <w:rPr>
                      <w:rFonts w:hint="eastAsia" w:ascii="Times New Roman" w:hAnsi="Times New Roman" w:eastAsia="宋体" w:cs="Times New Roman"/>
                      <w:color w:val="000000" w:themeColor="text1"/>
                      <w14:textFill>
                        <w14:solidFill>
                          <w14:schemeClr w14:val="tx1"/>
                        </w14:solidFill>
                      </w14:textFill>
                    </w:rPr>
                  </w:pPr>
                </w:p>
              </w:tc>
              <w:tc>
                <w:tcPr>
                  <w:tcW w:w="290" w:type="pct"/>
                  <w:vMerge w:val="continue"/>
                  <w:vAlign w:val="center"/>
                </w:tcPr>
                <w:p w14:paraId="0923D2A5">
                  <w:pPr>
                    <w:pStyle w:val="13"/>
                    <w:rPr>
                      <w:rFonts w:hint="eastAsia" w:cs="Times New Roman"/>
                      <w:color w:val="000000" w:themeColor="text1"/>
                      <w:lang w:val="en-US" w:eastAsia="zh-CN"/>
                      <w14:textFill>
                        <w14:solidFill>
                          <w14:schemeClr w14:val="tx1"/>
                        </w14:solidFill>
                      </w14:textFill>
                    </w:rPr>
                  </w:pPr>
                </w:p>
              </w:tc>
              <w:tc>
                <w:tcPr>
                  <w:tcW w:w="298" w:type="pct"/>
                  <w:vMerge w:val="continue"/>
                  <w:vAlign w:val="center"/>
                </w:tcPr>
                <w:p w14:paraId="0EEB4795">
                  <w:pPr>
                    <w:pStyle w:val="13"/>
                    <w:ind w:firstLine="0" w:firstLineChars="0"/>
                    <w:rPr>
                      <w:rFonts w:hint="eastAsia" w:cs="Times New Roman"/>
                      <w:color w:val="000000" w:themeColor="text1"/>
                      <w14:textFill>
                        <w14:solidFill>
                          <w14:schemeClr w14:val="tx1"/>
                        </w14:solidFill>
                      </w14:textFill>
                    </w:rPr>
                  </w:pPr>
                </w:p>
              </w:tc>
              <w:tc>
                <w:tcPr>
                  <w:tcW w:w="2781" w:type="pct"/>
                  <w:vAlign w:val="center"/>
                </w:tcPr>
                <w:p w14:paraId="132ABD6B">
                  <w:pPr>
                    <w:pStyle w:val="13"/>
                    <w:ind w:firstLine="0" w:firstLineChars="0"/>
                    <w:jc w:val="left"/>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b w:val="0"/>
                      <w:sz w:val="21"/>
                      <w:szCs w:val="21"/>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p>
              </w:tc>
              <w:tc>
                <w:tcPr>
                  <w:tcW w:w="883" w:type="pct"/>
                  <w:vAlign w:val="center"/>
                </w:tcPr>
                <w:p w14:paraId="40E65F52">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项目严格落实总量控制要求，申请总量并落实。</w:t>
                  </w:r>
                </w:p>
              </w:tc>
              <w:tc>
                <w:tcPr>
                  <w:tcW w:w="306" w:type="pct"/>
                  <w:vAlign w:val="center"/>
                </w:tcPr>
                <w:p w14:paraId="1D905FCF">
                  <w:pPr>
                    <w:pStyle w:val="13"/>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240E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shd w:val="clear" w:color="auto" w:fill="auto"/>
                  <w:vAlign w:val="center"/>
                </w:tcPr>
                <w:p w14:paraId="72CC585F">
                  <w:pPr>
                    <w:pStyle w:val="13"/>
                    <w:ind w:firstLine="0" w:firstLineChars="0"/>
                    <w:rPr>
                      <w:rFonts w:hint="default" w:ascii="Times New Roman" w:hAnsi="Times New Roman" w:eastAsia="宋体" w:cs="黑体"/>
                      <w:b w:val="0"/>
                      <w:bCs/>
                      <w:color w:val="000000" w:themeColor="text1"/>
                      <w:kern w:val="0"/>
                      <w:sz w:val="21"/>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平昌县水资源重点管控区</w:t>
                  </w:r>
                </w:p>
              </w:tc>
              <w:tc>
                <w:tcPr>
                  <w:tcW w:w="290" w:type="pct"/>
                  <w:shd w:val="clear" w:color="auto" w:fill="auto"/>
                  <w:vAlign w:val="center"/>
                </w:tcPr>
                <w:p w14:paraId="50787B5A">
                  <w:pPr>
                    <w:pStyle w:val="13"/>
                    <w:ind w:firstLine="0" w:firstLineChars="0"/>
                    <w:rPr>
                      <w:rFonts w:hint="default" w:ascii="Times New Roman" w:hAnsi="Times New Roman" w:eastAsia="宋体" w:cs="黑体"/>
                      <w:b w:val="0"/>
                      <w:bCs/>
                      <w:color w:val="000000" w:themeColor="text1"/>
                      <w:kern w:val="0"/>
                      <w:sz w:val="21"/>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生态用水补给区</w:t>
                  </w:r>
                </w:p>
              </w:tc>
              <w:tc>
                <w:tcPr>
                  <w:tcW w:w="298" w:type="pct"/>
                  <w:shd w:val="clear" w:color="auto" w:fill="auto"/>
                  <w:vAlign w:val="center"/>
                </w:tcPr>
                <w:p w14:paraId="4F8A9FAD">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环境风险防控</w:t>
                  </w:r>
                </w:p>
              </w:tc>
              <w:tc>
                <w:tcPr>
                  <w:tcW w:w="2781" w:type="pct"/>
                  <w:shd w:val="clear" w:color="auto" w:fill="auto"/>
                  <w:vAlign w:val="center"/>
                </w:tcPr>
                <w:p w14:paraId="6642F5F0">
                  <w:pPr>
                    <w:pStyle w:val="13"/>
                    <w:ind w:firstLine="0" w:firstLineChars="0"/>
                    <w:jc w:val="left"/>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土地资源开发利用量不得超过土地资源利用上线控制性指标。</w:t>
                  </w:r>
                </w:p>
              </w:tc>
              <w:tc>
                <w:tcPr>
                  <w:tcW w:w="883" w:type="pct"/>
                  <w:vAlign w:val="center"/>
                </w:tcPr>
                <w:p w14:paraId="6C8000D5">
                  <w:pPr>
                    <w:pStyle w:val="13"/>
                    <w:ind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本项目租用已建成厂房进行建设，不新增用地。</w:t>
                  </w:r>
                </w:p>
              </w:tc>
              <w:tc>
                <w:tcPr>
                  <w:tcW w:w="306" w:type="pct"/>
                  <w:vAlign w:val="center"/>
                </w:tcPr>
                <w:p w14:paraId="03B7A09A">
                  <w:pPr>
                    <w:pStyle w:val="13"/>
                    <w:ind w:firstLine="0" w:firstLineChars="0"/>
                    <w:jc w:val="center"/>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4584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restart"/>
                  <w:vAlign w:val="center"/>
                </w:tcPr>
                <w:p w14:paraId="6C06E3B3">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平昌县城镇开发边界</w:t>
                  </w:r>
                </w:p>
              </w:tc>
              <w:tc>
                <w:tcPr>
                  <w:tcW w:w="290" w:type="pct"/>
                  <w:vMerge w:val="restart"/>
                  <w:vAlign w:val="center"/>
                </w:tcPr>
                <w:p w14:paraId="3058E552">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土地资源重点管控区</w:t>
                  </w:r>
                </w:p>
              </w:tc>
              <w:tc>
                <w:tcPr>
                  <w:tcW w:w="298" w:type="pct"/>
                  <w:vAlign w:val="center"/>
                </w:tcPr>
                <w:p w14:paraId="15524C48">
                  <w:pPr>
                    <w:pStyle w:val="13"/>
                    <w:ind w:firstLine="0" w:firstLineChars="0"/>
                    <w:rPr>
                      <w:rFonts w:hint="eastAsia"/>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2781" w:type="pct"/>
                  <w:vAlign w:val="center"/>
                </w:tcPr>
                <w:p w14:paraId="171C6003">
                  <w:pPr>
                    <w:pStyle w:val="13"/>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883" w:type="pct"/>
                  <w:vAlign w:val="center"/>
                </w:tcPr>
                <w:p w14:paraId="563371AD">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本项目位于合规工业园区内，租用已建成厂房进行建设，无新增用地，位于开发边界内，不涉及城镇开发边界的调整。</w:t>
                  </w:r>
                </w:p>
              </w:tc>
              <w:tc>
                <w:tcPr>
                  <w:tcW w:w="306" w:type="pct"/>
                  <w:vAlign w:val="center"/>
                </w:tcPr>
                <w:p w14:paraId="68C714CD">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7425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Merge w:val="continue"/>
                  <w:vAlign w:val="center"/>
                </w:tcPr>
                <w:p w14:paraId="0BCA09AD">
                  <w:pPr>
                    <w:pStyle w:val="13"/>
                    <w:ind w:firstLine="0" w:firstLineChars="0"/>
                    <w:rPr>
                      <w:rFonts w:hint="eastAsia"/>
                      <w:color w:val="000000" w:themeColor="text1"/>
                      <w:lang w:val="en-US" w:eastAsia="zh-CN"/>
                      <w14:textFill>
                        <w14:solidFill>
                          <w14:schemeClr w14:val="tx1"/>
                        </w14:solidFill>
                      </w14:textFill>
                    </w:rPr>
                  </w:pPr>
                </w:p>
              </w:tc>
              <w:tc>
                <w:tcPr>
                  <w:tcW w:w="290" w:type="pct"/>
                  <w:vMerge w:val="continue"/>
                  <w:vAlign w:val="center"/>
                </w:tcPr>
                <w:p w14:paraId="69F19CBB">
                  <w:pPr>
                    <w:pStyle w:val="13"/>
                    <w:ind w:firstLine="0" w:firstLineChars="0"/>
                    <w:rPr>
                      <w:rFonts w:hint="eastAsia"/>
                      <w:color w:val="000000" w:themeColor="text1"/>
                      <w:lang w:val="en-US" w:eastAsia="zh-CN"/>
                      <w14:textFill>
                        <w14:solidFill>
                          <w14:schemeClr w14:val="tx1"/>
                        </w14:solidFill>
                      </w14:textFill>
                    </w:rPr>
                  </w:pPr>
                </w:p>
              </w:tc>
              <w:tc>
                <w:tcPr>
                  <w:tcW w:w="298" w:type="pct"/>
                  <w:vAlign w:val="center"/>
                </w:tcPr>
                <w:p w14:paraId="4EB5EDB3">
                  <w:pPr>
                    <w:pStyle w:val="13"/>
                    <w:ind w:firstLine="0" w:firstLineChars="0"/>
                    <w:rPr>
                      <w:rFonts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环境风险防控</w:t>
                  </w:r>
                </w:p>
              </w:tc>
              <w:tc>
                <w:tcPr>
                  <w:tcW w:w="2781" w:type="pct"/>
                  <w:vAlign w:val="center"/>
                </w:tcPr>
                <w:p w14:paraId="45AE0D94">
                  <w:pPr>
                    <w:pStyle w:val="13"/>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土地资源开发利用量不得超过土地资源利用上线控制性指标。</w:t>
                  </w:r>
                </w:p>
              </w:tc>
              <w:tc>
                <w:tcPr>
                  <w:tcW w:w="883" w:type="pct"/>
                  <w:vAlign w:val="center"/>
                </w:tcPr>
                <w:p w14:paraId="0BE07FC3">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本项目租用已建成厂房进行建设，无新增用地。</w:t>
                  </w:r>
                </w:p>
              </w:tc>
              <w:tc>
                <w:tcPr>
                  <w:tcW w:w="306" w:type="pct"/>
                  <w:vAlign w:val="center"/>
                </w:tcPr>
                <w:p w14:paraId="25E241C8">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3239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Align w:val="center"/>
                </w:tcPr>
                <w:p w14:paraId="438A7020">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平昌县自然资源重点管控区</w:t>
                  </w:r>
                </w:p>
              </w:tc>
              <w:tc>
                <w:tcPr>
                  <w:tcW w:w="290" w:type="pct"/>
                  <w:vAlign w:val="center"/>
                </w:tcPr>
                <w:p w14:paraId="21FFF26F">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自然资源重点管控区</w:t>
                  </w:r>
                </w:p>
              </w:tc>
              <w:tc>
                <w:tcPr>
                  <w:tcW w:w="298" w:type="pct"/>
                  <w:vAlign w:val="center"/>
                </w:tcPr>
                <w:p w14:paraId="4858A6B0">
                  <w:pPr>
                    <w:pStyle w:val="13"/>
                    <w:ind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环境风险防控</w:t>
                  </w:r>
                </w:p>
              </w:tc>
              <w:tc>
                <w:tcPr>
                  <w:tcW w:w="2781" w:type="pct"/>
                  <w:vAlign w:val="center"/>
                </w:tcPr>
                <w:p w14:paraId="28AAC201">
                  <w:pPr>
                    <w:pStyle w:val="13"/>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土地资源开发利用量不得超过土地资源利用上线控制性指标。</w:t>
                  </w:r>
                </w:p>
              </w:tc>
              <w:tc>
                <w:tcPr>
                  <w:tcW w:w="883" w:type="pct"/>
                  <w:vAlign w:val="center"/>
                </w:tcPr>
                <w:p w14:paraId="392564DB">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本项目租用已建成厂房进行建设，无新增用地。</w:t>
                  </w:r>
                </w:p>
              </w:tc>
              <w:tc>
                <w:tcPr>
                  <w:tcW w:w="306" w:type="pct"/>
                  <w:vAlign w:val="center"/>
                </w:tcPr>
                <w:p w14:paraId="19D76633">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1E03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Align w:val="center"/>
                </w:tcPr>
                <w:p w14:paraId="54C04717">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渠江江河湖库岸线重点管控区</w:t>
                  </w:r>
                </w:p>
              </w:tc>
              <w:tc>
                <w:tcPr>
                  <w:tcW w:w="290" w:type="pct"/>
                  <w:vAlign w:val="center"/>
                </w:tcPr>
                <w:p w14:paraId="39A12855">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江河湖库岸线重点管控区</w:t>
                  </w:r>
                </w:p>
              </w:tc>
              <w:tc>
                <w:tcPr>
                  <w:tcW w:w="298" w:type="pct"/>
                  <w:vAlign w:val="center"/>
                </w:tcPr>
                <w:p w14:paraId="56EAFD4E">
                  <w:pPr>
                    <w:pStyle w:val="13"/>
                    <w:ind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2781" w:type="pct"/>
                  <w:vAlign w:val="center"/>
                </w:tcPr>
                <w:p w14:paraId="5D9372F2">
                  <w:pPr>
                    <w:pStyle w:val="13"/>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严格控制新增开发利用项目的数量和类型，应按照国土、城市、水利、交通等相关规划，合理控制整体开发规模和强度，新建和改扩建项目必须严格论证，不得加大对防洪安全、河势稳定、供水安全、航道稳定的累计不利影响。2.严格控制项目类型和开发利用方式，不得加剧险情或影响今后险工险段治理，不得违反生态敏感区特定保护目标。除建设生态公园、河滩风光带等社会公益性项目外，一般不得建设其他项目设施。</w:t>
                  </w:r>
                </w:p>
              </w:tc>
              <w:tc>
                <w:tcPr>
                  <w:tcW w:w="883" w:type="pct"/>
                  <w:vAlign w:val="center"/>
                </w:tcPr>
                <w:p w14:paraId="7343A1EA">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本项目租用已建成厂房进行建设，无新增用地，所在地块不涉及江河湖库岸线管理范围。</w:t>
                  </w:r>
                </w:p>
              </w:tc>
              <w:tc>
                <w:tcPr>
                  <w:tcW w:w="306" w:type="pct"/>
                  <w:vAlign w:val="center"/>
                </w:tcPr>
                <w:p w14:paraId="7D773594">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592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39" w:type="pct"/>
                  <w:vAlign w:val="center"/>
                </w:tcPr>
                <w:p w14:paraId="260B2EBD">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平昌县其他区域</w:t>
                  </w:r>
                </w:p>
              </w:tc>
              <w:tc>
                <w:tcPr>
                  <w:tcW w:w="290" w:type="pct"/>
                  <w:vAlign w:val="center"/>
                </w:tcPr>
                <w:p w14:paraId="7F1E8C13">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生态一般管控区</w:t>
                  </w:r>
                </w:p>
              </w:tc>
              <w:tc>
                <w:tcPr>
                  <w:tcW w:w="298" w:type="pct"/>
                  <w:vAlign w:val="center"/>
                </w:tcPr>
                <w:p w14:paraId="30C776EF">
                  <w:pPr>
                    <w:pStyle w:val="13"/>
                    <w:ind w:firstLine="0" w:firstLineChars="0"/>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2781" w:type="pct"/>
                  <w:vAlign w:val="center"/>
                </w:tcPr>
                <w:p w14:paraId="4F00CF03">
                  <w:pPr>
                    <w:pStyle w:val="13"/>
                    <w:ind w:firstLine="0" w:firstLineChars="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暂无。</w:t>
                  </w:r>
                </w:p>
              </w:tc>
              <w:tc>
                <w:tcPr>
                  <w:tcW w:w="883" w:type="pct"/>
                  <w:vAlign w:val="center"/>
                </w:tcPr>
                <w:p w14:paraId="599C8C6E">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306" w:type="pct"/>
                  <w:vAlign w:val="center"/>
                </w:tcPr>
                <w:p w14:paraId="6A754439">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bl>
          <w:p w14:paraId="5B34CF26">
            <w:pPr>
              <w:ind w:firstLine="480"/>
              <w:jc w:val="center"/>
              <w:rPr>
                <w:rFonts w:cs="Times New Roman"/>
                <w:color w:val="000000" w:themeColor="text1"/>
                <w14:textFill>
                  <w14:solidFill>
                    <w14:schemeClr w14:val="tx1"/>
                  </w14:solidFill>
                </w14:textFill>
              </w:rPr>
            </w:pPr>
          </w:p>
        </w:tc>
      </w:tr>
    </w:tbl>
    <w:p w14:paraId="0F6BFE87">
      <w:pPr>
        <w:ind w:firstLine="0" w:firstLineChars="0"/>
        <w:rPr>
          <w:rFonts w:cs="Times New Roman"/>
          <w:color w:val="000000" w:themeColor="text1"/>
          <w14:textFill>
            <w14:solidFill>
              <w14:schemeClr w14:val="tx1"/>
            </w14:solidFill>
          </w14:textFill>
        </w:rPr>
        <w:sectPr>
          <w:pgSz w:w="16838" w:h="11906" w:orient="landscape"/>
          <w:pgMar w:top="1440" w:right="1800" w:bottom="1440" w:left="1800" w:header="851" w:footer="283" w:gutter="0"/>
          <w:cols w:space="425" w:num="1"/>
          <w:docGrid w:type="lines" w:linePitch="326" w:charSpace="0"/>
        </w:sect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9056"/>
      </w:tblGrid>
      <w:tr w14:paraId="21F4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 w:type="dxa"/>
          </w:tcPr>
          <w:p w14:paraId="1C306E26">
            <w:pPr>
              <w:pStyle w:val="27"/>
              <w:rPr>
                <w:rFonts w:cs="Times New Roman"/>
                <w:color w:val="000000" w:themeColor="text1"/>
                <w14:textFill>
                  <w14:solidFill>
                    <w14:schemeClr w14:val="tx1"/>
                  </w14:solidFill>
                </w14:textFill>
              </w:rPr>
            </w:pPr>
            <w:r>
              <w:rPr>
                <w:rFonts w:cs="Times New Roman"/>
                <w:color w:val="000000" w:themeColor="text1"/>
                <w:sz w:val="24"/>
                <w:szCs w:val="28"/>
                <w14:textFill>
                  <w14:solidFill>
                    <w14:schemeClr w14:val="tx1"/>
                  </w14:solidFill>
                </w14:textFill>
              </w:rPr>
              <w:t>其他符合性分析</w:t>
            </w:r>
          </w:p>
        </w:tc>
        <w:tc>
          <w:tcPr>
            <w:tcW w:w="9056" w:type="dxa"/>
          </w:tcPr>
          <w:p w14:paraId="10941569">
            <w:pPr>
              <w:pStyle w:val="4"/>
              <w:keepLines w:val="0"/>
              <w:pageBreakBefore w:val="0"/>
              <w:kinsoku/>
              <w:wordWrap/>
              <w:overflowPunct/>
              <w:topLinePunct w:val="0"/>
              <w:autoSpaceDE/>
              <w:autoSpaceDN/>
              <w:bidi w:val="0"/>
              <w:spacing w:before="0" w:beforeLines="0" w:line="360" w:lineRule="auto"/>
              <w:textAlignment w:val="auto"/>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与《巴中市国土空间总体规划（2021-2035年）》符合性分析</w:t>
            </w:r>
          </w:p>
          <w:p w14:paraId="0C50BAA0">
            <w:pPr>
              <w:pStyle w:val="4"/>
              <w:keepLines w:val="0"/>
              <w:pageBreakBefore w:val="0"/>
              <w:kinsoku/>
              <w:wordWrap/>
              <w:overflowPunct/>
              <w:topLinePunct w:val="0"/>
              <w:autoSpaceDE/>
              <w:autoSpaceDN/>
              <w:bidi w:val="0"/>
              <w:spacing w:before="0" w:beforeLines="0" w:line="360" w:lineRule="auto"/>
              <w:ind w:firstLine="480" w:firstLineChars="200"/>
              <w:textAlignment w:val="auto"/>
              <w:rPr>
                <w:rFonts w:hint="eastAsia"/>
                <w:b w:val="0"/>
                <w:bCs/>
                <w:color w:val="000000" w:themeColor="text1"/>
                <w:lang w:val="en-US" w:eastAsia="zh-CN"/>
                <w14:textFill>
                  <w14:solidFill>
                    <w14:schemeClr w14:val="tx1"/>
                  </w14:solidFill>
                </w14:textFill>
              </w:rPr>
            </w:pPr>
            <w:r>
              <w:rPr>
                <w:rFonts w:hint="eastAsia" w:ascii="宋体" w:hAnsi="宋体" w:eastAsia="宋体" w:cs="宋体"/>
                <w:b w:val="0"/>
                <w:bCs/>
                <w:color w:val="000000" w:themeColor="text1"/>
                <w:szCs w:val="24"/>
                <w:shd w:val="clear" w:fill="FFFFFF"/>
                <w14:textFill>
                  <w14:solidFill>
                    <w14:schemeClr w14:val="tx1"/>
                  </w14:solidFill>
                </w14:textFill>
              </w:rPr>
              <w:t>《巴中市国土</w:t>
            </w:r>
            <w:r>
              <w:rPr>
                <w:rFonts w:hint="default" w:ascii="Times New Roman" w:hAnsi="Times New Roman" w:eastAsia="宋体" w:cs="Times New Roman"/>
                <w:b w:val="0"/>
                <w:bCs/>
                <w:color w:val="000000" w:themeColor="text1"/>
                <w:szCs w:val="24"/>
                <w:shd w:val="clear" w:fill="FFFFFF"/>
                <w14:textFill>
                  <w14:solidFill>
                    <w14:schemeClr w14:val="tx1"/>
                  </w14:solidFill>
                </w14:textFill>
              </w:rPr>
              <w:t>空间总体规划（2021-2035年）》</w:t>
            </w:r>
            <w:r>
              <w:rPr>
                <w:rFonts w:hint="default" w:ascii="Times New Roman" w:hAnsi="Times New Roman" w:eastAsia="宋体" w:cs="Times New Roman"/>
                <w:b w:val="0"/>
                <w:bCs/>
                <w:color w:val="000000" w:themeColor="text1"/>
                <w:szCs w:val="24"/>
                <w:shd w:val="clear" w:fill="FFFFFF"/>
                <w:lang w:val="en-US" w:eastAsia="zh-CN"/>
                <w14:textFill>
                  <w14:solidFill>
                    <w14:schemeClr w14:val="tx1"/>
                  </w14:solidFill>
                </w14:textFill>
              </w:rPr>
              <w:t>中明确：</w:t>
            </w:r>
            <w:r>
              <w:rPr>
                <w:rFonts w:hint="default" w:ascii="Times New Roman" w:hAnsi="Times New Roman" w:eastAsia="宋体" w:cs="Times New Roman"/>
                <w:b w:val="0"/>
                <w:bCs/>
                <w:i w:val="0"/>
                <w:iCs w:val="0"/>
                <w:caps w:val="0"/>
                <w:color w:val="000000" w:themeColor="text1"/>
                <w:spacing w:val="0"/>
                <w:sz w:val="24"/>
                <w:szCs w:val="24"/>
                <w:shd w:val="clear" w:fill="FFFFFF"/>
                <w14:textFill>
                  <w14:solidFill>
                    <w14:schemeClr w14:val="tx1"/>
                  </w14:solidFill>
                </w14:textFill>
              </w:rPr>
              <w:t>根据行业类型和环保要求，加强新建开发（园）区与市县国土空间规划的衔接，科学推进产城融合。巴中市现有两个省级经济开发区，其中四川巴中经济开发区于2003年设立，主导产业为机械电子、服装纺织和食品医药，四至范围东至巴州区兴文镇郑家山村和玲珑村，南至巴州区兴文镇中营村，西至九寨山和渝巴汉高速，北至巴州区兴文镇观音桥村；</w:t>
            </w:r>
            <w:r>
              <w:rPr>
                <w:rFonts w:hint="default" w:ascii="Times New Roman" w:hAnsi="Times New Roman" w:eastAsia="宋体" w:cs="Times New Roman"/>
                <w:b/>
                <w:bCs w:val="0"/>
                <w:i w:val="0"/>
                <w:iCs w:val="0"/>
                <w:caps w:val="0"/>
                <w:color w:val="000000" w:themeColor="text1"/>
                <w:spacing w:val="0"/>
                <w:sz w:val="24"/>
                <w:szCs w:val="24"/>
                <w:shd w:val="clear" w:fill="FFFFFF"/>
                <w14:textFill>
                  <w14:solidFill>
                    <w14:schemeClr w14:val="tx1"/>
                  </w14:solidFill>
                </w14:textFill>
              </w:rPr>
              <w:t>四川平昌经济开发区于2012年设立，</w:t>
            </w:r>
            <w:r>
              <w:rPr>
                <w:rFonts w:hint="eastAsia" w:ascii="宋体" w:hAnsi="宋体" w:eastAsia="宋体" w:cs="宋体"/>
                <w:b/>
                <w:bCs w:val="0"/>
                <w:i w:val="0"/>
                <w:iCs w:val="0"/>
                <w:caps w:val="0"/>
                <w:color w:val="000000" w:themeColor="text1"/>
                <w:spacing w:val="0"/>
                <w:sz w:val="24"/>
                <w:szCs w:val="24"/>
                <w:shd w:val="clear" w:fill="FFFFFF"/>
                <w14:textFill>
                  <w14:solidFill>
                    <w14:schemeClr w14:val="tx1"/>
                  </w14:solidFill>
                </w14:textFill>
              </w:rPr>
              <w:t>主导产业为机械、食品饮料、能源，</w:t>
            </w:r>
            <w:r>
              <w:rPr>
                <w:rFonts w:hint="eastAsia" w:ascii="宋体" w:hAnsi="宋体" w:eastAsia="宋体" w:cs="宋体"/>
                <w:b w:val="0"/>
                <w:bCs/>
                <w:i w:val="0"/>
                <w:iCs w:val="0"/>
                <w:caps w:val="0"/>
                <w:color w:val="000000" w:themeColor="text1"/>
                <w:spacing w:val="0"/>
                <w:sz w:val="24"/>
                <w:szCs w:val="24"/>
                <w:shd w:val="clear" w:fill="FFFFFF"/>
                <w14:textFill>
                  <w14:solidFill>
                    <w14:schemeClr w14:val="tx1"/>
                  </w14:solidFill>
                </w14:textFill>
              </w:rPr>
              <w:t>辖星光片区、马家坪—何家坪片区和驷马片区。结合巴中市发展需求，省级经济开发区努力打造国家级经济开发区，积极推进经济开发区的扩区建设，优先保障产业园区的用地，优化产业发展方向，支撑产业培育振兴，加强产业园区与城区的通道联系和设施对接，引领园区高质量发展。</w:t>
            </w:r>
          </w:p>
          <w:p w14:paraId="4E2845AA">
            <w:pPr>
              <w:pStyle w:val="4"/>
              <w:keepLines w:val="0"/>
              <w:pageBreakBefore w:val="0"/>
              <w:kinsoku/>
              <w:wordWrap/>
              <w:overflowPunct/>
              <w:topLinePunct w:val="0"/>
              <w:autoSpaceDE/>
              <w:autoSpaceDN/>
              <w:bidi w:val="0"/>
              <w:spacing w:before="0" w:beforeLines="0" w:line="360" w:lineRule="auto"/>
              <w:ind w:firstLine="480" w:firstLineChars="200"/>
              <w:textAlignment w:val="auto"/>
              <w:rPr>
                <w:color w:val="000000" w:themeColor="text1"/>
                <w14:textFill>
                  <w14:solidFill>
                    <w14:schemeClr w14:val="tx1"/>
                  </w14:solidFill>
                </w14:textFill>
              </w:rPr>
            </w:pPr>
            <w:r>
              <w:rPr>
                <w:rFonts w:hint="eastAsia"/>
                <w:b w:val="0"/>
                <w:bCs/>
                <w:color w:val="000000" w:themeColor="text1"/>
                <w:lang w:val="en-US" w:eastAsia="zh-CN"/>
                <w14:textFill>
                  <w14:solidFill>
                    <w14:schemeClr w14:val="tx1"/>
                  </w14:solidFill>
                </w14:textFill>
              </w:rPr>
              <w:t>本项目为水基岩屑综合利用项目，以水基岩屑为原料制备免烧建筑基材，位于平昌星光机械产业园内，本项目与园区产业规划不冲突，且</w:t>
            </w:r>
            <w:r>
              <w:rPr>
                <w:rFonts w:hint="eastAsia"/>
                <w:b w:val="0"/>
                <w:bCs/>
                <w:color w:val="000000" w:themeColor="text1"/>
                <w14:textFill>
                  <w14:solidFill>
                    <w14:schemeClr w14:val="tx1"/>
                  </w14:solidFill>
                </w14:textFill>
              </w:rPr>
              <w:t>已取得了四川平昌经济开发区管理委员会</w:t>
            </w:r>
            <w:r>
              <w:rPr>
                <w:rFonts w:hint="eastAsia"/>
                <w:b w:val="0"/>
                <w:bCs/>
                <w:color w:val="000000" w:themeColor="text1"/>
                <w:lang w:val="en-US" w:eastAsia="zh-CN"/>
                <w14:textFill>
                  <w14:solidFill>
                    <w14:schemeClr w14:val="tx1"/>
                  </w14:solidFill>
                </w14:textFill>
              </w:rPr>
              <w:t>出具的《关于巴中瑞成环保科技有限公司水基岩屑综合利用及处理项目的说明》</w:t>
            </w:r>
            <w:r>
              <w:rPr>
                <w:rFonts w:hint="eastAsia"/>
                <w:b w:val="0"/>
                <w:bCs/>
                <w:color w:val="000000" w:themeColor="text1"/>
                <w14:textFill>
                  <w14:solidFill>
                    <w14:schemeClr w14:val="tx1"/>
                  </w14:solidFill>
                </w14:textFill>
              </w:rPr>
              <w:t>，同意</w:t>
            </w:r>
            <w:r>
              <w:rPr>
                <w:rFonts w:hint="eastAsia"/>
                <w:b w:val="0"/>
                <w:bCs/>
                <w:color w:val="000000" w:themeColor="text1"/>
                <w:lang w:val="en-US" w:eastAsia="zh-CN"/>
                <w14:textFill>
                  <w14:solidFill>
                    <w14:schemeClr w14:val="tx1"/>
                  </w14:solidFill>
                </w14:textFill>
              </w:rPr>
              <w:t>项目在园区内建设。因此，本项目符合</w:t>
            </w:r>
            <w:r>
              <w:rPr>
                <w:rFonts w:hint="default"/>
                <w:b w:val="0"/>
                <w:bCs/>
                <w:color w:val="000000" w:themeColor="text1"/>
                <w14:textFill>
                  <w14:solidFill>
                    <w14:schemeClr w14:val="tx1"/>
                  </w14:solidFill>
                </w14:textFill>
              </w:rPr>
              <w:t>《平昌县国土空间总体规划（2021-2035年）</w:t>
            </w:r>
            <w:r>
              <w:rPr>
                <w:rFonts w:hint="eastAsia"/>
                <w:b w:val="0"/>
                <w:bCs/>
                <w:color w:val="000000" w:themeColor="text1"/>
                <w:lang w:val="en-US" w:eastAsia="zh-CN"/>
                <w14:textFill>
                  <w14:solidFill>
                    <w14:schemeClr w14:val="tx1"/>
                  </w14:solidFill>
                </w14:textFill>
              </w:rPr>
              <w:t>》的相关要求。</w:t>
            </w:r>
          </w:p>
          <w:p w14:paraId="4211531C">
            <w:pPr>
              <w:pStyle w:val="4"/>
              <w:keepLines w:val="0"/>
              <w:pageBreakBefore w:val="0"/>
              <w:kinsoku/>
              <w:wordWrap/>
              <w:overflowPunct/>
              <w:topLinePunct w:val="0"/>
              <w:autoSpaceDE/>
              <w:autoSpaceDN/>
              <w:bidi w:val="0"/>
              <w:spacing w:before="0" w:beforeLines="0" w:line="360"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5、与《平昌县国土空间总体规划（2021-2035年）》符合性分析</w:t>
            </w:r>
          </w:p>
          <w:p w14:paraId="48DEBA3E">
            <w:pPr>
              <w:pStyle w:val="4"/>
              <w:keepLines w:val="0"/>
              <w:pageBreakBefore w:val="0"/>
              <w:kinsoku/>
              <w:wordWrap/>
              <w:overflowPunct/>
              <w:topLinePunct w:val="0"/>
              <w:autoSpaceDE/>
              <w:autoSpaceDN/>
              <w:bidi w:val="0"/>
              <w:spacing w:before="0" w:beforeLines="0" w:line="360" w:lineRule="auto"/>
              <w:ind w:firstLine="480" w:firstLineChars="200"/>
              <w:textAlignment w:val="auto"/>
              <w:rPr>
                <w:rFonts w:hint="default"/>
                <w:b w:val="0"/>
                <w:bCs/>
                <w:color w:val="000000" w:themeColor="text1"/>
                <w:lang w:val="en-US" w:eastAsia="zh-CN"/>
                <w14:textFill>
                  <w14:solidFill>
                    <w14:schemeClr w14:val="tx1"/>
                  </w14:solidFill>
                </w14:textFill>
              </w:rPr>
            </w:pPr>
            <w:r>
              <w:rPr>
                <w:rFonts w:hint="default"/>
                <w:b w:val="0"/>
                <w:bCs/>
                <w:color w:val="000000" w:themeColor="text1"/>
                <w14:textFill>
                  <w14:solidFill>
                    <w14:schemeClr w14:val="tx1"/>
                  </w14:solidFill>
                </w14:textFill>
              </w:rPr>
              <w:t>《平昌县国土空间总体规划（2021-2035年）》</w:t>
            </w:r>
            <w:r>
              <w:rPr>
                <w:rFonts w:hint="eastAsia"/>
                <w:b w:val="0"/>
                <w:bCs/>
                <w:color w:val="000000" w:themeColor="text1"/>
                <w:lang w:val="en-US" w:eastAsia="zh-CN"/>
                <w14:textFill>
                  <w14:solidFill>
                    <w14:schemeClr w14:val="tx1"/>
                  </w14:solidFill>
                </w14:textFill>
              </w:rPr>
              <w:t>中明确：中心城区构建“一核三心四片”的城市空间结构。围绕渠江两岸的老城、信义、马家坪、黄滩坝等城市组团，形成中心城区综合服务核。拥江发展老城区、金宝、马家坪的滨河地区，全力打造老城商贸中心、金宝商业中心、南部服务中心。“四片”即沿渠江、大通江两岸集聚形成四大产城融合片区，包括西部新城综合服务片区、南部产业开发片区、老城有机更新片区、星光产业开发片区，</w:t>
            </w:r>
            <w:r>
              <w:rPr>
                <w:rFonts w:hint="eastAsia"/>
                <w:b/>
                <w:bCs w:val="0"/>
                <w:color w:val="000000" w:themeColor="text1"/>
                <w:lang w:val="en-US" w:eastAsia="zh-CN"/>
                <w14:textFill>
                  <w14:solidFill>
                    <w14:schemeClr w14:val="tx1"/>
                  </w14:solidFill>
                </w14:textFill>
              </w:rPr>
              <w:t>其中星光产业开发片区重点发展机械制造产业</w:t>
            </w:r>
            <w:r>
              <w:rPr>
                <w:rFonts w:hint="eastAsia"/>
                <w:b w:val="0"/>
                <w:bCs/>
                <w:color w:val="000000" w:themeColor="text1"/>
                <w:lang w:val="en-US" w:eastAsia="zh-CN"/>
                <w14:textFill>
                  <w14:solidFill>
                    <w14:schemeClr w14:val="tx1"/>
                  </w14:solidFill>
                </w14:textFill>
              </w:rPr>
              <w:t>，西部新城综合服务片区重点发展居住和公共服务功能，老城有机更新片区重点发展居住服务功能，南部产业开发片区重点发展食品饮料产业及园区服务配套。</w:t>
            </w:r>
          </w:p>
          <w:p w14:paraId="6C1ED1B4">
            <w:pPr>
              <w:pStyle w:val="4"/>
              <w:keepLines w:val="0"/>
              <w:pageBreakBefore w:val="0"/>
              <w:kinsoku/>
              <w:wordWrap/>
              <w:overflowPunct/>
              <w:topLinePunct w:val="0"/>
              <w:autoSpaceDE/>
              <w:autoSpaceDN/>
              <w:bidi w:val="0"/>
              <w:spacing w:before="0" w:beforeLines="0" w:line="360" w:lineRule="auto"/>
              <w:ind w:firstLine="480" w:firstLineChars="200"/>
              <w:textAlignment w:val="auto"/>
              <w:rPr>
                <w:rFonts w:hint="eastAsia"/>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本项目为水基岩屑综合利用项目，以水基岩屑为原料制备免烧建筑基材，位于平昌星光机械产业园内，本项目与园区产业规划不冲突，且</w:t>
            </w:r>
            <w:r>
              <w:rPr>
                <w:rFonts w:hint="eastAsia"/>
                <w:b w:val="0"/>
                <w:bCs/>
                <w:color w:val="000000" w:themeColor="text1"/>
                <w14:textFill>
                  <w14:solidFill>
                    <w14:schemeClr w14:val="tx1"/>
                  </w14:solidFill>
                </w14:textFill>
              </w:rPr>
              <w:t>已取得了四川平昌经济开发区管理委员会</w:t>
            </w:r>
            <w:r>
              <w:rPr>
                <w:rFonts w:hint="eastAsia"/>
                <w:b w:val="0"/>
                <w:bCs/>
                <w:color w:val="000000" w:themeColor="text1"/>
                <w:lang w:val="en-US" w:eastAsia="zh-CN"/>
                <w14:textFill>
                  <w14:solidFill>
                    <w14:schemeClr w14:val="tx1"/>
                  </w14:solidFill>
                </w14:textFill>
              </w:rPr>
              <w:t>出具的《关于巴中瑞成环保科技有限公司水基岩屑综合利用及处理项目的说明》</w:t>
            </w:r>
            <w:r>
              <w:rPr>
                <w:rFonts w:hint="eastAsia"/>
                <w:b w:val="0"/>
                <w:bCs/>
                <w:color w:val="000000" w:themeColor="text1"/>
                <w14:textFill>
                  <w14:solidFill>
                    <w14:schemeClr w14:val="tx1"/>
                  </w14:solidFill>
                </w14:textFill>
              </w:rPr>
              <w:t>，同意</w:t>
            </w:r>
            <w:r>
              <w:rPr>
                <w:rFonts w:hint="eastAsia"/>
                <w:b w:val="0"/>
                <w:bCs/>
                <w:color w:val="000000" w:themeColor="text1"/>
                <w:lang w:val="en-US" w:eastAsia="zh-CN"/>
                <w14:textFill>
                  <w14:solidFill>
                    <w14:schemeClr w14:val="tx1"/>
                  </w14:solidFill>
                </w14:textFill>
              </w:rPr>
              <w:t>项目在园区内建设。因此，本项目符合</w:t>
            </w:r>
            <w:r>
              <w:rPr>
                <w:rFonts w:hint="default"/>
                <w:b w:val="0"/>
                <w:bCs/>
                <w:color w:val="000000" w:themeColor="text1"/>
                <w14:textFill>
                  <w14:solidFill>
                    <w14:schemeClr w14:val="tx1"/>
                  </w14:solidFill>
                </w14:textFill>
              </w:rPr>
              <w:t>《平昌县国土空间总体规划（2021-2035年）</w:t>
            </w:r>
            <w:r>
              <w:rPr>
                <w:rFonts w:hint="eastAsia"/>
                <w:b w:val="0"/>
                <w:bCs/>
                <w:color w:val="000000" w:themeColor="text1"/>
                <w:lang w:val="en-US" w:eastAsia="zh-CN"/>
                <w14:textFill>
                  <w14:solidFill>
                    <w14:schemeClr w14:val="tx1"/>
                  </w14:solidFill>
                </w14:textFill>
              </w:rPr>
              <w:t>》的相关要求。</w:t>
            </w:r>
          </w:p>
          <w:p w14:paraId="61FE59EE">
            <w:pPr>
              <w:pStyle w:val="4"/>
              <w:keepLines w:val="0"/>
              <w:pageBreakBefore w:val="0"/>
              <w:kinsoku/>
              <w:wordWrap/>
              <w:overflowPunct/>
              <w:topLinePunct w:val="0"/>
              <w:autoSpaceDE/>
              <w:autoSpaceDN/>
              <w:bidi w:val="0"/>
              <w:spacing w:before="0" w:beforeLines="0" w:line="360" w:lineRule="auto"/>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6、与《巴中市工业园区发展规划（2020-2027年）》符合性分析</w:t>
            </w:r>
          </w:p>
          <w:p w14:paraId="7A6555F0">
            <w:pPr>
              <w:pStyle w:val="4"/>
              <w:keepLines w:val="0"/>
              <w:pageBreakBefore w:val="0"/>
              <w:kinsoku/>
              <w:wordWrap/>
              <w:overflowPunct/>
              <w:topLinePunct w:val="0"/>
              <w:autoSpaceDE/>
              <w:autoSpaceDN/>
              <w:bidi w:val="0"/>
              <w:spacing w:before="0" w:beforeLines="0" w:line="360" w:lineRule="auto"/>
              <w:ind w:firstLine="480" w:firstLineChars="200"/>
              <w:textAlignment w:val="auto"/>
              <w:rPr>
                <w:rFonts w:hint="eastAsia"/>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巴中市人民政府关于印发《巴中市工业园区发展规划（2022-2027年）》的通知（巴府发〔2023〕6号）中明确：</w:t>
            </w:r>
            <w:r>
              <w:rPr>
                <w:rFonts w:hint="eastAsia"/>
                <w:b w:val="0"/>
                <w:bCs/>
                <w:color w:val="000000" w:themeColor="text1"/>
                <w:lang w:val="en-US" w:eastAsia="zh-CN"/>
                <w14:textFill>
                  <w14:solidFill>
                    <w14:schemeClr w14:val="tx1"/>
                  </w14:solidFill>
                </w14:textFill>
              </w:rPr>
              <w:t>平昌经开区打造川酒新地标、汽摩产业聚集区。</w:t>
            </w:r>
            <w:r>
              <w:rPr>
                <w:rFonts w:hint="eastAsia"/>
                <w:b w:val="0"/>
                <w:bCs/>
                <w:color w:val="000000" w:themeColor="text1"/>
                <w14:textFill>
                  <w14:solidFill>
                    <w14:schemeClr w14:val="tx1"/>
                  </w14:solidFill>
                </w14:textFill>
              </w:rPr>
              <w:t>按照“建设东向开放桥头堡、乡村振兴示范县”总体定位，推进工业强县建设，推进园区跨越2.0加速迈向3.0，重点发展“食品饮料+机械制造”（“1+1”产业），持续提升优质白酒、预制菜、汽摩产业等细分领域竞争力；培育新材料（天然气精细化工）、清洁能源、时尚消费品制造。食品饮料主要布局在金宝工业园，</w:t>
            </w:r>
            <w:r>
              <w:rPr>
                <w:rFonts w:hint="eastAsia"/>
                <w:b/>
                <w:bCs w:val="0"/>
                <w:color w:val="000000" w:themeColor="text1"/>
                <w14:textFill>
                  <w14:solidFill>
                    <w14:schemeClr w14:val="tx1"/>
                  </w14:solidFill>
                </w14:textFill>
              </w:rPr>
              <w:t>机械制造、时尚消费品制造主要布局在星光机械制造产业园</w:t>
            </w:r>
            <w:r>
              <w:rPr>
                <w:rFonts w:hint="eastAsia"/>
                <w:b w:val="0"/>
                <w:bCs/>
                <w:color w:val="000000" w:themeColor="text1"/>
                <w14:textFill>
                  <w14:solidFill>
                    <w14:schemeClr w14:val="tx1"/>
                  </w14:solidFill>
                </w14:textFill>
              </w:rPr>
              <w:t>，新材料（天然气精细化工）主要布局在平昌石龙门化工园区。推动金宝工业园拓区，加快建设平昌石龙门化工园区，着力打造全省知名的川酒新地标、汽摩产业聚集区。到2027年，平昌经开区进入省级经济开发区第一方阵，规上工业企业突破100家，其中10亿级企业6家；营业收入突破300亿元。</w:t>
            </w:r>
          </w:p>
          <w:p w14:paraId="4B1EBE0A">
            <w:pPr>
              <w:pStyle w:val="4"/>
              <w:keepLines w:val="0"/>
              <w:pageBreakBefore w:val="0"/>
              <w:kinsoku/>
              <w:wordWrap/>
              <w:overflowPunct/>
              <w:topLinePunct w:val="0"/>
              <w:autoSpaceDE/>
              <w:autoSpaceDN/>
              <w:bidi w:val="0"/>
              <w:spacing w:before="0" w:beforeLines="0" w:line="360" w:lineRule="auto"/>
              <w:ind w:firstLine="480" w:firstLineChars="200"/>
              <w:textAlignment w:val="auto"/>
              <w:rPr>
                <w:rFonts w:hint="eastAsia"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本项目为水基岩屑综合利用项目，以水基岩屑为原料制备免烧建筑基材，位于平昌星光机械产业园内，本项目与园区产业规划不冲突，且</w:t>
            </w:r>
            <w:r>
              <w:rPr>
                <w:rFonts w:hint="eastAsia"/>
                <w:b w:val="0"/>
                <w:bCs/>
                <w:color w:val="000000" w:themeColor="text1"/>
                <w14:textFill>
                  <w14:solidFill>
                    <w14:schemeClr w14:val="tx1"/>
                  </w14:solidFill>
                </w14:textFill>
              </w:rPr>
              <w:t>已取得了四川平昌经济开发区管理委员会</w:t>
            </w:r>
            <w:r>
              <w:rPr>
                <w:rFonts w:hint="eastAsia"/>
                <w:b w:val="0"/>
                <w:bCs/>
                <w:color w:val="000000" w:themeColor="text1"/>
                <w:lang w:val="en-US" w:eastAsia="zh-CN"/>
                <w14:textFill>
                  <w14:solidFill>
                    <w14:schemeClr w14:val="tx1"/>
                  </w14:solidFill>
                </w14:textFill>
              </w:rPr>
              <w:t>出具的《关于巴中瑞成环保科技有限公司水基岩屑综合利用及处理项目的说明》</w:t>
            </w:r>
            <w:r>
              <w:rPr>
                <w:rFonts w:hint="eastAsia"/>
                <w:b w:val="0"/>
                <w:bCs/>
                <w:color w:val="000000" w:themeColor="text1"/>
                <w14:textFill>
                  <w14:solidFill>
                    <w14:schemeClr w14:val="tx1"/>
                  </w14:solidFill>
                </w14:textFill>
              </w:rPr>
              <w:t>，同意</w:t>
            </w:r>
            <w:r>
              <w:rPr>
                <w:rFonts w:hint="eastAsia"/>
                <w:b w:val="0"/>
                <w:bCs/>
                <w:color w:val="000000" w:themeColor="text1"/>
                <w:lang w:val="en-US" w:eastAsia="zh-CN"/>
                <w14:textFill>
                  <w14:solidFill>
                    <w14:schemeClr w14:val="tx1"/>
                  </w14:solidFill>
                </w14:textFill>
              </w:rPr>
              <w:t>项目在园区内建设。因此，本项目符合《巴中市工业园区发展规划（2020-2027年）》的相关要求。</w:t>
            </w:r>
          </w:p>
          <w:p w14:paraId="0FDEAE41">
            <w:pPr>
              <w:pStyle w:val="4"/>
              <w:keepLines w:val="0"/>
              <w:pageBreakBefore w:val="0"/>
              <w:kinsoku/>
              <w:wordWrap/>
              <w:overflowPunct/>
              <w:topLinePunct w:val="0"/>
              <w:autoSpaceDE/>
              <w:autoSpaceDN/>
              <w:bidi w:val="0"/>
              <w:spacing w:before="0" w:beforeLines="0" w:line="360" w:lineRule="auto"/>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与地方生态环境保护规划要求的符合性分析</w:t>
            </w:r>
          </w:p>
          <w:p w14:paraId="6829D8C3">
            <w:pPr>
              <w:pStyle w:val="12"/>
              <w:keepNext/>
              <w:keepLines w:val="0"/>
              <w:pageBreakBefore w:val="0"/>
              <w:kinsoku/>
              <w:wordWrap/>
              <w:overflowPunct/>
              <w:topLinePunct w:val="0"/>
              <w:autoSpaceDE/>
              <w:autoSpaceDN/>
              <w:bidi w:val="0"/>
              <w:spacing w:after="0" w:line="360" w:lineRule="auto"/>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6</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与地方生态环境保护规划的符合性分析</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4390"/>
              <w:gridCol w:w="2458"/>
              <w:gridCol w:w="661"/>
            </w:tblGrid>
            <w:tr w14:paraId="22F0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shd w:val="clear" w:color="auto" w:fill="auto"/>
                  <w:vAlign w:val="center"/>
                </w:tcPr>
                <w:p w14:paraId="72FCE3A2">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2486" w:type="pct"/>
                  <w:shd w:val="clear" w:color="auto" w:fill="auto"/>
                  <w:vAlign w:val="center"/>
                </w:tcPr>
                <w:p w14:paraId="6AB5A9AC">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规划要求内容</w:t>
                  </w:r>
                </w:p>
              </w:tc>
              <w:tc>
                <w:tcPr>
                  <w:tcW w:w="1392" w:type="pct"/>
                  <w:shd w:val="clear" w:color="auto" w:fill="auto"/>
                  <w:vAlign w:val="center"/>
                </w:tcPr>
                <w:p w14:paraId="563B1402">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374" w:type="pct"/>
                  <w:shd w:val="clear" w:color="auto" w:fill="auto"/>
                  <w:vAlign w:val="center"/>
                </w:tcPr>
                <w:p w14:paraId="337B797A">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1E70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restart"/>
                  <w:shd w:val="clear" w:color="auto" w:fill="auto"/>
                  <w:vAlign w:val="center"/>
                </w:tcPr>
                <w:p w14:paraId="1AF3357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w:t>
                  </w:r>
                  <w:r>
                    <w:rPr>
                      <w:rFonts w:hint="eastAsia" w:ascii="宋体" w:hAnsi="宋体" w:eastAsia="宋体" w:cs="宋体"/>
                      <w:color w:val="000000" w:themeColor="text1"/>
                      <w14:textFill>
                        <w14:solidFill>
                          <w14:schemeClr w14:val="tx1"/>
                        </w14:solidFill>
                      </w14:textFill>
                    </w:rPr>
                    <w:t>中市“十四五”生态环境保</w:t>
                  </w:r>
                  <w:r>
                    <w:rPr>
                      <w:rFonts w:cs="Times New Roman"/>
                      <w:color w:val="000000" w:themeColor="text1"/>
                      <w14:textFill>
                        <w14:solidFill>
                          <w14:schemeClr w14:val="tx1"/>
                        </w14:solidFill>
                      </w14:textFill>
                    </w:rPr>
                    <w:t>护规划》</w:t>
                  </w:r>
                </w:p>
              </w:tc>
              <w:tc>
                <w:tcPr>
                  <w:tcW w:w="2486" w:type="pct"/>
                  <w:shd w:val="clear" w:color="auto" w:fill="auto"/>
                  <w:vAlign w:val="center"/>
                </w:tcPr>
                <w:p w14:paraId="7F568CB7">
                  <w:pPr>
                    <w:pStyle w:val="13"/>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强化重点污染源治理。以砖瓦、水泥等建材行业为重点，强化落实污染防治措施。各企业按照“一企一策”要求制定错峰生产方案，并将错峰生产主要指标在厂区显著位置进行公示，确保做到真错峰、真停产、真限产。开展水泥、建材等重点行业的深度治理，持续推进砖瓦企业综合整治，推广高效脱硫脱硝除尘技术，推动水泥行业和工业锅炉超低排放改造，水泥生产全过程有效控制粉尘无组织排放；实施燃气锅炉低氮燃烧改造。</w:t>
                  </w:r>
                </w:p>
              </w:tc>
              <w:tc>
                <w:tcPr>
                  <w:tcW w:w="1392" w:type="pct"/>
                  <w:shd w:val="clear" w:color="auto" w:fill="auto"/>
                  <w:vAlign w:val="center"/>
                </w:tcPr>
                <w:p w14:paraId="366136B3">
                  <w:pPr>
                    <w:pStyle w:val="13"/>
                    <w:rPr>
                      <w:rFonts w:hint="default" w:cs="Times New Roman"/>
                      <w:color w:val="000000" w:themeColor="text1"/>
                      <w:lang w:val="en-US"/>
                      <w14:textFill>
                        <w14:solidFill>
                          <w14:schemeClr w14:val="tx1"/>
                        </w14:solidFill>
                      </w14:textFill>
                    </w:rPr>
                  </w:pPr>
                  <w:r>
                    <w:rPr>
                      <w:rFonts w:hint="eastAsia"/>
                      <w:color w:val="000000" w:themeColor="text1"/>
                      <w14:textFill>
                        <w14:solidFill>
                          <w14:schemeClr w14:val="tx1"/>
                        </w14:solidFill>
                      </w14:textFill>
                    </w:rPr>
                    <w:t>项目建成后，将严格按照要求制定错峰生产方案并公示；本项目</w:t>
                  </w:r>
                  <w:r>
                    <w:rPr>
                      <w:rFonts w:hint="eastAsia"/>
                      <w:color w:val="000000" w:themeColor="text1"/>
                      <w:lang w:eastAsia="zh-CN"/>
                      <w14:textFill>
                        <w14:solidFill>
                          <w14:schemeClr w14:val="tx1"/>
                        </w14:solidFill>
                      </w14:textFill>
                    </w:rPr>
                    <w:t>煅烧</w:t>
                  </w:r>
                  <w:r>
                    <w:rPr>
                      <w:rFonts w:hint="eastAsia"/>
                      <w:color w:val="000000" w:themeColor="text1"/>
                      <w:lang w:val="en-US" w:eastAsia="zh-CN"/>
                      <w14:textFill>
                        <w14:solidFill>
                          <w14:schemeClr w14:val="tx1"/>
                        </w14:solidFill>
                      </w14:textFill>
                    </w:rPr>
                    <w:t>回转</w:t>
                  </w:r>
                  <w:r>
                    <w:rPr>
                      <w:rFonts w:hint="eastAsia"/>
                      <w:color w:val="000000" w:themeColor="text1"/>
                      <w14:textFill>
                        <w14:solidFill>
                          <w14:schemeClr w14:val="tx1"/>
                        </w14:solidFill>
                      </w14:textFill>
                    </w:rPr>
                    <w:t>窑采用天然气作为燃料，</w:t>
                  </w:r>
                  <w:r>
                    <w:rPr>
                      <w:rFonts w:hint="eastAsia"/>
                      <w:color w:val="000000" w:themeColor="text1"/>
                      <w:lang w:val="en-US" w:eastAsia="zh-CN"/>
                      <w14:textFill>
                        <w14:solidFill>
                          <w14:schemeClr w14:val="tx1"/>
                        </w14:solidFill>
                      </w14:textFill>
                    </w:rPr>
                    <w:t>废气采用</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color w:val="000000" w:themeColor="text1"/>
                      <w:lang w:val="en-US" w:eastAsia="zh-CN"/>
                      <w14:textFill>
                        <w14:solidFill>
                          <w14:schemeClr w14:val="tx1"/>
                        </w14:solidFill>
                      </w14:textFill>
                    </w:rPr>
                    <w:t>旋风除尘器+布袋除尘器1#+喷射活性炭+布袋除尘器2#+2座脱酸塔去除，经1根45m高排气筒（DA001）排放；设备设施均设置在封闭车间内。水泥、煅烧料筒仓顶部自带布袋除尘器，砂石、预处理药剂投加口处设置喷雾降尘措施，投料粉尘经侧吸集气罩+布袋除尘器+喷淋抑尘处理后无组织排放，能够有效控制无组织排放。</w:t>
                  </w:r>
                </w:p>
              </w:tc>
              <w:tc>
                <w:tcPr>
                  <w:tcW w:w="374" w:type="pct"/>
                  <w:shd w:val="clear" w:color="auto" w:fill="auto"/>
                  <w:vAlign w:val="center"/>
                </w:tcPr>
                <w:p w14:paraId="4A7C525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bookmarkStart w:id="22" w:name="_Hlk206420263"/>
            </w:tr>
            <w:tr w14:paraId="4634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2ABA00DC">
                  <w:pPr>
                    <w:pStyle w:val="13"/>
                    <w:rPr>
                      <w:rFonts w:cs="Times New Roman"/>
                      <w:color w:val="000000" w:themeColor="text1"/>
                      <w14:textFill>
                        <w14:solidFill>
                          <w14:schemeClr w14:val="tx1"/>
                        </w14:solidFill>
                      </w14:textFill>
                    </w:rPr>
                  </w:pPr>
                </w:p>
              </w:tc>
              <w:tc>
                <w:tcPr>
                  <w:tcW w:w="2486" w:type="pct"/>
                  <w:shd w:val="clear" w:color="auto" w:fill="auto"/>
                  <w:vAlign w:val="center"/>
                </w:tcPr>
                <w:p w14:paraId="3CBFB6CA">
                  <w:pPr>
                    <w:pStyle w:val="13"/>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推进扬尘精细化管控。以城市精细化管理为重点，彻底整治扬尘、油烟污染。完善文明施工和绿色施工管理工作制度建设，全面落实建筑施工</w:t>
                  </w:r>
                  <w:bookmarkStart w:id="23" w:name="OLE_LINK34"/>
                  <w:bookmarkStart w:id="24" w:name="OLE_LINK27"/>
                  <w:r>
                    <w:rPr>
                      <w:rFonts w:hint="eastAsia"/>
                      <w:color w:val="000000" w:themeColor="text1"/>
                      <w14:textFill>
                        <w14:solidFill>
                          <w14:schemeClr w14:val="tx1"/>
                        </w14:solidFill>
                      </w14:textFill>
                    </w:rPr>
                    <w:t>“六个百分百”</w:t>
                  </w:r>
                  <w:bookmarkEnd w:id="23"/>
                  <w:bookmarkEnd w:id="24"/>
                  <w:r>
                    <w:rPr>
                      <w:rFonts w:hint="eastAsia"/>
                      <w:color w:val="000000" w:themeColor="text1"/>
                      <w14:textFill>
                        <w14:solidFill>
                          <w14:schemeClr w14:val="tx1"/>
                        </w14:solidFill>
                      </w14:textFill>
                    </w:rPr>
                    <w:t>，实现视频监控、</w:t>
                  </w:r>
                  <w:r>
                    <w:rPr>
                      <w:rFonts w:hint="default" w:ascii="Times New Roman" w:hAnsi="Times New Roman" w:cs="Times New Roman"/>
                      <w:color w:val="000000" w:themeColor="text1"/>
                      <w14:textFill>
                        <w14:solidFill>
                          <w14:schemeClr w14:val="tx1"/>
                        </w14:solidFill>
                      </w14:textFill>
                    </w:rPr>
                    <w:t>PM</w:t>
                  </w:r>
                  <w:r>
                    <w:rPr>
                      <w:rFonts w:hint="default" w:ascii="Times New Roman" w:hAnsi="Times New Roman" w:cs="Times New Roman"/>
                      <w:color w:val="000000" w:themeColor="text1"/>
                      <w:sz w:val="14"/>
                      <w:szCs w:val="14"/>
                      <w14:textFill>
                        <w14:solidFill>
                          <w14:schemeClr w14:val="tx1"/>
                        </w14:solidFill>
                      </w14:textFill>
                    </w:rPr>
                    <w:t>10</w:t>
                  </w:r>
                  <w:r>
                    <w:rPr>
                      <w:rFonts w:hint="eastAsia"/>
                      <w:color w:val="000000" w:themeColor="text1"/>
                      <w14:textFill>
                        <w14:solidFill>
                          <w14:schemeClr w14:val="tx1"/>
                        </w14:solidFill>
                      </w14:textFill>
                    </w:rPr>
                    <w:t>在线监测全覆盖，实现污染源信息共享、联动响应。减少道路起尘源，运输渣土、石料、水泥、煤炭、垃圾等物料的车辆，应当采取篷盖、密闭等措施，不得超量装载和超速行驶。以砂石、木（石）材加工、散乱堆场、无证汽修、小作坊为重点，全面整治“散乱污”，从严开展砂石和石材加工行业环保整治。对防尘措施落实不到位的商砼站进行全面清理，限期整改。全面取缔城区各类违规堆场、料场，严禁各类汽修企业喷涂超标排放，全面取缔露天喷涂作业，全面整治无证经营汽修行为。</w:t>
                  </w:r>
                </w:p>
              </w:tc>
              <w:tc>
                <w:tcPr>
                  <w:tcW w:w="1392" w:type="pct"/>
                  <w:shd w:val="clear" w:color="auto" w:fill="auto"/>
                  <w:vAlign w:val="center"/>
                </w:tcPr>
                <w:p w14:paraId="21D42612">
                  <w:pPr>
                    <w:pStyle w:val="13"/>
                    <w:rPr>
                      <w:rFonts w:cs="Times New Roman"/>
                      <w:color w:val="000000" w:themeColor="text1"/>
                      <w14:textFill>
                        <w14:solidFill>
                          <w14:schemeClr w14:val="tx1"/>
                        </w14:solidFill>
                      </w14:textFill>
                    </w:rPr>
                  </w:pPr>
                  <w:r>
                    <w:rPr>
                      <w:rFonts w:hint="eastAsia"/>
                      <w:color w:val="000000" w:themeColor="text1"/>
                      <w:sz w:val="20"/>
                      <w:szCs w:val="20"/>
                      <w14:textFill>
                        <w14:solidFill>
                          <w14:schemeClr w14:val="tx1"/>
                        </w14:solidFill>
                      </w14:textFill>
                    </w:rPr>
                    <w:t>本</w:t>
                  </w:r>
                  <w:r>
                    <w:rPr>
                      <w:rFonts w:hint="eastAsia"/>
                      <w:color w:val="000000" w:themeColor="text1"/>
                      <w14:textFill>
                        <w14:solidFill>
                          <w14:schemeClr w14:val="tx1"/>
                        </w14:solidFill>
                      </w14:textFill>
                    </w:rPr>
                    <w:t>项目为一般固废综合利用项目，不属于散乱污企业，不属于砂石和石材</w:t>
                  </w:r>
                  <w:r>
                    <w:rPr>
                      <w:rFonts w:hint="eastAsia"/>
                      <w:color w:val="000000" w:themeColor="text1"/>
                      <w:lang w:eastAsia="zh-CN"/>
                      <w14:textFill>
                        <w14:solidFill>
                          <w14:schemeClr w14:val="tx1"/>
                        </w14:solidFill>
                      </w14:textFill>
                    </w:rPr>
                    <w:t>加工</w:t>
                  </w:r>
                  <w:r>
                    <w:rPr>
                      <w:rFonts w:hint="eastAsia"/>
                      <w:color w:val="000000" w:themeColor="text1"/>
                      <w14:textFill>
                        <w14:solidFill>
                          <w14:schemeClr w14:val="tx1"/>
                        </w14:solidFill>
                      </w14:textFill>
                    </w:rPr>
                    <w:t>行业，不属于商砼站企业、喷涂作业等。项目租用现有厂房建设，施工期主要进行厂房调整和设备安装，施工期采取洒水降尘、篷布覆盖等措施，严格落实“六个百分百”要求。</w:t>
                  </w:r>
                </w:p>
              </w:tc>
              <w:tc>
                <w:tcPr>
                  <w:tcW w:w="374" w:type="pct"/>
                  <w:shd w:val="clear" w:color="auto" w:fill="auto"/>
                  <w:vAlign w:val="center"/>
                </w:tcPr>
                <w:p w14:paraId="62C54D57">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r w14:paraId="2806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157806B0">
                  <w:pPr>
                    <w:pStyle w:val="13"/>
                    <w:rPr>
                      <w:rFonts w:cs="Times New Roman"/>
                      <w:color w:val="000000" w:themeColor="text1"/>
                      <w14:textFill>
                        <w14:solidFill>
                          <w14:schemeClr w14:val="tx1"/>
                        </w14:solidFill>
                      </w14:textFill>
                    </w:rPr>
                  </w:pPr>
                </w:p>
              </w:tc>
              <w:tc>
                <w:tcPr>
                  <w:tcW w:w="2486" w:type="pct"/>
                  <w:shd w:val="clear" w:color="auto" w:fill="auto"/>
                  <w:vAlign w:val="center"/>
                </w:tcPr>
                <w:p w14:paraId="38A5571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强化工业企业监督管理。加强工业园区基础设施建设，强化工业企业污水处理设施监督管理，严格工业企业废水排放标准，以排污许可为核心，持续开展工业企业污染源监督、检查。</w:t>
                  </w:r>
                </w:p>
              </w:tc>
              <w:tc>
                <w:tcPr>
                  <w:tcW w:w="1392" w:type="pct"/>
                  <w:shd w:val="clear" w:color="auto" w:fill="auto"/>
                  <w:vAlign w:val="center"/>
                </w:tcPr>
                <w:p w14:paraId="3A0A0BC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预处理后通过市政管网送至</w:t>
                  </w:r>
                  <w:r>
                    <w:rPr>
                      <w:rFonts w:hint="eastAsia" w:cs="Times New Roman"/>
                      <w:color w:val="000000" w:themeColor="text1"/>
                      <w:lang w:val="en-US" w:eastAsia="zh-CN"/>
                      <w14:textFill>
                        <w14:solidFill>
                          <w14:schemeClr w14:val="tx1"/>
                        </w14:solidFill>
                      </w14:textFill>
                    </w:rPr>
                    <w:t>星光工业</w:t>
                  </w:r>
                  <w:r>
                    <w:rPr>
                      <w:rFonts w:cs="Times New Roman"/>
                      <w:color w:val="000000" w:themeColor="text1"/>
                      <w14:textFill>
                        <w14:solidFill>
                          <w14:schemeClr w14:val="tx1"/>
                        </w14:solidFill>
                      </w14:textFill>
                    </w:rPr>
                    <w:t>园区污水处理</w:t>
                  </w:r>
                  <w:r>
                    <w:rPr>
                      <w:rFonts w:hint="eastAsia" w:cs="Times New Roman"/>
                      <w:color w:val="000000" w:themeColor="text1"/>
                      <w:lang w:val="en-US" w:eastAsia="zh-CN"/>
                      <w14:textFill>
                        <w14:solidFill>
                          <w14:schemeClr w14:val="tx1"/>
                        </w14:solidFill>
                      </w14:textFill>
                    </w:rPr>
                    <w:t>厂</w:t>
                  </w:r>
                  <w:r>
                    <w:rPr>
                      <w:rFonts w:cs="Times New Roman"/>
                      <w:color w:val="000000" w:themeColor="text1"/>
                      <w14:textFill>
                        <w14:solidFill>
                          <w14:schemeClr w14:val="tx1"/>
                        </w14:solidFill>
                      </w14:textFill>
                    </w:rPr>
                    <w:t>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生产废水部分回用，不能回用部分委托有资质单位处理</w:t>
                  </w:r>
                  <w:r>
                    <w:rPr>
                      <w:rFonts w:cs="Times New Roman"/>
                      <w:color w:val="000000" w:themeColor="text1"/>
                      <w14:textFill>
                        <w14:solidFill>
                          <w14:schemeClr w14:val="tx1"/>
                        </w14:solidFill>
                      </w14:textFill>
                    </w:rPr>
                    <w:t>。</w:t>
                  </w:r>
                </w:p>
              </w:tc>
              <w:tc>
                <w:tcPr>
                  <w:tcW w:w="374" w:type="pct"/>
                  <w:shd w:val="clear" w:color="auto" w:fill="auto"/>
                  <w:vAlign w:val="center"/>
                </w:tcPr>
                <w:p w14:paraId="2E73B58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bookmarkEnd w:id="22"/>
              </w:tc>
            </w:tr>
            <w:tr w14:paraId="4DF6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2E163688">
                  <w:pPr>
                    <w:pStyle w:val="13"/>
                    <w:rPr>
                      <w:rFonts w:cs="Times New Roman"/>
                      <w:color w:val="000000" w:themeColor="text1"/>
                      <w14:textFill>
                        <w14:solidFill>
                          <w14:schemeClr w14:val="tx1"/>
                        </w14:solidFill>
                      </w14:textFill>
                    </w:rPr>
                  </w:pPr>
                </w:p>
              </w:tc>
              <w:tc>
                <w:tcPr>
                  <w:tcW w:w="2486" w:type="pct"/>
                  <w:shd w:val="clear" w:color="auto" w:fill="auto"/>
                  <w:vAlign w:val="center"/>
                </w:tcPr>
                <w:p w14:paraId="2536D2B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确保危险废物安全处理处置。强化危险废物日常监管，落实危险废物申报登记和管理计划备案制度，建立危险废物管理台账，完善危险废物产生单位内部管理制度。对危险废物的产生、收集、贮存、运输及处理处置实施全过程、全方位跟踪管理，确保到2025年危险废物利用处置率保持在100%。</w:t>
                  </w:r>
                </w:p>
              </w:tc>
              <w:tc>
                <w:tcPr>
                  <w:tcW w:w="1392" w:type="pct"/>
                  <w:shd w:val="clear" w:color="auto" w:fill="auto"/>
                  <w:vAlign w:val="center"/>
                </w:tcPr>
                <w:p w14:paraId="433F02CF">
                  <w:pPr>
                    <w:pStyle w:val="13"/>
                    <w:rPr>
                      <w:rFonts w:cs="Times New Roman"/>
                      <w:color w:val="000000" w:themeColor="text1"/>
                      <w14:textFill>
                        <w14:solidFill>
                          <w14:schemeClr w14:val="tx1"/>
                        </w14:solidFill>
                      </w14:textFill>
                    </w:rPr>
                  </w:pPr>
                  <w:bookmarkStart w:id="25" w:name="OLE_LINK37"/>
                  <w:r>
                    <w:rPr>
                      <w:rFonts w:cs="Times New Roman"/>
                      <w:color w:val="000000" w:themeColor="text1"/>
                      <w14:textFill>
                        <w14:solidFill>
                          <w14:schemeClr w14:val="tx1"/>
                        </w14:solidFill>
                      </w14:textFill>
                    </w:rPr>
                    <w:t>本项目严格落实危废管理制度、转移联单制度等危险废物管理要求，建设合规的危废暂存间</w:t>
                  </w:r>
                  <w:bookmarkEnd w:id="25"/>
                  <w:r>
                    <w:rPr>
                      <w:rFonts w:cs="Times New Roman"/>
                      <w:color w:val="000000" w:themeColor="text1"/>
                      <w14:textFill>
                        <w14:solidFill>
                          <w14:schemeClr w14:val="tx1"/>
                        </w14:solidFill>
                      </w14:textFill>
                    </w:rPr>
                    <w:t>。</w:t>
                  </w:r>
                </w:p>
              </w:tc>
              <w:tc>
                <w:tcPr>
                  <w:tcW w:w="374" w:type="pct"/>
                  <w:shd w:val="clear" w:color="auto" w:fill="auto"/>
                  <w:vAlign w:val="center"/>
                </w:tcPr>
                <w:p w14:paraId="635BA5D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65E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66F39CF8">
                  <w:pPr>
                    <w:pStyle w:val="13"/>
                    <w:rPr>
                      <w:rFonts w:cs="Times New Roman"/>
                      <w:color w:val="000000" w:themeColor="text1"/>
                      <w14:textFill>
                        <w14:solidFill>
                          <w14:schemeClr w14:val="tx1"/>
                        </w14:solidFill>
                      </w14:textFill>
                    </w:rPr>
                  </w:pPr>
                </w:p>
              </w:tc>
              <w:tc>
                <w:tcPr>
                  <w:tcW w:w="2486" w:type="pct"/>
                  <w:shd w:val="clear" w:color="auto" w:fill="auto"/>
                  <w:vAlign w:val="center"/>
                </w:tcPr>
                <w:p w14:paraId="2AD9BBA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强行业、园区、企业风险防范管控。落实相关企业环境风险防范主体责任。防范化解重特大突发环境事件风险，提高企业污染隐患和环境风险防范意识，督促企业健全环境应急体系和环境风险防范措施，定期开展环境应急演练，提高环境污染事故应急反应能力。</w:t>
                  </w:r>
                </w:p>
              </w:tc>
              <w:tc>
                <w:tcPr>
                  <w:tcW w:w="1392" w:type="pct"/>
                  <w:shd w:val="clear" w:color="auto" w:fill="auto"/>
                  <w:vAlign w:val="center"/>
                </w:tcPr>
                <w:p w14:paraId="7DFFA15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落实环境风险防范措施，制定突发环境事件应急预案，定期开展应急演练。</w:t>
                  </w:r>
                </w:p>
              </w:tc>
              <w:tc>
                <w:tcPr>
                  <w:tcW w:w="374" w:type="pct"/>
                  <w:shd w:val="clear" w:color="auto" w:fill="auto"/>
                  <w:vAlign w:val="center"/>
                </w:tcPr>
                <w:p w14:paraId="52DCA97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5697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restart"/>
                  <w:shd w:val="clear" w:color="auto" w:fill="auto"/>
                  <w:vAlign w:val="center"/>
                </w:tcPr>
                <w:p w14:paraId="4438B73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r>
                    <w:rPr>
                      <w:rFonts w:hint="eastAsia" w:cs="Times New Roman"/>
                      <w:color w:val="000000" w:themeColor="text1"/>
                      <w14:textFill>
                        <w14:solidFill>
                          <w14:schemeClr w14:val="tx1"/>
                        </w14:solidFill>
                      </w14:textFill>
                    </w:rPr>
                    <w:t>平</w:t>
                  </w:r>
                  <w:r>
                    <w:rPr>
                      <w:rFonts w:hint="eastAsia" w:ascii="宋体" w:hAnsi="宋体" w:eastAsia="宋体" w:cs="宋体"/>
                      <w:color w:val="000000" w:themeColor="text1"/>
                      <w14:textFill>
                        <w14:solidFill>
                          <w14:schemeClr w14:val="tx1"/>
                        </w14:solidFill>
                      </w14:textFill>
                    </w:rPr>
                    <w:t>昌县“十四五”</w:t>
                  </w:r>
                  <w:r>
                    <w:rPr>
                      <w:rFonts w:cs="Times New Roman"/>
                      <w:color w:val="000000" w:themeColor="text1"/>
                      <w14:textFill>
                        <w14:solidFill>
                          <w14:schemeClr w14:val="tx1"/>
                        </w14:solidFill>
                      </w14:textFill>
                    </w:rPr>
                    <w:t>生态环境保护规划》</w:t>
                  </w:r>
                </w:p>
              </w:tc>
              <w:tc>
                <w:tcPr>
                  <w:tcW w:w="2486" w:type="pct"/>
                  <w:shd w:val="clear" w:color="auto" w:fill="auto"/>
                  <w:vAlign w:val="center"/>
                </w:tcPr>
                <w:p w14:paraId="4EDA394F">
                  <w:pPr>
                    <w:pStyle w:val="13"/>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加强扬尘污染治理。完善文明施工和绿色施工管理工作制度。建筑工地全面建立扬尘监控平台，逐步实现污染源信息共享、联动响应。强化道路扬尘治理，严格运渣车辆落实运输环保要求，推进泥头车全密闭运输，遵守运输路线与运输时限要求。加强堆场和裸露地扬尘污染控制。更新优化机械化清扫设备，有效控制道路扬尘污染。</w:t>
                  </w:r>
                </w:p>
              </w:tc>
              <w:tc>
                <w:tcPr>
                  <w:tcW w:w="1392" w:type="pct"/>
                  <w:shd w:val="clear" w:color="auto" w:fill="auto"/>
                  <w:vAlign w:val="center"/>
                </w:tcPr>
                <w:p w14:paraId="24D5749A">
                  <w:pPr>
                    <w:pStyle w:val="13"/>
                    <w:rPr>
                      <w:rFonts w:cs="Times New Roman"/>
                      <w:color w:val="000000" w:themeColor="text1"/>
                      <w14:textFill>
                        <w14:solidFill>
                          <w14:schemeClr w14:val="tx1"/>
                        </w14:solidFill>
                      </w14:textFill>
                    </w:rPr>
                  </w:pPr>
                  <w:r>
                    <w:rPr>
                      <w:rFonts w:hint="eastAsia" w:ascii="宋体" w:cs="宋体" w:hAnsiTheme="minorHAnsi"/>
                      <w:color w:val="000000" w:themeColor="text1"/>
                      <w:szCs w:val="21"/>
                      <w:lang w:eastAsia="zh-CN"/>
                      <w14:textFill>
                        <w14:solidFill>
                          <w14:schemeClr w14:val="tx1"/>
                        </w14:solidFill>
                      </w14:textFill>
                    </w:rPr>
                    <w:t>项</w:t>
                  </w:r>
                  <w:r>
                    <w:rPr>
                      <w:rFonts w:hint="eastAsia"/>
                      <w:color w:val="000000" w:themeColor="text1"/>
                      <w14:textFill>
                        <w14:solidFill>
                          <w14:schemeClr w14:val="tx1"/>
                        </w14:solidFill>
                      </w14:textFill>
                    </w:rPr>
                    <w:t>目租用现有厂房建设，施工期主要进行厂房</w:t>
                  </w:r>
                  <w:r>
                    <w:rPr>
                      <w:rFonts w:hint="eastAsia"/>
                      <w:color w:val="000000" w:themeColor="text1"/>
                      <w:lang w:val="en-US" w:eastAsia="zh-CN"/>
                      <w14:textFill>
                        <w14:solidFill>
                          <w14:schemeClr w14:val="tx1"/>
                        </w14:solidFill>
                      </w14:textFill>
                    </w:rPr>
                    <w:t>扩建及适应性改造、</w:t>
                  </w:r>
                  <w:r>
                    <w:rPr>
                      <w:rFonts w:hint="eastAsia"/>
                      <w:color w:val="000000" w:themeColor="text1"/>
                      <w14:textFill>
                        <w14:solidFill>
                          <w14:schemeClr w14:val="tx1"/>
                        </w14:solidFill>
                      </w14:textFill>
                    </w:rPr>
                    <w:t>设备安装，施工期采取洒水降尘、篷布覆盖等措施，控制施工扬尘。</w:t>
                  </w:r>
                </w:p>
              </w:tc>
              <w:tc>
                <w:tcPr>
                  <w:tcW w:w="374" w:type="pct"/>
                  <w:shd w:val="clear" w:color="auto" w:fill="auto"/>
                  <w:vAlign w:val="center"/>
                </w:tcPr>
                <w:p w14:paraId="2BE6F6D0">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r w14:paraId="6A4B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548610B6">
                  <w:pPr>
                    <w:pStyle w:val="13"/>
                    <w:rPr>
                      <w:rFonts w:cs="Times New Roman"/>
                      <w:color w:val="000000" w:themeColor="text1"/>
                      <w14:textFill>
                        <w14:solidFill>
                          <w14:schemeClr w14:val="tx1"/>
                        </w14:solidFill>
                      </w14:textFill>
                    </w:rPr>
                  </w:pPr>
                </w:p>
              </w:tc>
              <w:tc>
                <w:tcPr>
                  <w:tcW w:w="2486" w:type="pct"/>
                  <w:shd w:val="clear" w:color="auto" w:fill="auto"/>
                  <w:vAlign w:val="center"/>
                </w:tcPr>
                <w:p w14:paraId="363C09BC">
                  <w:pPr>
                    <w:pStyle w:val="13"/>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强化工业污水综合整治。严格执行工业企业废水排放标准，以排污许可为核心，持续开展工业企业污染源监督检查。强化白酒、食品、农副产品加工行业废水治理。完善经开区及企业雨污分流系统，推动初期雨水收集处理，实施入园白酒企业“一企一管、明管输送、实时监测”，推进星光工业园污水处理厂污水管网排查整治。</w:t>
                  </w:r>
                </w:p>
              </w:tc>
              <w:tc>
                <w:tcPr>
                  <w:tcW w:w="1392" w:type="pct"/>
                  <w:shd w:val="clear" w:color="auto" w:fill="auto"/>
                  <w:vAlign w:val="center"/>
                </w:tcPr>
                <w:p w14:paraId="384E2F30">
                  <w:pPr>
                    <w:pStyle w:val="13"/>
                    <w:rPr>
                      <w:rFonts w:hint="eastAsia" w:eastAsia="宋体" w:cs="Times New Roman"/>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本项目为水基岩屑综合利用项目，不属于白酒、食品、农副产品加工行业。</w:t>
                  </w:r>
                  <w:r>
                    <w:rPr>
                      <w:rFonts w:hint="eastAsia"/>
                      <w:color w:val="000000" w:themeColor="text1"/>
                      <w:lang w:val="en-US" w:eastAsia="zh-CN"/>
                      <w14:textFill>
                        <w14:solidFill>
                          <w14:schemeClr w14:val="tx1"/>
                        </w14:solidFill>
                      </w14:textFill>
                    </w:rPr>
                    <w:t>生活污水</w:t>
                  </w:r>
                  <w:r>
                    <w:rPr>
                      <w:rFonts w:hint="eastAsia"/>
                      <w:color w:val="000000" w:themeColor="text1"/>
                      <w14:textFill>
                        <w14:solidFill>
                          <w14:schemeClr w14:val="tx1"/>
                        </w14:solidFill>
                      </w14:textFill>
                    </w:rPr>
                    <w:t>经预处理后经园区管网输送至星光</w:t>
                  </w:r>
                  <w:r>
                    <w:rPr>
                      <w:rFonts w:hint="eastAsia"/>
                      <w:color w:val="000000" w:themeColor="text1"/>
                      <w:lang w:val="en-US" w:eastAsia="zh-CN"/>
                      <w14:textFill>
                        <w14:solidFill>
                          <w14:schemeClr w14:val="tx1"/>
                        </w14:solidFill>
                      </w14:textFill>
                    </w:rPr>
                    <w:t>工业园区</w:t>
                  </w:r>
                  <w:r>
                    <w:rPr>
                      <w:rFonts w:hint="eastAsia"/>
                      <w:color w:val="000000" w:themeColor="text1"/>
                      <w14:textFill>
                        <w14:solidFill>
                          <w14:schemeClr w14:val="tx1"/>
                        </w14:solidFill>
                      </w14:textFill>
                    </w:rPr>
                    <w:t>污水处理厂处理</w:t>
                  </w:r>
                  <w:r>
                    <w:rPr>
                      <w:rFonts w:hint="eastAsia"/>
                      <w:color w:val="000000" w:themeColor="text1"/>
                      <w:lang w:eastAsia="zh-CN"/>
                      <w14:textFill>
                        <w14:solidFill>
                          <w14:schemeClr w14:val="tx1"/>
                        </w14:solidFill>
                      </w14:textFill>
                    </w:rPr>
                    <w:t>。</w:t>
                  </w:r>
                </w:p>
              </w:tc>
              <w:tc>
                <w:tcPr>
                  <w:tcW w:w="374" w:type="pct"/>
                  <w:shd w:val="clear" w:color="auto" w:fill="auto"/>
                  <w:vAlign w:val="center"/>
                </w:tcPr>
                <w:p w14:paraId="2A751FA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31D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7BDB102B">
                  <w:pPr>
                    <w:pStyle w:val="13"/>
                    <w:rPr>
                      <w:rFonts w:cs="Times New Roman"/>
                      <w:color w:val="000000" w:themeColor="text1"/>
                      <w14:textFill>
                        <w14:solidFill>
                          <w14:schemeClr w14:val="tx1"/>
                        </w14:solidFill>
                      </w14:textFill>
                    </w:rPr>
                  </w:pPr>
                </w:p>
              </w:tc>
              <w:tc>
                <w:tcPr>
                  <w:tcW w:w="2486" w:type="pct"/>
                  <w:shd w:val="clear" w:color="auto" w:fill="auto"/>
                  <w:vAlign w:val="center"/>
                </w:tcPr>
                <w:p w14:paraId="1E08334A">
                  <w:pPr>
                    <w:pStyle w:val="13"/>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加强建设用地风险管控。开展土壤污染状况调查，全面掌握辖区土壤污染现状，建立土壤污染风险源清单。加强危险废物规范化管理。严格转移审批，严格执行危险废物转移联单制度。切实强化储运过程风险防控，落实储运过程污染防治措施，严控长距离运输，防止二次污染。防范建设用地新增污染。排放重点污染物的建设项目，在开展环境影响评价时，增加土壤环境影响评价专篇（章），提出和实施防范土壤污染具体措施。</w:t>
                  </w:r>
                </w:p>
              </w:tc>
              <w:tc>
                <w:tcPr>
                  <w:tcW w:w="1392" w:type="pct"/>
                  <w:shd w:val="clear" w:color="auto" w:fill="auto"/>
                  <w:vAlign w:val="center"/>
                </w:tcPr>
                <w:p w14:paraId="3BA4667D">
                  <w:pPr>
                    <w:pStyle w:val="13"/>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本项目</w:t>
                  </w:r>
                  <w:r>
                    <w:rPr>
                      <w:rFonts w:hint="eastAsia"/>
                      <w:color w:val="000000" w:themeColor="text1"/>
                      <w:lang w:val="en-US" w:eastAsia="zh-CN"/>
                      <w14:textFill>
                        <w14:solidFill>
                          <w14:schemeClr w14:val="tx1"/>
                        </w14:solidFill>
                      </w14:textFill>
                    </w:rPr>
                    <w:t>各类危险废物均</w:t>
                  </w:r>
                  <w:r>
                    <w:rPr>
                      <w:rFonts w:hint="eastAsia"/>
                      <w:color w:val="000000" w:themeColor="text1"/>
                      <w14:textFill>
                        <w14:solidFill>
                          <w14:schemeClr w14:val="tx1"/>
                        </w14:solidFill>
                      </w14:textFill>
                    </w:rPr>
                    <w:t>暂存于危废暂存间，《危险废物转移管理办法》要求，定期交由资质单位处置，做好台账记录；根据《危险废</w:t>
                  </w:r>
                  <w:r>
                    <w:rPr>
                      <w:rFonts w:hint="default" w:ascii="Times New Roman" w:hAnsi="Times New Roman" w:cs="Times New Roman"/>
                      <w:color w:val="000000" w:themeColor="text1"/>
                      <w14:textFill>
                        <w14:solidFill>
                          <w14:schemeClr w14:val="tx1"/>
                        </w14:solidFill>
                      </w14:textFill>
                    </w:rPr>
                    <w:t>物贮存污染控制标准》（GB18597-2023）要求，做好</w:t>
                  </w:r>
                  <w:r>
                    <w:rPr>
                      <w:rFonts w:hint="eastAsia" w:ascii="宋体" w:hAnsi="宋体" w:eastAsia="宋体" w:cs="宋体"/>
                      <w:color w:val="000000" w:themeColor="text1"/>
                      <w14:textFill>
                        <w14:solidFill>
                          <w14:schemeClr w14:val="tx1"/>
                        </w14:solidFill>
                      </w14:textFill>
                    </w:rPr>
                    <w:t>“六防”</w:t>
                  </w:r>
                  <w:r>
                    <w:rPr>
                      <w:rFonts w:hint="default" w:ascii="Times New Roman" w:hAnsi="Times New Roman" w:cs="Times New Roman"/>
                      <w:color w:val="000000" w:themeColor="text1"/>
                      <w14:textFill>
                        <w14:solidFill>
                          <w14:schemeClr w14:val="tx1"/>
                        </w14:solidFill>
                      </w14:textFill>
                    </w:rPr>
                    <w:t>措施；本项目提出了防范土壤污染</w:t>
                  </w:r>
                  <w:r>
                    <w:rPr>
                      <w:rFonts w:hint="eastAsia"/>
                      <w:color w:val="000000" w:themeColor="text1"/>
                      <w14:textFill>
                        <w14:solidFill>
                          <w14:schemeClr w14:val="tx1"/>
                        </w14:solidFill>
                      </w14:textFill>
                    </w:rPr>
                    <w:t>的具体措施；本项目拟根据要求实行分区防渗措施，分区防渗措施与主体工程同时设计、同时施工，同时投产。</w:t>
                  </w:r>
                </w:p>
              </w:tc>
              <w:tc>
                <w:tcPr>
                  <w:tcW w:w="374" w:type="pct"/>
                  <w:shd w:val="clear" w:color="auto" w:fill="auto"/>
                  <w:vAlign w:val="center"/>
                </w:tcPr>
                <w:p w14:paraId="2CFCA3A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78C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1C6BA2F9">
                  <w:pPr>
                    <w:pStyle w:val="13"/>
                    <w:rPr>
                      <w:rFonts w:cs="Times New Roman"/>
                      <w:color w:val="000000" w:themeColor="text1"/>
                      <w14:textFill>
                        <w14:solidFill>
                          <w14:schemeClr w14:val="tx1"/>
                        </w14:solidFill>
                      </w14:textFill>
                    </w:rPr>
                  </w:pPr>
                </w:p>
              </w:tc>
              <w:tc>
                <w:tcPr>
                  <w:tcW w:w="2486" w:type="pct"/>
                  <w:shd w:val="clear" w:color="auto" w:fill="auto"/>
                  <w:vAlign w:val="center"/>
                </w:tcPr>
                <w:p w14:paraId="6857EE57">
                  <w:pPr>
                    <w:pStyle w:val="13"/>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确保危险废物安全处理处置。强化危险废物日常监管，落实危险废物申报登记和管理计划备案制度</w:t>
                  </w:r>
                  <w:r>
                    <w:rPr>
                      <w:rFonts w:ascii="TimesNewRomanPSMT" w:hAnsi="TimesNewRomanPSMT" w:cs="TimesNewRomanPSMT"/>
                      <w:color w:val="000000" w:themeColor="text1"/>
                      <w14:textFill>
                        <w14:solidFill>
                          <w14:schemeClr w14:val="tx1"/>
                        </w14:solidFill>
                      </w14:textFill>
                    </w:rPr>
                    <w:t>,</w:t>
                  </w:r>
                  <w:r>
                    <w:rPr>
                      <w:rFonts w:hint="eastAsia"/>
                      <w:color w:val="000000" w:themeColor="text1"/>
                      <w14:textFill>
                        <w14:solidFill>
                          <w14:schemeClr w14:val="tx1"/>
                        </w14:solidFill>
                      </w14:textFill>
                    </w:rPr>
                    <w:t>建立危险废物管理台账，完善危险废物产生单位内部管理制度。对危险废物的产生、收集、贮存、包装、运输及处理处置实施全过程、全方位跟踪管理，确</w:t>
                  </w:r>
                  <w:r>
                    <w:rPr>
                      <w:rFonts w:hint="default" w:ascii="Times New Roman" w:hAnsi="Times New Roman" w:cs="Times New Roman"/>
                      <w:color w:val="000000" w:themeColor="text1"/>
                      <w14:textFill>
                        <w14:solidFill>
                          <w14:schemeClr w14:val="tx1"/>
                        </w14:solidFill>
                      </w14:textFill>
                    </w:rPr>
                    <w:t>保到2025年危险废物利用处置率保持在100%</w:t>
                  </w:r>
                  <w:r>
                    <w:rPr>
                      <w:rFonts w:hint="eastAsia"/>
                      <w:color w:val="000000" w:themeColor="text1"/>
                      <w14:textFill>
                        <w14:solidFill>
                          <w14:schemeClr w14:val="tx1"/>
                        </w14:solidFill>
                      </w14:textFill>
                    </w:rPr>
                    <w:t>。</w:t>
                  </w:r>
                </w:p>
              </w:tc>
              <w:tc>
                <w:tcPr>
                  <w:tcW w:w="1392" w:type="pct"/>
                  <w:shd w:val="clear" w:color="auto" w:fill="auto"/>
                  <w:vAlign w:val="center"/>
                </w:tcPr>
                <w:p w14:paraId="105F6F2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本项目严格落实一般工业固废管理制度要求，所有固废均得到妥善处置。</w:t>
                  </w:r>
                </w:p>
              </w:tc>
              <w:tc>
                <w:tcPr>
                  <w:tcW w:w="374" w:type="pct"/>
                  <w:shd w:val="clear" w:color="auto" w:fill="auto"/>
                  <w:vAlign w:val="center"/>
                </w:tcPr>
                <w:p w14:paraId="3838D69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bl>
          <w:p w14:paraId="2424198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综上所述，本项目符合巴中市、</w:t>
            </w:r>
            <w:r>
              <w:rPr>
                <w:rFonts w:hint="eastAsia" w:cs="Times New Roman"/>
                <w:color w:val="000000" w:themeColor="text1"/>
                <w14:textFill>
                  <w14:solidFill>
                    <w14:schemeClr w14:val="tx1"/>
                  </w14:solidFill>
                </w14:textFill>
              </w:rPr>
              <w:t>平昌</w:t>
            </w:r>
            <w:r>
              <w:rPr>
                <w:rFonts w:hint="eastAsia" w:ascii="宋体" w:hAnsi="宋体" w:eastAsia="宋体" w:cs="宋体"/>
                <w:color w:val="000000" w:themeColor="text1"/>
                <w14:textFill>
                  <w14:solidFill>
                    <w14:schemeClr w14:val="tx1"/>
                  </w14:solidFill>
                </w14:textFill>
              </w:rPr>
              <w:t>县“十四五”生</w:t>
            </w:r>
            <w:r>
              <w:rPr>
                <w:rFonts w:cs="Times New Roman"/>
                <w:color w:val="000000" w:themeColor="text1"/>
                <w14:textFill>
                  <w14:solidFill>
                    <w14:schemeClr w14:val="tx1"/>
                  </w14:solidFill>
                </w14:textFill>
              </w:rPr>
              <w:t>态环境保护规划的要求。</w:t>
            </w:r>
          </w:p>
          <w:p w14:paraId="28AA77C9">
            <w:pPr>
              <w:pStyle w:val="4"/>
              <w:keepLines w:val="0"/>
              <w:pageBreakBefore w:val="0"/>
              <w:kinsoku/>
              <w:wordWrap/>
              <w:overflowPunct/>
              <w:topLinePunct w:val="0"/>
              <w:autoSpaceDE/>
              <w:autoSpaceDN/>
              <w:bidi w:val="0"/>
              <w:spacing w:before="0" w:beforeLine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8</w:t>
            </w:r>
            <w:r>
              <w:rPr>
                <w:color w:val="000000" w:themeColor="text1"/>
                <w14:textFill>
                  <w14:solidFill>
                    <w14:schemeClr w14:val="tx1"/>
                  </w14:solidFill>
                </w14:textFill>
              </w:rPr>
              <w:t>、与大气污染防治相关要求符合性分析</w:t>
            </w:r>
          </w:p>
          <w:p w14:paraId="69C2824F">
            <w:pPr>
              <w:keepLines w:val="0"/>
              <w:pageBreakBefore w:val="0"/>
              <w:kinsoku/>
              <w:wordWrap/>
              <w:overflowPunct/>
              <w:topLinePunct w:val="0"/>
              <w:autoSpaceDE/>
              <w:autoSpaceDN/>
              <w:bidi w:val="0"/>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本项目与大气污染防治相关要求符合性见下表：</w:t>
            </w:r>
          </w:p>
          <w:p w14:paraId="06E5C415">
            <w:pPr>
              <w:pStyle w:val="12"/>
              <w:keepNext/>
              <w:keepLines w:val="0"/>
              <w:pageBreakBefore w:val="0"/>
              <w:kinsoku/>
              <w:wordWrap/>
              <w:overflowPunct/>
              <w:topLinePunct w:val="0"/>
              <w:autoSpaceDE/>
              <w:autoSpaceDN/>
              <w:bidi w:val="0"/>
              <w:spacing w:after="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7</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与大气污染防治相关要求符合性分析</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4020"/>
              <w:gridCol w:w="2535"/>
              <w:gridCol w:w="661"/>
            </w:tblGrid>
            <w:tr w14:paraId="463A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7E1B062C">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2276" w:type="pct"/>
                  <w:shd w:val="clear" w:color="auto" w:fill="auto"/>
                  <w:vAlign w:val="center"/>
                </w:tcPr>
                <w:p w14:paraId="6DC8B11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要求内容</w:t>
                  </w:r>
                </w:p>
              </w:tc>
              <w:tc>
                <w:tcPr>
                  <w:tcW w:w="1435" w:type="pct"/>
                  <w:shd w:val="clear" w:color="auto" w:fill="auto"/>
                  <w:vAlign w:val="center"/>
                </w:tcPr>
                <w:p w14:paraId="473EC58D">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374" w:type="pct"/>
                  <w:shd w:val="clear" w:color="auto" w:fill="auto"/>
                  <w:vAlign w:val="center"/>
                </w:tcPr>
                <w:p w14:paraId="4E2D9859">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74A6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7014B0E7">
                  <w:pPr>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《挥发性有机物（VOCs）污染防治技术政策》</w:t>
                  </w:r>
                </w:p>
              </w:tc>
              <w:tc>
                <w:tcPr>
                  <w:tcW w:w="2276" w:type="pct"/>
                  <w:shd w:val="clear" w:color="auto" w:fill="auto"/>
                  <w:vAlign w:val="center"/>
                </w:tcPr>
                <w:p w14:paraId="3067504B">
                  <w:pPr>
                    <w:spacing w:line="240" w:lineRule="auto"/>
                    <w:ind w:firstLine="0" w:firstLineChars="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含VOCs产品的使用过程中，应采取废气收集措施，提高废气收集效率，减少废气的无组织排放与逸散，并对收集后的废气进行回收或处理后达标排放。</w:t>
                  </w:r>
                </w:p>
              </w:tc>
              <w:tc>
                <w:tcPr>
                  <w:tcW w:w="1435" w:type="pct"/>
                  <w:vMerge w:val="restart"/>
                  <w:shd w:val="clear" w:color="auto" w:fill="auto"/>
                  <w:vAlign w:val="center"/>
                </w:tcPr>
                <w:p w14:paraId="390795FC">
                  <w:pPr>
                    <w:pStyle w:val="13"/>
                    <w:rPr>
                      <w:rFonts w:hint="eastAsia"/>
                      <w:color w:val="000000" w:themeColor="text1"/>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本项目回转窑干燥、预热阶段挥发出的有机物（石油烃）在脱硫塔处冷凝液化成浮油，定期收集，委托有资质单位处置；极少量达标排放进入环境空气中。</w:t>
                  </w:r>
                </w:p>
              </w:tc>
              <w:tc>
                <w:tcPr>
                  <w:tcW w:w="374" w:type="pct"/>
                  <w:shd w:val="clear" w:color="auto" w:fill="auto"/>
                  <w:vAlign w:val="center"/>
                </w:tcPr>
                <w:p w14:paraId="5D19F12B">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13E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15678213">
                  <w:pPr>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color w:val="000000" w:themeColor="text1"/>
                      <w:sz w:val="21"/>
                      <w:szCs w:val="21"/>
                      <w:highlight w:val="none"/>
                      <w:lang w:val="en-US" w:eastAsia="zh-CN"/>
                      <w14:textFill>
                        <w14:solidFill>
                          <w14:schemeClr w14:val="tx1"/>
                        </w14:solidFill>
                      </w14:textFill>
                    </w:rPr>
                    <w:t>川省“十四五”生态环境保护规划》</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的通知（川府发〔2022〕2号）</w:t>
                  </w:r>
                </w:p>
              </w:tc>
              <w:tc>
                <w:tcPr>
                  <w:tcW w:w="2276" w:type="pct"/>
                  <w:shd w:val="clear" w:color="auto" w:fill="auto"/>
                  <w:vAlign w:val="center"/>
                </w:tcPr>
                <w:p w14:paraId="1867FC04">
                  <w:pPr>
                    <w:spacing w:line="240" w:lineRule="auto"/>
                    <w:ind w:firstLine="0" w:firstLineChars="0"/>
                    <w:jc w:val="left"/>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新、改、扩建涉VOCs排放项目，应从源头加强控制，使用低（无）VOCs含量的原辅材料，加强废气收集，安装高效治理措施。</w:t>
                  </w:r>
                </w:p>
              </w:tc>
              <w:tc>
                <w:tcPr>
                  <w:tcW w:w="1435" w:type="pct"/>
                  <w:vMerge w:val="continue"/>
                  <w:shd w:val="clear" w:color="auto" w:fill="auto"/>
                  <w:vAlign w:val="center"/>
                </w:tcPr>
                <w:p w14:paraId="6D55EC7E">
                  <w:pPr>
                    <w:pStyle w:val="13"/>
                    <w:rPr>
                      <w:rFonts w:hint="eastAsia"/>
                      <w:color w:val="000000" w:themeColor="text1"/>
                      <w14:textFill>
                        <w14:solidFill>
                          <w14:schemeClr w14:val="tx1"/>
                        </w14:solidFill>
                      </w14:textFill>
                    </w:rPr>
                  </w:pPr>
                </w:p>
              </w:tc>
              <w:tc>
                <w:tcPr>
                  <w:tcW w:w="374" w:type="pct"/>
                  <w:shd w:val="clear" w:color="auto" w:fill="auto"/>
                  <w:vAlign w:val="center"/>
                </w:tcPr>
                <w:p w14:paraId="6D95B7C4">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2E37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restart"/>
                  <w:shd w:val="clear" w:color="auto" w:fill="auto"/>
                  <w:vAlign w:val="center"/>
                </w:tcPr>
                <w:p w14:paraId="5FBFC3FD">
                  <w:pPr>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《四川省空气质量持续改善行动计划实施方案》的通知（川府发〔2024〕15号）</w:t>
                  </w:r>
                </w:p>
              </w:tc>
              <w:tc>
                <w:tcPr>
                  <w:tcW w:w="2276" w:type="pct"/>
                  <w:shd w:val="clear" w:color="auto" w:fill="auto"/>
                  <w:vAlign w:val="center"/>
                </w:tcPr>
                <w:p w14:paraId="1210C82A">
                  <w:pPr>
                    <w:spacing w:line="240" w:lineRule="auto"/>
                    <w:ind w:firstLine="0" w:firstLineChars="0"/>
                    <w:jc w:val="both"/>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加快工业炉窑清洁化改造</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重点区域原则上不再新增燃料类煤气发生炉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现有燃料类煤气发生炉实行清洁能源替代</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或因地制宜采取</w:t>
                  </w:r>
                  <w:r>
                    <w:rPr>
                      <w:rFonts w:hint="eastAsia" w:ascii="宋体" w:hAnsi="宋体" w:eastAsia="宋体" w:cs="宋体"/>
                      <w:color w:val="000000" w:themeColor="text1"/>
                      <w:sz w:val="21"/>
                      <w:szCs w:val="21"/>
                      <w:highlight w:val="none"/>
                      <w14:textFill>
                        <w14:solidFill>
                          <w14:schemeClr w14:val="tx1"/>
                        </w14:solidFill>
                      </w14:textFill>
                    </w:rPr>
                    <w:t>园区</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集群</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集中</w:t>
                  </w:r>
                  <w:r>
                    <w:rPr>
                      <w:rFonts w:hint="eastAsia"/>
                      <w:color w:val="000000" w:themeColor="text1"/>
                      <w:sz w:val="21"/>
                      <w:szCs w:val="21"/>
                      <w:highlight w:val="none"/>
                      <w14:textFill>
                        <w14:solidFill>
                          <w14:schemeClr w14:val="tx1"/>
                        </w14:solidFill>
                      </w14:textFill>
                    </w:rPr>
                    <w:t>供气、分散使用方式</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逐步淘汰固定床间歇式煤气发生炉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新改扩建加热炉、热处理炉、干燥炉、熔化炉原则上采用清洁低碳能源</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安全稳妥推进使用高污染燃料的工业炉窑改用工业余热、电能、天然气等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持续抓好燃</w:t>
                  </w:r>
                  <w:r>
                    <w:rPr>
                      <w:rFonts w:hint="eastAsia" w:ascii="宋体" w:hAnsi="宋体" w:eastAsia="宋体" w:cs="宋体"/>
                      <w:color w:val="000000" w:themeColor="text1"/>
                      <w:sz w:val="21"/>
                      <w:szCs w:val="21"/>
                      <w:highlight w:val="none"/>
                      <w14:textFill>
                        <w14:solidFill>
                          <w14:schemeClr w14:val="tx1"/>
                        </w14:solidFill>
                      </w14:textFill>
                    </w:rPr>
                    <w:t>煤</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油、柴、气</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锅</w:t>
                  </w:r>
                  <w:r>
                    <w:rPr>
                      <w:rFonts w:hint="eastAsia"/>
                      <w:color w:val="000000" w:themeColor="text1"/>
                      <w:sz w:val="21"/>
                      <w:szCs w:val="21"/>
                      <w:highlight w:val="none"/>
                      <w14:textFill>
                        <w14:solidFill>
                          <w14:schemeClr w14:val="tx1"/>
                        </w14:solidFill>
                      </w14:textFill>
                    </w:rPr>
                    <w:t>炉窑炉电能替代传统项目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重点做好“电烤烟”“电制茶”</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页岩气开采“以电代油”等电能替代示范项目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到</w:t>
                  </w:r>
                  <w:r>
                    <w:rPr>
                      <w:rFonts w:hint="eastAsia"/>
                      <w:color w:val="000000" w:themeColor="text1"/>
                      <w:sz w:val="21"/>
                      <w:szCs w:val="21"/>
                      <w:highlight w:val="none"/>
                      <w:lang w:val="en-US" w:eastAsia="zh-CN"/>
                      <w14:textFill>
                        <w14:solidFill>
                          <w14:schemeClr w14:val="tx1"/>
                        </w14:solidFill>
                      </w14:textFill>
                    </w:rPr>
                    <w:t>2025</w:t>
                  </w:r>
                  <w:r>
                    <w:rPr>
                      <w:rFonts w:hint="eastAsia"/>
                      <w:color w:val="000000" w:themeColor="text1"/>
                      <w:sz w:val="21"/>
                      <w:szCs w:val="21"/>
                      <w:highlight w:val="none"/>
                      <w14:textFill>
                        <w14:solidFill>
                          <w14:schemeClr w14:val="tx1"/>
                        </w14:solidFill>
                      </w14:textFill>
                    </w:rPr>
                    <w:t>年</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力争完成</w:t>
                  </w:r>
                  <w:r>
                    <w:rPr>
                      <w:rFonts w:hint="eastAsia"/>
                      <w:color w:val="000000" w:themeColor="text1"/>
                      <w:sz w:val="21"/>
                      <w:szCs w:val="21"/>
                      <w:highlight w:val="none"/>
                      <w:lang w:val="en-US" w:eastAsia="zh-CN"/>
                      <w14:textFill>
                        <w14:solidFill>
                          <w14:schemeClr w14:val="tx1"/>
                        </w14:solidFill>
                      </w14:textFill>
                    </w:rPr>
                    <w:t>80%</w:t>
                  </w:r>
                  <w:r>
                    <w:rPr>
                      <w:rFonts w:hint="eastAsia"/>
                      <w:color w:val="000000" w:themeColor="text1"/>
                      <w:sz w:val="21"/>
                      <w:szCs w:val="21"/>
                      <w:highlight w:val="none"/>
                      <w14:textFill>
                        <w14:solidFill>
                          <w14:schemeClr w14:val="tx1"/>
                        </w14:solidFill>
                      </w14:textFill>
                    </w:rPr>
                    <w:t>的集中式烤烟房煤改电改造</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全省电制茶比例达到</w:t>
                  </w:r>
                  <w:r>
                    <w:rPr>
                      <w:rFonts w:hint="eastAsia"/>
                      <w:color w:val="000000" w:themeColor="text1"/>
                      <w:sz w:val="21"/>
                      <w:szCs w:val="21"/>
                      <w:highlight w:val="none"/>
                      <w:lang w:val="en-US" w:eastAsia="zh-CN"/>
                      <w14:textFill>
                        <w14:solidFill>
                          <w14:schemeClr w14:val="tx1"/>
                        </w14:solidFill>
                      </w14:textFill>
                    </w:rPr>
                    <w:t>80%。</w:t>
                  </w:r>
                </w:p>
              </w:tc>
              <w:tc>
                <w:tcPr>
                  <w:tcW w:w="1435" w:type="pct"/>
                  <w:shd w:val="clear" w:color="auto" w:fill="auto"/>
                  <w:vAlign w:val="center"/>
                </w:tcPr>
                <w:p w14:paraId="6C8AF165">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本项目使用的回转窑使用电能、天然气，不使用高污染燃料。</w:t>
                  </w:r>
                </w:p>
              </w:tc>
              <w:tc>
                <w:tcPr>
                  <w:tcW w:w="374" w:type="pct"/>
                  <w:shd w:val="clear" w:color="auto" w:fill="auto"/>
                  <w:vAlign w:val="center"/>
                </w:tcPr>
                <w:p w14:paraId="16464DD8">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017D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572A9B1C">
                  <w:pPr>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276" w:type="pct"/>
                  <w:shd w:val="clear" w:color="auto" w:fill="auto"/>
                  <w:vAlign w:val="center"/>
                </w:tcPr>
                <w:p w14:paraId="7A99304C">
                  <w:pPr>
                    <w:spacing w:line="240" w:lineRule="auto"/>
                    <w:ind w:firstLine="0" w:firstLineChars="0"/>
                    <w:jc w:val="both"/>
                    <w:rPr>
                      <w:rFonts w:hint="default"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开展餐饮油烟、恶臭异味专项治理。拟开设餐饮服务单位的建筑应建设专用烟道。城市建成区产生油烟的餐饮服务单位应当全部安装油烟净化装置或采取等效措施，做好定期维护。推动成都市等有条件的地区实施第三方运维管理、运行状态监控。因地制宜解决人民群众反映集中的油烟及恶臭异味扰民问题，投诉集中的工业园区、重点企业要安装运行在线监测系统。</w:t>
                  </w:r>
                </w:p>
              </w:tc>
              <w:tc>
                <w:tcPr>
                  <w:tcW w:w="1435" w:type="pct"/>
                  <w:shd w:val="clear" w:color="auto" w:fill="auto"/>
                  <w:vAlign w:val="center"/>
                </w:tcPr>
                <w:p w14:paraId="38B38A3D">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本项目产生的食堂油烟依托已建的油烟净化器处理后达标引至楼顶排放；煅烧工序异味经煅烧后有效去除；车间异味经密闭厂房+喷洒除臭剂得到有效治理。</w:t>
                  </w:r>
                </w:p>
              </w:tc>
              <w:tc>
                <w:tcPr>
                  <w:tcW w:w="374" w:type="pct"/>
                  <w:shd w:val="clear" w:color="auto" w:fill="auto"/>
                  <w:vAlign w:val="center"/>
                </w:tcPr>
                <w:p w14:paraId="254A059A">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7220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5260EA3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《四川省打赢蓝天保卫战实施方案》（川府发</w:t>
                  </w:r>
                  <w:r>
                    <w:rPr>
                      <w:rFonts w:hint="eastAsia" w:cs="Times New Roman"/>
                      <w:color w:val="000000" w:themeColor="text1"/>
                      <w:lang w:eastAsia="zh-CN"/>
                      <w14:textFill>
                        <w14:solidFill>
                          <w14:schemeClr w14:val="tx1"/>
                        </w14:solidFill>
                      </w14:textFill>
                    </w:rPr>
                    <w:t>〔2019〕4号</w:t>
                  </w:r>
                  <w:r>
                    <w:rPr>
                      <w:rFonts w:cs="Times New Roman"/>
                      <w:color w:val="000000" w:themeColor="text1"/>
                      <w14:textFill>
                        <w14:solidFill>
                          <w14:schemeClr w14:val="tx1"/>
                        </w14:solidFill>
                      </w14:textFill>
                    </w:rPr>
                    <w:t>）</w:t>
                  </w:r>
                </w:p>
              </w:tc>
              <w:tc>
                <w:tcPr>
                  <w:tcW w:w="2276" w:type="pct"/>
                  <w:shd w:val="clear" w:color="auto" w:fill="auto"/>
                  <w:vAlign w:val="center"/>
                </w:tcPr>
                <w:p w14:paraId="15646739">
                  <w:pPr>
                    <w:pStyle w:val="13"/>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三、重点任务（四）加强扬尘管控，提高城市环境管理水平。强化堆场扬尘管控。工业企业堆场实施规范化全封闭管理。并采取覆盖措施有效控制扬尘污染；堆场内进行搅拌、破碎、筛分等作业时应喷水抑尘，遇重污染天气时禁止进行产生扬尘的作业。物料装卸配备喷淋等防尘措施，转运物料尽量采取封闭式皮带输送。厂区主要运输通道实施硬化并定期冲洗或湿式清扫，堆场进出口设车辆冲洗设施，运输车辆实施密闭或全覆盖，及时收集清理堆场外道路上洒落的物料。</w:t>
                  </w:r>
                </w:p>
              </w:tc>
              <w:tc>
                <w:tcPr>
                  <w:tcW w:w="1435" w:type="pct"/>
                  <w:shd w:val="clear" w:color="auto" w:fill="auto"/>
                  <w:vAlign w:val="center"/>
                </w:tcPr>
                <w:p w14:paraId="47D8B8C5">
                  <w:pPr>
                    <w:pStyle w:val="13"/>
                    <w:rPr>
                      <w:color w:val="000000" w:themeColor="text1"/>
                      <w14:textFill>
                        <w14:solidFill>
                          <w14:schemeClr w14:val="tx1"/>
                        </w14:solidFill>
                      </w14:textFill>
                    </w:rPr>
                  </w:pPr>
                  <w:r>
                    <w:rPr>
                      <w:rFonts w:hint="eastAsia"/>
                      <w:color w:val="000000" w:themeColor="text1"/>
                      <w14:textFill>
                        <w14:solidFill>
                          <w14:schemeClr w14:val="tx1"/>
                        </w14:solidFill>
                      </w14:textFill>
                    </w:rPr>
                    <w:t>本项目</w:t>
                  </w:r>
                  <w:r>
                    <w:rPr>
                      <w:rFonts w:hint="eastAsia"/>
                      <w:color w:val="000000" w:themeColor="text1"/>
                      <w:lang w:eastAsia="zh-CN"/>
                      <w14:textFill>
                        <w14:solidFill>
                          <w14:schemeClr w14:val="tx1"/>
                        </w14:solidFill>
                      </w14:textFill>
                    </w:rPr>
                    <w:t>水基岩屑堆存区</w:t>
                  </w:r>
                  <w:r>
                    <w:rPr>
                      <w:rFonts w:hint="eastAsia"/>
                      <w:color w:val="000000" w:themeColor="text1"/>
                      <w14:textFill>
                        <w14:solidFill>
                          <w14:schemeClr w14:val="tx1"/>
                        </w14:solidFill>
                      </w14:textFill>
                    </w:rPr>
                    <w:t>、水基岩屑</w:t>
                  </w:r>
                  <w:r>
                    <w:rPr>
                      <w:rFonts w:hint="eastAsia"/>
                      <w:color w:val="000000" w:themeColor="text1"/>
                      <w:lang w:val="en-US" w:eastAsia="zh-CN"/>
                      <w14:textFill>
                        <w14:solidFill>
                          <w14:schemeClr w14:val="tx1"/>
                        </w14:solidFill>
                      </w14:textFill>
                    </w:rPr>
                    <w:t>储存池</w:t>
                  </w:r>
                  <w:r>
                    <w:rPr>
                      <w:rFonts w:hint="eastAsia"/>
                      <w:color w:val="000000" w:themeColor="text1"/>
                      <w14:textFill>
                        <w14:solidFill>
                          <w14:schemeClr w14:val="tx1"/>
                        </w14:solidFill>
                      </w14:textFill>
                    </w:rPr>
                    <w:t>和砂石</w:t>
                  </w:r>
                  <w:r>
                    <w:rPr>
                      <w:rFonts w:hint="eastAsia"/>
                      <w:color w:val="000000" w:themeColor="text1"/>
                      <w:lang w:val="en-US" w:eastAsia="zh-CN"/>
                      <w14:textFill>
                        <w14:solidFill>
                          <w14:schemeClr w14:val="tx1"/>
                        </w14:solidFill>
                      </w14:textFill>
                    </w:rPr>
                    <w:t>堆放区、水泥筒仓、煅烧料仓</w:t>
                  </w:r>
                  <w:r>
                    <w:rPr>
                      <w:rFonts w:hint="eastAsia"/>
                      <w:color w:val="000000" w:themeColor="text1"/>
                      <w14:textFill>
                        <w14:solidFill>
                          <w14:schemeClr w14:val="tx1"/>
                        </w14:solidFill>
                      </w14:textFill>
                    </w:rPr>
                    <w:t>均位于厂房内，厂房起围挡作用，受风力起尘影响较小；水基岩屑</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水泥和</w:t>
                  </w:r>
                  <w:r>
                    <w:rPr>
                      <w:rFonts w:hint="eastAsia"/>
                      <w:color w:val="000000" w:themeColor="text1"/>
                      <w14:textFill>
                        <w14:solidFill>
                          <w14:schemeClr w14:val="tx1"/>
                        </w14:solidFill>
                      </w14:textFill>
                    </w:rPr>
                    <w:t>砂石在</w:t>
                  </w:r>
                  <w:r>
                    <w:rPr>
                      <w:rFonts w:hint="eastAsia"/>
                      <w:color w:val="000000" w:themeColor="text1"/>
                      <w:lang w:val="en-US" w:eastAsia="zh-CN"/>
                      <w14:textFill>
                        <w14:solidFill>
                          <w14:schemeClr w14:val="tx1"/>
                        </w14:solidFill>
                      </w14:textFill>
                    </w:rPr>
                    <w:t>使用</w:t>
                  </w:r>
                  <w:r>
                    <w:rPr>
                      <w:rFonts w:hint="eastAsia"/>
                      <w:color w:val="000000" w:themeColor="text1"/>
                      <w14:textFill>
                        <w14:solidFill>
                          <w14:schemeClr w14:val="tx1"/>
                        </w14:solidFill>
                      </w14:textFill>
                    </w:rPr>
                    <w:t>过程采用封闭式输送带输送；厂区道路已硬化；定期对车间及周边区域进行地面冲洗；在水基岩屑储存池位置设置有车辆冲洗区域；水基岩屑通过密闭车辆或罐装车辆运输至厂房内。</w:t>
                  </w:r>
                </w:p>
              </w:tc>
              <w:tc>
                <w:tcPr>
                  <w:tcW w:w="374" w:type="pct"/>
                  <w:shd w:val="clear" w:color="auto" w:fill="auto"/>
                  <w:vAlign w:val="center"/>
                </w:tcPr>
                <w:p w14:paraId="603526D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F8E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restart"/>
                  <w:shd w:val="clear" w:color="auto" w:fill="auto"/>
                  <w:vAlign w:val="center"/>
                </w:tcPr>
                <w:p w14:paraId="06DF160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《巴中市空气质量持续改善行动计划实施方案》（巴府发</w:t>
                  </w:r>
                  <w:r>
                    <w:rPr>
                      <w:rFonts w:hint="eastAsia" w:cs="Times New Roman"/>
                      <w:color w:val="000000" w:themeColor="text1"/>
                      <w:lang w:eastAsia="zh-CN"/>
                      <w14:textFill>
                        <w14:solidFill>
                          <w14:schemeClr w14:val="tx1"/>
                        </w14:solidFill>
                      </w14:textFill>
                    </w:rPr>
                    <w:t>〔2025〕1号</w:t>
                  </w:r>
                  <w:r>
                    <w:rPr>
                      <w:rFonts w:cs="Times New Roman"/>
                      <w:color w:val="000000" w:themeColor="text1"/>
                      <w14:textFill>
                        <w14:solidFill>
                          <w14:schemeClr w14:val="tx1"/>
                        </w14:solidFill>
                      </w14:textFill>
                    </w:rPr>
                    <w:t>）</w:t>
                  </w:r>
                </w:p>
              </w:tc>
              <w:tc>
                <w:tcPr>
                  <w:tcW w:w="2276" w:type="pct"/>
                  <w:shd w:val="clear" w:color="auto" w:fill="auto"/>
                  <w:vAlign w:val="center"/>
                </w:tcPr>
                <w:p w14:paraId="375DF1A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坚决遏制高耗能、高排放、低水平项目盲目上马，新（改、扩）建项目要严格落实国（省）产业规划、产业政策、生态环境分区管控、规划环评、项目环评、节能审查、产能置换、重点污染物总量控制、污染物排放区域削减、碳排放碳达峰目标等相关要求，原则上采用清洁运输方式。</w:t>
                  </w:r>
                </w:p>
              </w:tc>
              <w:tc>
                <w:tcPr>
                  <w:tcW w:w="1435" w:type="pct"/>
                  <w:shd w:val="clear" w:color="auto" w:fill="auto"/>
                  <w:vAlign w:val="center"/>
                </w:tcPr>
                <w:p w14:paraId="2A0D447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本项目不属于高耗能、高排放、低水平项目，项目符合产业规划、产业政策、生态环境分区管控、规划环评等相关要求。</w:t>
                  </w:r>
                </w:p>
              </w:tc>
              <w:tc>
                <w:tcPr>
                  <w:tcW w:w="374" w:type="pct"/>
                  <w:shd w:val="clear" w:color="auto" w:fill="auto"/>
                  <w:vAlign w:val="center"/>
                </w:tcPr>
                <w:p w14:paraId="5A08D2D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C6D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2E5DC4E1">
                  <w:pPr>
                    <w:pStyle w:val="13"/>
                    <w:rPr>
                      <w:rFonts w:cs="Times New Roman"/>
                      <w:color w:val="000000" w:themeColor="text1"/>
                      <w14:textFill>
                        <w14:solidFill>
                          <w14:schemeClr w14:val="tx1"/>
                        </w14:solidFill>
                      </w14:textFill>
                    </w:rPr>
                  </w:pPr>
                </w:p>
              </w:tc>
              <w:tc>
                <w:tcPr>
                  <w:tcW w:w="2276" w:type="pct"/>
                  <w:shd w:val="clear" w:color="auto" w:fill="auto"/>
                  <w:vAlign w:val="center"/>
                </w:tcPr>
                <w:p w14:paraId="5E56A97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快重点行业落后产能淘汰。严格执行《产业结构调整指导目录（2024年本）》，制定实施年度落后产能退出工作方案，依法依规推动落后产能退出，支持限制类涉气行业工艺装备通过等量或减量置换退出或进行深度治理、超低排放改造。</w:t>
                  </w:r>
                </w:p>
              </w:tc>
              <w:tc>
                <w:tcPr>
                  <w:tcW w:w="1435" w:type="pct"/>
                  <w:shd w:val="clear" w:color="auto" w:fill="auto"/>
                  <w:vAlign w:val="center"/>
                </w:tcPr>
                <w:p w14:paraId="3DB0A0E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本项目对照《产业结构调整指导目录（2024年本）》，属</w:t>
                  </w:r>
                  <w:r>
                    <w:rPr>
                      <w:rFonts w:hint="eastAsia" w:cs="Times New Roman"/>
                      <w:color w:val="000000" w:themeColor="text1"/>
                      <w14:textFill>
                        <w14:solidFill>
                          <w14:schemeClr w14:val="tx1"/>
                        </w14:solidFill>
                      </w14:textFill>
                    </w:rPr>
                    <w:t>鼓励</w:t>
                  </w:r>
                  <w:r>
                    <w:rPr>
                      <w:rFonts w:cs="Times New Roman"/>
                      <w:color w:val="000000" w:themeColor="text1"/>
                      <w14:textFill>
                        <w14:solidFill>
                          <w14:schemeClr w14:val="tx1"/>
                        </w14:solidFill>
                      </w14:textFill>
                    </w:rPr>
                    <w:t>类项目。</w:t>
                  </w:r>
                </w:p>
              </w:tc>
              <w:tc>
                <w:tcPr>
                  <w:tcW w:w="374" w:type="pct"/>
                  <w:shd w:val="clear" w:color="auto" w:fill="auto"/>
                  <w:vAlign w:val="center"/>
                </w:tcPr>
                <w:p w14:paraId="3C1AD51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43F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345A4E28">
                  <w:pPr>
                    <w:pStyle w:val="13"/>
                    <w:rPr>
                      <w:rFonts w:cs="Times New Roman"/>
                      <w:color w:val="000000" w:themeColor="text1"/>
                      <w14:textFill>
                        <w14:solidFill>
                          <w14:schemeClr w14:val="tx1"/>
                        </w14:solidFill>
                      </w14:textFill>
                    </w:rPr>
                  </w:pPr>
                </w:p>
              </w:tc>
              <w:tc>
                <w:tcPr>
                  <w:tcW w:w="2276" w:type="pct"/>
                  <w:shd w:val="clear" w:color="auto" w:fill="auto"/>
                  <w:vAlign w:val="center"/>
                </w:tcPr>
                <w:p w14:paraId="0775189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大力推进工业炉窑清洁化改造。有序推进以电代煤，积极稳妥推进以气代煤。巴州区、恩阳区、巴中经开区原则上不再新增燃料类煤气发生炉，现有的煤气发生炉逐步实行清洁能源替代，或因地制宜采取园区（集群）集中供气、分散使用方式。新（改、扩）建加热炉、热处理炉、干燥炉、熔化炉原则上采用清洁低碳能源。</w:t>
                  </w:r>
                </w:p>
              </w:tc>
              <w:tc>
                <w:tcPr>
                  <w:tcW w:w="1435" w:type="pct"/>
                  <w:shd w:val="clear" w:color="auto" w:fill="auto"/>
                  <w:vAlign w:val="center"/>
                </w:tcPr>
                <w:p w14:paraId="323C49D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eastAsia="zh-CN"/>
                      <w14:textFill>
                        <w14:solidFill>
                          <w14:schemeClr w14:val="tx1"/>
                        </w14:solidFill>
                      </w14:textFill>
                    </w:rPr>
                    <w:t>煅烧</w:t>
                  </w:r>
                  <w:r>
                    <w:rPr>
                      <w:rFonts w:hint="eastAsia" w:cs="Times New Roman"/>
                      <w:color w:val="000000" w:themeColor="text1"/>
                      <w:lang w:val="en-US" w:eastAsia="zh-CN"/>
                      <w14:textFill>
                        <w14:solidFill>
                          <w14:schemeClr w14:val="tx1"/>
                        </w14:solidFill>
                      </w14:textFill>
                    </w:rPr>
                    <w:t>回转窑</w:t>
                  </w:r>
                  <w:r>
                    <w:rPr>
                      <w:rFonts w:cs="Times New Roman"/>
                      <w:color w:val="000000" w:themeColor="text1"/>
                      <w14:textFill>
                        <w14:solidFill>
                          <w14:schemeClr w14:val="tx1"/>
                        </w14:solidFill>
                      </w14:textFill>
                    </w:rPr>
                    <w:t>采用天然气为燃料，属清洁能源。</w:t>
                  </w:r>
                </w:p>
              </w:tc>
              <w:tc>
                <w:tcPr>
                  <w:tcW w:w="374" w:type="pct"/>
                  <w:shd w:val="clear" w:color="auto" w:fill="auto"/>
                  <w:vAlign w:val="center"/>
                </w:tcPr>
                <w:p w14:paraId="4DE8BA4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37F6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4" w:type="pct"/>
                  <w:vMerge w:val="continue"/>
                  <w:shd w:val="clear" w:color="auto" w:fill="auto"/>
                  <w:vAlign w:val="center"/>
                </w:tcPr>
                <w:p w14:paraId="15DADFDB">
                  <w:pPr>
                    <w:pStyle w:val="13"/>
                    <w:rPr>
                      <w:rFonts w:cs="Times New Roman"/>
                      <w:color w:val="000000" w:themeColor="text1"/>
                      <w14:textFill>
                        <w14:solidFill>
                          <w14:schemeClr w14:val="tx1"/>
                        </w14:solidFill>
                      </w14:textFill>
                    </w:rPr>
                  </w:pPr>
                </w:p>
              </w:tc>
              <w:tc>
                <w:tcPr>
                  <w:tcW w:w="2276" w:type="pct"/>
                  <w:shd w:val="clear" w:color="auto" w:fill="auto"/>
                  <w:vAlign w:val="center"/>
                </w:tcPr>
                <w:p w14:paraId="08CA8A9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深化扬尘污染综合治理。严格落实《四川省建筑工程施工扬尘防治标准》要求，推行绿色标杆工地创建，建设用地面积5000平方米及以上且施工周期6个月及以上的建筑工地安装视频监控并接入监管平台。</w:t>
                  </w:r>
                </w:p>
              </w:tc>
              <w:tc>
                <w:tcPr>
                  <w:tcW w:w="1435" w:type="pct"/>
                  <w:shd w:val="clear" w:color="auto" w:fill="auto"/>
                  <w:vAlign w:val="center"/>
                </w:tcPr>
                <w:p w14:paraId="5D334E8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本项目租用已建成厂房建设，施工期较短（6个月），施工期严格落实本次评价提出的扬尘控制措施，文明施工，绿色施工。</w:t>
                  </w:r>
                </w:p>
              </w:tc>
              <w:tc>
                <w:tcPr>
                  <w:tcW w:w="374" w:type="pct"/>
                  <w:shd w:val="clear" w:color="auto" w:fill="auto"/>
                  <w:vAlign w:val="center"/>
                </w:tcPr>
                <w:p w14:paraId="1459113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57C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2C964833">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《巴中市扬尘污染防治条例》</w:t>
                  </w:r>
                </w:p>
              </w:tc>
              <w:tc>
                <w:tcPr>
                  <w:tcW w:w="2276" w:type="pct"/>
                  <w:shd w:val="clear" w:color="auto" w:fill="auto"/>
                  <w:vAlign w:val="center"/>
                </w:tcPr>
                <w:p w14:paraId="1C5C8CBE">
                  <w:pPr>
                    <w:pStyle w:val="13"/>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第三十二条工业生产企业在物料堆存、传输、装卸等环节，应当按照法律法规和其他规定采取密闭、围挡、遮盖、清扫、洒水等防尘措施，符合工业物料堆场有关技术规范。易产生粉尘的工业生产企业，应当配套建设粉尘收集处理设施，鼓励采用先进的清洁生产工艺，减少粉尘排放。</w:t>
                  </w:r>
                </w:p>
              </w:tc>
              <w:tc>
                <w:tcPr>
                  <w:tcW w:w="1435" w:type="pct"/>
                  <w:shd w:val="clear" w:color="auto" w:fill="auto"/>
                  <w:vAlign w:val="center"/>
                </w:tcPr>
                <w:p w14:paraId="2590220D">
                  <w:pPr>
                    <w:pStyle w:val="13"/>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原料堆存在密闭车间内；</w:t>
                  </w:r>
                  <w:r>
                    <w:rPr>
                      <w:rFonts w:hint="eastAsia" w:cs="Times New Roman"/>
                      <w:color w:val="000000" w:themeColor="text1"/>
                      <w:lang w:val="en-US" w:eastAsia="zh-CN"/>
                      <w14:textFill>
                        <w14:solidFill>
                          <w14:schemeClr w14:val="tx1"/>
                        </w14:solidFill>
                      </w14:textFill>
                    </w:rPr>
                    <w:t>成品堆存设置三面围挡+顶棚+洒水等防尘措施；</w:t>
                  </w:r>
                  <w:r>
                    <w:rPr>
                      <w:rFonts w:hint="eastAsia" w:cs="Times New Roman"/>
                      <w:color w:val="000000" w:themeColor="text1"/>
                      <w14:textFill>
                        <w14:solidFill>
                          <w14:schemeClr w14:val="tx1"/>
                        </w14:solidFill>
                      </w14:textFill>
                    </w:rPr>
                    <w:t>运输过程采用密闭传送带，生产过程各环节产生的粉尘均有效收集处理；设置洗车区对车辆轮胎进行冲洗；厂内道路硬化，定期清扫和洒水降尘。</w:t>
                  </w:r>
                </w:p>
              </w:tc>
              <w:tc>
                <w:tcPr>
                  <w:tcW w:w="374" w:type="pct"/>
                  <w:shd w:val="clear" w:color="auto" w:fill="auto"/>
                  <w:vAlign w:val="center"/>
                </w:tcPr>
                <w:p w14:paraId="25771C13">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bl>
          <w:p w14:paraId="52F63ACA">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综上所述，本项目符合大气污染防治相关的法规、规范要求。</w:t>
            </w:r>
          </w:p>
          <w:p w14:paraId="2A5FB795">
            <w:pPr>
              <w:pStyle w:val="4"/>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、与水污染防治相关要求符合性分析</w:t>
            </w:r>
          </w:p>
          <w:p w14:paraId="03BB809C">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8</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项目与水污染防治相关要求符合性分析</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8"/>
              <w:gridCol w:w="4706"/>
              <w:gridCol w:w="2363"/>
              <w:gridCol w:w="703"/>
            </w:tblGrid>
            <w:tr w14:paraId="6D65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shd w:val="clear" w:color="auto" w:fill="auto"/>
                  <w:vAlign w:val="center"/>
                </w:tcPr>
                <w:p w14:paraId="28803DC8">
                  <w:pPr>
                    <w:pStyle w:val="51"/>
                    <w:rPr>
                      <w:rFonts w:cs="Times New Roman"/>
                      <w:color w:val="000000" w:themeColor="text1"/>
                      <w14:textFill>
                        <w14:solidFill>
                          <w14:schemeClr w14:val="tx1"/>
                        </w14:solidFill>
                      </w14:textFill>
                    </w:rPr>
                  </w:pPr>
                  <w:bookmarkStart w:id="26" w:name="_Hlk206146367"/>
                  <w:r>
                    <w:rPr>
                      <w:rFonts w:cs="Times New Roman"/>
                      <w:color w:val="000000" w:themeColor="text1"/>
                      <w14:textFill>
                        <w14:solidFill>
                          <w14:schemeClr w14:val="tx1"/>
                        </w14:solidFill>
                      </w14:textFill>
                    </w:rPr>
                    <w:t>规划名称</w:t>
                  </w:r>
                </w:p>
              </w:tc>
              <w:tc>
                <w:tcPr>
                  <w:tcW w:w="2664" w:type="pct"/>
                  <w:shd w:val="clear" w:color="auto" w:fill="auto"/>
                  <w:vAlign w:val="center"/>
                </w:tcPr>
                <w:p w14:paraId="5ACEFABF">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内容</w:t>
                  </w:r>
                </w:p>
              </w:tc>
              <w:tc>
                <w:tcPr>
                  <w:tcW w:w="1338" w:type="pct"/>
                  <w:shd w:val="clear" w:color="auto" w:fill="auto"/>
                  <w:vAlign w:val="center"/>
                </w:tcPr>
                <w:p w14:paraId="51764A1A">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398" w:type="pct"/>
                  <w:shd w:val="clear" w:color="auto" w:fill="auto"/>
                  <w:vAlign w:val="center"/>
                </w:tcPr>
                <w:p w14:paraId="4205A3AF">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bookmarkEnd w:id="26"/>
            <w:tr w14:paraId="7518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shd w:val="clear" w:color="auto" w:fill="auto"/>
                  <w:vAlign w:val="center"/>
                </w:tcPr>
                <w:p w14:paraId="7C930FF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《〈水污染防治行动计划〉四川省工作方案》</w:t>
                  </w:r>
                </w:p>
                <w:p w14:paraId="30D7CF5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（川府发59号）</w:t>
                  </w:r>
                </w:p>
              </w:tc>
              <w:tc>
                <w:tcPr>
                  <w:tcW w:w="2664" w:type="pct"/>
                  <w:shd w:val="clear" w:color="auto" w:fill="auto"/>
                  <w:vAlign w:val="center"/>
                </w:tcPr>
                <w:p w14:paraId="623941F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（一）狠抓工业污染防治</w:t>
                  </w:r>
                </w:p>
                <w:p w14:paraId="49A3D3D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2.专项整</w:t>
                  </w:r>
                  <w:r>
                    <w:rPr>
                      <w:rFonts w:hint="eastAsia" w:ascii="宋体" w:hAnsi="宋体" w:eastAsia="宋体" w:cs="宋体"/>
                      <w:color w:val="000000" w:themeColor="text1"/>
                      <w14:textFill>
                        <w14:solidFill>
                          <w14:schemeClr w14:val="tx1"/>
                        </w14:solidFill>
                      </w14:textFill>
                    </w:rPr>
                    <w:t>治“</w:t>
                  </w:r>
                  <w:r>
                    <w:rPr>
                      <w:rFonts w:hint="default" w:ascii="Times New Roman" w:hAnsi="Times New Roman" w:eastAsia="宋体" w:cs="Times New Roman"/>
                      <w:color w:val="000000" w:themeColor="text1"/>
                      <w14:textFill>
                        <w14:solidFill>
                          <w14:schemeClr w14:val="tx1"/>
                        </w14:solidFill>
                      </w14:textFill>
                    </w:rPr>
                    <w:t>10+1</w:t>
                  </w:r>
                  <w:r>
                    <w:rPr>
                      <w:rFonts w:hint="eastAsia" w:ascii="宋体" w:hAnsi="宋体" w:eastAsia="宋体" w:cs="宋体"/>
                      <w:color w:val="000000" w:themeColor="text1"/>
                      <w14:textFill>
                        <w14:solidFill>
                          <w14:schemeClr w14:val="tx1"/>
                        </w14:solidFill>
                      </w14:textFill>
                    </w:rPr>
                    <w:t>”重</w:t>
                  </w:r>
                  <w:r>
                    <w:rPr>
                      <w:rFonts w:cs="Times New Roman"/>
                      <w:color w:val="000000" w:themeColor="text1"/>
                      <w14:textFill>
                        <w14:solidFill>
                          <w14:schemeClr w14:val="tx1"/>
                        </w14:solidFill>
                      </w14:textFill>
                    </w:rPr>
                    <w:t>点行业。环境保护、经济和信息化部门联合制定造纸、焦化、氮肥、有色金属、印染、农副食品加工、原料药制造、制革、农药、电镀和磷化工等行业专项治理方案并组织实施；新建、改建、扩建上述行业的建设项目执行氨氮、化学需氧量等量或减量置换。</w:t>
                  </w:r>
                </w:p>
                <w:p w14:paraId="2D03447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（五）调整产业结构</w:t>
                  </w:r>
                </w:p>
                <w:p w14:paraId="71663CC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17.严格环境准入。环境保护部门按照流域水质目标、区域功能划分、容量总量核</w:t>
                  </w:r>
                  <w:r>
                    <w:rPr>
                      <w:rFonts w:hint="eastAsia" w:ascii="宋体" w:hAnsi="宋体" w:eastAsia="宋体" w:cs="宋体"/>
                      <w:color w:val="000000" w:themeColor="text1"/>
                      <w14:textFill>
                        <w14:solidFill>
                          <w14:schemeClr w14:val="tx1"/>
                        </w14:solidFill>
                      </w14:textFill>
                    </w:rPr>
                    <w:t>定的“三位一体”</w:t>
                  </w:r>
                  <w:r>
                    <w:rPr>
                      <w:rFonts w:cs="Times New Roman"/>
                      <w:color w:val="000000" w:themeColor="text1"/>
                      <w14:textFill>
                        <w14:solidFill>
                          <w14:schemeClr w14:val="tx1"/>
                        </w14:solidFill>
                      </w14:textFill>
                    </w:rPr>
                    <w:t>环境准入要求，进一步细化准入条件，严格准入标准，强化分类指导；执行规划环境影响评价、项目环境影响评价以及流域、区域水环境质量和水污染物减排绩效挂钩制度；逐步建立水环境承载能力监测评价体系，对已超过水环境承载能力的地方，由各地制定并组织实施水环境质量达标方案。</w:t>
                  </w:r>
                </w:p>
              </w:tc>
              <w:tc>
                <w:tcPr>
                  <w:tcW w:w="1338" w:type="pct"/>
                  <w:shd w:val="clear" w:color="auto" w:fill="auto"/>
                  <w:vAlign w:val="center"/>
                </w:tcPr>
                <w:p w14:paraId="7A369D4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w:t>
                  </w:r>
                  <w:r>
                    <w:rPr>
                      <w:rFonts w:hint="eastAsia" w:ascii="宋体" w:hAnsi="宋体" w:eastAsia="宋体" w:cs="宋体"/>
                      <w:color w:val="000000" w:themeColor="text1"/>
                      <w14:textFill>
                        <w14:solidFill>
                          <w14:schemeClr w14:val="tx1"/>
                        </w14:solidFill>
                      </w14:textFill>
                    </w:rPr>
                    <w:t>于“</w:t>
                  </w:r>
                  <w:r>
                    <w:rPr>
                      <w:rFonts w:hint="default" w:ascii="Times New Roman" w:hAnsi="Times New Roman" w:cs="Times New Roman"/>
                      <w:color w:val="000000" w:themeColor="text1"/>
                      <w:lang w:val="en-US" w:eastAsia="zh-CN"/>
                      <w14:textFill>
                        <w14:solidFill>
                          <w14:schemeClr w14:val="tx1"/>
                        </w14:solidFill>
                      </w14:textFill>
                    </w:rPr>
                    <w:t>10+1</w:t>
                  </w:r>
                  <w:r>
                    <w:rPr>
                      <w:rFonts w:hint="eastAsia" w:ascii="宋体" w:hAnsi="宋体" w:eastAsia="宋体" w:cs="宋体"/>
                      <w:color w:val="000000" w:themeColor="text1"/>
                      <w14:textFill>
                        <w14:solidFill>
                          <w14:schemeClr w14:val="tx1"/>
                        </w14:solidFill>
                      </w14:textFill>
                    </w:rPr>
                    <w:t>”重点行业</w:t>
                  </w:r>
                  <w:r>
                    <w:rPr>
                      <w:rFonts w:cs="Times New Roman"/>
                      <w:color w:val="000000" w:themeColor="text1"/>
                      <w14:textFill>
                        <w14:solidFill>
                          <w14:schemeClr w14:val="tx1"/>
                        </w14:solidFill>
                      </w14:textFill>
                    </w:rPr>
                    <w:t>，所在区域地表水环境达标。</w:t>
                  </w:r>
                </w:p>
              </w:tc>
              <w:tc>
                <w:tcPr>
                  <w:tcW w:w="398" w:type="pct"/>
                  <w:shd w:val="clear" w:color="auto" w:fill="auto"/>
                  <w:vAlign w:val="center"/>
                </w:tcPr>
                <w:p w14:paraId="1C3D41F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049A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599" w:type="pct"/>
                  <w:vMerge w:val="restart"/>
                  <w:shd w:val="clear" w:color="auto" w:fill="auto"/>
                  <w:vAlign w:val="center"/>
                </w:tcPr>
                <w:p w14:paraId="6183843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《四川省打赢碧水保卫战实施方案》（川府发〔2019〕4 号）</w:t>
                  </w:r>
                </w:p>
              </w:tc>
              <w:tc>
                <w:tcPr>
                  <w:tcW w:w="2664" w:type="pct"/>
                  <w:shd w:val="clear" w:color="auto" w:fill="auto"/>
                  <w:vAlign w:val="center"/>
                </w:tcPr>
                <w:p w14:paraId="0D73F2A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实施园区工业废水达标整治。在处理设施建成前，依托生活污水处理厂、一体化应急设备全面处理工业废水，确保达标排放；处理设施建成后，加强运行维护，确保设施稳定运行。</w:t>
                  </w:r>
                </w:p>
              </w:tc>
              <w:tc>
                <w:tcPr>
                  <w:tcW w:w="1338" w:type="pct"/>
                  <w:shd w:val="clear" w:color="auto" w:fill="auto"/>
                  <w:vAlign w:val="center"/>
                </w:tcPr>
                <w:p w14:paraId="3430746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仅外排生活污水，</w:t>
                  </w:r>
                  <w:r>
                    <w:rPr>
                      <w:rFonts w:cs="Times New Roman"/>
                      <w:color w:val="000000" w:themeColor="text1"/>
                      <w14:textFill>
                        <w14:solidFill>
                          <w14:schemeClr w14:val="tx1"/>
                        </w14:solidFill>
                      </w14:textFill>
                    </w:rPr>
                    <w:t>经预处理后排入市政污水管网，送至</w:t>
                  </w:r>
                  <w:r>
                    <w:rPr>
                      <w:rFonts w:hint="eastAsia" w:cs="Times New Roman"/>
                      <w:color w:val="000000" w:themeColor="text1"/>
                      <w14:textFill>
                        <w14:solidFill>
                          <w14:schemeClr w14:val="tx1"/>
                        </w14:solidFill>
                      </w14:textFill>
                    </w:rPr>
                    <w:t>园区</w:t>
                  </w:r>
                  <w:r>
                    <w:rPr>
                      <w:rFonts w:cs="Times New Roman"/>
                      <w:color w:val="000000" w:themeColor="text1"/>
                      <w14:textFill>
                        <w14:solidFill>
                          <w14:schemeClr w14:val="tx1"/>
                        </w14:solidFill>
                      </w14:textFill>
                    </w:rPr>
                    <w:t>污水处理厂进一步处理后达标排放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生产废水部分回用于生产，其余部分委托有资质单位清运处理</w:t>
                  </w:r>
                  <w:r>
                    <w:rPr>
                      <w:rFonts w:cs="Times New Roman"/>
                      <w:color w:val="000000" w:themeColor="text1"/>
                      <w14:textFill>
                        <w14:solidFill>
                          <w14:schemeClr w14:val="tx1"/>
                        </w14:solidFill>
                      </w14:textFill>
                    </w:rPr>
                    <w:t>。</w:t>
                  </w:r>
                </w:p>
              </w:tc>
              <w:tc>
                <w:tcPr>
                  <w:tcW w:w="398" w:type="pct"/>
                  <w:shd w:val="clear" w:color="auto" w:fill="auto"/>
                  <w:vAlign w:val="center"/>
                </w:tcPr>
                <w:p w14:paraId="41EEE37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55FA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vMerge w:val="continue"/>
                  <w:shd w:val="clear" w:color="auto" w:fill="auto"/>
                  <w:vAlign w:val="center"/>
                </w:tcPr>
                <w:p w14:paraId="43F5941D">
                  <w:pPr>
                    <w:pStyle w:val="13"/>
                    <w:rPr>
                      <w:rFonts w:cs="Times New Roman"/>
                      <w:color w:val="000000" w:themeColor="text1"/>
                      <w14:textFill>
                        <w14:solidFill>
                          <w14:schemeClr w14:val="tx1"/>
                        </w14:solidFill>
                      </w14:textFill>
                    </w:rPr>
                  </w:pPr>
                </w:p>
              </w:tc>
              <w:tc>
                <w:tcPr>
                  <w:tcW w:w="2664" w:type="pct"/>
                  <w:shd w:val="clear" w:color="auto" w:fill="auto"/>
                  <w:vAlign w:val="center"/>
                </w:tcPr>
                <w:p w14:paraId="3F40006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减少工业废水排放量。减少重点行业工业企业废水排放量。指导钢铁、印染、造纸、石油化工、化工、制革等高耗水企业废水深度处理回收利用。</w:t>
                  </w:r>
                </w:p>
              </w:tc>
              <w:tc>
                <w:tcPr>
                  <w:tcW w:w="1338" w:type="pct"/>
                  <w:shd w:val="clear" w:color="auto" w:fill="auto"/>
                  <w:vAlign w:val="center"/>
                </w:tcPr>
                <w:p w14:paraId="155CC13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本项目不属于高耗水项目，项目生产过程中对可利用的循环水进行了全部利用，有效减少了用水量和排水量。</w:t>
                  </w:r>
                </w:p>
              </w:tc>
              <w:tc>
                <w:tcPr>
                  <w:tcW w:w="398" w:type="pct"/>
                  <w:shd w:val="clear" w:color="auto" w:fill="auto"/>
                  <w:vAlign w:val="center"/>
                </w:tcPr>
                <w:p w14:paraId="226D4B9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bl>
          <w:p w14:paraId="161273C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综上分析，本项目建设与</w:t>
            </w:r>
            <w:r>
              <w:rPr>
                <w:rFonts w:hint="eastAsia" w:cs="Times New Roman"/>
                <w:color w:val="000000" w:themeColor="text1"/>
                <w14:textFill>
                  <w14:solidFill>
                    <w14:schemeClr w14:val="tx1"/>
                  </w14:solidFill>
                </w14:textFill>
              </w:rPr>
              <w:t>水污染防治</w:t>
            </w:r>
            <w:r>
              <w:rPr>
                <w:rFonts w:cs="Times New Roman"/>
                <w:color w:val="000000" w:themeColor="text1"/>
                <w14:textFill>
                  <w14:solidFill>
                    <w14:schemeClr w14:val="tx1"/>
                  </w14:solidFill>
                </w14:textFill>
              </w:rPr>
              <w:t>相关政策要求相符。</w:t>
            </w:r>
          </w:p>
          <w:p w14:paraId="2457DC51">
            <w:pPr>
              <w:pStyle w:val="4"/>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、项目与土壤污染防治相关要求符合性分析</w:t>
            </w:r>
          </w:p>
          <w:p w14:paraId="65621F07">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9</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项目与土壤污染防治相关要求符合性分析</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4912"/>
              <w:gridCol w:w="1922"/>
              <w:gridCol w:w="915"/>
            </w:tblGrid>
            <w:tr w14:paraId="35FA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2" w:type="pct"/>
                  <w:shd w:val="clear" w:color="auto" w:fill="auto"/>
                  <w:vAlign w:val="center"/>
                </w:tcPr>
                <w:p w14:paraId="21852521">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规划名称</w:t>
                  </w:r>
                </w:p>
              </w:tc>
              <w:tc>
                <w:tcPr>
                  <w:tcW w:w="2781" w:type="pct"/>
                  <w:shd w:val="clear" w:color="auto" w:fill="auto"/>
                  <w:vAlign w:val="center"/>
                </w:tcPr>
                <w:p w14:paraId="0BEE199D">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内容</w:t>
                  </w:r>
                </w:p>
              </w:tc>
              <w:tc>
                <w:tcPr>
                  <w:tcW w:w="1088" w:type="pct"/>
                  <w:shd w:val="clear" w:color="auto" w:fill="auto"/>
                  <w:vAlign w:val="center"/>
                </w:tcPr>
                <w:p w14:paraId="48595F7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518" w:type="pct"/>
                  <w:shd w:val="clear" w:color="auto" w:fill="auto"/>
                  <w:vAlign w:val="center"/>
                </w:tcPr>
                <w:p w14:paraId="27B06AB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0432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2" w:type="pct"/>
                  <w:vMerge w:val="restart"/>
                  <w:shd w:val="clear" w:color="auto" w:fill="auto"/>
                  <w:vAlign w:val="center"/>
                </w:tcPr>
                <w:p w14:paraId="31285E7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《土壤污染防治行动计划四川省工作方案》（川府发〔</w:t>
                  </w:r>
                  <w:r>
                    <w:rPr>
                      <w:rFonts w:eastAsia="TimesNewRomanPSMT" w:cs="Times New Roman"/>
                      <w:color w:val="000000" w:themeColor="text1"/>
                      <w14:textFill>
                        <w14:solidFill>
                          <w14:schemeClr w14:val="tx1"/>
                        </w14:solidFill>
                      </w14:textFill>
                    </w:rPr>
                    <w:t>2016</w:t>
                  </w:r>
                  <w:r>
                    <w:rPr>
                      <w:rFonts w:cs="Times New Roman"/>
                      <w:color w:val="000000" w:themeColor="text1"/>
                      <w14:textFill>
                        <w14:solidFill>
                          <w14:schemeClr w14:val="tx1"/>
                        </w14:solidFill>
                      </w14:textFill>
                    </w:rPr>
                    <w:t>〕</w:t>
                  </w:r>
                  <w:r>
                    <w:rPr>
                      <w:rFonts w:eastAsia="TimesNewRomanPSMT" w:cs="Times New Roman"/>
                      <w:color w:val="000000" w:themeColor="text1"/>
                      <w14:textFill>
                        <w14:solidFill>
                          <w14:schemeClr w14:val="tx1"/>
                        </w14:solidFill>
                      </w14:textFill>
                    </w:rPr>
                    <w:t>63</w:t>
                  </w:r>
                  <w:r>
                    <w:rPr>
                      <w:rFonts w:cs="Times New Roman"/>
                      <w:color w:val="000000" w:themeColor="text1"/>
                      <w14:textFill>
                        <w14:solidFill>
                          <w14:schemeClr w14:val="tx1"/>
                        </w14:solidFill>
                      </w14:textFill>
                    </w:rPr>
                    <w:t>号）</w:t>
                  </w:r>
                </w:p>
              </w:tc>
              <w:tc>
                <w:tcPr>
                  <w:tcW w:w="2781" w:type="pct"/>
                  <w:shd w:val="clear" w:color="auto" w:fill="auto"/>
                  <w:vAlign w:val="center"/>
                </w:tcPr>
                <w:p w14:paraId="42BA4DAE">
                  <w:pPr>
                    <w:pStyle w:val="13"/>
                    <w:rPr>
                      <w:rFonts w:eastAsia="TimesNewRomanPSMT"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八）切实加大保护力度。严格保护优先保护类耕地，将符合条件的划为永久基本农田，并落地到户上图入库，实行严格保护，确保面积不减少、土壤环境质量不下降，除法律规定的重点建设项目选址确实无法避让外，其他任何建设不得占用。</w:t>
                  </w:r>
                </w:p>
                <w:p w14:paraId="74BC033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严格控制在优先保护类耕地集中区域新建有色金属矿采选、有色金属冶炼、石油加工、化工、焦化、电镀、制革、天然（页岩）气开采、铅蓄电池、汽车制造、农药、危废处置、电子拆解、涉重等行业企业。</w:t>
                  </w:r>
                </w:p>
              </w:tc>
              <w:tc>
                <w:tcPr>
                  <w:tcW w:w="1088" w:type="pct"/>
                  <w:shd w:val="clear" w:color="auto" w:fill="auto"/>
                  <w:vAlign w:val="center"/>
                </w:tcPr>
                <w:p w14:paraId="6BD36F73">
                  <w:pPr>
                    <w:pStyle w:val="13"/>
                    <w:rPr>
                      <w:rFonts w:cs="Times New Roman"/>
                      <w:color w:val="000000" w:themeColor="text1"/>
                      <w14:textFill>
                        <w14:solidFill>
                          <w14:schemeClr w14:val="tx1"/>
                        </w14:solidFill>
                      </w14:textFill>
                    </w:rPr>
                  </w:pPr>
                  <w:bookmarkStart w:id="27" w:name="OLE_LINK29"/>
                  <w:r>
                    <w:rPr>
                      <w:rFonts w:cs="Times New Roman"/>
                      <w:color w:val="000000" w:themeColor="text1"/>
                      <w14:textFill>
                        <w14:solidFill>
                          <w14:schemeClr w14:val="tx1"/>
                        </w14:solidFill>
                      </w14:textFill>
                    </w:rPr>
                    <w:t>本项目位于</w:t>
                  </w:r>
                  <w:r>
                    <w:rPr>
                      <w:rFonts w:hint="eastAsia" w:cs="Times New Roman"/>
                      <w:color w:val="000000" w:themeColor="text1"/>
                      <w14:textFill>
                        <w14:solidFill>
                          <w14:schemeClr w14:val="tx1"/>
                        </w14:solidFill>
                      </w14:textFill>
                    </w:rPr>
                    <w:t>四川平昌经济开发区内</w:t>
                  </w:r>
                  <w:r>
                    <w:rPr>
                      <w:rFonts w:cs="Times New Roman"/>
                      <w:color w:val="000000" w:themeColor="text1"/>
                      <w14:textFill>
                        <w14:solidFill>
                          <w14:schemeClr w14:val="tx1"/>
                        </w14:solidFill>
                      </w14:textFill>
                    </w:rPr>
                    <w:t>，用地为工业用地，不占用耕地。</w:t>
                  </w:r>
                  <w:bookmarkEnd w:id="27"/>
                </w:p>
              </w:tc>
              <w:tc>
                <w:tcPr>
                  <w:tcW w:w="518" w:type="pct"/>
                  <w:shd w:val="clear" w:color="auto" w:fill="auto"/>
                  <w:vAlign w:val="center"/>
                </w:tcPr>
                <w:p w14:paraId="29678A5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0F23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2" w:type="pct"/>
                  <w:vMerge w:val="continue"/>
                  <w:shd w:val="clear" w:color="auto" w:fill="auto"/>
                  <w:vAlign w:val="center"/>
                </w:tcPr>
                <w:p w14:paraId="2BC60B3B">
                  <w:pPr>
                    <w:pStyle w:val="13"/>
                    <w:rPr>
                      <w:rFonts w:cs="Times New Roman"/>
                      <w:color w:val="000000" w:themeColor="text1"/>
                      <w14:textFill>
                        <w14:solidFill>
                          <w14:schemeClr w14:val="tx1"/>
                        </w14:solidFill>
                      </w14:textFill>
                    </w:rPr>
                  </w:pPr>
                </w:p>
              </w:tc>
              <w:tc>
                <w:tcPr>
                  <w:tcW w:w="2781" w:type="pct"/>
                  <w:shd w:val="clear" w:color="auto" w:fill="auto"/>
                  <w:vAlign w:val="center"/>
                </w:tcPr>
                <w:p w14:paraId="67A9AAC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十一）加强工业废物处理处置。全面整治尾矿、煤矸石、工业副产石膏、粉煤灰、赤泥、冶炼渣、电石渣、铬渣、砷渣以及脱硫、脱硝、除尘产生固体废物的堆存场所，完善防扬散、防流失、防渗漏等设施，相关县（市、区）政府要制定综合整治方案并有序实施。加强工业固体废物综合利用。对全省电子废物、废轮胎、废塑料等再生利用活动进行清理整顿，引导有关企业采用先进适用加工工艺、集聚发展，集中建设和运营污染治理设施，防止污染土壤和地下水。</w:t>
                  </w:r>
                </w:p>
              </w:tc>
              <w:tc>
                <w:tcPr>
                  <w:tcW w:w="1088" w:type="pct"/>
                  <w:shd w:val="clear" w:color="auto" w:fill="auto"/>
                  <w:vAlign w:val="center"/>
                </w:tcPr>
                <w:p w14:paraId="730A688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14:textFill>
                        <w14:solidFill>
                          <w14:schemeClr w14:val="tx1"/>
                        </w14:solidFill>
                      </w14:textFill>
                    </w:rPr>
                    <w:t>原料堆放场所设置</w:t>
                  </w:r>
                  <w:r>
                    <w:rPr>
                      <w:rFonts w:hint="eastAsia" w:cs="Times New Roman"/>
                      <w:color w:val="000000" w:themeColor="text1"/>
                      <w:lang w:eastAsia="zh-CN"/>
                      <w14:textFill>
                        <w14:solidFill>
                          <w14:schemeClr w14:val="tx1"/>
                        </w14:solidFill>
                      </w14:textFill>
                    </w:rPr>
                    <w:t>防</w:t>
                  </w:r>
                  <w:r>
                    <w:rPr>
                      <w:rFonts w:hint="eastAsia" w:cs="Times New Roman"/>
                      <w:color w:val="000000" w:themeColor="text1"/>
                      <w14:textFill>
                        <w14:solidFill>
                          <w14:schemeClr w14:val="tx1"/>
                        </w14:solidFill>
                      </w14:textFill>
                    </w:rPr>
                    <w:t>扬散、防流失、防渗漏措施；本项目产生的</w:t>
                  </w:r>
                  <w:r>
                    <w:rPr>
                      <w:rFonts w:cs="Times New Roman"/>
                      <w:color w:val="000000" w:themeColor="text1"/>
                      <w14:textFill>
                        <w14:solidFill>
                          <w14:schemeClr w14:val="tx1"/>
                        </w14:solidFill>
                      </w14:textFill>
                    </w:rPr>
                    <w:t>各类固废分类收集处置，项目设置了危废暂存间，并采取了相应的污染防治措施。</w:t>
                  </w:r>
                </w:p>
              </w:tc>
              <w:tc>
                <w:tcPr>
                  <w:tcW w:w="518" w:type="pct"/>
                  <w:shd w:val="clear" w:color="auto" w:fill="auto"/>
                  <w:vAlign w:val="center"/>
                </w:tcPr>
                <w:p w14:paraId="71596FD0">
                  <w:pPr>
                    <w:pStyle w:val="13"/>
                    <w:rPr>
                      <w:rFonts w:cs="Times New Roman"/>
                      <w:color w:val="000000" w:themeColor="text1"/>
                      <w14:textFill>
                        <w14:solidFill>
                          <w14:schemeClr w14:val="tx1"/>
                        </w14:solidFill>
                      </w14:textFill>
                    </w:rPr>
                  </w:pPr>
                  <w:bookmarkStart w:id="28" w:name="OLE_LINK33"/>
                  <w:r>
                    <w:rPr>
                      <w:rFonts w:cs="Times New Roman"/>
                      <w:color w:val="000000" w:themeColor="text1"/>
                      <w14:textFill>
                        <w14:solidFill>
                          <w14:schemeClr w14:val="tx1"/>
                        </w14:solidFill>
                      </w14:textFill>
                    </w:rPr>
                    <w:t>符合</w:t>
                  </w:r>
                  <w:bookmarkEnd w:id="28"/>
                </w:p>
              </w:tc>
            </w:tr>
            <w:tr w14:paraId="743C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2" w:type="pct"/>
                  <w:shd w:val="clear" w:color="auto" w:fill="auto"/>
                  <w:vAlign w:val="center"/>
                </w:tcPr>
                <w:p w14:paraId="26E38B78">
                  <w:pPr>
                    <w:pStyle w:val="13"/>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巴中市</w:t>
                  </w:r>
                  <w:r>
                    <w:rPr>
                      <w:rFonts w:hint="eastAsia" w:cs="Times New Roman"/>
                      <w:color w:val="000000" w:themeColor="text1"/>
                      <w:szCs w:val="21"/>
                      <w14:textFill>
                        <w14:solidFill>
                          <w14:schemeClr w14:val="tx1"/>
                        </w14:solidFill>
                      </w14:textFill>
                    </w:rPr>
                    <w:t>“</w:t>
                  </w:r>
                  <w:r>
                    <w:rPr>
                      <w:rFonts w:cs="Times New Roman"/>
                      <w:color w:val="000000" w:themeColor="text1"/>
                      <w:szCs w:val="21"/>
                      <w14:textFill>
                        <w14:solidFill>
                          <w14:schemeClr w14:val="tx1"/>
                        </w14:solidFill>
                      </w14:textFill>
                    </w:rPr>
                    <w:t>十四五</w:t>
                  </w:r>
                  <w:r>
                    <w:rPr>
                      <w:rFonts w:hint="eastAsia" w:cs="Times New Roman"/>
                      <w:color w:val="000000" w:themeColor="text1"/>
                      <w:szCs w:val="21"/>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"https://huanbao.bjx.com.cn/topics/turangwuranfangzhi/" </w:instrText>
                  </w:r>
                  <w:r>
                    <w:rPr>
                      <w:color w:val="000000" w:themeColor="text1"/>
                      <w14:textFill>
                        <w14:solidFill>
                          <w14:schemeClr w14:val="tx1"/>
                        </w14:solidFill>
                      </w14:textFill>
                    </w:rPr>
                    <w:fldChar w:fldCharType="separate"/>
                  </w:r>
                  <w:r>
                    <w:rPr>
                      <w:rFonts w:cs="Times New Roman"/>
                      <w:color w:val="000000" w:themeColor="text1"/>
                      <w:szCs w:val="21"/>
                      <w14:textFill>
                        <w14:solidFill>
                          <w14:schemeClr w14:val="tx1"/>
                        </w14:solidFill>
                      </w14:textFill>
                    </w:rPr>
                    <w:t>土壤污染</w:t>
                  </w:r>
                  <w:r>
                    <w:rPr>
                      <w:rFonts w:cs="Times New Roman"/>
                      <w:color w:val="000000" w:themeColor="text1"/>
                      <w:szCs w:val="21"/>
                      <w14:textFill>
                        <w14:solidFill>
                          <w14:schemeClr w14:val="tx1"/>
                        </w14:solidFill>
                      </w14:textFill>
                    </w:rPr>
                    <w:fldChar w:fldCharType="end"/>
                  </w:r>
                  <w:r>
                    <w:rPr>
                      <w:rFonts w:cs="Times New Roman"/>
                      <w:color w:val="000000" w:themeColor="text1"/>
                      <w:szCs w:val="21"/>
                      <w14:textFill>
                        <w14:solidFill>
                          <w14:schemeClr w14:val="tx1"/>
                        </w14:solidFill>
                      </w14:textFill>
                    </w:rPr>
                    <w:t>防治规划</w:t>
                  </w:r>
                </w:p>
              </w:tc>
              <w:tc>
                <w:tcPr>
                  <w:tcW w:w="2781" w:type="pct"/>
                  <w:shd w:val="clear" w:color="auto" w:fill="auto"/>
                </w:tcPr>
                <w:p w14:paraId="1DF5010B">
                  <w:pPr>
                    <w:spacing w:line="240" w:lineRule="auto"/>
                    <w:ind w:firstLine="42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根据规划内容，</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十四五</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期间主要任务：</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一）深化土壤环境质量调查和评估，包括深化农用地土壤污染调查、加强建设用地土壤污染调查、加快尾矿库调查和风险评估、持续开展常态化调查与评估；</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二）加强土壤污染源头监管和防控，包括加强耕地管控保护和污染防治、加强建设用地风险管控和准入监管、加强未利用地监管及合理利用、推进农业农村污染源源头防控、加强矿山开采和固废污染管控、加强重点企业与园区源头防控；</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三）强化土壤污染治理与修复利用，包括科学实施污染耕地治理与修复工作、加强建设用地土壤污染治理与修复、加快典型矿区生态治理与修复试点推进；</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四）提升土壤环境监测和监管能力，包括强化土壤环境监测保障、加大土壤执法监管力度。</w:t>
                  </w:r>
                </w:p>
                <w:p w14:paraId="7CDBB534">
                  <w:pPr>
                    <w:pStyle w:val="13"/>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在</w:t>
                  </w:r>
                  <w:r>
                    <w:rPr>
                      <w:rFonts w:hint="eastAsia" w:cs="Times New Roman"/>
                      <w:color w:val="000000" w:themeColor="text1"/>
                      <w:szCs w:val="21"/>
                      <w14:textFill>
                        <w14:solidFill>
                          <w14:schemeClr w14:val="tx1"/>
                        </w14:solidFill>
                      </w14:textFill>
                    </w:rPr>
                    <w:t>“</w:t>
                  </w:r>
                  <w:r>
                    <w:rPr>
                      <w:rFonts w:cs="Times New Roman"/>
                      <w:color w:val="000000" w:themeColor="text1"/>
                      <w:szCs w:val="21"/>
                      <w14:textFill>
                        <w14:solidFill>
                          <w14:schemeClr w14:val="tx1"/>
                        </w14:solidFill>
                      </w14:textFill>
                    </w:rPr>
                    <w:t>加强矿山开采和固废污染管控</w:t>
                  </w:r>
                  <w:r>
                    <w:rPr>
                      <w:rFonts w:hint="eastAsia" w:cs="Times New Roman"/>
                      <w:color w:val="000000" w:themeColor="text1"/>
                      <w:szCs w:val="21"/>
                      <w14:textFill>
                        <w14:solidFill>
                          <w14:schemeClr w14:val="tx1"/>
                        </w14:solidFill>
                      </w14:textFill>
                    </w:rPr>
                    <w:t>”</w:t>
                  </w:r>
                  <w:r>
                    <w:rPr>
                      <w:rFonts w:cs="Times New Roman"/>
                      <w:color w:val="000000" w:themeColor="text1"/>
                      <w:szCs w:val="21"/>
                      <w14:textFill>
                        <w14:solidFill>
                          <w14:schemeClr w14:val="tx1"/>
                        </w14:solidFill>
                      </w14:textFill>
                    </w:rPr>
                    <w:t>中提到：加强固体废物污染管控。推进固体废物源头减量，鼓励引导工业企业开展自愿性清洁生产审核，持续推进重点行业企业强制性清洁生产审核。发展生态农业，大力推广绿色建筑和绿色建造方式、装配式建筑，促进建筑垃圾源头减量。提升固体废物资源化利用水平，通过回收、加工、循环、交换等方式，加快推进工业固体废物资源化利用。推进巴中经开区绿色化、循环化改造，构建废旧物资循环利用体系。逐步提高污水处理厂的污泥脱水率，强化污泥安全处理处置。</w:t>
                  </w:r>
                </w:p>
              </w:tc>
              <w:tc>
                <w:tcPr>
                  <w:tcW w:w="1088" w:type="pct"/>
                  <w:shd w:val="clear" w:color="auto" w:fill="auto"/>
                  <w:vAlign w:val="center"/>
                </w:tcPr>
                <w:p w14:paraId="72AD932A">
                  <w:pPr>
                    <w:pStyle w:val="13"/>
                    <w:rPr>
                      <w:color w:val="000000" w:themeColor="text1"/>
                      <w14:textFill>
                        <w14:solidFill>
                          <w14:schemeClr w14:val="tx1"/>
                        </w14:solidFill>
                      </w14:textFill>
                    </w:rPr>
                  </w:pPr>
                  <w:r>
                    <w:rPr>
                      <w:rFonts w:hint="eastAsia"/>
                      <w:color w:val="000000" w:themeColor="text1"/>
                      <w14:textFill>
                        <w14:solidFill>
                          <w14:schemeClr w14:val="tx1"/>
                        </w14:solidFill>
                      </w14:textFill>
                    </w:rPr>
                    <w:t>本项目利用水基岩屑为原料，</w:t>
                  </w:r>
                  <w:r>
                    <w:rPr>
                      <w:rFonts w:hint="eastAsia"/>
                      <w:color w:val="000000" w:themeColor="text1"/>
                      <w:lang w:val="en-US" w:eastAsia="zh-CN"/>
                      <w14:textFill>
                        <w14:solidFill>
                          <w14:schemeClr w14:val="tx1"/>
                        </w14:solidFill>
                      </w14:textFill>
                    </w:rPr>
                    <w:t>将其干燥、预热和煅烧预处理后，再配以水泥、砂石、固化剂、水等</w:t>
                  </w:r>
                  <w:r>
                    <w:rPr>
                      <w:rFonts w:hint="eastAsia"/>
                      <w:color w:val="000000" w:themeColor="text1"/>
                      <w14:textFill>
                        <w14:solidFill>
                          <w14:schemeClr w14:val="tx1"/>
                        </w14:solidFill>
                      </w14:textFill>
                    </w:rPr>
                    <w:t>制备</w:t>
                  </w:r>
                  <w:r>
                    <w:rPr>
                      <w:rFonts w:hint="eastAsia"/>
                      <w:color w:val="000000" w:themeColor="text1"/>
                      <w:lang w:eastAsia="zh-CN"/>
                      <w14:textFill>
                        <w14:solidFill>
                          <w14:schemeClr w14:val="tx1"/>
                        </w14:solidFill>
                      </w14:textFill>
                    </w:rPr>
                    <w:t>免烧砌块</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符合</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固体废物污染管控：提升固体废物资源化利用水平，通过回收、加工、循环、交换等方式，加快推进工业固体废物资源化利用</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相关要求。</w:t>
                  </w:r>
                </w:p>
                <w:p w14:paraId="13C37970">
                  <w:pPr>
                    <w:pStyle w:val="13"/>
                    <w:rPr>
                      <w:color w:val="000000" w:themeColor="text1"/>
                      <w14:textFill>
                        <w14:solidFill>
                          <w14:schemeClr w14:val="tx1"/>
                        </w14:solidFill>
                      </w14:textFill>
                    </w:rPr>
                  </w:pPr>
                  <w:r>
                    <w:rPr>
                      <w:color w:val="000000" w:themeColor="text1"/>
                      <w14:textFill>
                        <w14:solidFill>
                          <w14:schemeClr w14:val="tx1"/>
                        </w14:solidFill>
                      </w14:textFill>
                    </w:rPr>
                    <w:t>通过对土壤可能发生污染的途径分析，针对性地提出了源头控制、分区防渗等防治措施，</w:t>
                  </w:r>
                  <w:r>
                    <w:rPr>
                      <w:rFonts w:hint="eastAsia"/>
                      <w:color w:val="000000" w:themeColor="text1"/>
                      <w14:textFill>
                        <w14:solidFill>
                          <w14:schemeClr w14:val="tx1"/>
                        </w14:solidFill>
                      </w14:textFill>
                    </w:rPr>
                    <w:t>并加强</w:t>
                  </w:r>
                  <w:r>
                    <w:rPr>
                      <w:color w:val="000000" w:themeColor="text1"/>
                      <w14:textFill>
                        <w14:solidFill>
                          <w14:schemeClr w14:val="tx1"/>
                        </w14:solidFill>
                      </w14:textFill>
                    </w:rPr>
                    <w:t>环境管理；全面加强项目实施可能对土壤造成的影响；在落实相应措施后，对土壤环境影响较小。</w:t>
                  </w:r>
                </w:p>
              </w:tc>
              <w:tc>
                <w:tcPr>
                  <w:tcW w:w="518" w:type="pct"/>
                  <w:shd w:val="clear" w:color="auto" w:fill="auto"/>
                  <w:vAlign w:val="center"/>
                </w:tcPr>
                <w:p w14:paraId="4D1686B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bl>
          <w:p w14:paraId="3F65198A">
            <w:pPr>
              <w:ind w:left="480"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综上，本项目建设与土壤污染防治相关要求相符。</w:t>
            </w:r>
          </w:p>
          <w:p w14:paraId="4BEB3D3A">
            <w:pPr>
              <w:pStyle w:val="4"/>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项目与固废污染防治相关政策</w:t>
            </w:r>
            <w:r>
              <w:rPr>
                <w:color w:val="000000" w:themeColor="text1"/>
                <w14:textFill>
                  <w14:solidFill>
                    <w14:schemeClr w14:val="tx1"/>
                  </w14:solidFill>
                </w14:textFill>
              </w:rPr>
              <w:t>符合性</w:t>
            </w:r>
          </w:p>
          <w:p w14:paraId="33AD9579">
            <w:pPr>
              <w:ind w:firstLine="482"/>
              <w:jc w:val="center"/>
              <w:rPr>
                <w:b/>
                <w:bCs/>
                <w:color w:val="000000" w:themeColor="text1"/>
                <w:sz w:val="21"/>
                <w:szCs w:val="18"/>
                <w14:textFill>
                  <w14:solidFill>
                    <w14:schemeClr w14:val="tx1"/>
                  </w14:solidFill>
                </w14:textFill>
              </w:rPr>
            </w:pPr>
            <w:r>
              <w:rPr>
                <w:b/>
                <w:bCs/>
                <w:color w:val="000000" w:themeColor="text1"/>
                <w:sz w:val="21"/>
                <w:szCs w:val="18"/>
                <w14:textFill>
                  <w14:solidFill>
                    <w14:schemeClr w14:val="tx1"/>
                  </w14:solidFill>
                </w14:textFill>
              </w:rPr>
              <w:t>表1-1</w:t>
            </w:r>
            <w:r>
              <w:rPr>
                <w:rFonts w:hint="eastAsia"/>
                <w:b/>
                <w:bCs/>
                <w:color w:val="000000" w:themeColor="text1"/>
                <w:sz w:val="21"/>
                <w:szCs w:val="18"/>
                <w:lang w:val="en-US" w:eastAsia="zh-CN"/>
                <w14:textFill>
                  <w14:solidFill>
                    <w14:schemeClr w14:val="tx1"/>
                  </w14:solidFill>
                </w14:textFill>
              </w:rPr>
              <w:t>0</w:t>
            </w:r>
            <w:r>
              <w:rPr>
                <w:b/>
                <w:bCs/>
                <w:color w:val="000000" w:themeColor="text1"/>
                <w:sz w:val="21"/>
                <w:szCs w:val="18"/>
                <w14:textFill>
                  <w14:solidFill>
                    <w14:schemeClr w14:val="tx1"/>
                  </w14:solidFill>
                </w14:textFill>
              </w:rPr>
              <w:t xml:space="preserve"> 与固废污染防治等相关政策符合性分析</w:t>
            </w:r>
          </w:p>
          <w:tbl>
            <w:tblPr>
              <w:tblStyle w:val="5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9"/>
              <w:gridCol w:w="770"/>
              <w:gridCol w:w="3546"/>
              <w:gridCol w:w="2958"/>
              <w:gridCol w:w="707"/>
            </w:tblGrid>
            <w:tr w14:paraId="3EB1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Align w:val="center"/>
                </w:tcPr>
                <w:p w14:paraId="57E5324C">
                  <w:pPr>
                    <w:pStyle w:val="51"/>
                    <w:rPr>
                      <w:color w:val="000000" w:themeColor="text1"/>
                      <w14:textFill>
                        <w14:solidFill>
                          <w14:schemeClr w14:val="tx1"/>
                        </w14:solidFill>
                      </w14:textFill>
                    </w:rPr>
                  </w:pPr>
                  <w:r>
                    <w:rPr>
                      <w:color w:val="000000" w:themeColor="text1"/>
                      <w14:textFill>
                        <w14:solidFill>
                          <w14:schemeClr w14:val="tx1"/>
                        </w14:solidFill>
                      </w14:textFill>
                    </w:rPr>
                    <w:t>政策</w:t>
                  </w:r>
                </w:p>
                <w:p w14:paraId="254C1C93">
                  <w:pPr>
                    <w:pStyle w:val="51"/>
                    <w:rPr>
                      <w:color w:val="000000" w:themeColor="text1"/>
                      <w14:textFill>
                        <w14:solidFill>
                          <w14:schemeClr w14:val="tx1"/>
                        </w14:solidFill>
                      </w14:textFill>
                    </w:rPr>
                  </w:pPr>
                  <w:r>
                    <w:rPr>
                      <w:color w:val="000000" w:themeColor="text1"/>
                      <w14:textFill>
                        <w14:solidFill>
                          <w14:schemeClr w14:val="tx1"/>
                        </w14:solidFill>
                      </w14:textFill>
                    </w:rPr>
                    <w:t>文件</w:t>
                  </w:r>
                </w:p>
              </w:tc>
              <w:tc>
                <w:tcPr>
                  <w:tcW w:w="2443" w:type="pct"/>
                  <w:gridSpan w:val="2"/>
                  <w:vAlign w:val="center"/>
                </w:tcPr>
                <w:p w14:paraId="73F0F02B">
                  <w:pPr>
                    <w:pStyle w:val="51"/>
                    <w:rPr>
                      <w:color w:val="000000" w:themeColor="text1"/>
                      <w14:textFill>
                        <w14:solidFill>
                          <w14:schemeClr w14:val="tx1"/>
                        </w14:solidFill>
                      </w14:textFill>
                    </w:rPr>
                  </w:pPr>
                  <w:r>
                    <w:rPr>
                      <w:color w:val="000000" w:themeColor="text1"/>
                      <w14:textFill>
                        <w14:solidFill>
                          <w14:schemeClr w14:val="tx1"/>
                        </w14:solidFill>
                      </w14:textFill>
                    </w:rPr>
                    <w:t>相关要求</w:t>
                  </w:r>
                </w:p>
              </w:tc>
              <w:tc>
                <w:tcPr>
                  <w:tcW w:w="1674" w:type="pct"/>
                  <w:vAlign w:val="center"/>
                </w:tcPr>
                <w:p w14:paraId="7D3A875F">
                  <w:pPr>
                    <w:pStyle w:val="51"/>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400" w:type="pct"/>
                  <w:vAlign w:val="center"/>
                </w:tcPr>
                <w:p w14:paraId="49683B20">
                  <w:pPr>
                    <w:pStyle w:val="51"/>
                    <w:rPr>
                      <w:color w:val="000000" w:themeColor="text1"/>
                      <w14:textFill>
                        <w14:solidFill>
                          <w14:schemeClr w14:val="tx1"/>
                        </w14:solidFill>
                      </w14:textFill>
                    </w:rPr>
                  </w:pPr>
                  <w:r>
                    <w:rPr>
                      <w:color w:val="000000" w:themeColor="text1"/>
                      <w14:textFill>
                        <w14:solidFill>
                          <w14:schemeClr w14:val="tx1"/>
                        </w14:solidFill>
                      </w14:textFill>
                    </w:rPr>
                    <w:t>符合性</w:t>
                  </w:r>
                </w:p>
              </w:tc>
            </w:tr>
            <w:tr w14:paraId="3204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 w:hRule="atLeast"/>
                <w:jc w:val="center"/>
              </w:trPr>
              <w:tc>
                <w:tcPr>
                  <w:tcW w:w="481" w:type="pct"/>
                  <w:vMerge w:val="restart"/>
                  <w:shd w:val="clear" w:color="auto" w:fill="auto"/>
                  <w:vAlign w:val="center"/>
                </w:tcPr>
                <w:p w14:paraId="74E75852">
                  <w:pPr>
                    <w:pStyle w:val="13"/>
                    <w:ind w:firstLine="0" w:firstLineChars="0"/>
                    <w:rPr>
                      <w:rFonts w:ascii="Times New Roman" w:hAnsi="Times New Roman" w:eastAsia="宋体" w:cs="黑体"/>
                      <w:b w:val="0"/>
                      <w:bCs/>
                      <w:color w:val="000000" w:themeColor="text1"/>
                      <w:kern w:val="0"/>
                      <w:sz w:val="21"/>
                      <w:szCs w:val="24"/>
                      <w:lang w:val="en-US" w:eastAsia="zh-CN" w:bidi="ar-SA"/>
                      <w14:textFill>
                        <w14:solidFill>
                          <w14:schemeClr w14:val="tx1"/>
                        </w14:solidFill>
                      </w14:textFill>
                    </w:rPr>
                  </w:pPr>
                  <w:r>
                    <w:rPr>
                      <w:color w:val="000000" w:themeColor="text1"/>
                      <w14:textFill>
                        <w14:solidFill>
                          <w14:schemeClr w14:val="tx1"/>
                        </w14:solidFill>
                      </w14:textFill>
                    </w:rPr>
                    <w:t>《中华人民共和国固体废物污染环境防治法》</w:t>
                  </w:r>
                </w:p>
              </w:tc>
              <w:tc>
                <w:tcPr>
                  <w:tcW w:w="2443" w:type="pct"/>
                  <w:gridSpan w:val="2"/>
                  <w:shd w:val="clear" w:color="auto" w:fill="auto"/>
                  <w:vAlign w:val="center"/>
                </w:tcPr>
                <w:p w14:paraId="37B6DDBD">
                  <w:pPr>
                    <w:pStyle w:val="13"/>
                    <w:ind w:firstLine="0" w:firstLineChars="0"/>
                    <w:rPr>
                      <w:rFonts w:ascii="Times New Roman" w:hAnsi="Times New Roman" w:eastAsia="宋体" w:cs="黑体"/>
                      <w:b w:val="0"/>
                      <w:bCs/>
                      <w:color w:val="000000" w:themeColor="text1"/>
                      <w:kern w:val="0"/>
                      <w:sz w:val="21"/>
                      <w:szCs w:val="24"/>
                      <w:lang w:val="en-US" w:eastAsia="zh-CN" w:bidi="ar-SA"/>
                      <w14:textFill>
                        <w14:solidFill>
                          <w14:schemeClr w14:val="tx1"/>
                        </w14:solidFill>
                      </w14:textFill>
                    </w:rPr>
                  </w:pPr>
                  <w:r>
                    <w:rPr>
                      <w:color w:val="000000" w:themeColor="text1"/>
                      <w14:textFill>
                        <w14:solidFill>
                          <w14:schemeClr w14:val="tx1"/>
                        </w14:solidFill>
                      </w14:textFill>
                    </w:rPr>
                    <w:t>产生、收集、贮存、运输、利用、处置固体废物的单位和个人，应当采取措施，防止或者减少固体废物对环境的污染，对所造成的环境污染依法承担责任。</w:t>
                  </w:r>
                </w:p>
              </w:tc>
              <w:tc>
                <w:tcPr>
                  <w:tcW w:w="1674" w:type="pct"/>
                  <w:shd w:val="clear" w:color="auto" w:fill="auto"/>
                  <w:vAlign w:val="center"/>
                </w:tcPr>
                <w:p w14:paraId="7BCB11D7">
                  <w:pPr>
                    <w:pStyle w:val="13"/>
                    <w:ind w:firstLine="0" w:firstLineChars="0"/>
                    <w:jc w:val="center"/>
                    <w:rPr>
                      <w:rFonts w:ascii="Times New Roman" w:hAnsi="Times New Roman" w:eastAsia="宋体" w:cs="黑体"/>
                      <w:b w:val="0"/>
                      <w:bCs/>
                      <w:color w:val="000000" w:themeColor="text1"/>
                      <w:kern w:val="0"/>
                      <w:sz w:val="21"/>
                      <w:szCs w:val="24"/>
                      <w:lang w:val="en-US" w:eastAsia="zh-CN" w:bidi="ar-SA"/>
                      <w14:textFill>
                        <w14:solidFill>
                          <w14:schemeClr w14:val="tx1"/>
                        </w14:solidFill>
                      </w14:textFill>
                    </w:rPr>
                  </w:pPr>
                  <w:r>
                    <w:rPr>
                      <w:rFonts w:hint="eastAsia"/>
                      <w:color w:val="000000" w:themeColor="text1"/>
                      <w14:textFill>
                        <w14:solidFill>
                          <w14:schemeClr w14:val="tx1"/>
                        </w14:solidFill>
                      </w14:textFill>
                    </w:rPr>
                    <w:t>本项目利用</w:t>
                  </w:r>
                  <w:r>
                    <w:rPr>
                      <w:color w:val="000000" w:themeColor="text1"/>
                      <w14:textFill>
                        <w14:solidFill>
                          <w14:schemeClr w14:val="tx1"/>
                        </w14:solidFill>
                      </w14:textFill>
                    </w:rPr>
                    <w:t>水基岩屑</w:t>
                  </w:r>
                  <w:r>
                    <w:rPr>
                      <w:rFonts w:hint="eastAsia"/>
                      <w:color w:val="000000" w:themeColor="text1"/>
                      <w14:textFill>
                        <w14:solidFill>
                          <w14:schemeClr w14:val="tx1"/>
                        </w14:solidFill>
                      </w14:textFill>
                    </w:rPr>
                    <w:t>为原料，</w:t>
                  </w:r>
                  <w:r>
                    <w:rPr>
                      <w:rFonts w:hint="eastAsia"/>
                      <w:color w:val="000000" w:themeColor="text1"/>
                      <w:lang w:val="en-US" w:eastAsia="zh-CN"/>
                      <w14:textFill>
                        <w14:solidFill>
                          <w14:schemeClr w14:val="tx1"/>
                        </w14:solidFill>
                      </w14:textFill>
                    </w:rPr>
                    <w:t>将其干燥、预热和煅烧预处理后，再配以水泥、砂石、固化剂、水等</w:t>
                  </w:r>
                  <w:r>
                    <w:rPr>
                      <w:rFonts w:hint="eastAsia"/>
                      <w:color w:val="000000" w:themeColor="text1"/>
                      <w14:textFill>
                        <w14:solidFill>
                          <w14:schemeClr w14:val="tx1"/>
                        </w14:solidFill>
                      </w14:textFill>
                    </w:rPr>
                    <w:t>生产</w:t>
                  </w:r>
                  <w:r>
                    <w:rPr>
                      <w:rFonts w:hint="eastAsia"/>
                      <w:color w:val="000000" w:themeColor="text1"/>
                      <w:lang w:val="en-US" w:eastAsia="zh-CN"/>
                      <w14:textFill>
                        <w14:solidFill>
                          <w14:schemeClr w14:val="tx1"/>
                        </w14:solidFill>
                      </w14:textFill>
                    </w:rPr>
                    <w:t>免烧砌块</w:t>
                  </w:r>
                  <w:r>
                    <w:rPr>
                      <w:rFonts w:hint="eastAsia"/>
                      <w:color w:val="000000" w:themeColor="text1"/>
                      <w14:textFill>
                        <w14:solidFill>
                          <w14:schemeClr w14:val="tx1"/>
                        </w14:solidFill>
                      </w14:textFill>
                    </w:rPr>
                    <w:t>，能够实现一般固废的综合利用。本项目针对废水、废气、噪声、固废均提出相应污染防治措施，</w:t>
                  </w:r>
                  <w:r>
                    <w:rPr>
                      <w:color w:val="000000" w:themeColor="text1"/>
                      <w14:textFill>
                        <w14:solidFill>
                          <w14:schemeClr w14:val="tx1"/>
                        </w14:solidFill>
                      </w14:textFill>
                    </w:rPr>
                    <w:t>各项污染物能够达标排放，固废能够得到妥善处理处置，对环境影响较小。</w:t>
                  </w:r>
                </w:p>
              </w:tc>
              <w:tc>
                <w:tcPr>
                  <w:tcW w:w="400" w:type="pct"/>
                  <w:vAlign w:val="center"/>
                </w:tcPr>
                <w:p w14:paraId="789CE6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方正小标宋_GBK" w:cs="Times New Roman"/>
                      <w:bCs/>
                      <w:color w:val="000000" w:themeColor="text1"/>
                      <w:sz w:val="72"/>
                      <w:szCs w:val="72"/>
                      <w14:textFill>
                        <w14:solidFill>
                          <w14:schemeClr w14:val="tx1"/>
                        </w14:solidFill>
                      </w14:textFill>
                    </w:rPr>
                  </w:pPr>
                  <w:r>
                    <w:rPr>
                      <w:color w:val="000000" w:themeColor="text1"/>
                      <w14:textFill>
                        <w14:solidFill>
                          <w14:schemeClr w14:val="tx1"/>
                        </w14:solidFill>
                      </w14:textFill>
                    </w:rPr>
                    <w:t>符合</w:t>
                  </w:r>
                </w:p>
              </w:tc>
            </w:tr>
            <w:tr w14:paraId="44A9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444CCD6A">
                  <w:pPr>
                    <w:pStyle w:val="13"/>
                    <w:rPr>
                      <w:color w:val="000000" w:themeColor="text1"/>
                      <w14:textFill>
                        <w14:solidFill>
                          <w14:schemeClr w14:val="tx1"/>
                        </w14:solidFill>
                      </w14:textFill>
                    </w:rPr>
                  </w:pPr>
                </w:p>
              </w:tc>
              <w:tc>
                <w:tcPr>
                  <w:tcW w:w="2443" w:type="pct"/>
                  <w:gridSpan w:val="2"/>
                  <w:vAlign w:val="center"/>
                </w:tcPr>
                <w:p w14:paraId="51713160">
                  <w:pPr>
                    <w:pStyle w:val="13"/>
                    <w:rPr>
                      <w:color w:val="000000" w:themeColor="text1"/>
                      <w14:textFill>
                        <w14:solidFill>
                          <w14:schemeClr w14:val="tx1"/>
                        </w14:solidFill>
                      </w14:textFill>
                    </w:rPr>
                  </w:pPr>
                  <w:r>
                    <w:rPr>
                      <w:color w:val="000000" w:themeColor="text1"/>
                      <w14:textFill>
                        <w14:solidFill>
                          <w14:schemeClr w14:val="tx1"/>
                        </w14:solidFill>
                      </w14:textFill>
                    </w:rPr>
                    <w:t>建设产生、贮存、利用、处置固体废物的项目，应当依法进行环境影响评价，并遵守国家有关建设项目环境保护管理的规定。</w:t>
                  </w:r>
                </w:p>
              </w:tc>
              <w:tc>
                <w:tcPr>
                  <w:tcW w:w="1674" w:type="pct"/>
                  <w:vAlign w:val="center"/>
                </w:tcPr>
                <w:p w14:paraId="7E800FDB">
                  <w:pPr>
                    <w:pStyle w:val="13"/>
                    <w:rPr>
                      <w:color w:val="000000" w:themeColor="text1"/>
                      <w14:textFill>
                        <w14:solidFill>
                          <w14:schemeClr w14:val="tx1"/>
                        </w14:solidFill>
                      </w14:textFill>
                    </w:rPr>
                  </w:pPr>
                  <w:r>
                    <w:rPr>
                      <w:color w:val="000000" w:themeColor="text1"/>
                      <w14:textFill>
                        <w14:solidFill>
                          <w14:schemeClr w14:val="tx1"/>
                        </w14:solidFill>
                      </w14:textFill>
                    </w:rPr>
                    <w:t>依法进行环境影响评价，并遵守国家有关建设项目环境保护管理的规定。</w:t>
                  </w:r>
                </w:p>
              </w:tc>
              <w:tc>
                <w:tcPr>
                  <w:tcW w:w="400" w:type="pct"/>
                  <w:vAlign w:val="center"/>
                </w:tcPr>
                <w:p w14:paraId="7A8B14CC">
                  <w:pPr>
                    <w:keepNext w:val="0"/>
                    <w:keepLines w:val="0"/>
                    <w:pageBreakBefore w:val="0"/>
                    <w:widowControl w:val="0"/>
                    <w:kinsoku/>
                    <w:wordWrap/>
                    <w:overflowPunct/>
                    <w:topLinePunct w:val="0"/>
                    <w:autoSpaceDE/>
                    <w:autoSpaceDN/>
                    <w:bidi w:val="0"/>
                    <w:spacing w:line="240" w:lineRule="auto"/>
                    <w:ind w:firstLine="0" w:firstLineChars="0"/>
                    <w:textAlignment w:val="auto"/>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34E0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432AC5D3">
                  <w:pPr>
                    <w:pStyle w:val="13"/>
                    <w:rPr>
                      <w:color w:val="000000" w:themeColor="text1"/>
                      <w14:textFill>
                        <w14:solidFill>
                          <w14:schemeClr w14:val="tx1"/>
                        </w14:solidFill>
                      </w14:textFill>
                    </w:rPr>
                  </w:pPr>
                </w:p>
              </w:tc>
              <w:tc>
                <w:tcPr>
                  <w:tcW w:w="2443" w:type="pct"/>
                  <w:gridSpan w:val="2"/>
                  <w:vAlign w:val="center"/>
                </w:tcPr>
                <w:p w14:paraId="5AF417A7">
                  <w:pPr>
                    <w:pStyle w:val="13"/>
                    <w:rPr>
                      <w:color w:val="000000" w:themeColor="text1"/>
                      <w14:textFill>
                        <w14:solidFill>
                          <w14:schemeClr w14:val="tx1"/>
                        </w14:solidFill>
                      </w14:textFill>
                    </w:rPr>
                  </w:pPr>
                  <w:r>
                    <w:rPr>
                      <w:color w:val="000000" w:themeColor="text1"/>
                      <w14:textFill>
                        <w14:solidFill>
                          <w14:schemeClr w14:val="tx1"/>
                        </w14:solidFill>
                      </w14:textFill>
                    </w:rPr>
                    <w:t>建设工业固体废物贮存、处置的设施、场所，应当符合国家环境保护标准。</w:t>
                  </w:r>
                </w:p>
              </w:tc>
              <w:tc>
                <w:tcPr>
                  <w:tcW w:w="1674" w:type="pct"/>
                  <w:vAlign w:val="center"/>
                </w:tcPr>
                <w:p w14:paraId="613C4000">
                  <w:pPr>
                    <w:pStyle w:val="13"/>
                    <w:rPr>
                      <w:color w:val="000000" w:themeColor="text1"/>
                      <w14:textFill>
                        <w14:solidFill>
                          <w14:schemeClr w14:val="tx1"/>
                        </w14:solidFill>
                      </w14:textFill>
                    </w:rPr>
                  </w:pPr>
                  <w:r>
                    <w:rPr>
                      <w:rFonts w:hint="eastAsia"/>
                      <w:color w:val="000000" w:themeColor="text1"/>
                      <w14:textFill>
                        <w14:solidFill>
                          <w14:schemeClr w14:val="tx1"/>
                        </w14:solidFill>
                      </w14:textFill>
                    </w:rPr>
                    <w:t>在车间内</w:t>
                  </w:r>
                  <w:r>
                    <w:rPr>
                      <w:color w:val="000000" w:themeColor="text1"/>
                      <w14:textFill>
                        <w14:solidFill>
                          <w14:schemeClr w14:val="tx1"/>
                        </w14:solidFill>
                      </w14:textFill>
                    </w:rPr>
                    <w:t>建设水基岩屑储存池，对贮存场所进行重点防渗，符合国家环境保护标准。</w:t>
                  </w:r>
                </w:p>
              </w:tc>
              <w:tc>
                <w:tcPr>
                  <w:tcW w:w="400" w:type="pct"/>
                  <w:vAlign w:val="center"/>
                </w:tcPr>
                <w:p w14:paraId="6E8D1162">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D73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restart"/>
                  <w:vAlign w:val="center"/>
                </w:tcPr>
                <w:p w14:paraId="4EA67009">
                  <w:pPr>
                    <w:pStyle w:val="13"/>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固体废物综合治理行动计划</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国发〔2025〕14号</w:t>
                  </w:r>
                  <w:r>
                    <w:rPr>
                      <w:rFonts w:hint="eastAsia"/>
                      <w:color w:val="000000" w:themeColor="text1"/>
                      <w:lang w:eastAsia="zh-CN"/>
                      <w14:textFill>
                        <w14:solidFill>
                          <w14:schemeClr w14:val="tx1"/>
                        </w14:solidFill>
                      </w14:textFill>
                    </w:rPr>
                    <w:t>）</w:t>
                  </w:r>
                </w:p>
              </w:tc>
              <w:tc>
                <w:tcPr>
                  <w:tcW w:w="2443" w:type="pct"/>
                  <w:gridSpan w:val="2"/>
                  <w:vAlign w:val="center"/>
                </w:tcPr>
                <w:p w14:paraId="09AAF00F">
                  <w:pPr>
                    <w:pStyle w:val="13"/>
                    <w:rPr>
                      <w:color w:val="000000" w:themeColor="text1"/>
                      <w14:textFill>
                        <w14:solidFill>
                          <w14:schemeClr w14:val="tx1"/>
                        </w14:solidFill>
                      </w14:textFill>
                    </w:rPr>
                  </w:pPr>
                  <w:r>
                    <w:rPr>
                      <w:color w:val="000000" w:themeColor="text1"/>
                      <w14:textFill>
                        <w14:solidFill>
                          <w14:schemeClr w14:val="tx1"/>
                        </w14:solidFill>
                      </w14:textFill>
                    </w:rPr>
                    <w:t>加强工业固体废物规范化管理。</w:t>
                  </w:r>
                  <w:r>
                    <w:rPr>
                      <w:rFonts w:hint="eastAsia"/>
                      <w:color w:val="000000" w:themeColor="text1"/>
                      <w14:textFill>
                        <w14:solidFill>
                          <w14:schemeClr w14:val="tx1"/>
                        </w14:solidFill>
                      </w14:textFill>
                    </w:rPr>
                    <w:t>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674" w:type="pct"/>
                  <w:vAlign w:val="center"/>
                </w:tcPr>
                <w:p w14:paraId="46EAA504">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本项目原料为水基岩屑，属一般工业固废。</w:t>
                  </w:r>
                </w:p>
              </w:tc>
              <w:tc>
                <w:tcPr>
                  <w:tcW w:w="400" w:type="pct"/>
                  <w:vMerge w:val="restart"/>
                  <w:vAlign w:val="center"/>
                </w:tcPr>
                <w:p w14:paraId="6F589978">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0CFC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4AA03236">
                  <w:pPr>
                    <w:pStyle w:val="13"/>
                    <w:rPr>
                      <w:color w:val="000000" w:themeColor="text1"/>
                      <w14:textFill>
                        <w14:solidFill>
                          <w14:schemeClr w14:val="tx1"/>
                        </w14:solidFill>
                      </w14:textFill>
                    </w:rPr>
                  </w:pPr>
                </w:p>
              </w:tc>
              <w:tc>
                <w:tcPr>
                  <w:tcW w:w="2443" w:type="pct"/>
                  <w:gridSpan w:val="2"/>
                  <w:vAlign w:val="center"/>
                </w:tcPr>
                <w:p w14:paraId="6077D08E">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加强大宗固体废弃物综合利用。提升冶炼渣、尾矿、共伴生矿、赤泥、建筑垃圾综合利用能力，加强有价组分高效提取及整体利用，因地制宜推动煤矸石多元化利用。拓宽秸秆综合利用途径，提高秸秆还田科学化、规范化水平。推进畜禽养殖废弃物资源化利用。</w:t>
                  </w:r>
                </w:p>
              </w:tc>
              <w:tc>
                <w:tcPr>
                  <w:tcW w:w="1674" w:type="pct"/>
                  <w:vAlign w:val="center"/>
                </w:tcPr>
                <w:p w14:paraId="7C105A37">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本项目不涉及大宗固体废弃物的综合利用。</w:t>
                  </w:r>
                </w:p>
              </w:tc>
              <w:tc>
                <w:tcPr>
                  <w:tcW w:w="400" w:type="pct"/>
                  <w:vMerge w:val="continue"/>
                  <w:vAlign w:val="center"/>
                </w:tcPr>
                <w:p w14:paraId="2D023A39">
                  <w:pPr>
                    <w:pStyle w:val="13"/>
                    <w:rPr>
                      <w:color w:val="000000" w:themeColor="text1"/>
                      <w14:textFill>
                        <w14:solidFill>
                          <w14:schemeClr w14:val="tx1"/>
                        </w14:solidFill>
                      </w14:textFill>
                    </w:rPr>
                  </w:pPr>
                </w:p>
              </w:tc>
            </w:tr>
            <w:tr w14:paraId="37E0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41A450EF">
                  <w:pPr>
                    <w:pStyle w:val="13"/>
                    <w:rPr>
                      <w:color w:val="000000" w:themeColor="text1"/>
                      <w14:textFill>
                        <w14:solidFill>
                          <w14:schemeClr w14:val="tx1"/>
                        </w14:solidFill>
                      </w14:textFill>
                    </w:rPr>
                  </w:pPr>
                </w:p>
              </w:tc>
              <w:tc>
                <w:tcPr>
                  <w:tcW w:w="2443" w:type="pct"/>
                  <w:gridSpan w:val="2"/>
                  <w:vAlign w:val="center"/>
                </w:tcPr>
                <w:p w14:paraId="2DA849F6">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提升再生资源循环利用水平。强化再生资源综合利用行业规范管理。开展“城市矿产”示范基地升级行动。深入实施生产者责任延伸制度，引导电器电子产品、汽车、动力电池等生产企业参与回收利用。完善旧货交易管理制度。鼓励“互联网＋二手”模式发展。大力发展再制造产业。在确保固体废物零进口的前提下，有序推进海外优质再生资源进口利用。</w:t>
                  </w:r>
                </w:p>
              </w:tc>
              <w:tc>
                <w:tcPr>
                  <w:tcW w:w="1674" w:type="pct"/>
                  <w:vAlign w:val="center"/>
                </w:tcPr>
                <w:p w14:paraId="01BC32BA">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本项目属于水基岩屑和综合利用，不属于电器电子产品、汽车、动力电池等行业。</w:t>
                  </w:r>
                </w:p>
              </w:tc>
              <w:tc>
                <w:tcPr>
                  <w:tcW w:w="400" w:type="pct"/>
                  <w:vMerge w:val="continue"/>
                  <w:vAlign w:val="center"/>
                </w:tcPr>
                <w:p w14:paraId="335FE7EC">
                  <w:pPr>
                    <w:pStyle w:val="13"/>
                    <w:rPr>
                      <w:color w:val="000000" w:themeColor="text1"/>
                      <w14:textFill>
                        <w14:solidFill>
                          <w14:schemeClr w14:val="tx1"/>
                        </w14:solidFill>
                      </w14:textFill>
                    </w:rPr>
                  </w:pPr>
                </w:p>
              </w:tc>
            </w:tr>
            <w:tr w14:paraId="5D0E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5C83C9FA">
                  <w:pPr>
                    <w:pStyle w:val="13"/>
                    <w:rPr>
                      <w:color w:val="000000" w:themeColor="text1"/>
                      <w14:textFill>
                        <w14:solidFill>
                          <w14:schemeClr w14:val="tx1"/>
                        </w14:solidFill>
                      </w14:textFill>
                    </w:rPr>
                  </w:pPr>
                </w:p>
              </w:tc>
              <w:tc>
                <w:tcPr>
                  <w:tcW w:w="2443" w:type="pct"/>
                  <w:gridSpan w:val="2"/>
                  <w:vAlign w:val="center"/>
                </w:tcPr>
                <w:p w14:paraId="62C1080B">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加强再生材料应用推广。建立完善再生材料标准和认证制度。研究实施再生材料和产品碳足迹认证。引导生产企业提高再生材料应用比例。推动将再生材料应用情况纳入企业履行社会责任范围。将更多符合条件的再生材料和产品纳入政府绿色采购范围。探索再生材料应用情况信息化追溯。</w:t>
                  </w:r>
                </w:p>
              </w:tc>
              <w:tc>
                <w:tcPr>
                  <w:tcW w:w="1674" w:type="pct"/>
                  <w:vAlign w:val="center"/>
                </w:tcPr>
                <w:p w14:paraId="33F490B8">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本项目利用水基岩屑烧制免烧砌块，其产品严格执行《</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非烧结垃圾尾矿砖》</w:t>
                  </w:r>
                  <w:r>
                    <w:rPr>
                      <w:rFonts w:hint="eastAsia"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JC/T422-2025），同时需满足《陆上石油天然气开采水基钻井废弃物处理处置及资源化利用技术规范》（SY/T7466-2020</w:t>
                  </w:r>
                  <w:r>
                    <w:rPr>
                      <w:rFonts w:hint="eastAsia"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《陆上石油天然气钻井环境保护技术规范》（SY/T7298-2024</w:t>
                  </w:r>
                  <w:r>
                    <w:rPr>
                      <w:rFonts w:hint="eastAsia"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中关于浸出液污染控制项目限值要求</w:t>
                  </w:r>
                  <w:r>
                    <w:rPr>
                      <w:rFonts w:hint="eastAsia" w:cs="Times New Roman"/>
                      <w:color w:val="000000" w:themeColor="text1"/>
                      <w:kern w:val="0"/>
                      <w:sz w:val="21"/>
                      <w:szCs w:val="21"/>
                      <w:lang w:val="en-US" w:eastAsia="zh-CN" w:bidi="ar"/>
                      <w14:textFill>
                        <w14:solidFill>
                          <w14:schemeClr w14:val="tx1"/>
                        </w14:solidFill>
                      </w14:textFill>
                    </w:rPr>
                    <w:t>。</w:t>
                  </w:r>
                </w:p>
              </w:tc>
              <w:tc>
                <w:tcPr>
                  <w:tcW w:w="400" w:type="pct"/>
                  <w:vMerge w:val="continue"/>
                  <w:vAlign w:val="center"/>
                </w:tcPr>
                <w:p w14:paraId="09A5A883">
                  <w:pPr>
                    <w:pStyle w:val="13"/>
                    <w:rPr>
                      <w:color w:val="000000" w:themeColor="text1"/>
                      <w14:textFill>
                        <w14:solidFill>
                          <w14:schemeClr w14:val="tx1"/>
                        </w14:solidFill>
                      </w14:textFill>
                    </w:rPr>
                  </w:pPr>
                </w:p>
              </w:tc>
            </w:tr>
            <w:tr w14:paraId="4A55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13927760">
                  <w:pPr>
                    <w:pStyle w:val="13"/>
                    <w:rPr>
                      <w:color w:val="000000" w:themeColor="text1"/>
                      <w14:textFill>
                        <w14:solidFill>
                          <w14:schemeClr w14:val="tx1"/>
                        </w14:solidFill>
                      </w14:textFill>
                    </w:rPr>
                  </w:pPr>
                </w:p>
              </w:tc>
              <w:tc>
                <w:tcPr>
                  <w:tcW w:w="2443" w:type="pct"/>
                  <w:gridSpan w:val="2"/>
                  <w:vAlign w:val="center"/>
                </w:tcPr>
                <w:p w14:paraId="385C2148">
                  <w:pPr>
                    <w:pStyle w:val="13"/>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提</w:t>
                  </w:r>
                  <w:r>
                    <w:rPr>
                      <w:rFonts w:hint="eastAsia"/>
                      <w:color w:val="000000" w:themeColor="text1"/>
                      <w14:textFill>
                        <w14:solidFill>
                          <w14:schemeClr w14:val="tx1"/>
                        </w14:solidFill>
                      </w14:textFill>
                    </w:rPr>
                    <w:t>升全过程无害化水平。加强大宗工业固体废物无害化预处理，降低贮存填埋量和环境污染风险。因地制宜确定生活垃圾处理方式，合理布局建设生活垃圾焚烧处理设施，鼓励在确保安全稳定运行前提下，协同处置城镇污水处理厂污泥和工业固体废物。新建生活垃圾焚烧项目应同步落实飞灰处理途径，逐步减少飞灰填埋量。优化污泥处理处置结构，压减填埋规模。</w:t>
                  </w:r>
                </w:p>
              </w:tc>
              <w:tc>
                <w:tcPr>
                  <w:tcW w:w="1674" w:type="pct"/>
                  <w:vAlign w:val="center"/>
                </w:tcPr>
                <w:p w14:paraId="562AFB25">
                  <w:pPr>
                    <w:pStyle w:val="1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本项目属于水基岩屑综合利用，水基岩屑属一般工业固废。</w:t>
                  </w:r>
                </w:p>
              </w:tc>
              <w:tc>
                <w:tcPr>
                  <w:tcW w:w="400" w:type="pct"/>
                  <w:vMerge w:val="continue"/>
                  <w:vAlign w:val="center"/>
                </w:tcPr>
                <w:p w14:paraId="7E4ED316">
                  <w:pPr>
                    <w:pStyle w:val="13"/>
                    <w:rPr>
                      <w:color w:val="000000" w:themeColor="text1"/>
                      <w14:textFill>
                        <w14:solidFill>
                          <w14:schemeClr w14:val="tx1"/>
                        </w14:solidFill>
                      </w14:textFill>
                    </w:rPr>
                  </w:pPr>
                </w:p>
              </w:tc>
            </w:tr>
            <w:tr w14:paraId="7B91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5E592B60">
                  <w:pPr>
                    <w:pStyle w:val="13"/>
                    <w:rPr>
                      <w:color w:val="000000" w:themeColor="text1"/>
                      <w14:textFill>
                        <w14:solidFill>
                          <w14:schemeClr w14:val="tx1"/>
                        </w14:solidFill>
                      </w14:textFill>
                    </w:rPr>
                  </w:pPr>
                </w:p>
              </w:tc>
              <w:tc>
                <w:tcPr>
                  <w:tcW w:w="2443" w:type="pct"/>
                  <w:gridSpan w:val="2"/>
                  <w:vAlign w:val="center"/>
                </w:tcPr>
                <w:p w14:paraId="7730AE45">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稳妥有序探索规模化消纳利用渠道。在符合环境质量标准、污染风险管控要求和安全生产要求前提下，探索通过井下充填、矿坑回填、生态修复等方式规模化消纳利用大宗工业固体废物。建立统一规范的管理制度，加强部门协同，严格履行相关审批和决策程序，坚决防范以规模化消纳利用名义非法倾倒。</w:t>
                  </w:r>
                </w:p>
              </w:tc>
              <w:tc>
                <w:tcPr>
                  <w:tcW w:w="1674" w:type="pct"/>
                  <w:vAlign w:val="center"/>
                </w:tcPr>
                <w:p w14:paraId="16A4E963">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本项目为水基岩屑综合利用，生产过程产生的固体废物均得到妥善处理。</w:t>
                  </w:r>
                </w:p>
              </w:tc>
              <w:tc>
                <w:tcPr>
                  <w:tcW w:w="400" w:type="pct"/>
                  <w:vMerge w:val="continue"/>
                  <w:vAlign w:val="center"/>
                </w:tcPr>
                <w:p w14:paraId="45E9D992">
                  <w:pPr>
                    <w:pStyle w:val="13"/>
                    <w:rPr>
                      <w:color w:val="000000" w:themeColor="text1"/>
                      <w14:textFill>
                        <w14:solidFill>
                          <w14:schemeClr w14:val="tx1"/>
                        </w14:solidFill>
                      </w14:textFill>
                    </w:rPr>
                  </w:pPr>
                </w:p>
              </w:tc>
            </w:tr>
            <w:tr w14:paraId="2F28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restart"/>
                  <w:vAlign w:val="center"/>
                </w:tcPr>
                <w:p w14:paraId="21462C03">
                  <w:pPr>
                    <w:pStyle w:val="13"/>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关于印发《一般工业固体废物环境管理工作指南》的通知（环办固体函〔2026〕18号）</w:t>
                  </w:r>
                </w:p>
              </w:tc>
              <w:tc>
                <w:tcPr>
                  <w:tcW w:w="436" w:type="pct"/>
                  <w:vMerge w:val="restart"/>
                  <w:vAlign w:val="center"/>
                </w:tcPr>
                <w:p w14:paraId="79C77A7D">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八、贮存管理</w:t>
                  </w:r>
                </w:p>
              </w:tc>
              <w:tc>
                <w:tcPr>
                  <w:tcW w:w="2006" w:type="pct"/>
                  <w:vAlign w:val="center"/>
                </w:tcPr>
                <w:p w14:paraId="76E8F708">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1.产废单位建设、运行一般工业固体废物贮存场，应当执行《一般工业固体废物贮存和填埋污染控制标准》(GB 18599)等有关标准规范及环境影响评价审批文件要求。</w:t>
                  </w:r>
                </w:p>
              </w:tc>
              <w:tc>
                <w:tcPr>
                  <w:tcW w:w="1674" w:type="pct"/>
                  <w:vAlign w:val="center"/>
                </w:tcPr>
                <w:p w14:paraId="40063BAB">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本项目水基岩屑储存池、水基岩屑堆存区以及一般固废暂存间均执行</w:t>
                  </w:r>
                  <w:r>
                    <w:rPr>
                      <w:rFonts w:hint="eastAsia"/>
                      <w:color w:val="000000" w:themeColor="text1"/>
                      <w14:textFill>
                        <w14:solidFill>
                          <w14:schemeClr w14:val="tx1"/>
                        </w14:solidFill>
                      </w14:textFill>
                    </w:rPr>
                    <w:t>《一般工业固体废物贮存和填埋污染控制标准》(GB18599</w:t>
                  </w:r>
                  <w:r>
                    <w:rPr>
                      <w:rFonts w:hint="eastAsia"/>
                      <w:color w:val="000000" w:themeColor="text1"/>
                      <w:lang w:val="en-US" w:eastAsia="zh-CN"/>
                      <w14:textFill>
                        <w14:solidFill>
                          <w14:schemeClr w14:val="tx1"/>
                        </w14:solidFill>
                      </w14:textFill>
                    </w:rPr>
                    <w:t>-2020</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相关要求。</w:t>
                  </w:r>
                </w:p>
              </w:tc>
              <w:tc>
                <w:tcPr>
                  <w:tcW w:w="400" w:type="pct"/>
                  <w:vAlign w:val="center"/>
                </w:tcPr>
                <w:p w14:paraId="6FFC80EC">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0EA6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65FF434E">
                  <w:pPr>
                    <w:pStyle w:val="13"/>
                    <w:rPr>
                      <w:color w:val="000000" w:themeColor="text1"/>
                      <w14:textFill>
                        <w14:solidFill>
                          <w14:schemeClr w14:val="tx1"/>
                        </w14:solidFill>
                      </w14:textFill>
                    </w:rPr>
                  </w:pPr>
                </w:p>
              </w:tc>
              <w:tc>
                <w:tcPr>
                  <w:tcW w:w="436" w:type="pct"/>
                  <w:vMerge w:val="continue"/>
                  <w:vAlign w:val="center"/>
                </w:tcPr>
                <w:p w14:paraId="257B2B35">
                  <w:pPr>
                    <w:pStyle w:val="13"/>
                    <w:rPr>
                      <w:color w:val="000000" w:themeColor="text1"/>
                      <w14:textFill>
                        <w14:solidFill>
                          <w14:schemeClr w14:val="tx1"/>
                        </w14:solidFill>
                      </w14:textFill>
                    </w:rPr>
                  </w:pPr>
                </w:p>
              </w:tc>
              <w:tc>
                <w:tcPr>
                  <w:tcW w:w="2006" w:type="pct"/>
                  <w:vAlign w:val="center"/>
                </w:tcPr>
                <w:p w14:paraId="5F9CD0D6">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2.产废单位应对照《固体废物分类与代码目录》，将一般工业固体废物分类分区贮存。</w:t>
                  </w:r>
                </w:p>
              </w:tc>
              <w:tc>
                <w:tcPr>
                  <w:tcW w:w="1674" w:type="pct"/>
                  <w:vMerge w:val="restart"/>
                  <w:vAlign w:val="center"/>
                </w:tcPr>
                <w:p w14:paraId="0D932719">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本项目设置水基岩屑储存池、水基岩屑堆存区以及一般固废暂存间，设置在厂房内，地面进行重点防渗处理；按规定张贴标识标牌，分类分区暂存。</w:t>
                  </w:r>
                </w:p>
              </w:tc>
              <w:tc>
                <w:tcPr>
                  <w:tcW w:w="400" w:type="pct"/>
                  <w:vMerge w:val="restart"/>
                  <w:vAlign w:val="center"/>
                </w:tcPr>
                <w:p w14:paraId="123B0F8C">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013B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7463B4B7">
                  <w:pPr>
                    <w:pStyle w:val="13"/>
                    <w:rPr>
                      <w:color w:val="000000" w:themeColor="text1"/>
                      <w14:textFill>
                        <w14:solidFill>
                          <w14:schemeClr w14:val="tx1"/>
                        </w14:solidFill>
                      </w14:textFill>
                    </w:rPr>
                  </w:pPr>
                </w:p>
              </w:tc>
              <w:tc>
                <w:tcPr>
                  <w:tcW w:w="436" w:type="pct"/>
                  <w:vMerge w:val="continue"/>
                  <w:vAlign w:val="center"/>
                </w:tcPr>
                <w:p w14:paraId="63365C50">
                  <w:pPr>
                    <w:pStyle w:val="13"/>
                    <w:rPr>
                      <w:color w:val="000000" w:themeColor="text1"/>
                      <w14:textFill>
                        <w14:solidFill>
                          <w14:schemeClr w14:val="tx1"/>
                        </w14:solidFill>
                      </w14:textFill>
                    </w:rPr>
                  </w:pPr>
                </w:p>
              </w:tc>
              <w:tc>
                <w:tcPr>
                  <w:tcW w:w="2006" w:type="pct"/>
                  <w:vAlign w:val="center"/>
                </w:tcPr>
                <w:p w14:paraId="14186085">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3.产废单位应在贮存设施显著位置张贴符合《环境保护图形标志一固体废物贮存(处置)场》(GB15562.2)规定的环境保护图形标志，并注明贮存的一般工业固体废物种类等信息。</w:t>
                  </w:r>
                </w:p>
              </w:tc>
              <w:tc>
                <w:tcPr>
                  <w:tcW w:w="1674" w:type="pct"/>
                  <w:vMerge w:val="continue"/>
                  <w:vAlign w:val="center"/>
                </w:tcPr>
                <w:p w14:paraId="444215C6">
                  <w:pPr>
                    <w:pStyle w:val="13"/>
                    <w:rPr>
                      <w:rFonts w:hint="default" w:eastAsia="宋体"/>
                      <w:color w:val="000000" w:themeColor="text1"/>
                      <w:lang w:val="en-US" w:eastAsia="zh-CN"/>
                      <w14:textFill>
                        <w14:solidFill>
                          <w14:schemeClr w14:val="tx1"/>
                        </w14:solidFill>
                      </w14:textFill>
                    </w:rPr>
                  </w:pPr>
                </w:p>
              </w:tc>
              <w:tc>
                <w:tcPr>
                  <w:tcW w:w="400" w:type="pct"/>
                  <w:vMerge w:val="continue"/>
                  <w:vAlign w:val="center"/>
                </w:tcPr>
                <w:p w14:paraId="022C073C">
                  <w:pPr>
                    <w:pStyle w:val="13"/>
                    <w:rPr>
                      <w:rFonts w:hint="eastAsia"/>
                      <w:color w:val="000000" w:themeColor="text1"/>
                      <w14:textFill>
                        <w14:solidFill>
                          <w14:schemeClr w14:val="tx1"/>
                        </w14:solidFill>
                      </w14:textFill>
                    </w:rPr>
                  </w:pPr>
                </w:p>
              </w:tc>
            </w:tr>
            <w:tr w14:paraId="4EEB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1C7B0EC4">
                  <w:pPr>
                    <w:pStyle w:val="13"/>
                    <w:rPr>
                      <w:rFonts w:hint="eastAsia"/>
                      <w:color w:val="000000" w:themeColor="text1"/>
                      <w14:textFill>
                        <w14:solidFill>
                          <w14:schemeClr w14:val="tx1"/>
                        </w14:solidFill>
                      </w14:textFill>
                    </w:rPr>
                  </w:pPr>
                </w:p>
              </w:tc>
              <w:tc>
                <w:tcPr>
                  <w:tcW w:w="436" w:type="pct"/>
                  <w:vMerge w:val="continue"/>
                  <w:vAlign w:val="center"/>
                </w:tcPr>
                <w:p w14:paraId="05EC62D7">
                  <w:pPr>
                    <w:pStyle w:val="13"/>
                    <w:rPr>
                      <w:rFonts w:hint="eastAsia"/>
                      <w:color w:val="000000" w:themeColor="text1"/>
                      <w14:textFill>
                        <w14:solidFill>
                          <w14:schemeClr w14:val="tx1"/>
                        </w14:solidFill>
                      </w14:textFill>
                    </w:rPr>
                  </w:pPr>
                </w:p>
              </w:tc>
              <w:tc>
                <w:tcPr>
                  <w:tcW w:w="2006" w:type="pct"/>
                  <w:vAlign w:val="center"/>
                </w:tcPr>
                <w:p w14:paraId="52B32AA0">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4.采用库房、包装工具等贮存一般工业固体废物的，应根据物料特性及可能产生的环境污染风险，合理采取防扬散、防流失、防渗漏等环境保护措施。</w:t>
                  </w:r>
                </w:p>
              </w:tc>
              <w:tc>
                <w:tcPr>
                  <w:tcW w:w="1674" w:type="pct"/>
                  <w:vMerge w:val="continue"/>
                  <w:vAlign w:val="center"/>
                </w:tcPr>
                <w:p w14:paraId="4427D82F">
                  <w:pPr>
                    <w:pStyle w:val="13"/>
                    <w:rPr>
                      <w:rFonts w:hint="eastAsia"/>
                      <w:color w:val="000000" w:themeColor="text1"/>
                      <w14:textFill>
                        <w14:solidFill>
                          <w14:schemeClr w14:val="tx1"/>
                        </w14:solidFill>
                      </w14:textFill>
                    </w:rPr>
                  </w:pPr>
                </w:p>
              </w:tc>
              <w:tc>
                <w:tcPr>
                  <w:tcW w:w="400" w:type="pct"/>
                  <w:vMerge w:val="continue"/>
                  <w:vAlign w:val="center"/>
                </w:tcPr>
                <w:p w14:paraId="4DDCAD3A">
                  <w:pPr>
                    <w:pStyle w:val="13"/>
                    <w:rPr>
                      <w:rFonts w:hint="eastAsia"/>
                      <w:color w:val="000000" w:themeColor="text1"/>
                      <w14:textFill>
                        <w14:solidFill>
                          <w14:schemeClr w14:val="tx1"/>
                        </w14:solidFill>
                      </w14:textFill>
                    </w:rPr>
                  </w:pPr>
                </w:p>
              </w:tc>
            </w:tr>
            <w:tr w14:paraId="596A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703F170F">
                  <w:pPr>
                    <w:pStyle w:val="13"/>
                    <w:rPr>
                      <w:rFonts w:hint="eastAsia"/>
                      <w:color w:val="000000" w:themeColor="text1"/>
                      <w14:textFill>
                        <w14:solidFill>
                          <w14:schemeClr w14:val="tx1"/>
                        </w14:solidFill>
                      </w14:textFill>
                    </w:rPr>
                  </w:pPr>
                </w:p>
              </w:tc>
              <w:tc>
                <w:tcPr>
                  <w:tcW w:w="436" w:type="pct"/>
                  <w:vMerge w:val="continue"/>
                  <w:vAlign w:val="center"/>
                </w:tcPr>
                <w:p w14:paraId="2149663F">
                  <w:pPr>
                    <w:pStyle w:val="13"/>
                    <w:rPr>
                      <w:rFonts w:hint="eastAsia"/>
                      <w:color w:val="000000" w:themeColor="text1"/>
                      <w14:textFill>
                        <w14:solidFill>
                          <w14:schemeClr w14:val="tx1"/>
                        </w14:solidFill>
                      </w14:textFill>
                    </w:rPr>
                  </w:pPr>
                </w:p>
              </w:tc>
              <w:tc>
                <w:tcPr>
                  <w:tcW w:w="2006" w:type="pct"/>
                  <w:vAlign w:val="center"/>
                </w:tcPr>
                <w:p w14:paraId="35DE75EE">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5.鼓励有条件的产废单位在贮存场所出入口、磅秤位置等关键点位设置视频监控，配备智能称重设备。</w:t>
                  </w:r>
                </w:p>
              </w:tc>
              <w:tc>
                <w:tcPr>
                  <w:tcW w:w="1674" w:type="pct"/>
                  <w:vAlign w:val="center"/>
                </w:tcPr>
                <w:p w14:paraId="2A9FE88B">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本项目厂区门口设置地磅和视频监控。</w:t>
                  </w:r>
                </w:p>
              </w:tc>
              <w:tc>
                <w:tcPr>
                  <w:tcW w:w="400" w:type="pct"/>
                  <w:vAlign w:val="center"/>
                </w:tcPr>
                <w:p w14:paraId="4483D85B">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76D5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4B21E706">
                  <w:pPr>
                    <w:pStyle w:val="13"/>
                    <w:rPr>
                      <w:rFonts w:hint="eastAsia"/>
                      <w:color w:val="000000" w:themeColor="text1"/>
                      <w14:textFill>
                        <w14:solidFill>
                          <w14:schemeClr w14:val="tx1"/>
                        </w14:solidFill>
                      </w14:textFill>
                    </w:rPr>
                  </w:pPr>
                </w:p>
              </w:tc>
              <w:tc>
                <w:tcPr>
                  <w:tcW w:w="436" w:type="pct"/>
                  <w:vMerge w:val="restart"/>
                  <w:vAlign w:val="center"/>
                </w:tcPr>
                <w:p w14:paraId="3994B4BE">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九、利用处置管理</w:t>
                  </w:r>
                </w:p>
              </w:tc>
              <w:tc>
                <w:tcPr>
                  <w:tcW w:w="2006" w:type="pct"/>
                  <w:vAlign w:val="center"/>
                </w:tcPr>
                <w:p w14:paraId="6381EF97">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产废单位应当根据经济、技术条件对一般工业固体废物加以利用，利用一般工业固体废物应符合《一般工业固体废物贮存和填埋污染控制标准》(GB18599)、《锰渣污染控制技术规范》(HL]1241)、《磷石膏利用和无害化贮存污染控制技术规范》(HLJ1415)等有关标准规范要求。</w:t>
                  </w:r>
                </w:p>
              </w:tc>
              <w:tc>
                <w:tcPr>
                  <w:tcW w:w="1674" w:type="pct"/>
                  <w:vAlign w:val="center"/>
                </w:tcPr>
                <w:p w14:paraId="3B8B23C7">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本项目利用的水基岩屑属于一般工业固废，利用水基岩屑符合《石油天然气开采业固体废物污染控制技术规范（试行）》（HJ1461-2026）相关要求。</w:t>
                  </w:r>
                </w:p>
              </w:tc>
              <w:tc>
                <w:tcPr>
                  <w:tcW w:w="400" w:type="pct"/>
                  <w:vAlign w:val="center"/>
                </w:tcPr>
                <w:p w14:paraId="06AA06DA">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1E84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026190E5">
                  <w:pPr>
                    <w:pStyle w:val="13"/>
                    <w:rPr>
                      <w:color w:val="000000" w:themeColor="text1"/>
                      <w14:textFill>
                        <w14:solidFill>
                          <w14:schemeClr w14:val="tx1"/>
                        </w14:solidFill>
                      </w14:textFill>
                    </w:rPr>
                  </w:pPr>
                </w:p>
              </w:tc>
              <w:tc>
                <w:tcPr>
                  <w:tcW w:w="436" w:type="pct"/>
                  <w:vMerge w:val="continue"/>
                  <w:vAlign w:val="center"/>
                </w:tcPr>
                <w:p w14:paraId="7BB123DE">
                  <w:pPr>
                    <w:pStyle w:val="13"/>
                    <w:rPr>
                      <w:color w:val="000000" w:themeColor="text1"/>
                      <w14:textFill>
                        <w14:solidFill>
                          <w14:schemeClr w14:val="tx1"/>
                        </w14:solidFill>
                      </w14:textFill>
                    </w:rPr>
                  </w:pPr>
                </w:p>
              </w:tc>
              <w:tc>
                <w:tcPr>
                  <w:tcW w:w="2006" w:type="pct"/>
                  <w:vAlign w:val="center"/>
                </w:tcPr>
                <w:p w14:paraId="2115476B">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2.对一般工业固体废物进行无害化处置的，应当符合《一般工业固体废物贮存和填埋污染控制标准》(GB18599)、《水泥窑协同处置固体废物污染控制标准》(GB30485)等有关标准规范要求。</w:t>
                  </w:r>
                </w:p>
              </w:tc>
              <w:tc>
                <w:tcPr>
                  <w:tcW w:w="1674" w:type="pct"/>
                  <w:vAlign w:val="center"/>
                </w:tcPr>
                <w:p w14:paraId="6DAED179">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本项目水基岩屑的贮存符合</w:t>
                  </w:r>
                  <w:r>
                    <w:rPr>
                      <w:rFonts w:hint="eastAsia"/>
                      <w:color w:val="000000" w:themeColor="text1"/>
                      <w14:textFill>
                        <w14:solidFill>
                          <w14:schemeClr w14:val="tx1"/>
                        </w14:solidFill>
                      </w14:textFill>
                    </w:rPr>
                    <w:t>《一般工业固体废物贮存和填埋污染控制标准》(GB18599)</w:t>
                  </w:r>
                  <w:r>
                    <w:rPr>
                      <w:rFonts w:hint="eastAsia"/>
                      <w:lang w:val="en-US" w:eastAsia="zh-CN"/>
                    </w:rPr>
                    <w:t>相关要求，具体分析见下文第18条的符合性分析内容</w:t>
                  </w:r>
                </w:p>
              </w:tc>
              <w:tc>
                <w:tcPr>
                  <w:tcW w:w="400" w:type="pct"/>
                  <w:vAlign w:val="center"/>
                </w:tcPr>
                <w:p w14:paraId="0D4EFA1A">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4852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7115027C">
                  <w:pPr>
                    <w:pStyle w:val="13"/>
                    <w:rPr>
                      <w:rFonts w:hint="eastAsia"/>
                      <w:color w:val="000000" w:themeColor="text1"/>
                      <w14:textFill>
                        <w14:solidFill>
                          <w14:schemeClr w14:val="tx1"/>
                        </w14:solidFill>
                      </w14:textFill>
                    </w:rPr>
                  </w:pPr>
                </w:p>
              </w:tc>
              <w:tc>
                <w:tcPr>
                  <w:tcW w:w="436" w:type="pct"/>
                  <w:vMerge w:val="continue"/>
                  <w:vAlign w:val="center"/>
                </w:tcPr>
                <w:p w14:paraId="1290AF98">
                  <w:pPr>
                    <w:pStyle w:val="13"/>
                    <w:rPr>
                      <w:rFonts w:hint="eastAsia"/>
                      <w:color w:val="000000" w:themeColor="text1"/>
                      <w14:textFill>
                        <w14:solidFill>
                          <w14:schemeClr w14:val="tx1"/>
                        </w14:solidFill>
                      </w14:textFill>
                    </w:rPr>
                  </w:pPr>
                </w:p>
              </w:tc>
              <w:tc>
                <w:tcPr>
                  <w:tcW w:w="2006" w:type="pct"/>
                  <w:vAlign w:val="center"/>
                </w:tcPr>
                <w:p w14:paraId="0BC26199">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4.鼓励产废单位在利用处置设施安装视频监控。</w:t>
                  </w:r>
                </w:p>
              </w:tc>
              <w:tc>
                <w:tcPr>
                  <w:tcW w:w="1674" w:type="pct"/>
                  <w:vAlign w:val="center"/>
                </w:tcPr>
                <w:p w14:paraId="7CC90373">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本次评价建议企业在回转窑设备处安装视频监控。</w:t>
                  </w:r>
                </w:p>
              </w:tc>
              <w:tc>
                <w:tcPr>
                  <w:tcW w:w="400" w:type="pct"/>
                  <w:vAlign w:val="center"/>
                </w:tcPr>
                <w:p w14:paraId="22D0722D">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3805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49E62C81">
                  <w:pPr>
                    <w:pStyle w:val="13"/>
                    <w:rPr>
                      <w:rFonts w:hint="eastAsia"/>
                      <w:color w:val="000000" w:themeColor="text1"/>
                      <w14:textFill>
                        <w14:solidFill>
                          <w14:schemeClr w14:val="tx1"/>
                        </w14:solidFill>
                      </w14:textFill>
                    </w:rPr>
                  </w:pPr>
                </w:p>
              </w:tc>
              <w:tc>
                <w:tcPr>
                  <w:tcW w:w="436" w:type="pct"/>
                  <w:vMerge w:val="restart"/>
                  <w:vAlign w:val="center"/>
                </w:tcPr>
                <w:p w14:paraId="60C6D542">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十、设备管理</w:t>
                  </w:r>
                </w:p>
              </w:tc>
              <w:tc>
                <w:tcPr>
                  <w:tcW w:w="2006" w:type="pct"/>
                  <w:vAlign w:val="center"/>
                </w:tcPr>
                <w:p w14:paraId="1B141C7C">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1.定期对厂区内收集、贮存、利用、处置等设施、设备和场所进行检查维护，保证其正常运行和使用。</w:t>
                  </w:r>
                </w:p>
              </w:tc>
              <w:tc>
                <w:tcPr>
                  <w:tcW w:w="1674" w:type="pct"/>
                  <w:vAlign w:val="center"/>
                </w:tcPr>
                <w:p w14:paraId="111AA321">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项目定期对水基岩屑储存池、水基岩屑堆存区、一般固废暂存间以及回转窑设备进行检查维护，保证正常运行和使用。</w:t>
                  </w:r>
                </w:p>
              </w:tc>
              <w:tc>
                <w:tcPr>
                  <w:tcW w:w="400" w:type="pct"/>
                  <w:vAlign w:val="center"/>
                </w:tcPr>
                <w:p w14:paraId="3596D66F">
                  <w:pPr>
                    <w:pStyle w:val="13"/>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5E0A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481" w:type="pct"/>
                  <w:vMerge w:val="continue"/>
                  <w:vAlign w:val="center"/>
                </w:tcPr>
                <w:p w14:paraId="1F411667">
                  <w:pPr>
                    <w:pStyle w:val="13"/>
                    <w:rPr>
                      <w:color w:val="000000" w:themeColor="text1"/>
                      <w14:textFill>
                        <w14:solidFill>
                          <w14:schemeClr w14:val="tx1"/>
                        </w14:solidFill>
                      </w14:textFill>
                    </w:rPr>
                  </w:pPr>
                </w:p>
              </w:tc>
              <w:tc>
                <w:tcPr>
                  <w:tcW w:w="436" w:type="pct"/>
                  <w:vMerge w:val="continue"/>
                  <w:vAlign w:val="center"/>
                </w:tcPr>
                <w:p w14:paraId="2400AF69">
                  <w:pPr>
                    <w:pStyle w:val="13"/>
                    <w:rPr>
                      <w:color w:val="000000" w:themeColor="text1"/>
                      <w14:textFill>
                        <w14:solidFill>
                          <w14:schemeClr w14:val="tx1"/>
                        </w14:solidFill>
                      </w14:textFill>
                    </w:rPr>
                  </w:pPr>
                </w:p>
              </w:tc>
              <w:tc>
                <w:tcPr>
                  <w:tcW w:w="2006" w:type="pct"/>
                  <w:vAlign w:val="center"/>
                </w:tcPr>
                <w:p w14:paraId="5676C25E">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2.按照有关法律和排污单位自行监测技术指南等规定，建立企业监测制度，</w:t>
                  </w:r>
                </w:p>
                <w:p w14:paraId="6AAA9A47">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制定监测方案，定期进行环境监测，并编制监测报告。</w:t>
                  </w:r>
                </w:p>
              </w:tc>
              <w:tc>
                <w:tcPr>
                  <w:tcW w:w="1674" w:type="pct"/>
                  <w:vAlign w:val="center"/>
                </w:tcPr>
                <w:p w14:paraId="1C04831C">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本项目制定了企业监测制度，建设单位委托有资质单位进行定期监测，并出具监测报告。</w:t>
                  </w:r>
                </w:p>
              </w:tc>
              <w:tc>
                <w:tcPr>
                  <w:tcW w:w="400" w:type="pct"/>
                  <w:vAlign w:val="center"/>
                </w:tcPr>
                <w:p w14:paraId="2542D50E">
                  <w:pPr>
                    <w:pStyle w:val="13"/>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bl>
          <w:p w14:paraId="4BF430AC">
            <w:pPr>
              <w:pStyle w:val="4"/>
              <w:keepNext w:val="0"/>
              <w:keepLines w:val="0"/>
              <w:pageBreakBefore w:val="0"/>
              <w:widowControl w:val="0"/>
              <w:kinsoku/>
              <w:wordWrap/>
              <w:overflowPunct/>
              <w:topLinePunct w:val="0"/>
              <w:autoSpaceDE/>
              <w:autoSpaceDN/>
              <w:bidi w:val="0"/>
              <w:adjustRightInd/>
              <w:snapToGrid/>
              <w:spacing w:before="0" w:beforeLines="0"/>
              <w:ind w:firstLine="480" w:firstLineChars="200"/>
              <w:textAlignment w:val="auto"/>
              <w:rPr>
                <w:rFonts w:hint="eastAsia" w:eastAsia="宋体"/>
                <w:b w:val="0"/>
                <w:bCs/>
                <w:color w:val="000000" w:themeColor="text1"/>
                <w:lang w:val="en-US" w:eastAsia="zh-CN"/>
                <w14:textFill>
                  <w14:solidFill>
                    <w14:schemeClr w14:val="tx1"/>
                  </w14:solidFill>
                </w14:textFill>
              </w:rPr>
            </w:pPr>
            <w:r>
              <w:rPr>
                <w:rFonts w:cs="Times New Roman"/>
                <w:b w:val="0"/>
                <w:bCs/>
                <w:color w:val="000000" w:themeColor="text1"/>
                <w14:textFill>
                  <w14:solidFill>
                    <w14:schemeClr w14:val="tx1"/>
                  </w14:solidFill>
                </w14:textFill>
              </w:rPr>
              <w:t>综上，本项目建设与</w:t>
            </w:r>
            <w:r>
              <w:rPr>
                <w:rFonts w:hint="eastAsia" w:cs="Times New Roman"/>
                <w:b w:val="0"/>
                <w:bCs/>
                <w:color w:val="000000" w:themeColor="text1"/>
                <w:lang w:val="en-US" w:eastAsia="zh-CN"/>
                <w14:textFill>
                  <w14:solidFill>
                    <w14:schemeClr w14:val="tx1"/>
                  </w14:solidFill>
                </w14:textFill>
              </w:rPr>
              <w:t>固废</w:t>
            </w:r>
            <w:r>
              <w:rPr>
                <w:rFonts w:cs="Times New Roman"/>
                <w:b w:val="0"/>
                <w:bCs/>
                <w:color w:val="000000" w:themeColor="text1"/>
                <w14:textFill>
                  <w14:solidFill>
                    <w14:schemeClr w14:val="tx1"/>
                  </w14:solidFill>
                </w14:textFill>
              </w:rPr>
              <w:t>污染防治相关要求相符</w:t>
            </w:r>
            <w:r>
              <w:rPr>
                <w:rFonts w:hint="eastAsia" w:cs="Times New Roman"/>
                <w:b w:val="0"/>
                <w:bCs/>
                <w:color w:val="000000" w:themeColor="text1"/>
                <w:lang w:eastAsia="zh-CN"/>
                <w14:textFill>
                  <w14:solidFill>
                    <w14:schemeClr w14:val="tx1"/>
                  </w14:solidFill>
                </w14:textFill>
              </w:rPr>
              <w:t>。</w:t>
            </w:r>
          </w:p>
          <w:p w14:paraId="22EDC11D">
            <w:pPr>
              <w:pStyle w:val="4"/>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项目与</w:t>
            </w:r>
            <w:r>
              <w:rPr>
                <w:color w:val="000000" w:themeColor="text1"/>
                <w14:textFill>
                  <w14:solidFill>
                    <w14:schemeClr w14:val="tx1"/>
                  </w14:solidFill>
                </w14:textFill>
              </w:rPr>
              <w:t>《固体废物再生利用污染防治技术导则》</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HJ1091-2020）符合性</w:t>
            </w:r>
          </w:p>
          <w:p w14:paraId="3526E80F">
            <w:pPr>
              <w:pStyle w:val="12"/>
              <w:rPr>
                <w:color w:val="000000" w:themeColor="text1"/>
                <w14:textFill>
                  <w14:solidFill>
                    <w14:schemeClr w14:val="tx1"/>
                  </w14:solidFill>
                </w14:textFill>
              </w:rPr>
            </w:pPr>
            <w:bookmarkStart w:id="29" w:name="OLE_LINK94"/>
            <w:bookmarkStart w:id="30" w:name="OLE_LINK95"/>
            <w:r>
              <w:rPr>
                <w:color w:val="000000" w:themeColor="text1"/>
                <w14:textFill>
                  <w14:solidFill>
                    <w14:schemeClr w14:val="tx1"/>
                  </w14:solidFill>
                </w14:textFill>
              </w:rPr>
              <w:t>表</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noBreakHyphen/>
            </w:r>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 xml:space="preserve"> </w:t>
            </w:r>
            <w:bookmarkEnd w:id="29"/>
            <w:bookmarkEnd w:id="30"/>
            <w:r>
              <w:rPr>
                <w:color w:val="000000" w:themeColor="text1"/>
                <w14:textFill>
                  <w14:solidFill>
                    <w14:schemeClr w14:val="tx1"/>
                  </w14:solidFill>
                </w14:textFill>
              </w:rPr>
              <w:t>与《固体废物再生利用污染防治技术导则》</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HJ1091-2020）符合性分析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3555"/>
              <w:gridCol w:w="3753"/>
              <w:gridCol w:w="1074"/>
            </w:tblGrid>
            <w:tr w14:paraId="48F1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30A15DC5">
                  <w:pPr>
                    <w:pStyle w:val="51"/>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2012" w:type="pct"/>
                  <w:vAlign w:val="center"/>
                </w:tcPr>
                <w:p w14:paraId="39970BA2">
                  <w:pPr>
                    <w:pStyle w:val="51"/>
                    <w:rPr>
                      <w:color w:val="000000" w:themeColor="text1"/>
                      <w14:textFill>
                        <w14:solidFill>
                          <w14:schemeClr w14:val="tx1"/>
                        </w14:solidFill>
                      </w14:textFill>
                    </w:rPr>
                  </w:pPr>
                  <w:r>
                    <w:rPr>
                      <w:color w:val="000000" w:themeColor="text1"/>
                      <w14:textFill>
                        <w14:solidFill>
                          <w14:schemeClr w14:val="tx1"/>
                        </w14:solidFill>
                      </w14:textFill>
                    </w:rPr>
                    <w:t>HJ1091-2020相关要求</w:t>
                  </w:r>
                </w:p>
              </w:tc>
              <w:tc>
                <w:tcPr>
                  <w:tcW w:w="2124" w:type="pct"/>
                  <w:vAlign w:val="center"/>
                </w:tcPr>
                <w:p w14:paraId="72A6211D">
                  <w:pPr>
                    <w:pStyle w:val="51"/>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608" w:type="pct"/>
                  <w:vAlign w:val="center"/>
                </w:tcPr>
                <w:p w14:paraId="6A513883">
                  <w:pPr>
                    <w:pStyle w:val="51"/>
                    <w:rPr>
                      <w:color w:val="000000" w:themeColor="text1"/>
                      <w14:textFill>
                        <w14:solidFill>
                          <w14:schemeClr w14:val="tx1"/>
                        </w14:solidFill>
                      </w14:textFill>
                    </w:rPr>
                  </w:pPr>
                  <w:r>
                    <w:rPr>
                      <w:color w:val="000000" w:themeColor="text1"/>
                      <w14:textFill>
                        <w14:solidFill>
                          <w14:schemeClr w14:val="tx1"/>
                        </w14:solidFill>
                      </w14:textFill>
                    </w:rPr>
                    <w:t>符合性</w:t>
                  </w:r>
                </w:p>
              </w:tc>
            </w:tr>
            <w:tr w14:paraId="1168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05BDF5C9">
                  <w:pPr>
                    <w:pStyle w:val="13"/>
                    <w:rPr>
                      <w:color w:val="000000" w:themeColor="text1"/>
                      <w14:textFill>
                        <w14:solidFill>
                          <w14:schemeClr w14:val="tx1"/>
                        </w14:solidFill>
                      </w14:textFill>
                    </w:rPr>
                  </w:pPr>
                  <w:r>
                    <w:rPr>
                      <w:color w:val="000000" w:themeColor="text1"/>
                      <w14:textFill>
                        <w14:solidFill>
                          <w14:schemeClr w14:val="tx1"/>
                        </w14:solidFill>
                      </w14:textFill>
                    </w:rPr>
                    <w:t>1</w:t>
                  </w:r>
                </w:p>
              </w:tc>
              <w:tc>
                <w:tcPr>
                  <w:tcW w:w="2012" w:type="pct"/>
                  <w:vAlign w:val="center"/>
                </w:tcPr>
                <w:p w14:paraId="638ACB1A">
                  <w:pPr>
                    <w:pStyle w:val="13"/>
                    <w:rPr>
                      <w:color w:val="000000" w:themeColor="text1"/>
                      <w14:textFill>
                        <w14:solidFill>
                          <w14:schemeClr w14:val="tx1"/>
                        </w14:solidFill>
                      </w14:textFill>
                    </w:rPr>
                  </w:pPr>
                  <w:r>
                    <w:rPr>
                      <w:color w:val="000000" w:themeColor="text1"/>
                      <w14:textFill>
                        <w14:solidFill>
                          <w14:schemeClr w14:val="tx1"/>
                        </w14:solidFill>
                      </w14:textFill>
                    </w:rPr>
                    <w:t>进行再生利用作业前，应明确固体废物的理化特性，并采取相应的安全防护措施，以防止固体废物在清洗、破碎、中和反应等过程中引起有毒有害物质的释放。</w:t>
                  </w:r>
                </w:p>
              </w:tc>
              <w:tc>
                <w:tcPr>
                  <w:tcW w:w="2124" w:type="pct"/>
                  <w:vAlign w:val="center"/>
                </w:tcPr>
                <w:p w14:paraId="5E9E8F4B">
                  <w:pPr>
                    <w:pStyle w:val="13"/>
                    <w:rPr>
                      <w:color w:val="000000" w:themeColor="text1"/>
                      <w14:textFill>
                        <w14:solidFill>
                          <w14:schemeClr w14:val="tx1"/>
                        </w14:solidFill>
                      </w14:textFill>
                    </w:rPr>
                  </w:pPr>
                  <w:r>
                    <w:rPr>
                      <w:color w:val="000000" w:themeColor="text1"/>
                      <w14:textFill>
                        <w14:solidFill>
                          <w14:schemeClr w14:val="tx1"/>
                        </w14:solidFill>
                      </w14:textFill>
                    </w:rPr>
                    <w:t>水基岩屑来源于巴中</w:t>
                  </w:r>
                  <w:r>
                    <w:rPr>
                      <w:rFonts w:hint="eastAsia"/>
                      <w:color w:val="000000" w:themeColor="text1"/>
                      <w14:textFill>
                        <w14:solidFill>
                          <w14:schemeClr w14:val="tx1"/>
                        </w14:solidFill>
                      </w14:textFill>
                    </w:rPr>
                    <w:t>及周边</w:t>
                  </w:r>
                  <w:r>
                    <w:rPr>
                      <w:rFonts w:hint="eastAsia"/>
                      <w:color w:val="000000" w:themeColor="text1"/>
                      <w:lang w:val="en-US" w:eastAsia="zh-CN"/>
                      <w14:textFill>
                        <w14:solidFill>
                          <w14:schemeClr w14:val="tx1"/>
                        </w14:solidFill>
                      </w14:textFill>
                    </w:rPr>
                    <w:t>石油</w:t>
                  </w:r>
                  <w:r>
                    <w:rPr>
                      <w:color w:val="000000" w:themeColor="text1"/>
                      <w14:textFill>
                        <w14:solidFill>
                          <w14:schemeClr w14:val="tx1"/>
                        </w14:solidFill>
                      </w14:textFill>
                    </w:rPr>
                    <w:t>天然气钻井过程中产生的水基岩屑。根据2018年2月原四川省环境保护厅发布的《四川省页岩气开采业污染防治技术政策》</w:t>
                  </w:r>
                  <w:r>
                    <w:rPr>
                      <w:rFonts w:hint="eastAsia"/>
                      <w:color w:val="000000" w:themeColor="text1"/>
                      <w:lang w:val="en-US" w:eastAsia="zh-CN"/>
                      <w14:textFill>
                        <w14:solidFill>
                          <w14:schemeClr w14:val="tx1"/>
                        </w14:solidFill>
                      </w14:textFill>
                    </w:rPr>
                    <w:t>以及</w:t>
                  </w:r>
                  <w:r>
                    <w:rPr>
                      <w:rFonts w:hint="eastAsia"/>
                      <w:color w:val="000000" w:themeColor="text1"/>
                      <w14:textFill>
                        <w14:solidFill>
                          <w14:schemeClr w14:val="tx1"/>
                        </w14:solidFill>
                      </w14:textFill>
                    </w:rPr>
                    <w:t>《危险废物排除管理清单（2026年版）》</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水基岩屑按照一般工业固废管理。</w:t>
                  </w:r>
                  <w:r>
                    <w:rPr>
                      <w:rFonts w:hint="eastAsia"/>
                      <w:color w:val="000000" w:themeColor="text1"/>
                      <w:lang w:val="en-US" w:eastAsia="zh-CN"/>
                      <w14:textFill>
                        <w14:solidFill>
                          <w14:schemeClr w14:val="tx1"/>
                        </w14:solidFill>
                      </w14:textFill>
                    </w:rPr>
                    <w:t>此外，本项目通过煅烧预处理，将水基岩屑中的重金属固定，减少有毒有害物质的释放，进入废气中的石油烃及生产过程中产生的其他有害物质均通过污染防治措施进行有效治理，实现达标排放。厂区</w:t>
                  </w:r>
                  <w:r>
                    <w:rPr>
                      <w:color w:val="000000" w:themeColor="text1"/>
                      <w14:textFill>
                        <w14:solidFill>
                          <w14:schemeClr w14:val="tx1"/>
                        </w14:solidFill>
                      </w14:textFill>
                    </w:rPr>
                    <w:t>设置专用</w:t>
                  </w:r>
                  <w:r>
                    <w:rPr>
                      <w:rFonts w:hint="eastAsia"/>
                      <w:color w:val="000000" w:themeColor="text1"/>
                      <w14:textFill>
                        <w14:solidFill>
                          <w14:schemeClr w14:val="tx1"/>
                        </w14:solidFill>
                      </w14:textFill>
                    </w:rPr>
                    <w:t>水基岩屑储存池</w:t>
                  </w:r>
                  <w:r>
                    <w:rPr>
                      <w:rFonts w:hint="eastAsia"/>
                      <w:color w:val="000000" w:themeColor="text1"/>
                      <w:lang w:val="en-US" w:eastAsia="zh-CN"/>
                      <w14:textFill>
                        <w14:solidFill>
                          <w14:schemeClr w14:val="tx1"/>
                        </w14:solidFill>
                      </w14:textFill>
                    </w:rPr>
                    <w:t>和干水基岩屑堆存区</w:t>
                  </w:r>
                  <w:r>
                    <w:rPr>
                      <w:color w:val="000000" w:themeColor="text1"/>
                      <w14:textFill>
                        <w14:solidFill>
                          <w14:schemeClr w14:val="tx1"/>
                        </w14:solidFill>
                      </w14:textFill>
                    </w:rPr>
                    <w:t>，用于</w:t>
                  </w:r>
                  <w:r>
                    <w:rPr>
                      <w:rFonts w:hint="eastAsia"/>
                      <w:color w:val="000000" w:themeColor="text1"/>
                      <w14:textFill>
                        <w14:solidFill>
                          <w14:schemeClr w14:val="tx1"/>
                        </w14:solidFill>
                      </w14:textFill>
                    </w:rPr>
                    <w:t>暂存</w:t>
                  </w:r>
                  <w:r>
                    <w:rPr>
                      <w:rFonts w:hint="eastAsia"/>
                      <w:color w:val="000000" w:themeColor="text1"/>
                      <w:lang w:eastAsia="zh-CN"/>
                      <w14:textFill>
                        <w14:solidFill>
                          <w14:schemeClr w14:val="tx1"/>
                        </w14:solidFill>
                      </w14:textFill>
                    </w:rPr>
                    <w:t>水基岩屑</w:t>
                  </w:r>
                  <w:r>
                    <w:rPr>
                      <w:rFonts w:hint="eastAsia"/>
                      <w:color w:val="000000" w:themeColor="text1"/>
                      <w14:textFill>
                        <w14:solidFill>
                          <w14:schemeClr w14:val="tx1"/>
                        </w14:solidFill>
                      </w14:textFill>
                    </w:rPr>
                    <w:t>原料，储存池采取</w:t>
                  </w:r>
                  <w:r>
                    <w:rPr>
                      <w:color w:val="000000" w:themeColor="text1"/>
                      <w14:textFill>
                        <w14:solidFill>
                          <w14:schemeClr w14:val="tx1"/>
                        </w14:solidFill>
                      </w14:textFill>
                    </w:rPr>
                    <w:t>相应的防渗措施，防止有毒有害物质的释放。</w:t>
                  </w:r>
                </w:p>
              </w:tc>
              <w:tc>
                <w:tcPr>
                  <w:tcW w:w="608" w:type="pct"/>
                  <w:vAlign w:val="center"/>
                </w:tcPr>
                <w:p w14:paraId="03EC0AD7">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6DC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70C4D90D">
                  <w:pPr>
                    <w:pStyle w:val="13"/>
                    <w:rPr>
                      <w:color w:val="000000" w:themeColor="text1"/>
                      <w14:textFill>
                        <w14:solidFill>
                          <w14:schemeClr w14:val="tx1"/>
                        </w14:solidFill>
                      </w14:textFill>
                    </w:rPr>
                  </w:pPr>
                  <w:r>
                    <w:rPr>
                      <w:color w:val="000000" w:themeColor="text1"/>
                      <w14:textFill>
                        <w14:solidFill>
                          <w14:schemeClr w14:val="tx1"/>
                        </w14:solidFill>
                      </w14:textFill>
                    </w:rPr>
                    <w:t>2</w:t>
                  </w:r>
                </w:p>
              </w:tc>
              <w:tc>
                <w:tcPr>
                  <w:tcW w:w="2012" w:type="pct"/>
                  <w:vAlign w:val="center"/>
                </w:tcPr>
                <w:p w14:paraId="4AC7C00F">
                  <w:pPr>
                    <w:pStyle w:val="13"/>
                    <w:rPr>
                      <w:color w:val="000000" w:themeColor="text1"/>
                      <w14:textFill>
                        <w14:solidFill>
                          <w14:schemeClr w14:val="tx1"/>
                        </w14:solidFill>
                      </w14:textFill>
                    </w:rPr>
                  </w:pPr>
                  <w:r>
                    <w:rPr>
                      <w:color w:val="000000" w:themeColor="text1"/>
                      <w14:textFill>
                        <w14:solidFill>
                          <w14:schemeClr w14:val="tx1"/>
                        </w14:solidFill>
                      </w14:textFill>
                    </w:rPr>
                    <w:t>应根据固体废物的特性设置必要的防扬撒、防渗漏、防腐蚀设施，配备废气处理、废水处理、噪声控制等污染防治设施，按要求对主要环境影响指标进行在线监测。</w:t>
                  </w:r>
                </w:p>
              </w:tc>
              <w:tc>
                <w:tcPr>
                  <w:tcW w:w="2124" w:type="pct"/>
                  <w:vMerge w:val="restart"/>
                  <w:vAlign w:val="center"/>
                </w:tcPr>
                <w:p w14:paraId="6C1FCE7F">
                  <w:pPr>
                    <w:pStyle w:val="13"/>
                    <w:rPr>
                      <w:rFonts w:hint="eastAsia"/>
                      <w:color w:val="000000" w:themeColor="text1"/>
                      <w14:textFill>
                        <w14:solidFill>
                          <w14:schemeClr w14:val="tx1"/>
                        </w14:solidFill>
                      </w14:textFill>
                    </w:rPr>
                  </w:pPr>
                  <w:r>
                    <w:rPr>
                      <w:color w:val="000000" w:themeColor="text1"/>
                      <w14:textFill>
                        <w14:solidFill>
                          <w14:schemeClr w14:val="tx1"/>
                        </w14:solidFill>
                      </w14:textFill>
                    </w:rPr>
                    <w:t>水基岩屑</w:t>
                  </w:r>
                  <w:r>
                    <w:rPr>
                      <w:rFonts w:hint="eastAsia"/>
                      <w:color w:val="000000" w:themeColor="text1"/>
                      <w:lang w:val="en-US" w:eastAsia="zh-CN"/>
                      <w14:textFill>
                        <w14:solidFill>
                          <w14:schemeClr w14:val="tx1"/>
                        </w14:solidFill>
                      </w14:textFill>
                    </w:rPr>
                    <w:t>分别</w:t>
                  </w:r>
                  <w:r>
                    <w:rPr>
                      <w:color w:val="000000" w:themeColor="text1"/>
                      <w14:textFill>
                        <w14:solidFill>
                          <w14:schemeClr w14:val="tx1"/>
                        </w14:solidFill>
                      </w14:textFill>
                    </w:rPr>
                    <w:t>储存于</w:t>
                  </w:r>
                  <w:r>
                    <w:rPr>
                      <w:rFonts w:hint="eastAsia"/>
                      <w:color w:val="000000" w:themeColor="text1"/>
                      <w14:textFill>
                        <w14:solidFill>
                          <w14:schemeClr w14:val="tx1"/>
                        </w14:solidFill>
                      </w14:textFill>
                    </w:rPr>
                    <w:t>车间内储存池</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堆放区</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均</w:t>
                  </w:r>
                  <w:r>
                    <w:rPr>
                      <w:color w:val="000000" w:themeColor="text1"/>
                      <w14:textFill>
                        <w14:solidFill>
                          <w14:schemeClr w14:val="tx1"/>
                        </w14:solidFill>
                      </w14:textFill>
                    </w:rPr>
                    <w:t>采</w:t>
                  </w:r>
                  <w:r>
                    <w:rPr>
                      <w:rFonts w:hint="eastAsia"/>
                      <w:color w:val="000000" w:themeColor="text1"/>
                      <w:lang w:val="en-US" w:eastAsia="zh-CN"/>
                      <w14:textFill>
                        <w14:solidFill>
                          <w14:schemeClr w14:val="tx1"/>
                        </w14:solidFill>
                      </w14:textFill>
                    </w:rPr>
                    <w:t>取</w:t>
                  </w:r>
                  <w:r>
                    <w:rPr>
                      <w:color w:val="000000" w:themeColor="text1"/>
                      <w14:textFill>
                        <w14:solidFill>
                          <w14:schemeClr w14:val="tx1"/>
                        </w14:solidFill>
                      </w14:textFill>
                    </w:rPr>
                    <w:t>重点防渗措施。水基岩屑</w:t>
                  </w:r>
                  <w:r>
                    <w:rPr>
                      <w:rFonts w:hint="eastAsia"/>
                      <w:color w:val="000000" w:themeColor="text1"/>
                      <w:lang w:val="en-US" w:eastAsia="zh-CN"/>
                      <w14:textFill>
                        <w14:solidFill>
                          <w14:schemeClr w14:val="tx1"/>
                        </w14:solidFill>
                      </w14:textFill>
                    </w:rPr>
                    <w:t>堆存区均三面设置围堰，一面设置斜坡</w:t>
                  </w:r>
                  <w:r>
                    <w:rPr>
                      <w:rFonts w:hint="eastAsia"/>
                      <w:color w:val="000000" w:themeColor="text1"/>
                      <w14:textFill>
                        <w14:solidFill>
                          <w14:schemeClr w14:val="tx1"/>
                        </w14:solidFill>
                      </w14:textFill>
                    </w:rPr>
                    <w:t>。</w:t>
                  </w:r>
                </w:p>
                <w:p w14:paraId="53D66FB7">
                  <w:pPr>
                    <w:pStyle w:val="13"/>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煅烧回转</w:t>
                  </w:r>
                  <w:r>
                    <w:rPr>
                      <w:rFonts w:hint="eastAsia" w:ascii="Times New Roman" w:hAnsi="Times New Roman" w:eastAsia="宋体"/>
                      <w:color w:val="000000" w:themeColor="text1"/>
                      <w:lang w:val="en-US" w:eastAsia="zh-CN"/>
                      <w14:textFill>
                        <w14:solidFill>
                          <w14:schemeClr w14:val="tx1"/>
                        </w14:solidFill>
                      </w14:textFill>
                    </w:rPr>
                    <w:t>窑采用天然气作为燃料，废气采用</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cs="Times New Roman"/>
                      <w:color w:val="000000" w:themeColor="text1"/>
                      <w:lang w:val="en-US" w:eastAsia="zh-CN"/>
                      <w14:textFill>
                        <w14:solidFill>
                          <w14:schemeClr w14:val="tx1"/>
                        </w14:solidFill>
                      </w14:textFill>
                    </w:rPr>
                    <w:t>旋风除尘器+布袋除尘器1#+活性炭喷射+布袋除尘器2#+2座脱酸塔</w:t>
                  </w:r>
                  <w:r>
                    <w:rPr>
                      <w:rFonts w:hint="eastAsia" w:ascii="Times New Roman" w:hAnsi="Times New Roman" w:eastAsia="宋体"/>
                      <w:color w:val="000000" w:themeColor="text1"/>
                      <w:lang w:val="en-US" w:eastAsia="zh-CN"/>
                      <w14:textFill>
                        <w14:solidFill>
                          <w14:schemeClr w14:val="tx1"/>
                        </w14:solidFill>
                      </w14:textFill>
                    </w:rPr>
                    <w:t>工艺去除，经1根</w:t>
                  </w:r>
                  <w:r>
                    <w:rPr>
                      <w:rFonts w:hint="eastAsia"/>
                      <w:color w:val="000000" w:themeColor="text1"/>
                      <w:lang w:val="en-US" w:eastAsia="zh-CN"/>
                      <w14:textFill>
                        <w14:solidFill>
                          <w14:schemeClr w14:val="tx1"/>
                        </w14:solidFill>
                      </w14:textFill>
                    </w:rPr>
                    <w:t>45m</w:t>
                  </w:r>
                  <w:r>
                    <w:rPr>
                      <w:rFonts w:hint="eastAsia" w:ascii="Times New Roman" w:hAnsi="Times New Roman" w:eastAsia="宋体"/>
                      <w:color w:val="000000" w:themeColor="text1"/>
                      <w:lang w:val="en-US" w:eastAsia="zh-CN"/>
                      <w14:textFill>
                        <w14:solidFill>
                          <w14:schemeClr w14:val="tx1"/>
                        </w14:solidFill>
                      </w14:textFill>
                    </w:rPr>
                    <w:t>高排气筒（DA001）排放；</w:t>
                  </w:r>
                  <w:r>
                    <w:rPr>
                      <w:rFonts w:hint="eastAsia" w:cs="Times New Roman"/>
                      <w:color w:val="000000" w:themeColor="text1"/>
                      <w:sz w:val="21"/>
                      <w:szCs w:val="21"/>
                      <w:highlight w:val="none"/>
                      <w:lang w:val="en-US" w:eastAsia="zh-CN"/>
                      <w14:textFill>
                        <w14:solidFill>
                          <w14:schemeClr w14:val="tx1"/>
                        </w14:solidFill>
                      </w14:textFill>
                    </w:rPr>
                    <w:t>回转窑干燥、预热阶段挥发出的有机物（石油烃）在脱硫塔处冷凝液化成浮油，定期收集，委托有资质单位处置；极少量达标排放进入环境空气中；</w:t>
                  </w:r>
                  <w:r>
                    <w:rPr>
                      <w:rFonts w:hint="eastAsia" w:ascii="Times New Roman" w:hAnsi="Times New Roman" w:eastAsia="宋体"/>
                      <w:color w:val="000000" w:themeColor="text1"/>
                      <w:lang w:val="en-US" w:eastAsia="zh-CN"/>
                      <w14:textFill>
                        <w14:solidFill>
                          <w14:schemeClr w14:val="tx1"/>
                        </w14:solidFill>
                      </w14:textFill>
                    </w:rPr>
                    <w:t>设备设施均设置在封闭车间内。筒仓顶部自带布袋除尘器，砂石、预处理药剂投加口处设置喷雾降尘措施，</w:t>
                  </w:r>
                  <w:r>
                    <w:rPr>
                      <w:rFonts w:hint="eastAsia"/>
                      <w:color w:val="000000" w:themeColor="text1"/>
                      <w:lang w:val="en-US" w:eastAsia="zh-CN"/>
                      <w14:textFill>
                        <w14:solidFill>
                          <w14:schemeClr w14:val="tx1"/>
                        </w14:solidFill>
                      </w14:textFill>
                    </w:rPr>
                    <w:t>投料粉尘设置侧吸集气罩+布袋除尘器+喷淋抑尘，</w:t>
                  </w:r>
                  <w:r>
                    <w:rPr>
                      <w:rFonts w:hint="eastAsia" w:ascii="Times New Roman" w:hAnsi="Times New Roman" w:eastAsia="宋体"/>
                      <w:color w:val="000000" w:themeColor="text1"/>
                      <w:lang w:val="en-US" w:eastAsia="zh-CN"/>
                      <w14:textFill>
                        <w14:solidFill>
                          <w14:schemeClr w14:val="tx1"/>
                        </w14:solidFill>
                      </w14:textFill>
                    </w:rPr>
                    <w:t>能够有效控制无组织排放。有组织废气能够达到行业排放标准要求。</w:t>
                  </w:r>
                  <w:r>
                    <w:rPr>
                      <w:rFonts w:hint="eastAsia"/>
                      <w:color w:val="000000" w:themeColor="text1"/>
                      <w:lang w:val="en-US" w:eastAsia="zh-CN"/>
                      <w14:textFill>
                        <w14:solidFill>
                          <w14:schemeClr w14:val="tx1"/>
                        </w14:solidFill>
                      </w14:textFill>
                    </w:rPr>
                    <w:t>生活污水</w:t>
                  </w:r>
                  <w:r>
                    <w:rPr>
                      <w:rFonts w:hint="eastAsia" w:ascii="Times New Roman" w:hAnsi="Times New Roman" w:eastAsia="宋体"/>
                      <w:color w:val="000000" w:themeColor="text1"/>
                      <w:lang w:val="en-US" w:eastAsia="zh-CN"/>
                      <w14:textFill>
                        <w14:solidFill>
                          <w14:schemeClr w14:val="tx1"/>
                        </w14:solidFill>
                      </w14:textFill>
                    </w:rPr>
                    <w:t>达到</w:t>
                  </w:r>
                  <w:r>
                    <w:rPr>
                      <w:rFonts w:hint="eastAsia"/>
                      <w:color w:val="000000" w:themeColor="text1"/>
                      <w:lang w:val="en-US" w:eastAsia="zh-CN"/>
                      <w14:textFill>
                        <w14:solidFill>
                          <w14:schemeClr w14:val="tx1"/>
                        </w14:solidFill>
                      </w14:textFill>
                    </w:rPr>
                    <w:t>污水处理厂</w:t>
                  </w:r>
                  <w:r>
                    <w:rPr>
                      <w:rFonts w:hint="eastAsia" w:ascii="Times New Roman" w:hAnsi="Times New Roman" w:eastAsia="宋体"/>
                      <w:color w:val="000000" w:themeColor="text1"/>
                      <w:lang w:val="en-US" w:eastAsia="zh-CN"/>
                      <w14:textFill>
                        <w14:solidFill>
                          <w14:schemeClr w14:val="tx1"/>
                        </w14:solidFill>
                      </w14:textFill>
                    </w:rPr>
                    <w:t>收纳标准，排放至星光工业园区污水处理厂集中处理。</w:t>
                  </w:r>
                  <w:r>
                    <w:rPr>
                      <w:rFonts w:hint="eastAsia"/>
                      <w:color w:val="000000" w:themeColor="text1"/>
                      <w:lang w:val="en-US" w:eastAsia="zh-CN"/>
                      <w14:textFill>
                        <w14:solidFill>
                          <w14:schemeClr w14:val="tx1"/>
                        </w14:solidFill>
                      </w14:textFill>
                    </w:rPr>
                    <w:t>生产废水部分回用，剩余部分委托有资质单位清运处理。</w:t>
                  </w:r>
                  <w:r>
                    <w:rPr>
                      <w:rFonts w:hint="eastAsia" w:ascii="Times New Roman" w:hAnsi="Times New Roman" w:eastAsia="宋体"/>
                      <w:color w:val="000000" w:themeColor="text1"/>
                      <w:lang w:val="en-US" w:eastAsia="zh-CN"/>
                      <w14:textFill>
                        <w14:solidFill>
                          <w14:schemeClr w14:val="tx1"/>
                        </w14:solidFill>
                      </w14:textFill>
                    </w:rPr>
                    <w:t>噪声通过优选设备、基础</w:t>
                  </w:r>
                  <w:r>
                    <w:rPr>
                      <w:rFonts w:hint="eastAsia"/>
                      <w:color w:val="000000" w:themeColor="text1"/>
                      <w:lang w:val="en-US" w:eastAsia="zh-CN"/>
                      <w14:textFill>
                        <w14:solidFill>
                          <w14:schemeClr w14:val="tx1"/>
                        </w14:solidFill>
                      </w14:textFill>
                    </w:rPr>
                    <w:t>减振</w:t>
                  </w:r>
                  <w:r>
                    <w:rPr>
                      <w:rFonts w:hint="eastAsia" w:ascii="Times New Roman" w:hAnsi="Times New Roman" w:eastAsia="宋体"/>
                      <w:color w:val="000000" w:themeColor="text1"/>
                      <w:lang w:val="en-US" w:eastAsia="zh-CN"/>
                      <w14:textFill>
                        <w14:solidFill>
                          <w14:schemeClr w14:val="tx1"/>
                        </w14:solidFill>
                      </w14:textFill>
                    </w:rPr>
                    <w:t>、建筑隔声等进行控制。</w:t>
                  </w:r>
                </w:p>
              </w:tc>
              <w:tc>
                <w:tcPr>
                  <w:tcW w:w="608" w:type="pct"/>
                  <w:vAlign w:val="center"/>
                </w:tcPr>
                <w:p w14:paraId="1B41D02E">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6396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09A4EC98">
                  <w:pPr>
                    <w:pStyle w:val="13"/>
                    <w:rPr>
                      <w:color w:val="000000" w:themeColor="text1"/>
                      <w14:textFill>
                        <w14:solidFill>
                          <w14:schemeClr w14:val="tx1"/>
                        </w14:solidFill>
                      </w14:textFill>
                    </w:rPr>
                  </w:pPr>
                  <w:r>
                    <w:rPr>
                      <w:color w:val="000000" w:themeColor="text1"/>
                      <w14:textFill>
                        <w14:solidFill>
                          <w14:schemeClr w14:val="tx1"/>
                        </w14:solidFill>
                      </w14:textFill>
                    </w:rPr>
                    <w:t>3</w:t>
                  </w:r>
                </w:p>
              </w:tc>
              <w:tc>
                <w:tcPr>
                  <w:tcW w:w="2012" w:type="pct"/>
                  <w:vAlign w:val="center"/>
                </w:tcPr>
                <w:p w14:paraId="171528C3">
                  <w:pPr>
                    <w:pStyle w:val="13"/>
                    <w:rPr>
                      <w:color w:val="000000" w:themeColor="text1"/>
                      <w14:textFill>
                        <w14:solidFill>
                          <w14:schemeClr w14:val="tx1"/>
                        </w14:solidFill>
                      </w14:textFill>
                    </w:rPr>
                  </w:pPr>
                  <w:r>
                    <w:rPr>
                      <w:color w:val="000000" w:themeColor="text1"/>
                      <w14:textFill>
                        <w14:solidFill>
                          <w14:schemeClr w14:val="tx1"/>
                        </w14:solidFill>
                      </w14:textFill>
                    </w:rPr>
                    <w:t>产生粉尘和有毒有害气体的作业区应采取除尘和有毒有害气体收集措施。扬尘点应设置吸尘罩和收尘设备，有毒有害气体逸散区应设置吸附</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吸收）转化装置。</w:t>
                  </w:r>
                </w:p>
              </w:tc>
              <w:tc>
                <w:tcPr>
                  <w:tcW w:w="2124" w:type="pct"/>
                  <w:vMerge w:val="continue"/>
                  <w:vAlign w:val="center"/>
                </w:tcPr>
                <w:p w14:paraId="21C97465">
                  <w:pPr>
                    <w:pStyle w:val="13"/>
                    <w:rPr>
                      <w:color w:val="000000" w:themeColor="text1"/>
                      <w14:textFill>
                        <w14:solidFill>
                          <w14:schemeClr w14:val="tx1"/>
                        </w14:solidFill>
                      </w14:textFill>
                    </w:rPr>
                  </w:pPr>
                </w:p>
              </w:tc>
              <w:tc>
                <w:tcPr>
                  <w:tcW w:w="608" w:type="pct"/>
                  <w:vAlign w:val="center"/>
                </w:tcPr>
                <w:p w14:paraId="4882F8F8">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36EB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100B1963">
                  <w:pPr>
                    <w:pStyle w:val="13"/>
                    <w:rPr>
                      <w:color w:val="000000" w:themeColor="text1"/>
                      <w14:textFill>
                        <w14:solidFill>
                          <w14:schemeClr w14:val="tx1"/>
                        </w14:solidFill>
                      </w14:textFill>
                    </w:rPr>
                  </w:pPr>
                  <w:r>
                    <w:rPr>
                      <w:color w:val="000000" w:themeColor="text1"/>
                      <w14:textFill>
                        <w14:solidFill>
                          <w14:schemeClr w14:val="tx1"/>
                        </w14:solidFill>
                      </w14:textFill>
                    </w:rPr>
                    <w:t>4</w:t>
                  </w:r>
                </w:p>
              </w:tc>
              <w:tc>
                <w:tcPr>
                  <w:tcW w:w="2012" w:type="pct"/>
                  <w:vAlign w:val="center"/>
                </w:tcPr>
                <w:p w14:paraId="14D9B333">
                  <w:pPr>
                    <w:pStyle w:val="13"/>
                    <w:rPr>
                      <w:color w:val="000000" w:themeColor="text1"/>
                      <w14:textFill>
                        <w14:solidFill>
                          <w14:schemeClr w14:val="tx1"/>
                        </w14:solidFill>
                      </w14:textFill>
                    </w:rPr>
                  </w:pPr>
                  <w:r>
                    <w:rPr>
                      <w:color w:val="000000" w:themeColor="text1"/>
                      <w14:textFill>
                        <w14:solidFill>
                          <w14:schemeClr w14:val="tx1"/>
                        </w14:solidFill>
                      </w14:textFill>
                    </w:rPr>
                    <w:t>应采取大气污染控制措施，大气污染物排放应满足特定行业排放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控制）标准的要求。没有特定行业污染排放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控制）标准的，应满足GB16297的要求，特征污染物排放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控制）应满足环境影响评价要求。</w:t>
                  </w:r>
                </w:p>
              </w:tc>
              <w:tc>
                <w:tcPr>
                  <w:tcW w:w="2124" w:type="pct"/>
                  <w:vMerge w:val="continue"/>
                  <w:vAlign w:val="center"/>
                </w:tcPr>
                <w:p w14:paraId="7EBC62E5">
                  <w:pPr>
                    <w:pStyle w:val="13"/>
                    <w:rPr>
                      <w:color w:val="000000" w:themeColor="text1"/>
                      <w14:textFill>
                        <w14:solidFill>
                          <w14:schemeClr w14:val="tx1"/>
                        </w14:solidFill>
                      </w14:textFill>
                    </w:rPr>
                  </w:pPr>
                </w:p>
              </w:tc>
              <w:tc>
                <w:tcPr>
                  <w:tcW w:w="608" w:type="pct"/>
                  <w:vAlign w:val="center"/>
                </w:tcPr>
                <w:p w14:paraId="1C2AF450">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877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7F6CE8E7">
                  <w:pPr>
                    <w:pStyle w:val="13"/>
                    <w:rPr>
                      <w:color w:val="000000" w:themeColor="text1"/>
                      <w14:textFill>
                        <w14:solidFill>
                          <w14:schemeClr w14:val="tx1"/>
                        </w14:solidFill>
                      </w14:textFill>
                    </w:rPr>
                  </w:pPr>
                  <w:r>
                    <w:rPr>
                      <w:color w:val="000000" w:themeColor="text1"/>
                      <w14:textFill>
                        <w14:solidFill>
                          <w14:schemeClr w14:val="tx1"/>
                        </w14:solidFill>
                      </w14:textFill>
                    </w:rPr>
                    <w:t>5</w:t>
                  </w:r>
                </w:p>
              </w:tc>
              <w:tc>
                <w:tcPr>
                  <w:tcW w:w="2012" w:type="pct"/>
                  <w:vAlign w:val="center"/>
                </w:tcPr>
                <w:p w14:paraId="102FD87D">
                  <w:pPr>
                    <w:pStyle w:val="13"/>
                    <w:rPr>
                      <w:color w:val="000000" w:themeColor="text1"/>
                      <w14:textFill>
                        <w14:solidFill>
                          <w14:schemeClr w14:val="tx1"/>
                        </w14:solidFill>
                      </w14:textFill>
                    </w:rPr>
                  </w:pPr>
                  <w:r>
                    <w:rPr>
                      <w:color w:val="000000" w:themeColor="text1"/>
                      <w14:textFill>
                        <w14:solidFill>
                          <w14:schemeClr w14:val="tx1"/>
                        </w14:solidFill>
                      </w14:textFill>
                    </w:rPr>
                    <w:t>应采取必要的措施防止恶臭物质扩散，周界恶臭污染物浓度应符合GB14554的要求。</w:t>
                  </w:r>
                </w:p>
              </w:tc>
              <w:tc>
                <w:tcPr>
                  <w:tcW w:w="2124" w:type="pct"/>
                  <w:vAlign w:val="center"/>
                </w:tcPr>
                <w:p w14:paraId="1690DC8C">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本项目生产车间密闭，通过喷洒除臭剂等措施，周界恶臭污染物（臭气浓度）浓度满足</w:t>
                  </w:r>
                  <w:r>
                    <w:rPr>
                      <w:color w:val="000000" w:themeColor="text1"/>
                      <w14:textFill>
                        <w14:solidFill>
                          <w14:schemeClr w14:val="tx1"/>
                        </w14:solidFill>
                      </w14:textFill>
                    </w:rPr>
                    <w:t>GB14554的要求</w:t>
                  </w:r>
                  <w:r>
                    <w:rPr>
                      <w:rFonts w:hint="eastAsia"/>
                      <w:color w:val="000000" w:themeColor="text1"/>
                      <w:lang w:eastAsia="zh-CN"/>
                      <w14:textFill>
                        <w14:solidFill>
                          <w14:schemeClr w14:val="tx1"/>
                        </w14:solidFill>
                      </w14:textFill>
                    </w:rPr>
                    <w:t>。</w:t>
                  </w:r>
                </w:p>
              </w:tc>
              <w:tc>
                <w:tcPr>
                  <w:tcW w:w="608" w:type="pct"/>
                  <w:vAlign w:val="center"/>
                </w:tcPr>
                <w:p w14:paraId="4E69B5FC">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087A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353A5812">
                  <w:pPr>
                    <w:pStyle w:val="13"/>
                    <w:rPr>
                      <w:color w:val="000000" w:themeColor="text1"/>
                      <w14:textFill>
                        <w14:solidFill>
                          <w14:schemeClr w14:val="tx1"/>
                        </w14:solidFill>
                      </w14:textFill>
                    </w:rPr>
                  </w:pPr>
                  <w:r>
                    <w:rPr>
                      <w:color w:val="000000" w:themeColor="text1"/>
                      <w14:textFill>
                        <w14:solidFill>
                          <w14:schemeClr w14:val="tx1"/>
                        </w14:solidFill>
                      </w14:textFill>
                    </w:rPr>
                    <w:t>6</w:t>
                  </w:r>
                </w:p>
              </w:tc>
              <w:tc>
                <w:tcPr>
                  <w:tcW w:w="2012" w:type="pct"/>
                  <w:vAlign w:val="center"/>
                </w:tcPr>
                <w:p w14:paraId="1A516F1A">
                  <w:pPr>
                    <w:pStyle w:val="13"/>
                    <w:rPr>
                      <w:color w:val="000000" w:themeColor="text1"/>
                      <w14:textFill>
                        <w14:solidFill>
                          <w14:schemeClr w14:val="tx1"/>
                        </w14:solidFill>
                      </w14:textFill>
                    </w:rPr>
                  </w:pPr>
                  <w:r>
                    <w:rPr>
                      <w:color w:val="000000" w:themeColor="text1"/>
                      <w14:textFill>
                        <w14:solidFill>
                          <w14:schemeClr w14:val="tx1"/>
                        </w14:solidFill>
                      </w14:textFill>
                    </w:rPr>
                    <w:t>产生的冷凝液、浓缩液、浸出液等废液应进行有效收集后集中处理。处理后产生的废水应优先考虑循环利用；排放时应满足特定行业排放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控制）标准的要求；没有特定行业污染排放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控制）标准的，应满足GB8978的要求，特征污染物排放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控制）应满足环境影响评价要求。</w:t>
                  </w:r>
                </w:p>
              </w:tc>
              <w:tc>
                <w:tcPr>
                  <w:tcW w:w="2124" w:type="pct"/>
                  <w:vAlign w:val="center"/>
                </w:tcPr>
                <w:p w14:paraId="411FF3A4">
                  <w:pPr>
                    <w:pStyle w:val="1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含水率</w:t>
                  </w:r>
                  <w:r>
                    <w:rPr>
                      <w:rFonts w:hint="default" w:ascii="Times New Roman" w:hAnsi="Times New Roman" w:cs="Times New Roman"/>
                      <w:color w:val="000000" w:themeColor="text1"/>
                      <w:lang w:val="en-US" w:eastAsia="zh-CN"/>
                      <w14:textFill>
                        <w14:solidFill>
                          <w14:schemeClr w14:val="tx1"/>
                        </w14:solidFill>
                      </w14:textFill>
                    </w:rPr>
                    <w:t>≤7</w:t>
                  </w:r>
                  <w:r>
                    <w:rPr>
                      <w:rFonts w:hint="eastAsia"/>
                      <w:color w:val="000000" w:themeColor="text1"/>
                      <w:lang w:val="en-US" w:eastAsia="zh-CN"/>
                      <w14:textFill>
                        <w14:solidFill>
                          <w14:schemeClr w14:val="tx1"/>
                        </w14:solidFill>
                      </w14:textFill>
                    </w:rPr>
                    <w:t>0%</w:t>
                  </w:r>
                  <w:r>
                    <w:rPr>
                      <w:rFonts w:hint="eastAsia"/>
                      <w:color w:val="000000" w:themeColor="text1"/>
                      <w14:textFill>
                        <w14:solidFill>
                          <w14:schemeClr w14:val="tx1"/>
                        </w14:solidFill>
                      </w14:textFill>
                    </w:rPr>
                    <w:t>水基岩屑在储存池内暂存，水基岩屑经压滤设备压滤后用于后续加工，压滤液部分回用于制砖生产，无法回用的部分</w:t>
                  </w:r>
                  <w:r>
                    <w:rPr>
                      <w:rFonts w:hint="eastAsia"/>
                      <w:color w:val="000000" w:themeColor="text1"/>
                      <w:lang w:val="en-US" w:eastAsia="zh-CN"/>
                      <w14:textFill>
                        <w14:solidFill>
                          <w14:schemeClr w14:val="tx1"/>
                        </w14:solidFill>
                      </w14:textFill>
                    </w:rPr>
                    <w:t>委托有资质单位清运处理</w:t>
                  </w:r>
                  <w:r>
                    <w:rPr>
                      <w:rFonts w:hint="eastAsia"/>
                      <w:color w:val="000000" w:themeColor="text1"/>
                      <w14:textFill>
                        <w14:solidFill>
                          <w14:schemeClr w14:val="tx1"/>
                        </w14:solidFill>
                      </w14:textFill>
                    </w:rPr>
                    <w:t>。</w:t>
                  </w:r>
                </w:p>
              </w:tc>
              <w:tc>
                <w:tcPr>
                  <w:tcW w:w="608" w:type="pct"/>
                  <w:vAlign w:val="center"/>
                </w:tcPr>
                <w:p w14:paraId="01D2A117">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7B6B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63557C18">
                  <w:pPr>
                    <w:pStyle w:val="13"/>
                    <w:rPr>
                      <w:color w:val="000000" w:themeColor="text1"/>
                      <w14:textFill>
                        <w14:solidFill>
                          <w14:schemeClr w14:val="tx1"/>
                        </w14:solidFill>
                      </w14:textFill>
                    </w:rPr>
                  </w:pPr>
                  <w:r>
                    <w:rPr>
                      <w:color w:val="000000" w:themeColor="text1"/>
                      <w14:textFill>
                        <w14:solidFill>
                          <w14:schemeClr w14:val="tx1"/>
                        </w14:solidFill>
                      </w14:textFill>
                    </w:rPr>
                    <w:t>7</w:t>
                  </w:r>
                </w:p>
              </w:tc>
              <w:tc>
                <w:tcPr>
                  <w:tcW w:w="2012" w:type="pct"/>
                  <w:vAlign w:val="center"/>
                </w:tcPr>
                <w:p w14:paraId="61869C5E">
                  <w:pPr>
                    <w:pStyle w:val="13"/>
                    <w:rPr>
                      <w:color w:val="000000" w:themeColor="text1"/>
                      <w14:textFill>
                        <w14:solidFill>
                          <w14:schemeClr w14:val="tx1"/>
                        </w14:solidFill>
                      </w14:textFill>
                    </w:rPr>
                  </w:pPr>
                  <w:r>
                    <w:rPr>
                      <w:color w:val="000000" w:themeColor="text1"/>
                      <w14:textFill>
                        <w14:solidFill>
                          <w14:schemeClr w14:val="tx1"/>
                        </w14:solidFill>
                      </w14:textFill>
                    </w:rPr>
                    <w:t>应防止噪声污染，设备运转时厂界噪声应符合GB12348的要求。</w:t>
                  </w:r>
                </w:p>
              </w:tc>
              <w:tc>
                <w:tcPr>
                  <w:tcW w:w="2124" w:type="pct"/>
                  <w:vAlign w:val="center"/>
                </w:tcPr>
                <w:p w14:paraId="0429B624">
                  <w:pPr>
                    <w:pStyle w:val="13"/>
                    <w:rPr>
                      <w:color w:val="000000" w:themeColor="text1"/>
                      <w14:textFill>
                        <w14:solidFill>
                          <w14:schemeClr w14:val="tx1"/>
                        </w14:solidFill>
                      </w14:textFill>
                    </w:rPr>
                  </w:pPr>
                  <w:r>
                    <w:rPr>
                      <w:color w:val="000000" w:themeColor="text1"/>
                      <w14:textFill>
                        <w14:solidFill>
                          <w14:schemeClr w14:val="tx1"/>
                        </w14:solidFill>
                      </w14:textFill>
                    </w:rPr>
                    <w:t>各类噪声源经隔声、消声、减振等措施并通过距离衰减后，厂界噪声可满足《工业企业厂界环境噪声排放标准》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GB12348-2008）中</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类区标准要求。</w:t>
                  </w:r>
                </w:p>
              </w:tc>
              <w:tc>
                <w:tcPr>
                  <w:tcW w:w="608" w:type="pct"/>
                  <w:vAlign w:val="center"/>
                </w:tcPr>
                <w:p w14:paraId="4F3D3D72">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63A8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596B464E">
                  <w:pPr>
                    <w:pStyle w:val="13"/>
                    <w:rPr>
                      <w:color w:val="000000" w:themeColor="text1"/>
                      <w14:textFill>
                        <w14:solidFill>
                          <w14:schemeClr w14:val="tx1"/>
                        </w14:solidFill>
                      </w14:textFill>
                    </w:rPr>
                  </w:pPr>
                  <w:r>
                    <w:rPr>
                      <w:color w:val="000000" w:themeColor="text1"/>
                      <w14:textFill>
                        <w14:solidFill>
                          <w14:schemeClr w14:val="tx1"/>
                        </w14:solidFill>
                      </w14:textFill>
                    </w:rPr>
                    <w:t>8</w:t>
                  </w:r>
                </w:p>
              </w:tc>
              <w:tc>
                <w:tcPr>
                  <w:tcW w:w="2012" w:type="pct"/>
                  <w:vAlign w:val="center"/>
                </w:tcPr>
                <w:p w14:paraId="03750F1B">
                  <w:pPr>
                    <w:pStyle w:val="13"/>
                    <w:rPr>
                      <w:color w:val="000000" w:themeColor="text1"/>
                      <w14:textFill>
                        <w14:solidFill>
                          <w14:schemeClr w14:val="tx1"/>
                        </w14:solidFill>
                      </w14:textFill>
                    </w:rPr>
                  </w:pPr>
                  <w:r>
                    <w:rPr>
                      <w:color w:val="000000" w:themeColor="text1"/>
                      <w14:textFill>
                        <w14:solidFill>
                          <w14:schemeClr w14:val="tx1"/>
                        </w14:solidFill>
                      </w14:textFill>
                    </w:rPr>
                    <w:t>产生的污泥、底渣、废油类等固体废物应按照其管理属性分别处置。不能自行综合利用或处置的，应交给有相应资质和处理能力的企业进行综合利用或处置。</w:t>
                  </w:r>
                </w:p>
              </w:tc>
              <w:tc>
                <w:tcPr>
                  <w:tcW w:w="2124" w:type="pct"/>
                  <w:vAlign w:val="center"/>
                </w:tcPr>
                <w:p w14:paraId="3CD14072">
                  <w:pPr>
                    <w:pStyle w:val="1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废气治理设施</w:t>
                  </w:r>
                  <w:r>
                    <w:rPr>
                      <w:color w:val="000000" w:themeColor="text1"/>
                      <w14:textFill>
                        <w14:solidFill>
                          <w14:schemeClr w14:val="tx1"/>
                        </w14:solidFill>
                      </w14:textFill>
                    </w:rPr>
                    <w:t>收集</w:t>
                  </w:r>
                  <w:r>
                    <w:rPr>
                      <w:rFonts w:hint="eastAsia"/>
                      <w:color w:val="000000" w:themeColor="text1"/>
                      <w:lang w:val="en-US" w:eastAsia="zh-CN"/>
                      <w14:textFill>
                        <w14:solidFill>
                          <w14:schemeClr w14:val="tx1"/>
                        </w14:solidFill>
                      </w14:textFill>
                    </w:rPr>
                    <w:t>到的</w:t>
                  </w:r>
                  <w:r>
                    <w:rPr>
                      <w:color w:val="000000" w:themeColor="text1"/>
                      <w14:textFill>
                        <w14:solidFill>
                          <w14:schemeClr w14:val="tx1"/>
                        </w14:solidFill>
                      </w14:textFill>
                    </w:rPr>
                    <w:t>粉尘均作为原料回用；</w:t>
                  </w:r>
                  <w:r>
                    <w:rPr>
                      <w:rFonts w:hint="eastAsia"/>
                      <w:color w:val="000000" w:themeColor="text1"/>
                      <w:lang w:val="en-US" w:eastAsia="zh-CN"/>
                      <w14:textFill>
                        <w14:solidFill>
                          <w14:schemeClr w14:val="tx1"/>
                        </w14:solidFill>
                      </w14:textFill>
                    </w:rPr>
                    <w:t>氟化钙污泥</w:t>
                  </w:r>
                  <w:r>
                    <w:rPr>
                      <w:rFonts w:hint="eastAsia"/>
                      <w:b w:val="0"/>
                      <w:bCs/>
                      <w:color w:val="000000" w:themeColor="text1"/>
                      <w:sz w:val="21"/>
                      <w:szCs w:val="21"/>
                      <w:lang w:val="en-US" w:eastAsia="zh-CN"/>
                      <w14:textFill>
                        <w14:solidFill>
                          <w14:schemeClr w14:val="tx1"/>
                        </w14:solidFill>
                      </w14:textFill>
                    </w:rPr>
                    <w:t>通过鉴定确定危险性质，后按照相应的固废种类进行管理</w:t>
                  </w:r>
                  <w:r>
                    <w:rPr>
                      <w:rFonts w:hint="eastAsia"/>
                      <w:b w:val="0"/>
                      <w:color w:val="000000" w:themeColor="text1"/>
                      <w:sz w:val="21"/>
                      <w:szCs w:val="24"/>
                      <w14:textFill>
                        <w14:solidFill>
                          <w14:schemeClr w14:val="tx1"/>
                        </w14:solidFill>
                      </w14:textFill>
                    </w:rPr>
                    <w:t>。</w:t>
                  </w:r>
                  <w:r>
                    <w:rPr>
                      <w:rFonts w:hint="eastAsia"/>
                      <w:b w:val="0"/>
                      <w:color w:val="000000" w:themeColor="text1"/>
                      <w:sz w:val="21"/>
                      <w:szCs w:val="24"/>
                      <w:lang w:val="en-US" w:eastAsia="zh-CN"/>
                      <w14:textFill>
                        <w14:solidFill>
                          <w14:schemeClr w14:val="tx1"/>
                        </w14:solidFill>
                      </w14:textFill>
                    </w:rPr>
                    <w:t>在未鉴别确定其性质之前，按危废进行管理</w:t>
                  </w:r>
                  <w:r>
                    <w:rPr>
                      <w:rFonts w:hint="eastAsia"/>
                      <w:color w:val="000000" w:themeColor="text1"/>
                      <w:lang w:val="en-US" w:eastAsia="zh-CN"/>
                      <w14:textFill>
                        <w14:solidFill>
                          <w14:schemeClr w14:val="tx1"/>
                        </w14:solidFill>
                      </w14:textFill>
                    </w:rPr>
                    <w:t>；废液压油、</w:t>
                  </w:r>
                  <w:r>
                    <w:rPr>
                      <w:color w:val="000000" w:themeColor="text1"/>
                      <w14:textFill>
                        <w14:solidFill>
                          <w14:schemeClr w14:val="tx1"/>
                        </w14:solidFill>
                      </w14:textFill>
                    </w:rPr>
                    <w:t>废</w:t>
                  </w:r>
                  <w:r>
                    <w:rPr>
                      <w:rFonts w:hint="eastAsia"/>
                      <w:color w:val="000000" w:themeColor="text1"/>
                      <w:lang w:val="en-US" w:eastAsia="zh-CN"/>
                      <w14:textFill>
                        <w14:solidFill>
                          <w14:schemeClr w14:val="tx1"/>
                        </w14:solidFill>
                      </w14:textFill>
                    </w:rPr>
                    <w:t>机油、废机油桶、废活性炭</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沾油废物</w:t>
                  </w:r>
                  <w:r>
                    <w:rPr>
                      <w:rFonts w:hint="eastAsia"/>
                      <w:color w:val="000000" w:themeColor="text1"/>
                      <w14:textFill>
                        <w14:solidFill>
                          <w14:schemeClr w14:val="tx1"/>
                        </w14:solidFill>
                      </w14:textFill>
                    </w:rPr>
                    <w:t>作为危险废物暂存，委托资质单位定期</w:t>
                  </w:r>
                  <w:r>
                    <w:rPr>
                      <w:color w:val="000000" w:themeColor="text1"/>
                      <w14:textFill>
                        <w14:solidFill>
                          <w14:schemeClr w14:val="tx1"/>
                        </w14:solidFill>
                      </w14:textFill>
                    </w:rPr>
                    <w:t>清运处置；生活垃圾由当地环卫清运。</w:t>
                  </w:r>
                </w:p>
              </w:tc>
              <w:tc>
                <w:tcPr>
                  <w:tcW w:w="608" w:type="pct"/>
                  <w:vAlign w:val="center"/>
                </w:tcPr>
                <w:p w14:paraId="42A233C0">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7F05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430E7559">
                  <w:pPr>
                    <w:pStyle w:val="13"/>
                    <w:rPr>
                      <w:color w:val="000000" w:themeColor="text1"/>
                      <w14:textFill>
                        <w14:solidFill>
                          <w14:schemeClr w14:val="tx1"/>
                        </w14:solidFill>
                      </w14:textFill>
                    </w:rPr>
                  </w:pPr>
                  <w:r>
                    <w:rPr>
                      <w:color w:val="000000" w:themeColor="text1"/>
                      <w14:textFill>
                        <w14:solidFill>
                          <w14:schemeClr w14:val="tx1"/>
                        </w14:solidFill>
                      </w14:textFill>
                    </w:rPr>
                    <w:t>9</w:t>
                  </w:r>
                </w:p>
              </w:tc>
              <w:tc>
                <w:tcPr>
                  <w:tcW w:w="2012" w:type="pct"/>
                  <w:vAlign w:val="center"/>
                </w:tcPr>
                <w:p w14:paraId="761283E7">
                  <w:pPr>
                    <w:pStyle w:val="13"/>
                    <w:rPr>
                      <w:color w:val="000000" w:themeColor="text1"/>
                      <w14:textFill>
                        <w14:solidFill>
                          <w14:schemeClr w14:val="tx1"/>
                        </w14:solidFill>
                      </w14:textFill>
                    </w:rPr>
                  </w:pPr>
                  <w:r>
                    <w:rPr>
                      <w:color w:val="000000" w:themeColor="text1"/>
                      <w14:textFill>
                        <w14:solidFill>
                          <w14:schemeClr w14:val="tx1"/>
                        </w14:solidFill>
                      </w14:textFill>
                    </w:rPr>
                    <w:t>危险废物的贮存、包装、处置等应符合GB18597、HJ2042等危险废物专用标准的要求。</w:t>
                  </w:r>
                </w:p>
              </w:tc>
              <w:tc>
                <w:tcPr>
                  <w:tcW w:w="2124" w:type="pct"/>
                  <w:vAlign w:val="center"/>
                </w:tcPr>
                <w:p w14:paraId="3F5B1E91">
                  <w:pPr>
                    <w:pStyle w:val="1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废液压油、</w:t>
                  </w:r>
                  <w:r>
                    <w:rPr>
                      <w:color w:val="000000" w:themeColor="text1"/>
                      <w14:textFill>
                        <w14:solidFill>
                          <w14:schemeClr w14:val="tx1"/>
                        </w14:solidFill>
                      </w14:textFill>
                    </w:rPr>
                    <w:t>废</w:t>
                  </w:r>
                  <w:r>
                    <w:rPr>
                      <w:rFonts w:hint="eastAsia"/>
                      <w:color w:val="000000" w:themeColor="text1"/>
                      <w:lang w:val="en-US" w:eastAsia="zh-CN"/>
                      <w14:textFill>
                        <w14:solidFill>
                          <w14:schemeClr w14:val="tx1"/>
                        </w14:solidFill>
                      </w14:textFill>
                    </w:rPr>
                    <w:t>机油、废机油桶、废活性炭</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沾油废物</w:t>
                  </w:r>
                  <w:r>
                    <w:rPr>
                      <w:color w:val="000000" w:themeColor="text1"/>
                      <w14:textFill>
                        <w14:solidFill>
                          <w14:schemeClr w14:val="tx1"/>
                        </w14:solidFill>
                      </w14:textFill>
                    </w:rPr>
                    <w:t>等危险废物分类收集后暂存于危险废物暂存</w:t>
                  </w:r>
                  <w:r>
                    <w:rPr>
                      <w:rFonts w:hint="eastAsia"/>
                      <w:color w:val="000000" w:themeColor="text1"/>
                      <w14:textFill>
                        <w14:solidFill>
                          <w14:schemeClr w14:val="tx1"/>
                        </w14:solidFill>
                      </w14:textFill>
                    </w:rPr>
                    <w:t>库</w:t>
                  </w:r>
                  <w:r>
                    <w:rPr>
                      <w:color w:val="000000" w:themeColor="text1"/>
                      <w14:textFill>
                        <w14:solidFill>
                          <w14:schemeClr w14:val="tx1"/>
                        </w14:solidFill>
                      </w14:textFill>
                    </w:rPr>
                    <w:t>，定期交由</w:t>
                  </w:r>
                  <w:r>
                    <w:rPr>
                      <w:rFonts w:hint="eastAsia"/>
                      <w:color w:val="000000" w:themeColor="text1"/>
                      <w:lang w:val="en-US" w:eastAsia="zh-CN"/>
                      <w14:textFill>
                        <w14:solidFill>
                          <w14:schemeClr w14:val="tx1"/>
                        </w14:solidFill>
                      </w14:textFill>
                    </w:rPr>
                    <w:t>资质单位</w:t>
                  </w:r>
                  <w:r>
                    <w:rPr>
                      <w:color w:val="000000" w:themeColor="text1"/>
                      <w14:textFill>
                        <w14:solidFill>
                          <w14:schemeClr w14:val="tx1"/>
                        </w14:solidFill>
                      </w14:textFill>
                    </w:rPr>
                    <w:t>清运处置。</w:t>
                  </w:r>
                  <w:r>
                    <w:rPr>
                      <w:rFonts w:hint="eastAsia"/>
                      <w:color w:val="000000" w:themeColor="text1"/>
                      <w:lang w:val="en-US" w:eastAsia="zh-CN"/>
                      <w14:textFill>
                        <w14:solidFill>
                          <w14:schemeClr w14:val="tx1"/>
                        </w14:solidFill>
                      </w14:textFill>
                    </w:rPr>
                    <w:t>设置1间危废暂存间，严格按照</w:t>
                  </w:r>
                  <w:r>
                    <w:rPr>
                      <w:color w:val="000000" w:themeColor="text1"/>
                      <w14:textFill>
                        <w14:solidFill>
                          <w14:schemeClr w14:val="tx1"/>
                        </w14:solidFill>
                      </w14:textFill>
                    </w:rPr>
                    <w:t>GB18597、HJ2042等</w:t>
                  </w:r>
                  <w:r>
                    <w:rPr>
                      <w:rFonts w:hint="eastAsia"/>
                      <w:color w:val="000000" w:themeColor="text1"/>
                      <w:lang w:val="en-US" w:eastAsia="zh-CN"/>
                      <w14:textFill>
                        <w14:solidFill>
                          <w14:schemeClr w14:val="tx1"/>
                        </w14:solidFill>
                      </w14:textFill>
                    </w:rPr>
                    <w:t>要求设置包装及危废暂存间，暂存危险废物。</w:t>
                  </w:r>
                </w:p>
              </w:tc>
              <w:tc>
                <w:tcPr>
                  <w:tcW w:w="608" w:type="pct"/>
                  <w:vAlign w:val="center"/>
                </w:tcPr>
                <w:p w14:paraId="25B07F03">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7057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0CD503F5">
                  <w:pPr>
                    <w:pStyle w:val="13"/>
                    <w:rPr>
                      <w:color w:val="000000" w:themeColor="text1"/>
                      <w14:textFill>
                        <w14:solidFill>
                          <w14:schemeClr w14:val="tx1"/>
                        </w14:solidFill>
                      </w14:textFill>
                    </w:rPr>
                  </w:pPr>
                  <w:r>
                    <w:rPr>
                      <w:color w:val="000000" w:themeColor="text1"/>
                      <w14:textFill>
                        <w14:solidFill>
                          <w14:schemeClr w14:val="tx1"/>
                        </w14:solidFill>
                      </w14:textFill>
                    </w:rPr>
                    <w:t>10</w:t>
                  </w:r>
                </w:p>
              </w:tc>
              <w:tc>
                <w:tcPr>
                  <w:tcW w:w="2012" w:type="pct"/>
                  <w:vAlign w:val="center"/>
                </w:tcPr>
                <w:p w14:paraId="63058C6B">
                  <w:pPr>
                    <w:pStyle w:val="13"/>
                    <w:rPr>
                      <w:color w:val="000000" w:themeColor="text1"/>
                      <w14:textFill>
                        <w14:solidFill>
                          <w14:schemeClr w14:val="tx1"/>
                        </w14:solidFill>
                      </w14:textFill>
                    </w:rPr>
                  </w:pPr>
                  <w:r>
                    <w:rPr>
                      <w:color w:val="000000" w:themeColor="text1"/>
                      <w14:textFill>
                        <w14:solidFill>
                          <w14:schemeClr w14:val="tx1"/>
                        </w14:solidFill>
                      </w14:textFill>
                    </w:rPr>
                    <w:t>固体废物再生利用企业应定期对固体废物再生利用产品进行采样监测，监测频次应满足以下要求，内容详见HJ1091-2020中8.1要求。</w:t>
                  </w:r>
                </w:p>
              </w:tc>
              <w:tc>
                <w:tcPr>
                  <w:tcW w:w="2124" w:type="pct"/>
                  <w:vAlign w:val="center"/>
                </w:tcPr>
                <w:p w14:paraId="66E8CA79">
                  <w:pPr>
                    <w:pStyle w:val="13"/>
                    <w:rPr>
                      <w:color w:val="000000" w:themeColor="text1"/>
                      <w14:textFill>
                        <w14:solidFill>
                          <w14:schemeClr w14:val="tx1"/>
                        </w14:solidFill>
                      </w14:textFill>
                    </w:rPr>
                  </w:pPr>
                  <w:r>
                    <w:rPr>
                      <w:color w:val="000000" w:themeColor="text1"/>
                      <w14:textFill>
                        <w14:solidFill>
                          <w14:schemeClr w14:val="tx1"/>
                        </w14:solidFill>
                      </w14:textFill>
                    </w:rPr>
                    <w:t>建成投产后建设单位应定期对水基岩屑进行检测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并</w:t>
                  </w:r>
                  <w:r>
                    <w:rPr>
                      <w:rFonts w:hint="eastAsia"/>
                      <w:color w:val="000000" w:themeColor="text1"/>
                      <w14:textFill>
                        <w14:solidFill>
                          <w14:schemeClr w14:val="tx1"/>
                        </w14:solidFill>
                      </w14:textFill>
                    </w:rPr>
                    <w:t>定期</w:t>
                  </w:r>
                  <w:r>
                    <w:rPr>
                      <w:color w:val="000000" w:themeColor="text1"/>
                      <w14:textFill>
                        <w14:solidFill>
                          <w14:schemeClr w14:val="tx1"/>
                        </w14:solidFill>
                      </w14:textFill>
                    </w:rPr>
                    <w:t>对产品进行检测。</w:t>
                  </w:r>
                </w:p>
              </w:tc>
              <w:tc>
                <w:tcPr>
                  <w:tcW w:w="608" w:type="pct"/>
                  <w:vAlign w:val="center"/>
                </w:tcPr>
                <w:p w14:paraId="0BAC697D">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bl>
          <w:p w14:paraId="7FFC7A19">
            <w:pPr>
              <w:ind w:firstLine="480"/>
              <w:rPr>
                <w:color w:val="000000" w:themeColor="text1"/>
                <w14:textFill>
                  <w14:solidFill>
                    <w14:schemeClr w14:val="tx1"/>
                  </w14:solidFill>
                </w14:textFill>
              </w:rPr>
            </w:pPr>
            <w:r>
              <w:rPr>
                <w:color w:val="000000" w:themeColor="text1"/>
                <w14:textFill>
                  <w14:solidFill>
                    <w14:schemeClr w14:val="tx1"/>
                  </w14:solidFill>
                </w14:textFill>
              </w:rPr>
              <w:t>综上，本项目符合《固体废物再生利用污染防治技术导则》</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HJ1091-2020）中各项要求。</w:t>
            </w:r>
          </w:p>
          <w:p w14:paraId="6E8C00C8">
            <w:pPr>
              <w:pStyle w:val="4"/>
              <w:numPr>
                <w:ilvl w:val="-1"/>
                <w:numId w:val="0"/>
              </w:numPr>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13、</w:t>
            </w:r>
            <w:r>
              <w:rPr>
                <w:color w:val="000000" w:themeColor="text1"/>
                <w14:textFill>
                  <w14:solidFill>
                    <w14:schemeClr w14:val="tx1"/>
                  </w14:solidFill>
                </w14:textFill>
              </w:rPr>
              <w:t>与《</w:t>
            </w:r>
            <w:r>
              <w:rPr>
                <w:rFonts w:hint="eastAsia"/>
                <w:color w:val="000000" w:themeColor="text1"/>
                <w:lang w:eastAsia="zh-CN"/>
                <w14:textFill>
                  <w14:solidFill>
                    <w14:schemeClr w14:val="tx1"/>
                  </w14:solidFill>
                </w14:textFill>
              </w:rPr>
              <w:t>陆上石油天然气钻井环境保护技术规范</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SY/T7298-2024</w:t>
            </w:r>
            <w:r>
              <w:rPr>
                <w:color w:val="000000" w:themeColor="text1"/>
                <w14:textFill>
                  <w14:solidFill>
                    <w14:schemeClr w14:val="tx1"/>
                  </w14:solidFill>
                </w14:textFill>
              </w:rPr>
              <w:t>）及《陆上石油天然气开采水基钻井废弃物处理处置及资源化利用技术规范》</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SY/T7466-2020）</w:t>
            </w:r>
            <w:r>
              <w:rPr>
                <w:rFonts w:hint="eastAsia"/>
                <w:color w:val="000000" w:themeColor="text1"/>
                <w:lang w:val="en-US" w:eastAsia="zh-CN"/>
                <w14:textFill>
                  <w14:solidFill>
                    <w14:schemeClr w14:val="tx1"/>
                  </w14:solidFill>
                </w14:textFill>
              </w:rPr>
              <w:t>《石油天然气开采固体废物污染控制技术规范（试行）》（HJ1461-2026）</w:t>
            </w:r>
            <w:r>
              <w:rPr>
                <w:color w:val="000000" w:themeColor="text1"/>
                <w14:textFill>
                  <w14:solidFill>
                    <w14:schemeClr w14:val="tx1"/>
                  </w14:solidFill>
                </w14:textFill>
              </w:rPr>
              <w:t>《四川省页岩气开采业污染防治技术政策》</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四川省环境保护厅公告2018年第3号</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符合性分析</w:t>
            </w:r>
          </w:p>
          <w:p w14:paraId="2EAE1151">
            <w:pPr>
              <w:pStyle w:val="12"/>
              <w:rPr>
                <w:color w:val="000000" w:themeColor="text1"/>
                <w:szCs w:val="2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noBreakHyphen/>
            </w:r>
            <w:r>
              <w:rPr>
                <w:rFonts w:hint="eastAsia"/>
                <w:color w:val="000000" w:themeColor="text1"/>
                <w:lang w:val="en-US" w:eastAsia="zh-CN"/>
                <w14:textFill>
                  <w14:solidFill>
                    <w14:schemeClr w14:val="tx1"/>
                  </w14:solidFill>
                </w14:textFill>
              </w:rPr>
              <w:t>12</w:t>
            </w:r>
            <w:r>
              <w:rPr>
                <w:color w:val="000000" w:themeColor="text1"/>
                <w14:textFill>
                  <w14:solidFill>
                    <w14:schemeClr w14:val="tx1"/>
                  </w14:solidFill>
                </w14:textFill>
              </w:rPr>
              <w:t xml:space="preserve"> </w:t>
            </w:r>
            <w:r>
              <w:rPr>
                <w:bCs/>
                <w:color w:val="000000" w:themeColor="text1"/>
                <w:szCs w:val="21"/>
                <w14:textFill>
                  <w14:solidFill>
                    <w14:schemeClr w14:val="tx1"/>
                  </w14:solidFill>
                </w14:textFill>
              </w:rPr>
              <w:t>本项目与</w:t>
            </w:r>
            <w:r>
              <w:rPr>
                <w:rFonts w:hint="eastAsia"/>
                <w:bCs/>
                <w:color w:val="000000" w:themeColor="text1"/>
                <w:szCs w:val="21"/>
                <w:lang w:eastAsia="zh-CN"/>
                <w14:textFill>
                  <w14:solidFill>
                    <w14:schemeClr w14:val="tx1"/>
                  </w14:solidFill>
                </w14:textFill>
              </w:rPr>
              <w:t>SY/T7298-2024</w:t>
            </w:r>
            <w:r>
              <w:rPr>
                <w:bCs/>
                <w:color w:val="000000" w:themeColor="text1"/>
                <w:szCs w:val="21"/>
                <w14:textFill>
                  <w14:solidFill>
                    <w14:schemeClr w14:val="tx1"/>
                  </w14:solidFill>
                </w14:textFill>
              </w:rPr>
              <w:t>的符合性分析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3258"/>
              <w:gridCol w:w="3845"/>
              <w:gridCol w:w="988"/>
            </w:tblGrid>
            <w:tr w14:paraId="1995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66DB2039">
                  <w:pPr>
                    <w:pStyle w:val="51"/>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844" w:type="pct"/>
                  <w:vAlign w:val="center"/>
                </w:tcPr>
                <w:p w14:paraId="7F7015B3">
                  <w:pPr>
                    <w:pStyle w:val="51"/>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标准要求</w:t>
                  </w:r>
                </w:p>
              </w:tc>
              <w:tc>
                <w:tcPr>
                  <w:tcW w:w="2176" w:type="pct"/>
                  <w:vAlign w:val="center"/>
                </w:tcPr>
                <w:p w14:paraId="09FD82EB">
                  <w:pPr>
                    <w:pStyle w:val="51"/>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559" w:type="pct"/>
                  <w:vAlign w:val="center"/>
                </w:tcPr>
                <w:p w14:paraId="5D9433D5">
                  <w:pPr>
                    <w:pStyle w:val="51"/>
                    <w:rPr>
                      <w:color w:val="000000" w:themeColor="text1"/>
                      <w14:textFill>
                        <w14:solidFill>
                          <w14:schemeClr w14:val="tx1"/>
                        </w14:solidFill>
                      </w14:textFill>
                    </w:rPr>
                  </w:pPr>
                  <w:r>
                    <w:rPr>
                      <w:color w:val="000000" w:themeColor="text1"/>
                      <w14:textFill>
                        <w14:solidFill>
                          <w14:schemeClr w14:val="tx1"/>
                        </w14:solidFill>
                      </w14:textFill>
                    </w:rPr>
                    <w:t>符合性</w:t>
                  </w:r>
                </w:p>
              </w:tc>
            </w:tr>
            <w:tr w14:paraId="662E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10436A63">
                  <w:pPr>
                    <w:pStyle w:val="13"/>
                    <w:rPr>
                      <w:color w:val="000000" w:themeColor="text1"/>
                      <w14:textFill>
                        <w14:solidFill>
                          <w14:schemeClr w14:val="tx1"/>
                        </w14:solidFill>
                      </w14:textFill>
                    </w:rPr>
                  </w:pPr>
                  <w:r>
                    <w:rPr>
                      <w:color w:val="000000" w:themeColor="text1"/>
                      <w14:textFill>
                        <w14:solidFill>
                          <w14:schemeClr w14:val="tx1"/>
                        </w14:solidFill>
                      </w14:textFill>
                    </w:rPr>
                    <w:t>1</w:t>
                  </w:r>
                </w:p>
              </w:tc>
              <w:tc>
                <w:tcPr>
                  <w:tcW w:w="1844" w:type="pct"/>
                  <w:vAlign w:val="center"/>
                </w:tcPr>
                <w:p w14:paraId="05552465">
                  <w:pPr>
                    <w:pStyle w:val="13"/>
                    <w:rPr>
                      <w:rFonts w:hint="default" w:eastAsia="宋体"/>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水基钻井固体废物应先进行资源化利用，无法资源化利用的应进行无害化处理。</w:t>
                  </w:r>
                </w:p>
              </w:tc>
              <w:tc>
                <w:tcPr>
                  <w:tcW w:w="2176" w:type="pct"/>
                  <w:vAlign w:val="center"/>
                </w:tcPr>
                <w:p w14:paraId="2E61F4A9">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本项目为综合利用水基岩屑制备免烧砖项目，属于水基岩屑的资源化利用项目。</w:t>
                  </w:r>
                </w:p>
              </w:tc>
              <w:tc>
                <w:tcPr>
                  <w:tcW w:w="559" w:type="pct"/>
                  <w:vAlign w:val="center"/>
                </w:tcPr>
                <w:p w14:paraId="7EF3B32F">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6670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40804D5E">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1844" w:type="pct"/>
                  <w:vAlign w:val="center"/>
                </w:tcPr>
                <w:p w14:paraId="049627E9">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一般钻井固体废物贮存和填埋的污染控制要求应按照GB18599执行。</w:t>
                  </w:r>
                </w:p>
              </w:tc>
              <w:tc>
                <w:tcPr>
                  <w:tcW w:w="2176" w:type="pct"/>
                  <w:vAlign w:val="center"/>
                </w:tcPr>
                <w:p w14:paraId="5108C848">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本项目水基岩屑的贮存执行《</w:t>
                  </w:r>
                  <w:r>
                    <w:rPr>
                      <w:rFonts w:hint="eastAsia"/>
                      <w:color w:val="000000" w:themeColor="text1"/>
                      <w14:textFill>
                        <w14:solidFill>
                          <w14:schemeClr w14:val="tx1"/>
                        </w14:solidFill>
                      </w14:textFill>
                    </w:rPr>
                    <w:t>一般工业固体废物贮存和填埋污染控制标准</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（GB18599-2020）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具体符合性分析见下文逐条分析内容</w:t>
                  </w:r>
                  <w:r>
                    <w:rPr>
                      <w:rFonts w:hint="eastAsia"/>
                      <w:color w:val="000000" w:themeColor="text1"/>
                      <w:lang w:eastAsia="zh-CN"/>
                      <w14:textFill>
                        <w14:solidFill>
                          <w14:schemeClr w14:val="tx1"/>
                        </w14:solidFill>
                      </w14:textFill>
                    </w:rPr>
                    <w:t>。</w:t>
                  </w:r>
                </w:p>
              </w:tc>
              <w:tc>
                <w:tcPr>
                  <w:tcW w:w="559" w:type="pct"/>
                  <w:vAlign w:val="center"/>
                </w:tcPr>
                <w:p w14:paraId="27E16156">
                  <w:pPr>
                    <w:pStyle w:val="13"/>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2EDD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705A4011">
                  <w:pPr>
                    <w:pStyle w:val="1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p>
              </w:tc>
              <w:tc>
                <w:tcPr>
                  <w:tcW w:w="1844" w:type="pct"/>
                  <w:vAlign w:val="center"/>
                </w:tcPr>
                <w:p w14:paraId="5158D1EC">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一般钻井固体废物应采用固化/稳定化等无害化工艺处理，固化/稳定化物浸出液中的污染控制项目应符合表A.1规定的限值。</w:t>
                  </w:r>
                </w:p>
              </w:tc>
              <w:tc>
                <w:tcPr>
                  <w:tcW w:w="2176" w:type="pct"/>
                  <w:vAlign w:val="center"/>
                </w:tcPr>
                <w:p w14:paraId="577A2D6A">
                  <w:pPr>
                    <w:pStyle w:val="1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本项目水基岩屑通过干燥、预热和煅烧预处理后，再配以水泥、固化剂、砂石、水等制备免烧砌块，根据建设单位提供的产品质量检测报告，项目产品浸出液中的污染物浓度均满足表A.1中的限值要求。</w:t>
                  </w:r>
                </w:p>
              </w:tc>
              <w:tc>
                <w:tcPr>
                  <w:tcW w:w="559" w:type="pct"/>
                  <w:vAlign w:val="center"/>
                </w:tcPr>
                <w:p w14:paraId="052D1DD1">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3FA4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0678C267">
                  <w:pPr>
                    <w:pStyle w:val="1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1844" w:type="pct"/>
                  <w:vAlign w:val="center"/>
                </w:tcPr>
                <w:p w14:paraId="61C69540">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钻井一开产生的</w:t>
                  </w:r>
                  <w:r>
                    <w:rPr>
                      <w:rFonts w:hint="default" w:ascii="Times New Roman" w:hAnsi="Times New Roman" w:eastAsia="宋体" w:cs="Times New Roman"/>
                      <w:color w:val="000000" w:themeColor="text1"/>
                      <w:lang w:val="en-US" w:eastAsia="zh-CN"/>
                      <w14:textFill>
                        <w14:solidFill>
                          <w14:schemeClr w14:val="tx1"/>
                        </w14:solidFill>
                      </w14:textFill>
                    </w:rPr>
                    <w:t>Ⅰ</w:t>
                  </w:r>
                  <w:r>
                    <w:rPr>
                      <w:rFonts w:hint="eastAsia"/>
                      <w:color w:val="000000" w:themeColor="text1"/>
                      <w:lang w:val="en-US" w:eastAsia="zh-CN"/>
                      <w14:textFill>
                        <w14:solidFill>
                          <w14:schemeClr w14:val="tx1"/>
                        </w14:solidFill>
                      </w14:textFill>
                    </w:rPr>
                    <w:t>类一般钻井固体废物剩余固相，可直接用于服务油气开采的铺垫井场和井场道路，也可用于制备免烧砖。免烧砖质量应符合JC/T422的规定，浸出液中污染控制项目应符合表A.1规定的限值。</w:t>
                  </w:r>
                </w:p>
              </w:tc>
              <w:tc>
                <w:tcPr>
                  <w:tcW w:w="2176" w:type="pct"/>
                  <w:vAlign w:val="center"/>
                </w:tcPr>
                <w:p w14:paraId="080E90D9">
                  <w:pPr>
                    <w:pStyle w:val="13"/>
                    <w:rPr>
                      <w:rFonts w:hint="default"/>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根据建设单位通过的水基岩屑成分检测报告，污染物的浓度均未超过GB8978规定的最高允许排放浓度，且pH值在7-9内，因此，本项目使用的水基岩屑为</w:t>
                  </w:r>
                  <w:r>
                    <w:rPr>
                      <w:rFonts w:hint="default" w:ascii="Times New Roman" w:hAnsi="Times New Roman" w:eastAsia="宋体" w:cs="Times New Roman"/>
                      <w:color w:val="000000" w:themeColor="text1"/>
                      <w:lang w:val="en-US" w:eastAsia="zh-CN"/>
                      <w14:textFill>
                        <w14:solidFill>
                          <w14:schemeClr w14:val="tx1"/>
                        </w14:solidFill>
                      </w14:textFill>
                    </w:rPr>
                    <w:t>Ⅰ</w:t>
                  </w:r>
                  <w:r>
                    <w:rPr>
                      <w:rFonts w:hint="eastAsia"/>
                      <w:color w:val="000000" w:themeColor="text1"/>
                      <w:lang w:val="en-US" w:eastAsia="zh-CN"/>
                      <w14:textFill>
                        <w14:solidFill>
                          <w14:schemeClr w14:val="tx1"/>
                        </w14:solidFill>
                      </w14:textFill>
                    </w:rPr>
                    <w:t>类一般钻井固体废物。本项目水基岩屑通过干燥、预热和煅烧预处理后，再配以水泥、砂石、固化剂、水等制备免烧砖，根据建设单位提供的产品质量检测报告，均满足</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非烧结垃圾尾矿砖</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JC/T422-2025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和表A.1规定的标准限值。</w:t>
                  </w:r>
                </w:p>
              </w:tc>
              <w:tc>
                <w:tcPr>
                  <w:tcW w:w="559" w:type="pct"/>
                  <w:vAlign w:val="center"/>
                </w:tcPr>
                <w:p w14:paraId="25F83F64">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1E26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2D5AB88E">
                  <w:pPr>
                    <w:pStyle w:val="1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1844" w:type="pct"/>
                  <w:vAlign w:val="center"/>
                </w:tcPr>
                <w:p w14:paraId="0C66DADC">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钻井固体废物剩余固相的应用场地应避开饮用水源保护区，未经许可不应农用。</w:t>
                  </w:r>
                </w:p>
              </w:tc>
              <w:tc>
                <w:tcPr>
                  <w:tcW w:w="2176" w:type="pct"/>
                  <w:vAlign w:val="center"/>
                </w:tcPr>
                <w:p w14:paraId="60E6D108">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本项目位于星光机械园区内，项目周围无饮用水源保护区，且项目利用水基岩屑用于生产免烧砌块，不用于农用。</w:t>
                  </w:r>
                </w:p>
              </w:tc>
              <w:tc>
                <w:tcPr>
                  <w:tcW w:w="559" w:type="pct"/>
                  <w:vAlign w:val="center"/>
                </w:tcPr>
                <w:p w14:paraId="551B94BE">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bl>
          <w:p w14:paraId="5448517C">
            <w:pPr>
              <w:pStyle w:val="12"/>
              <w:rPr>
                <w:color w:val="000000" w:themeColor="text1"/>
                <w14:textFill>
                  <w14:solidFill>
                    <w14:schemeClr w14:val="tx1"/>
                  </w14:solidFill>
                </w14:textFill>
              </w:rPr>
            </w:pPr>
          </w:p>
          <w:p w14:paraId="3664ACAA">
            <w:pPr>
              <w:pStyle w:val="12"/>
              <w:rPr>
                <w:bCs/>
                <w:color w:val="000000" w:themeColor="text1"/>
                <w:szCs w:val="2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lang w:val="en-US" w:eastAsia="zh-CN"/>
                <w14:textFill>
                  <w14:solidFill>
                    <w14:schemeClr w14:val="tx1"/>
                  </w14:solidFill>
                </w14:textFill>
              </w:rPr>
              <w:t>1-13</w:t>
            </w:r>
            <w:r>
              <w:rPr>
                <w:color w:val="000000" w:themeColor="text1"/>
                <w14:textFill>
                  <w14:solidFill>
                    <w14:schemeClr w14:val="tx1"/>
                  </w14:solidFill>
                </w14:textFill>
              </w:rPr>
              <w:t xml:space="preserve"> </w:t>
            </w:r>
            <w:r>
              <w:rPr>
                <w:bCs/>
                <w:color w:val="000000" w:themeColor="text1"/>
                <w:szCs w:val="21"/>
                <w14:textFill>
                  <w14:solidFill>
                    <w14:schemeClr w14:val="tx1"/>
                  </w14:solidFill>
                </w14:textFill>
              </w:rPr>
              <w:t>本项目与SY/T7466-2020的符合性分析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3474"/>
              <w:gridCol w:w="3664"/>
              <w:gridCol w:w="996"/>
            </w:tblGrid>
            <w:tr w14:paraId="5BBF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4F40CC4D">
                  <w:pPr>
                    <w:pStyle w:val="51"/>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966" w:type="pct"/>
                  <w:vAlign w:val="center"/>
                </w:tcPr>
                <w:p w14:paraId="03EA77F3">
                  <w:pPr>
                    <w:pStyle w:val="51"/>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标准</w:t>
                  </w:r>
                  <w:r>
                    <w:rPr>
                      <w:color w:val="000000" w:themeColor="text1"/>
                      <w14:textFill>
                        <w14:solidFill>
                          <w14:schemeClr w14:val="tx1"/>
                        </w14:solidFill>
                      </w14:textFill>
                    </w:rPr>
                    <w:t>要求</w:t>
                  </w:r>
                </w:p>
              </w:tc>
              <w:tc>
                <w:tcPr>
                  <w:tcW w:w="2074" w:type="pct"/>
                  <w:vAlign w:val="center"/>
                </w:tcPr>
                <w:p w14:paraId="55084DD0">
                  <w:pPr>
                    <w:pStyle w:val="51"/>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564" w:type="pct"/>
                  <w:vAlign w:val="center"/>
                </w:tcPr>
                <w:p w14:paraId="3A9E08AB">
                  <w:pPr>
                    <w:pStyle w:val="51"/>
                    <w:rPr>
                      <w:color w:val="000000" w:themeColor="text1"/>
                      <w14:textFill>
                        <w14:solidFill>
                          <w14:schemeClr w14:val="tx1"/>
                        </w14:solidFill>
                      </w14:textFill>
                    </w:rPr>
                  </w:pPr>
                  <w:r>
                    <w:rPr>
                      <w:color w:val="000000" w:themeColor="text1"/>
                      <w14:textFill>
                        <w14:solidFill>
                          <w14:schemeClr w14:val="tx1"/>
                        </w14:solidFill>
                      </w14:textFill>
                    </w:rPr>
                    <w:t>符合性</w:t>
                  </w:r>
                </w:p>
              </w:tc>
            </w:tr>
            <w:tr w14:paraId="6192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4" w:type="pct"/>
                  <w:vAlign w:val="center"/>
                </w:tcPr>
                <w:p w14:paraId="563B01C4">
                  <w:pPr>
                    <w:pStyle w:val="13"/>
                    <w:rPr>
                      <w:color w:val="000000" w:themeColor="text1"/>
                      <w14:textFill>
                        <w14:solidFill>
                          <w14:schemeClr w14:val="tx1"/>
                        </w14:solidFill>
                      </w14:textFill>
                    </w:rPr>
                  </w:pPr>
                  <w:r>
                    <w:rPr>
                      <w:color w:val="000000" w:themeColor="text1"/>
                      <w14:textFill>
                        <w14:solidFill>
                          <w14:schemeClr w14:val="tx1"/>
                        </w14:solidFill>
                      </w14:textFill>
                    </w:rPr>
                    <w:t>1</w:t>
                  </w:r>
                </w:p>
              </w:tc>
              <w:tc>
                <w:tcPr>
                  <w:tcW w:w="1966" w:type="pct"/>
                  <w:vAlign w:val="center"/>
                </w:tcPr>
                <w:p w14:paraId="30BF9764">
                  <w:pPr>
                    <w:pStyle w:val="13"/>
                    <w:rPr>
                      <w:color w:val="000000" w:themeColor="text1"/>
                      <w14:textFill>
                        <w14:solidFill>
                          <w14:schemeClr w14:val="tx1"/>
                        </w14:solidFill>
                      </w14:textFill>
                    </w:rPr>
                  </w:pPr>
                  <w:r>
                    <w:rPr>
                      <w:color w:val="000000" w:themeColor="text1"/>
                      <w14:textFill>
                        <w14:solidFill>
                          <w14:schemeClr w14:val="tx1"/>
                        </w14:solidFill>
                      </w14:textFill>
                    </w:rPr>
                    <w:t>对收集的水基钻井废弃物采用固液分离以实现钻井废弃物减量化。水基钻井废弃物进行固液分离或无害化处理后，进一步资源化处理或安全处置。</w:t>
                  </w:r>
                </w:p>
              </w:tc>
              <w:tc>
                <w:tcPr>
                  <w:tcW w:w="2074" w:type="pct"/>
                  <w:vAlign w:val="center"/>
                </w:tcPr>
                <w:p w14:paraId="411FB357">
                  <w:pPr>
                    <w:pStyle w:val="13"/>
                    <w:rPr>
                      <w:color w:val="000000" w:themeColor="text1"/>
                      <w14:textFill>
                        <w14:solidFill>
                          <w14:schemeClr w14:val="tx1"/>
                        </w14:solidFill>
                      </w14:textFill>
                    </w:rPr>
                  </w:pPr>
                  <w:r>
                    <w:rPr>
                      <w:rFonts w:hint="eastAsia"/>
                      <w:color w:val="000000" w:themeColor="text1"/>
                      <w14:textFill>
                        <w14:solidFill>
                          <w14:schemeClr w14:val="tx1"/>
                        </w14:solidFill>
                      </w14:textFill>
                    </w:rPr>
                    <w:t>采用压滤机对水基岩屑进行固液分离后，再进一步分别处理压滤液和压滤后的水基岩屑，</w:t>
                  </w:r>
                  <w:r>
                    <w:rPr>
                      <w:rFonts w:hint="eastAsia"/>
                      <w:color w:val="000000" w:themeColor="text1"/>
                      <w:lang w:val="en-US" w:eastAsia="zh-CN"/>
                      <w14:textFill>
                        <w14:solidFill>
                          <w14:schemeClr w14:val="tx1"/>
                        </w14:solidFill>
                      </w14:textFill>
                    </w:rPr>
                    <w:t>干燥、预热和煅烧</w:t>
                  </w:r>
                  <w:r>
                    <w:rPr>
                      <w:rFonts w:hint="eastAsia"/>
                      <w:color w:val="000000" w:themeColor="text1"/>
                      <w14:textFill>
                        <w14:solidFill>
                          <w14:schemeClr w14:val="tx1"/>
                        </w14:solidFill>
                      </w14:textFill>
                    </w:rPr>
                    <w:t>水基岩屑制备</w:t>
                  </w:r>
                  <w:r>
                    <w:rPr>
                      <w:rFonts w:hint="eastAsia"/>
                      <w:color w:val="000000" w:themeColor="text1"/>
                      <w:lang w:eastAsia="zh-CN"/>
                      <w14:textFill>
                        <w14:solidFill>
                          <w14:schemeClr w14:val="tx1"/>
                        </w14:solidFill>
                      </w14:textFill>
                    </w:rPr>
                    <w:t>煅烧料</w:t>
                  </w:r>
                  <w:r>
                    <w:rPr>
                      <w:rFonts w:hint="eastAsia"/>
                      <w:color w:val="000000" w:themeColor="text1"/>
                      <w14:textFill>
                        <w14:solidFill>
                          <w14:schemeClr w14:val="tx1"/>
                        </w14:solidFill>
                      </w14:textFill>
                    </w:rPr>
                    <w:t>，压滤液</w:t>
                  </w:r>
                  <w:r>
                    <w:rPr>
                      <w:rFonts w:hint="eastAsia"/>
                      <w:color w:val="000000" w:themeColor="text1"/>
                      <w:lang w:val="en-US" w:eastAsia="zh-CN"/>
                      <w14:textFill>
                        <w14:solidFill>
                          <w14:schemeClr w14:val="tx1"/>
                        </w14:solidFill>
                      </w14:textFill>
                    </w:rPr>
                    <w:t>优先回用，其余委托有资质单位清运处理</w:t>
                  </w:r>
                  <w:r>
                    <w:rPr>
                      <w:color w:val="000000" w:themeColor="text1"/>
                      <w14:textFill>
                        <w14:solidFill>
                          <w14:schemeClr w14:val="tx1"/>
                        </w14:solidFill>
                      </w14:textFill>
                    </w:rPr>
                    <w:t>。</w:t>
                  </w:r>
                </w:p>
              </w:tc>
              <w:tc>
                <w:tcPr>
                  <w:tcW w:w="564" w:type="pct"/>
                  <w:vAlign w:val="center"/>
                </w:tcPr>
                <w:p w14:paraId="782FEC8A">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7FBE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484B5F78">
                  <w:pPr>
                    <w:pStyle w:val="13"/>
                    <w:rPr>
                      <w:color w:val="000000" w:themeColor="text1"/>
                      <w14:textFill>
                        <w14:solidFill>
                          <w14:schemeClr w14:val="tx1"/>
                        </w14:solidFill>
                      </w14:textFill>
                    </w:rPr>
                  </w:pPr>
                  <w:r>
                    <w:rPr>
                      <w:color w:val="000000" w:themeColor="text1"/>
                      <w14:textFill>
                        <w14:solidFill>
                          <w14:schemeClr w14:val="tx1"/>
                        </w14:solidFill>
                      </w14:textFill>
                    </w:rPr>
                    <w:t>2</w:t>
                  </w:r>
                </w:p>
              </w:tc>
              <w:tc>
                <w:tcPr>
                  <w:tcW w:w="1966" w:type="pct"/>
                  <w:vAlign w:val="center"/>
                </w:tcPr>
                <w:p w14:paraId="0E9A6540">
                  <w:pPr>
                    <w:pStyle w:val="13"/>
                    <w:rPr>
                      <w:color w:val="000000" w:themeColor="text1"/>
                      <w14:textFill>
                        <w14:solidFill>
                          <w14:schemeClr w14:val="tx1"/>
                        </w14:solidFill>
                      </w14:textFill>
                    </w:rPr>
                  </w:pPr>
                  <w:r>
                    <w:rPr>
                      <w:color w:val="000000" w:themeColor="text1"/>
                      <w14:textFill>
                        <w14:solidFill>
                          <w14:schemeClr w14:val="tx1"/>
                        </w14:solidFill>
                      </w14:textFill>
                    </w:rPr>
                    <w:t>水基钻井废弃物处理、处置过程中应保护处置场地及周边环境，避免造成环境污染和生态破坏。</w:t>
                  </w:r>
                </w:p>
              </w:tc>
              <w:tc>
                <w:tcPr>
                  <w:tcW w:w="2074" w:type="pct"/>
                  <w:vAlign w:val="center"/>
                </w:tcPr>
                <w:p w14:paraId="542AF5E1">
                  <w:pPr>
                    <w:pStyle w:val="13"/>
                    <w:rPr>
                      <w:color w:val="000000" w:themeColor="text1"/>
                      <w14:textFill>
                        <w14:solidFill>
                          <w14:schemeClr w14:val="tx1"/>
                        </w14:solidFill>
                      </w14:textFill>
                    </w:rPr>
                  </w:pPr>
                  <w:r>
                    <w:rPr>
                      <w:rFonts w:hint="eastAsia"/>
                      <w:color w:val="000000" w:themeColor="text1"/>
                      <w14:textFill>
                        <w14:solidFill>
                          <w14:schemeClr w14:val="tx1"/>
                        </w14:solidFill>
                      </w14:textFill>
                    </w:rPr>
                    <w:t>本项目运营</w:t>
                  </w:r>
                  <w:r>
                    <w:rPr>
                      <w:color w:val="000000" w:themeColor="text1"/>
                      <w14:textFill>
                        <w14:solidFill>
                          <w14:schemeClr w14:val="tx1"/>
                        </w14:solidFill>
                      </w14:textFill>
                    </w:rPr>
                    <w:t>过程中污染物排放满足相应标准，不会对周边环境造成污染和生态破坏。</w:t>
                  </w:r>
                </w:p>
              </w:tc>
              <w:tc>
                <w:tcPr>
                  <w:tcW w:w="564" w:type="pct"/>
                  <w:vAlign w:val="center"/>
                </w:tcPr>
                <w:p w14:paraId="0F27AA55">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53F7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40BB066B">
                  <w:pPr>
                    <w:pStyle w:val="13"/>
                    <w:rPr>
                      <w:color w:val="000000" w:themeColor="text1"/>
                      <w14:textFill>
                        <w14:solidFill>
                          <w14:schemeClr w14:val="tx1"/>
                        </w14:solidFill>
                      </w14:textFill>
                    </w:rPr>
                  </w:pPr>
                  <w:r>
                    <w:rPr>
                      <w:color w:val="000000" w:themeColor="text1"/>
                      <w14:textFill>
                        <w14:solidFill>
                          <w14:schemeClr w14:val="tx1"/>
                        </w14:solidFill>
                      </w14:textFill>
                    </w:rPr>
                    <w:t>3</w:t>
                  </w:r>
                </w:p>
              </w:tc>
              <w:tc>
                <w:tcPr>
                  <w:tcW w:w="1966" w:type="pct"/>
                  <w:vAlign w:val="center"/>
                </w:tcPr>
                <w:p w14:paraId="61F208EA">
                  <w:pPr>
                    <w:pStyle w:val="13"/>
                    <w:rPr>
                      <w:color w:val="000000" w:themeColor="text1"/>
                      <w14:textFill>
                        <w14:solidFill>
                          <w14:schemeClr w14:val="tx1"/>
                        </w14:solidFill>
                      </w14:textFill>
                    </w:rPr>
                  </w:pPr>
                  <w:r>
                    <w:rPr>
                      <w:color w:val="000000" w:themeColor="text1"/>
                      <w14:textFill>
                        <w14:solidFill>
                          <w14:schemeClr w14:val="tx1"/>
                        </w14:solidFill>
                      </w14:textFill>
                    </w:rPr>
                    <w:t>水基钻井废弃物处理、处置过程排放的废水和废气污染物、环境噪声，应符合国家和地方相关排放和控制标准的要求；废弃钻井液和钻屑的处理、处置除符合本标准外，还应符合国家、地方及SY/T7298等固体废物污染控制标准。</w:t>
                  </w:r>
                </w:p>
              </w:tc>
              <w:tc>
                <w:tcPr>
                  <w:tcW w:w="2074" w:type="pct"/>
                  <w:vAlign w:val="center"/>
                </w:tcPr>
                <w:p w14:paraId="1D4CF53E">
                  <w:pPr>
                    <w:pStyle w:val="13"/>
                    <w:rPr>
                      <w:color w:val="000000" w:themeColor="text1"/>
                      <w14:textFill>
                        <w14:solidFill>
                          <w14:schemeClr w14:val="tx1"/>
                        </w14:solidFill>
                      </w14:textFill>
                    </w:rPr>
                  </w:pPr>
                  <w:r>
                    <w:rPr>
                      <w:color w:val="000000" w:themeColor="text1"/>
                      <w14:textFill>
                        <w14:solidFill>
                          <w14:schemeClr w14:val="tx1"/>
                        </w14:solidFill>
                      </w14:textFill>
                    </w:rPr>
                    <w:t>将水基岩屑作为</w:t>
                  </w:r>
                  <w:r>
                    <w:rPr>
                      <w:rFonts w:hint="eastAsia"/>
                      <w:color w:val="000000" w:themeColor="text1"/>
                      <w14:textFill>
                        <w14:solidFill>
                          <w14:schemeClr w14:val="tx1"/>
                        </w14:solidFill>
                      </w14:textFill>
                    </w:rPr>
                    <w:t>生产原料</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通过干燥、预热和煅烧后配以水泥、固化剂、砂石、水等</w:t>
                  </w:r>
                  <w:r>
                    <w:rPr>
                      <w:rFonts w:hint="eastAsia"/>
                      <w:color w:val="000000" w:themeColor="text1"/>
                      <w14:textFill>
                        <w14:solidFill>
                          <w14:schemeClr w14:val="tx1"/>
                        </w14:solidFill>
                      </w14:textFill>
                    </w:rPr>
                    <w:t>压制制备免烧建筑砌块）</w:t>
                  </w:r>
                  <w:r>
                    <w:rPr>
                      <w:color w:val="000000" w:themeColor="text1"/>
                      <w14:textFill>
                        <w14:solidFill>
                          <w14:schemeClr w14:val="tx1"/>
                        </w14:solidFill>
                      </w14:textFill>
                    </w:rPr>
                    <w:t>，实现资源化利用，</w:t>
                  </w:r>
                  <w:r>
                    <w:rPr>
                      <w:rFonts w:hint="eastAsia"/>
                      <w:color w:val="000000" w:themeColor="text1"/>
                      <w14:textFill>
                        <w14:solidFill>
                          <w14:schemeClr w14:val="tx1"/>
                        </w14:solidFill>
                      </w14:textFill>
                    </w:rPr>
                    <w:t>综合利用</w:t>
                  </w:r>
                  <w:r>
                    <w:rPr>
                      <w:color w:val="000000" w:themeColor="text1"/>
                      <w14:textFill>
                        <w14:solidFill>
                          <w14:schemeClr w14:val="tx1"/>
                        </w14:solidFill>
                      </w14:textFill>
                    </w:rPr>
                    <w:t>过程中废气污染物排放满足</w:t>
                  </w:r>
                  <w:r>
                    <w:rPr>
                      <w:rFonts w:hint="eastAsia"/>
                      <w:color w:val="000000" w:themeColor="text1"/>
                      <w14:textFill>
                        <w14:solidFill>
                          <w14:schemeClr w14:val="tx1"/>
                        </w14:solidFill>
                      </w14:textFill>
                    </w:rPr>
                    <w:t>排放标准要求</w:t>
                  </w:r>
                  <w:r>
                    <w:rPr>
                      <w:color w:val="000000" w:themeColor="text1"/>
                      <w14:textFill>
                        <w14:solidFill>
                          <w14:schemeClr w14:val="tx1"/>
                        </w14:solidFill>
                      </w14:textFill>
                    </w:rPr>
                    <w:t>，产品质量能够满足</w:t>
                  </w:r>
                  <w:r>
                    <w:rPr>
                      <w:rFonts w:hint="eastAsia"/>
                      <w:color w:val="000000" w:themeColor="text1"/>
                      <w14:textFill>
                        <w14:solidFill>
                          <w14:schemeClr w14:val="tx1"/>
                        </w14:solidFill>
                      </w14:textFill>
                    </w:rPr>
                    <w:t>对应质量标准要求。</w:t>
                  </w:r>
                </w:p>
              </w:tc>
              <w:tc>
                <w:tcPr>
                  <w:tcW w:w="564" w:type="pct"/>
                  <w:vAlign w:val="center"/>
                </w:tcPr>
                <w:p w14:paraId="2C690525">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38EC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394" w:type="pct"/>
                  <w:vAlign w:val="center"/>
                </w:tcPr>
                <w:p w14:paraId="4C15AEE8">
                  <w:pPr>
                    <w:pStyle w:val="13"/>
                    <w:rPr>
                      <w:color w:val="000000" w:themeColor="text1"/>
                      <w14:textFill>
                        <w14:solidFill>
                          <w14:schemeClr w14:val="tx1"/>
                        </w14:solidFill>
                      </w14:textFill>
                    </w:rPr>
                  </w:pPr>
                  <w:r>
                    <w:rPr>
                      <w:color w:val="000000" w:themeColor="text1"/>
                      <w14:textFill>
                        <w14:solidFill>
                          <w14:schemeClr w14:val="tx1"/>
                        </w14:solidFill>
                      </w14:textFill>
                    </w:rPr>
                    <w:t>4</w:t>
                  </w:r>
                </w:p>
              </w:tc>
              <w:tc>
                <w:tcPr>
                  <w:tcW w:w="1966" w:type="pct"/>
                  <w:vAlign w:val="center"/>
                </w:tcPr>
                <w:p w14:paraId="76E3E739">
                  <w:pPr>
                    <w:pStyle w:val="13"/>
                    <w:rPr>
                      <w:color w:val="000000" w:themeColor="text1"/>
                      <w14:textFill>
                        <w14:solidFill>
                          <w14:schemeClr w14:val="tx1"/>
                        </w14:solidFill>
                      </w14:textFill>
                    </w:rPr>
                  </w:pPr>
                  <w:r>
                    <w:rPr>
                      <w:color w:val="000000" w:themeColor="text1"/>
                      <w14:textFill>
                        <w14:solidFill>
                          <w14:schemeClr w14:val="tx1"/>
                        </w14:solidFill>
                      </w14:textFill>
                    </w:rPr>
                    <w:t>水基钻井废弃物用于制备免烧砖、免烧砌块、免烧陶粒、烧结砖，抗压强度不小于10MPa，并根据建材用途满足对应建材标准要求。</w:t>
                  </w:r>
                </w:p>
              </w:tc>
              <w:tc>
                <w:tcPr>
                  <w:tcW w:w="2074" w:type="pct"/>
                  <w:vAlign w:val="center"/>
                </w:tcPr>
                <w:p w14:paraId="202A79F5">
                  <w:pPr>
                    <w:pStyle w:val="13"/>
                    <w:rPr>
                      <w:color w:val="000000" w:themeColor="text1"/>
                      <w14:textFill>
                        <w14:solidFill>
                          <w14:schemeClr w14:val="tx1"/>
                        </w14:solidFill>
                      </w14:textFill>
                    </w:rPr>
                  </w:pPr>
                  <w:r>
                    <w:rPr>
                      <w:rFonts w:hint="eastAsia"/>
                      <w:color w:val="000000" w:themeColor="text1"/>
                      <w14:textFill>
                        <w14:solidFill>
                          <w14:schemeClr w14:val="tx1"/>
                        </w14:solidFill>
                      </w14:textFill>
                    </w:rPr>
                    <w:t>本项目</w:t>
                  </w:r>
                  <w:r>
                    <w:rPr>
                      <w:color w:val="000000" w:themeColor="text1"/>
                      <w14:textFill>
                        <w14:solidFill>
                          <w14:schemeClr w14:val="tx1"/>
                        </w14:solidFill>
                      </w14:textFill>
                    </w:rPr>
                    <w:t>将水基</w:t>
                  </w:r>
                  <w:r>
                    <w:rPr>
                      <w:rFonts w:hint="eastAsia"/>
                      <w:color w:val="000000" w:themeColor="text1"/>
                      <w14:textFill>
                        <w14:solidFill>
                          <w14:schemeClr w14:val="tx1"/>
                        </w14:solidFill>
                      </w14:textFill>
                    </w:rPr>
                    <w:t>岩屑</w:t>
                  </w:r>
                  <w:r>
                    <w:rPr>
                      <w:rFonts w:hint="eastAsia"/>
                      <w:color w:val="000000" w:themeColor="text1"/>
                      <w:lang w:val="en-US" w:eastAsia="zh-CN"/>
                      <w14:textFill>
                        <w14:solidFill>
                          <w14:schemeClr w14:val="tx1"/>
                        </w14:solidFill>
                      </w14:textFill>
                    </w:rPr>
                    <w:t>进行干燥、预热和煅烧预处理后</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再配以水泥、砂石、固化剂、水等</w:t>
                  </w:r>
                  <w:r>
                    <w:rPr>
                      <w:rFonts w:hint="eastAsia"/>
                      <w:color w:val="000000" w:themeColor="text1"/>
                      <w14:textFill>
                        <w14:solidFill>
                          <w14:schemeClr w14:val="tx1"/>
                        </w14:solidFill>
                      </w14:textFill>
                    </w:rPr>
                    <w:t>制备</w:t>
                  </w:r>
                  <w:r>
                    <w:rPr>
                      <w:rFonts w:hint="eastAsia"/>
                      <w:color w:val="000000" w:themeColor="text1"/>
                      <w:lang w:eastAsia="zh-CN"/>
                      <w14:textFill>
                        <w14:solidFill>
                          <w14:schemeClr w14:val="tx1"/>
                        </w14:solidFill>
                      </w14:textFill>
                    </w:rPr>
                    <w:t>免烧砌块</w:t>
                  </w:r>
                  <w:r>
                    <w:rPr>
                      <w:rFonts w:hint="eastAsia"/>
                      <w:color w:val="000000" w:themeColor="text1"/>
                      <w14:textFill>
                        <w14:solidFill>
                          <w14:schemeClr w14:val="tx1"/>
                        </w14:solidFill>
                      </w14:textFill>
                    </w:rPr>
                    <w:t>，产品质量满足</w:t>
                  </w:r>
                  <w:r>
                    <w:rPr>
                      <w:rFonts w:hint="eastAsia"/>
                      <w:color w:val="000000" w:themeColor="text1"/>
                      <w:lang w:val="en-US" w:eastAsia="zh-CN"/>
                      <w14:textFill>
                        <w14:solidFill>
                          <w14:schemeClr w14:val="tx1"/>
                        </w14:solidFill>
                      </w14:textFill>
                    </w:rPr>
                    <w:t>质量</w:t>
                  </w:r>
                  <w:r>
                    <w:rPr>
                      <w:rFonts w:hint="eastAsia"/>
                      <w:color w:val="000000" w:themeColor="text1"/>
                      <w14:textFill>
                        <w14:solidFill>
                          <w14:schemeClr w14:val="tx1"/>
                        </w14:solidFill>
                      </w14:textFill>
                    </w:rPr>
                    <w:t>标准要求，</w:t>
                  </w:r>
                  <w:r>
                    <w:rPr>
                      <w:color w:val="000000" w:themeColor="text1"/>
                      <w14:textFill>
                        <w14:solidFill>
                          <w14:schemeClr w14:val="tx1"/>
                        </w14:solidFill>
                      </w14:textFill>
                    </w:rPr>
                    <w:t>产品抗压强度不小于10MPa。</w:t>
                  </w:r>
                </w:p>
              </w:tc>
              <w:tc>
                <w:tcPr>
                  <w:tcW w:w="564" w:type="pct"/>
                  <w:vAlign w:val="center"/>
                </w:tcPr>
                <w:p w14:paraId="18957669">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2DB4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5E89E5FD">
                  <w:pPr>
                    <w:pStyle w:val="13"/>
                    <w:rPr>
                      <w:color w:val="000000" w:themeColor="text1"/>
                      <w14:textFill>
                        <w14:solidFill>
                          <w14:schemeClr w14:val="tx1"/>
                        </w14:solidFill>
                      </w14:textFill>
                    </w:rPr>
                  </w:pPr>
                  <w:r>
                    <w:rPr>
                      <w:color w:val="000000" w:themeColor="text1"/>
                      <w14:textFill>
                        <w14:solidFill>
                          <w14:schemeClr w14:val="tx1"/>
                        </w14:solidFill>
                      </w14:textFill>
                    </w:rPr>
                    <w:t>5</w:t>
                  </w:r>
                </w:p>
              </w:tc>
              <w:tc>
                <w:tcPr>
                  <w:tcW w:w="1966" w:type="pct"/>
                  <w:vAlign w:val="center"/>
                </w:tcPr>
                <w:p w14:paraId="6B490F0C">
                  <w:pPr>
                    <w:pStyle w:val="13"/>
                    <w:rPr>
                      <w:color w:val="000000" w:themeColor="text1"/>
                      <w14:textFill>
                        <w14:solidFill>
                          <w14:schemeClr w14:val="tx1"/>
                        </w14:solidFill>
                      </w14:textFill>
                    </w:rPr>
                  </w:pPr>
                  <w:r>
                    <w:rPr>
                      <w:color w:val="000000" w:themeColor="text1"/>
                      <w14:textFill>
                        <w14:solidFill>
                          <w14:schemeClr w14:val="tx1"/>
                        </w14:solidFill>
                      </w14:textFill>
                    </w:rPr>
                    <w:t>制备的建材产品，放射性满足GB6566的要求。</w:t>
                  </w:r>
                </w:p>
              </w:tc>
              <w:tc>
                <w:tcPr>
                  <w:tcW w:w="2074" w:type="pct"/>
                  <w:vAlign w:val="center"/>
                </w:tcPr>
                <w:p w14:paraId="6CD32E07">
                  <w:pPr>
                    <w:pStyle w:val="13"/>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类比类似项目，</w:t>
                  </w:r>
                  <w:r>
                    <w:rPr>
                      <w:color w:val="000000" w:themeColor="text1"/>
                      <w14:textFill>
                        <w14:solidFill>
                          <w14:schemeClr w14:val="tx1"/>
                        </w14:solidFill>
                      </w14:textFill>
                    </w:rPr>
                    <w:t>制备的建材产品</w:t>
                  </w:r>
                  <w:r>
                    <w:rPr>
                      <w:rFonts w:hint="eastAsia"/>
                      <w:color w:val="000000" w:themeColor="text1"/>
                      <w14:textFill>
                        <w14:solidFill>
                          <w14:schemeClr w14:val="tx1"/>
                        </w14:solidFill>
                      </w14:textFill>
                    </w:rPr>
                    <w:t>放射性满足</w:t>
                  </w:r>
                  <w:r>
                    <w:rPr>
                      <w:color w:val="000000" w:themeColor="text1"/>
                      <w14:textFill>
                        <w14:solidFill>
                          <w14:schemeClr w14:val="tx1"/>
                        </w14:solidFill>
                      </w14:textFill>
                    </w:rPr>
                    <w:t>GB6566的要求。建成投产后建设单位应定期对</w:t>
                  </w:r>
                  <w:r>
                    <w:rPr>
                      <w:rFonts w:hint="eastAsia"/>
                      <w:color w:val="000000" w:themeColor="text1"/>
                      <w:lang w:val="en-US" w:eastAsia="zh-CN"/>
                      <w14:textFill>
                        <w14:solidFill>
                          <w14:schemeClr w14:val="tx1"/>
                        </w14:solidFill>
                      </w14:textFill>
                    </w:rPr>
                    <w:t>产品</w:t>
                  </w:r>
                  <w:r>
                    <w:rPr>
                      <w:color w:val="000000" w:themeColor="text1"/>
                      <w14:textFill>
                        <w14:solidFill>
                          <w14:schemeClr w14:val="tx1"/>
                        </w14:solidFill>
                      </w14:textFill>
                    </w:rPr>
                    <w:t>进行检测</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确保放射性符合要求。</w:t>
                  </w:r>
                </w:p>
              </w:tc>
              <w:tc>
                <w:tcPr>
                  <w:tcW w:w="564" w:type="pct"/>
                  <w:vAlign w:val="center"/>
                </w:tcPr>
                <w:p w14:paraId="7C99A751">
                  <w:pPr>
                    <w:pStyle w:val="13"/>
                    <w:rPr>
                      <w:color w:val="000000" w:themeColor="text1"/>
                      <w14:textFill>
                        <w14:solidFill>
                          <w14:schemeClr w14:val="tx1"/>
                        </w14:solidFill>
                      </w14:textFill>
                    </w:rPr>
                  </w:pPr>
                  <w:r>
                    <w:rPr>
                      <w:color w:val="000000" w:themeColor="text1"/>
                      <w14:textFill>
                        <w14:solidFill>
                          <w14:schemeClr w14:val="tx1"/>
                        </w14:solidFill>
                      </w14:textFill>
                    </w:rPr>
                    <w:t>符合</w:t>
                  </w:r>
                </w:p>
              </w:tc>
            </w:tr>
          </w:tbl>
          <w:p w14:paraId="43B49F78">
            <w:pPr>
              <w:pStyle w:val="12"/>
              <w:keepNext/>
              <w:keepLines w:val="0"/>
              <w:pageBreakBefore w:val="0"/>
              <w:kinsoku/>
              <w:wordWrap/>
              <w:overflowPunct/>
              <w:topLinePunct w:val="0"/>
              <w:autoSpaceDE/>
              <w:autoSpaceDN/>
              <w:bidi w:val="0"/>
              <w:spacing w:after="0" w:line="360" w:lineRule="auto"/>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14</w:t>
            </w:r>
            <w:r>
              <w:rPr>
                <w:rFonts w:cs="Times New Roman"/>
                <w:color w:val="000000" w:themeColor="text1"/>
                <w14:textFill>
                  <w14:solidFill>
                    <w14:schemeClr w14:val="tx1"/>
                  </w14:solidFill>
                </w14:textFill>
              </w:rPr>
              <w:t xml:space="preserve"> 与</w:t>
            </w:r>
            <w:r>
              <w:rPr>
                <w:rFonts w:hint="eastAsia" w:cs="Times New Roman"/>
                <w:color w:val="000000" w:themeColor="text1"/>
                <w:lang w:val="en-US" w:eastAsia="zh-CN"/>
                <w14:textFill>
                  <w14:solidFill>
                    <w14:schemeClr w14:val="tx1"/>
                  </w14:solidFill>
                </w14:textFill>
              </w:rPr>
              <w:t>HJ1461-2026</w:t>
            </w:r>
            <w:r>
              <w:rPr>
                <w:rFonts w:cs="Times New Roman"/>
                <w:color w:val="000000" w:themeColor="text1"/>
                <w14:textFill>
                  <w14:solidFill>
                    <w14:schemeClr w14:val="tx1"/>
                  </w14:solidFill>
                </w14:textFill>
              </w:rPr>
              <w:t>的符合性分析</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3642"/>
              <w:gridCol w:w="3596"/>
              <w:gridCol w:w="915"/>
            </w:tblGrid>
            <w:tr w14:paraId="5558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445" w:type="pct"/>
                  <w:gridSpan w:val="2"/>
                  <w:shd w:val="clear" w:color="auto" w:fill="auto"/>
                  <w:vAlign w:val="center"/>
                </w:tcPr>
                <w:p w14:paraId="1560B22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规划要求内容</w:t>
                  </w:r>
                </w:p>
              </w:tc>
              <w:tc>
                <w:tcPr>
                  <w:tcW w:w="2036" w:type="pct"/>
                  <w:shd w:val="clear" w:color="auto" w:fill="auto"/>
                  <w:vAlign w:val="center"/>
                </w:tcPr>
                <w:p w14:paraId="7B03215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518" w:type="pct"/>
                  <w:shd w:val="clear" w:color="auto" w:fill="auto"/>
                  <w:vAlign w:val="center"/>
                </w:tcPr>
                <w:p w14:paraId="60D8E70F">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41E0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3" w:type="pct"/>
                  <w:shd w:val="clear" w:color="auto" w:fill="auto"/>
                  <w:vAlign w:val="center"/>
                </w:tcPr>
                <w:p w14:paraId="118BCF6B">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5收集、贮存、转移污染控制要求</w:t>
                  </w:r>
                </w:p>
              </w:tc>
              <w:tc>
                <w:tcPr>
                  <w:tcW w:w="2061" w:type="pct"/>
                  <w:shd w:val="clear" w:color="auto" w:fill="auto"/>
                  <w:vAlign w:val="center"/>
                </w:tcPr>
                <w:p w14:paraId="5DEE78C8">
                  <w:pPr>
                    <w:pStyle w:val="13"/>
                    <w:jc w:val="both"/>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5.3 水基岩屑需要在作业现场临时贮存的，贮存场地的防渗性能满足GB18599的要求。综合考虑降雨量、蒸发量等因素，因地制宜采取必要的防雨、防尘措施。转移过程中采取防遗撒、防扬尘、防泄漏的措施。</w:t>
                  </w:r>
                </w:p>
                <w:p w14:paraId="56634790">
                  <w:pPr>
                    <w:pStyle w:val="13"/>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5.5 剩余固相的转移采取防遗撒、防扬尘、防泄漏的措施。剩余固相和回收的矿物油收集、贮存、转移过程的其他要求，根据其管理属性分别执行相关环境保护规定和标准的要求。</w:t>
                  </w:r>
                </w:p>
              </w:tc>
              <w:tc>
                <w:tcPr>
                  <w:tcW w:w="2036" w:type="pct"/>
                  <w:shd w:val="clear" w:color="auto" w:fill="auto"/>
                  <w:vAlign w:val="center"/>
                </w:tcPr>
                <w:p w14:paraId="43BCCC9B">
                  <w:pPr>
                    <w:pStyle w:val="13"/>
                    <w:rPr>
                      <w:rFonts w:hint="default" w:eastAsia="宋体" w:cs="Times New Roman"/>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本项目在1号厂房内设置1座干水基岩屑堆存区；在2号厂房内设置1座湿水基岩屑储存池，池体和堆存区地面均采取重点防渗；均位于厂房内，采取了防雨、防尘、防泄漏等措施。</w:t>
                  </w:r>
                </w:p>
              </w:tc>
              <w:tc>
                <w:tcPr>
                  <w:tcW w:w="518" w:type="pct"/>
                  <w:shd w:val="clear" w:color="auto" w:fill="auto"/>
                  <w:vAlign w:val="center"/>
                </w:tcPr>
                <w:p w14:paraId="3A81B90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04D4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3" w:type="pct"/>
                  <w:shd w:val="clear" w:color="auto" w:fill="auto"/>
                  <w:vAlign w:val="center"/>
                </w:tcPr>
                <w:p w14:paraId="5EB08BE7">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6利用、处置污染控制要求</w:t>
                  </w:r>
                </w:p>
              </w:tc>
              <w:tc>
                <w:tcPr>
                  <w:tcW w:w="2061" w:type="pct"/>
                  <w:shd w:val="clear" w:color="auto" w:fill="auto"/>
                  <w:vAlign w:val="center"/>
                </w:tcPr>
                <w:p w14:paraId="2E37D4EA">
                  <w:pPr>
                    <w:pStyle w:val="13"/>
                    <w:jc w:val="both"/>
                    <w:rPr>
                      <w:rFonts w:hint="eastAsia" w:cs="Times New Roman"/>
                      <w:b/>
                      <w:bCs w:val="0"/>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6.1水基岩屑</w:t>
                  </w:r>
                </w:p>
                <w:p w14:paraId="309E8FA2">
                  <w:pPr>
                    <w:pStyle w:val="13"/>
                    <w:jc w:val="both"/>
                    <w:rPr>
                      <w:rFonts w:hint="eastAsia" w:cs="Times New Roman"/>
                      <w:b/>
                      <w:bCs w:val="0"/>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6.1.2制备烧结砖、陶粒</w:t>
                  </w:r>
                </w:p>
                <w:p w14:paraId="5BA4D3D7">
                  <w:pPr>
                    <w:pStyle w:val="13"/>
                    <w:jc w:val="both"/>
                    <w:rPr>
                      <w:rFonts w:hint="eastAsia"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水基岩屑制备烧结砖、陶粒时，满足以下要求</w:t>
                  </w:r>
                  <w:r>
                    <w:rPr>
                      <w:rFonts w:hint="eastAsia" w:cs="Times New Roman"/>
                      <w:color w:val="000000" w:themeColor="text1"/>
                      <w:lang w:val="en-US" w:eastAsia="zh-CN"/>
                      <w14:textFill>
                        <w14:solidFill>
                          <w14:schemeClr w14:val="tx1"/>
                        </w14:solidFill>
                      </w14:textFill>
                    </w:rPr>
                    <w:t>：</w:t>
                  </w:r>
                </w:p>
                <w:p w14:paraId="46E8E7DA">
                  <w:pPr>
                    <w:pStyle w:val="13"/>
                    <w:jc w:val="both"/>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a)窑炉烟气设置气体收集处理设施，废气排放满足GB29620、GB25464等国家或地方大气污染物排放标准的要求。其中，使用磺化钻井岩屑的，采用活性炭喷射或其他适宜的方法减少二噁英类的产生，废气中二噁英类的排放满足GB18484的要求。</w:t>
                  </w:r>
                </w:p>
              </w:tc>
              <w:tc>
                <w:tcPr>
                  <w:tcW w:w="2036" w:type="pct"/>
                  <w:shd w:val="clear" w:color="auto" w:fill="auto"/>
                  <w:vAlign w:val="center"/>
                </w:tcPr>
                <w:p w14:paraId="270C50AE">
                  <w:pPr>
                    <w:pStyle w:val="13"/>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本项目</w:t>
                  </w:r>
                  <w:r>
                    <w:rPr>
                      <w:rFonts w:hint="eastAsia"/>
                      <w:color w:val="000000" w:themeColor="text1"/>
                      <w:szCs w:val="21"/>
                      <w:lang w:val="en-US" w:eastAsia="zh-CN"/>
                      <w14:textFill>
                        <w14:solidFill>
                          <w14:schemeClr w14:val="tx1"/>
                        </w14:solidFill>
                      </w14:textFill>
                    </w:rPr>
                    <w:t>产品为免烧砌块，不属于烧结砖和陶粒，因此二噁英不执行GB18484，参照执行《生活垃圾焚烧污染控制标准》（GB18485-2014）中限值要求，且GB18485-2014中的二噁英排放限值比GB18484中的更严。</w:t>
                  </w:r>
                  <w:r>
                    <w:rPr>
                      <w:rFonts w:hint="eastAsia" w:cs="Times New Roman"/>
                      <w:color w:val="000000" w:themeColor="text1"/>
                      <w:szCs w:val="21"/>
                      <w:lang w:val="en-US" w:eastAsia="zh-CN"/>
                      <w14:textFill>
                        <w14:solidFill>
                          <w14:schemeClr w14:val="tx1"/>
                        </w14:solidFill>
                      </w14:textFill>
                    </w:rPr>
                    <w:t>煅烧废气设置</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color w:val="000000" w:themeColor="text1"/>
                      <w:szCs w:val="21"/>
                      <w:lang w:val="en-US" w:eastAsia="zh-CN"/>
                      <w14:textFill>
                        <w14:solidFill>
                          <w14:schemeClr w14:val="tx1"/>
                        </w14:solidFill>
                      </w14:textFill>
                    </w:rPr>
                    <w:t>旋风除尘器+布袋除尘器1#+喷射活性炭+布袋除尘器2#+2座脱酸塔去除，本项目水基岩屑煅烧制备免烧砌块，主体属于砖瓦行业，因此</w:t>
                  </w:r>
                  <w:r>
                    <w:rPr>
                      <w:rFonts w:hint="eastAsia" w:ascii="Times New Roman" w:hAnsi="Times New Roman" w:cs="Times New Roman"/>
                      <w:color w:val="000000" w:themeColor="text1"/>
                      <w:sz w:val="21"/>
                      <w:szCs w:val="21"/>
                      <w:lang w:val="en-US" w:eastAsia="zh-CN"/>
                      <w14:textFill>
                        <w14:solidFill>
                          <w14:schemeClr w14:val="tx1"/>
                        </w14:solidFill>
                      </w14:textFill>
                    </w:rPr>
                    <w:t>氮氧化物、氟化物执行《砖瓦工业大气污染物排放标准》（GB29620-2013）表2中限值要求</w:t>
                  </w:r>
                  <w:r>
                    <w:rPr>
                      <w:rFonts w:hint="eastAsia"/>
                      <w:color w:val="000000" w:themeColor="text1"/>
                      <w:szCs w:val="21"/>
                      <w:lang w:val="en-US" w:eastAsia="zh-CN"/>
                      <w14:textFill>
                        <w14:solidFill>
                          <w14:schemeClr w14:val="tx1"/>
                        </w14:solidFill>
                      </w14:textFill>
                    </w:rPr>
                    <w:t>，其他污染因子参照执行《生活垃圾焚烧污染控制标准》（GB18485-2014），经1根45m高排气筒（DA001）排放。</w:t>
                  </w:r>
                </w:p>
              </w:tc>
              <w:tc>
                <w:tcPr>
                  <w:tcW w:w="518" w:type="pct"/>
                  <w:shd w:val="clear" w:color="auto" w:fill="auto"/>
                  <w:vAlign w:val="center"/>
                </w:tcPr>
                <w:p w14:paraId="1E43CA85">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bl>
          <w:p w14:paraId="37312816">
            <w:pPr>
              <w:pStyle w:val="4"/>
              <w:spacing w:before="163" w:line="240" w:lineRule="auto"/>
              <w:jc w:val="center"/>
              <w:rPr>
                <w:rFonts w:hint="default" w:eastAsia="宋体"/>
                <w:color w:val="000000" w:themeColor="text1"/>
                <w:sz w:val="21"/>
                <w:szCs w:val="18"/>
                <w:lang w:val="en-US" w:eastAsia="zh-CN"/>
                <w14:textFill>
                  <w14:solidFill>
                    <w14:schemeClr w14:val="tx1"/>
                  </w14:solidFill>
                </w14:textFill>
              </w:rPr>
            </w:pPr>
            <w:r>
              <w:rPr>
                <w:rFonts w:hint="eastAsia"/>
                <w:color w:val="000000" w:themeColor="text1"/>
                <w:sz w:val="21"/>
                <w:szCs w:val="18"/>
                <w:lang w:val="en-US" w:eastAsia="zh-CN"/>
                <w14:textFill>
                  <w14:solidFill>
                    <w14:schemeClr w14:val="tx1"/>
                  </w14:solidFill>
                </w14:textFill>
              </w:rPr>
              <w:t>表1-15 与</w:t>
            </w:r>
            <w:r>
              <w:rPr>
                <w:color w:val="000000" w:themeColor="text1"/>
                <w:sz w:val="21"/>
                <w:szCs w:val="18"/>
                <w14:textFill>
                  <w14:solidFill>
                    <w14:schemeClr w14:val="tx1"/>
                  </w14:solidFill>
                </w14:textFill>
              </w:rPr>
              <w:t>《四川省页岩气开采业污染防治技术政策》</w:t>
            </w:r>
            <w:r>
              <w:rPr>
                <w:rFonts w:hint="eastAsia"/>
                <w:color w:val="000000" w:themeColor="text1"/>
                <w:sz w:val="21"/>
                <w:szCs w:val="18"/>
                <w:lang w:val="en-US" w:eastAsia="zh-CN"/>
                <w14:textFill>
                  <w14:solidFill>
                    <w14:schemeClr w14:val="tx1"/>
                  </w14:solidFill>
                </w14:textFill>
              </w:rPr>
              <w:t>符合性分析</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4109"/>
              <w:gridCol w:w="3127"/>
              <w:gridCol w:w="903"/>
            </w:tblGrid>
            <w:tr w14:paraId="15EA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18" w:type="pct"/>
                  <w:gridSpan w:val="2"/>
                  <w:shd w:val="clear" w:color="auto" w:fill="auto"/>
                  <w:vAlign w:val="center"/>
                </w:tcPr>
                <w:p w14:paraId="28F28B1F">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规划要求内容</w:t>
                  </w:r>
                </w:p>
              </w:tc>
              <w:tc>
                <w:tcPr>
                  <w:tcW w:w="1770" w:type="pct"/>
                  <w:shd w:val="clear" w:color="auto" w:fill="auto"/>
                  <w:vAlign w:val="center"/>
                </w:tcPr>
                <w:p w14:paraId="0A541224">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511" w:type="pct"/>
                  <w:shd w:val="clear" w:color="auto" w:fill="auto"/>
                  <w:vAlign w:val="center"/>
                </w:tcPr>
                <w:p w14:paraId="351D2C8A">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4882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2" w:type="pct"/>
                  <w:vMerge w:val="restart"/>
                  <w:shd w:val="clear" w:color="auto" w:fill="auto"/>
                  <w:vAlign w:val="center"/>
                </w:tcPr>
                <w:p w14:paraId="1C7955D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固体废物处置及综合利用</w:t>
                  </w:r>
                </w:p>
              </w:tc>
              <w:tc>
                <w:tcPr>
                  <w:tcW w:w="2326" w:type="pct"/>
                  <w:shd w:val="clear" w:color="auto" w:fill="auto"/>
                  <w:vAlign w:val="center"/>
                </w:tcPr>
                <w:p w14:paraId="35E71B48">
                  <w:pPr>
                    <w:pStyle w:val="13"/>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页岩气开采产生的固体废物应实行全过程管理，并按照“减量化、资源化、无害化”的原则，减少固体废物的产生量，并对其进行资源化利用和无害化处理处置。</w:t>
                  </w:r>
                </w:p>
              </w:tc>
              <w:tc>
                <w:tcPr>
                  <w:tcW w:w="1770" w:type="pct"/>
                  <w:shd w:val="clear" w:color="auto" w:fill="auto"/>
                  <w:vAlign w:val="center"/>
                </w:tcPr>
                <w:p w14:paraId="04F2BCF5">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本项目利用水基岩屑作为原料，将其</w:t>
                  </w:r>
                  <w:r>
                    <w:rPr>
                      <w:rFonts w:hint="eastAsia"/>
                      <w:color w:val="000000" w:themeColor="text1"/>
                      <w:lang w:val="en-US" w:eastAsia="zh-CN"/>
                      <w14:textFill>
                        <w14:solidFill>
                          <w14:schemeClr w14:val="tx1"/>
                        </w14:solidFill>
                      </w14:textFill>
                    </w:rPr>
                    <w:t>干燥、预热和</w:t>
                  </w:r>
                  <w:r>
                    <w:rPr>
                      <w:rFonts w:hint="eastAsia" w:cs="Times New Roman"/>
                      <w:color w:val="000000" w:themeColor="text1"/>
                      <w:lang w:val="en-US" w:eastAsia="zh-CN"/>
                      <w14:textFill>
                        <w14:solidFill>
                          <w14:schemeClr w14:val="tx1"/>
                        </w14:solidFill>
                      </w14:textFill>
                    </w:rPr>
                    <w:t>煅烧预处理后，再配以水泥、砂石、固化剂、水等生产免烧砌块，实现水基岩屑的资源化利用。</w:t>
                  </w:r>
                </w:p>
              </w:tc>
              <w:tc>
                <w:tcPr>
                  <w:tcW w:w="511" w:type="pct"/>
                  <w:shd w:val="clear" w:color="auto" w:fill="auto"/>
                  <w:vAlign w:val="center"/>
                </w:tcPr>
                <w:p w14:paraId="169E672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32B8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2" w:type="pct"/>
                  <w:vMerge w:val="continue"/>
                  <w:shd w:val="clear" w:color="auto" w:fill="auto"/>
                  <w:vAlign w:val="center"/>
                </w:tcPr>
                <w:p w14:paraId="60D736D1">
                  <w:pPr>
                    <w:pStyle w:val="13"/>
                    <w:rPr>
                      <w:rFonts w:hint="default" w:eastAsia="宋体" w:cs="Times New Roman"/>
                      <w:color w:val="000000" w:themeColor="text1"/>
                      <w:lang w:val="en-US" w:eastAsia="zh-CN"/>
                      <w14:textFill>
                        <w14:solidFill>
                          <w14:schemeClr w14:val="tx1"/>
                        </w14:solidFill>
                      </w14:textFill>
                    </w:rPr>
                  </w:pPr>
                </w:p>
              </w:tc>
              <w:tc>
                <w:tcPr>
                  <w:tcW w:w="2326" w:type="pct"/>
                  <w:shd w:val="clear" w:color="auto" w:fill="auto"/>
                  <w:vAlign w:val="center"/>
                </w:tcPr>
                <w:p w14:paraId="3835188E">
                  <w:pPr>
                    <w:pStyle w:val="13"/>
                    <w:jc w:val="both"/>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水基岩屑应首先进行固液分离，降低含水率，回收其中的液相并重复利用，剩余固相优先考虑资源化综合利用，同时加强其暂存、预处理、转运等过程的环境管理，避免二次污染。外送加工利用水基岩屑，应符合接纳企业对原材料的质量和规格要求，同时接纳企业应具有相关环保手续</w:t>
                  </w:r>
                  <w:r>
                    <w:rPr>
                      <w:rFonts w:hint="eastAsia" w:cs="Times New Roman"/>
                      <w:color w:val="000000" w:themeColor="text1"/>
                      <w:lang w:val="en-US" w:eastAsia="zh-CN"/>
                      <w14:textFill>
                        <w14:solidFill>
                          <w14:schemeClr w14:val="tx1"/>
                        </w14:solidFill>
                      </w14:textFill>
                    </w:rPr>
                    <w:t>；</w:t>
                  </w:r>
                  <w:r>
                    <w:rPr>
                      <w:rFonts w:hint="default" w:cs="Times New Roman"/>
                      <w:color w:val="000000" w:themeColor="text1"/>
                      <w:lang w:val="en-US" w:eastAsia="zh-CN"/>
                      <w14:textFill>
                        <w14:solidFill>
                          <w14:schemeClr w14:val="tx1"/>
                        </w14:solidFill>
                      </w14:textFill>
                    </w:rPr>
                    <w:t>企业自身加工利用水基岩屑，应符合国家行业技术政策和相关环保要求</w:t>
                  </w:r>
                  <w:r>
                    <w:rPr>
                      <w:rFonts w:hint="eastAsia" w:cs="Times New Roman"/>
                      <w:color w:val="000000" w:themeColor="text1"/>
                      <w:lang w:val="en-US" w:eastAsia="zh-CN"/>
                      <w14:textFill>
                        <w14:solidFill>
                          <w14:schemeClr w14:val="tx1"/>
                        </w14:solidFill>
                      </w14:textFill>
                    </w:rPr>
                    <w:t>；</w:t>
                  </w:r>
                  <w:r>
                    <w:rPr>
                      <w:rFonts w:hint="default" w:cs="Times New Roman"/>
                      <w:color w:val="000000" w:themeColor="text1"/>
                      <w:lang w:val="en-US" w:eastAsia="zh-CN"/>
                      <w14:textFill>
                        <w14:solidFill>
                          <w14:schemeClr w14:val="tx1"/>
                        </w14:solidFill>
                      </w14:textFill>
                    </w:rPr>
                    <w:t>利用水基岩屑加工制作成产品外售，应符合产品质量标准。无害化填埋水基岩屑，其填埋场所应符合《土壤污染防治行动计划》、《一般工业固体废弃物贮存、处置场污染控制标准》(GB18599-2001)的相关规定。</w:t>
                  </w:r>
                </w:p>
              </w:tc>
              <w:tc>
                <w:tcPr>
                  <w:tcW w:w="1770" w:type="pct"/>
                  <w:shd w:val="clear" w:color="auto" w:fill="auto"/>
                  <w:vAlign w:val="center"/>
                </w:tcPr>
                <w:p w14:paraId="15E676CE">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本项目为水基岩屑的接纳企业，属于利用水基岩屑加工制成产品外售的企业，本项目接收的水基岩屑含水率</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70%，入厂后经预处理脱水为含水率35%水基岩屑。本项目利用水基岩屑制备免烧砌块，其产品质量标准满足</w:t>
                  </w:r>
                  <w:r>
                    <w:rPr>
                      <w:rFonts w:hint="default" w:cs="Times New Roman"/>
                      <w:color w:val="000000" w:themeColor="text1"/>
                      <w:szCs w:val="21"/>
                      <w:lang w:bidi="ar"/>
                      <w14:textFill>
                        <w14:solidFill>
                          <w14:schemeClr w14:val="tx1"/>
                        </w14:solidFill>
                      </w14:textFill>
                    </w:rPr>
                    <w:t>《非烧结垃圾尾矿砖》（JC/T422-2025），同时满足《陆上石油天然气开采水基钻井废弃物处理处置及资源化利用技术规范》（SY/T7466-2020</w:t>
                  </w:r>
                  <w:r>
                    <w:rPr>
                      <w:rFonts w:hint="eastAsia" w:cs="Times New Roman"/>
                      <w:color w:val="000000" w:themeColor="text1"/>
                      <w:szCs w:val="21"/>
                      <w:lang w:eastAsia="zh-CN" w:bidi="ar"/>
                      <w14:textFill>
                        <w14:solidFill>
                          <w14:schemeClr w14:val="tx1"/>
                        </w14:solidFill>
                      </w14:textFill>
                    </w:rPr>
                    <w:t>）、</w:t>
                  </w:r>
                  <w:r>
                    <w:rPr>
                      <w:rFonts w:hint="default" w:cs="Times New Roman"/>
                      <w:color w:val="000000" w:themeColor="text1"/>
                      <w:szCs w:val="21"/>
                      <w:lang w:bidi="ar"/>
                      <w14:textFill>
                        <w14:solidFill>
                          <w14:schemeClr w14:val="tx1"/>
                        </w14:solidFill>
                      </w14:textFill>
                    </w:rPr>
                    <w:t>《陆上石油天然气钻井环境保护技术规范》（SY/T7298-2024</w:t>
                  </w:r>
                  <w:r>
                    <w:rPr>
                      <w:rFonts w:hint="eastAsia" w:cs="Times New Roman"/>
                      <w:color w:val="000000" w:themeColor="text1"/>
                      <w:szCs w:val="21"/>
                      <w:lang w:eastAsia="zh-CN" w:bidi="ar"/>
                      <w14:textFill>
                        <w14:solidFill>
                          <w14:schemeClr w14:val="tx1"/>
                        </w14:solidFill>
                      </w14:textFill>
                    </w:rPr>
                    <w:t>）</w:t>
                  </w:r>
                  <w:r>
                    <w:rPr>
                      <w:rFonts w:hint="default" w:cs="Times New Roman"/>
                      <w:color w:val="000000" w:themeColor="text1"/>
                      <w:szCs w:val="21"/>
                      <w:lang w:bidi="ar"/>
                      <w14:textFill>
                        <w14:solidFill>
                          <w14:schemeClr w14:val="tx1"/>
                        </w14:solidFill>
                      </w14:textFill>
                    </w:rPr>
                    <w:t>中关于浸出液污染控制项目限值要求</w:t>
                  </w:r>
                  <w:r>
                    <w:rPr>
                      <w:rFonts w:hint="eastAsia" w:cs="Times New Roman"/>
                      <w:color w:val="000000" w:themeColor="text1"/>
                      <w:kern w:val="0"/>
                      <w:sz w:val="21"/>
                      <w:szCs w:val="21"/>
                      <w:lang w:val="en-US" w:eastAsia="zh-CN" w:bidi="ar"/>
                      <w14:textFill>
                        <w14:solidFill>
                          <w14:schemeClr w14:val="tx1"/>
                        </w14:solidFill>
                      </w14:textFill>
                    </w:rPr>
                    <w:t>。</w:t>
                  </w:r>
                </w:p>
              </w:tc>
              <w:tc>
                <w:tcPr>
                  <w:tcW w:w="511" w:type="pct"/>
                  <w:shd w:val="clear" w:color="auto" w:fill="auto"/>
                  <w:vAlign w:val="center"/>
                </w:tcPr>
                <w:p w14:paraId="1633E8B9">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bl>
          <w:p w14:paraId="0E84EE62">
            <w:pPr>
              <w:ind w:firstLine="480"/>
              <w:rPr>
                <w:rFonts w:hint="default" w:eastAsia="宋体" w:cs="Times New Roman"/>
                <w:b w:val="0"/>
                <w:bCs w:val="0"/>
                <w:color w:val="000000" w:themeColor="text1"/>
                <w:lang w:val="en-US" w:eastAsia="zh-CN"/>
                <w14:textFill>
                  <w14:solidFill>
                    <w14:schemeClr w14:val="tx1"/>
                  </w14:solidFill>
                </w14:textFill>
              </w:rPr>
            </w:pPr>
            <w:r>
              <w:rPr>
                <w:rFonts w:hint="default" w:cs="Times New Roman"/>
                <w:b w:val="0"/>
                <w:bCs w:val="0"/>
                <w:color w:val="000000" w:themeColor="text1"/>
                <w:lang w:val="en-US" w:eastAsia="zh-CN"/>
                <w14:textFill>
                  <w14:solidFill>
                    <w14:schemeClr w14:val="tx1"/>
                  </w14:solidFill>
                </w14:textFill>
              </w:rPr>
              <w:t>综上所述，本项目建设符合</w:t>
            </w:r>
            <w:r>
              <w:rPr>
                <w:rFonts w:cs="Times New Roman"/>
                <w:b w:val="0"/>
                <w:bCs w:val="0"/>
                <w:color w:val="000000" w:themeColor="text1"/>
                <w14:textFill>
                  <w14:solidFill>
                    <w14:schemeClr w14:val="tx1"/>
                  </w14:solidFill>
                </w14:textFill>
              </w:rPr>
              <w:t>《</w:t>
            </w:r>
            <w:r>
              <w:rPr>
                <w:rFonts w:hint="eastAsia" w:cs="Times New Roman"/>
                <w:b w:val="0"/>
                <w:bCs w:val="0"/>
                <w:color w:val="000000" w:themeColor="text1"/>
                <w:lang w:eastAsia="zh-CN"/>
                <w14:textFill>
                  <w14:solidFill>
                    <w14:schemeClr w14:val="tx1"/>
                  </w14:solidFill>
                </w14:textFill>
              </w:rPr>
              <w:t>陆上石油天然气钻井环境保护技术规范</w:t>
            </w:r>
            <w:r>
              <w:rPr>
                <w:rFonts w:cs="Times New Roman"/>
                <w:b w:val="0"/>
                <w:bCs w:val="0"/>
                <w:color w:val="000000" w:themeColor="text1"/>
                <w14:textFill>
                  <w14:solidFill>
                    <w14:schemeClr w14:val="tx1"/>
                  </w14:solidFill>
                </w14:textFill>
              </w:rPr>
              <w:t>》</w:t>
            </w:r>
            <w:r>
              <w:rPr>
                <w:rFonts w:hint="default" w:cs="Times New Roman"/>
                <w:b w:val="0"/>
                <w:bCs w:val="0"/>
                <w:color w:val="000000" w:themeColor="text1"/>
                <w14:textFill>
                  <w14:solidFill>
                    <w14:schemeClr w14:val="tx1"/>
                  </w14:solidFill>
                </w14:textFill>
              </w:rPr>
              <w:t>（</w:t>
            </w:r>
            <w:r>
              <w:rPr>
                <w:rFonts w:hint="eastAsia" w:cs="Times New Roman"/>
                <w:b w:val="0"/>
                <w:bCs w:val="0"/>
                <w:color w:val="000000" w:themeColor="text1"/>
                <w:lang w:eastAsia="zh-CN"/>
                <w14:textFill>
                  <w14:solidFill>
                    <w14:schemeClr w14:val="tx1"/>
                  </w14:solidFill>
                </w14:textFill>
              </w:rPr>
              <w:t>SY/T7298-2024</w:t>
            </w:r>
            <w:r>
              <w:rPr>
                <w:rFonts w:cs="Times New Roman"/>
                <w:b w:val="0"/>
                <w:bCs w:val="0"/>
                <w:color w:val="000000" w:themeColor="text1"/>
                <w14:textFill>
                  <w14:solidFill>
                    <w14:schemeClr w14:val="tx1"/>
                  </w14:solidFill>
                </w14:textFill>
              </w:rPr>
              <w:t>）及《陆上石油天然气开采水基钻井废弃物处理处置及资源化利用技术规范》</w:t>
            </w:r>
            <w:r>
              <w:rPr>
                <w:rFonts w:hint="default" w:cs="Times New Roman"/>
                <w:b w:val="0"/>
                <w:bCs w:val="0"/>
                <w:color w:val="000000" w:themeColor="text1"/>
                <w14:textFill>
                  <w14:solidFill>
                    <w14:schemeClr w14:val="tx1"/>
                  </w14:solidFill>
                </w14:textFill>
              </w:rPr>
              <w:t>（</w:t>
            </w:r>
            <w:r>
              <w:rPr>
                <w:rFonts w:cs="Times New Roman"/>
                <w:b w:val="0"/>
                <w:bCs w:val="0"/>
                <w:color w:val="000000" w:themeColor="text1"/>
                <w14:textFill>
                  <w14:solidFill>
                    <w14:schemeClr w14:val="tx1"/>
                  </w14:solidFill>
                </w14:textFill>
              </w:rPr>
              <w:t>SY/T7466-2020）</w:t>
            </w:r>
            <w:r>
              <w:rPr>
                <w:rFonts w:hint="default" w:cs="Times New Roman"/>
                <w:b w:val="0"/>
                <w:bCs w:val="0"/>
                <w:color w:val="000000" w:themeColor="text1"/>
                <w:lang w:val="en-US" w:eastAsia="zh-CN"/>
                <w14:textFill>
                  <w14:solidFill>
                    <w14:schemeClr w14:val="tx1"/>
                  </w14:solidFill>
                </w14:textFill>
              </w:rPr>
              <w:t>《石油天然气开采固体废物污染控制技术规范（试行）》（HJ1461-2026）</w:t>
            </w:r>
            <w:r>
              <w:rPr>
                <w:rFonts w:cs="Times New Roman"/>
                <w:b w:val="0"/>
                <w:bCs w:val="0"/>
                <w:color w:val="000000" w:themeColor="text1"/>
                <w14:textFill>
                  <w14:solidFill>
                    <w14:schemeClr w14:val="tx1"/>
                  </w14:solidFill>
                </w14:textFill>
              </w:rPr>
              <w:t>《四川省页岩气开采业污染防治技术政策》</w:t>
            </w:r>
            <w:r>
              <w:rPr>
                <w:rFonts w:hint="default" w:cs="Times New Roman"/>
                <w:b w:val="0"/>
                <w:bCs w:val="0"/>
                <w:color w:val="000000" w:themeColor="text1"/>
                <w:lang w:eastAsia="zh-CN"/>
                <w14:textFill>
                  <w14:solidFill>
                    <w14:schemeClr w14:val="tx1"/>
                  </w14:solidFill>
                </w14:textFill>
              </w:rPr>
              <w:t>（</w:t>
            </w:r>
            <w:r>
              <w:rPr>
                <w:rFonts w:hint="default" w:cs="Times New Roman"/>
                <w:b w:val="0"/>
                <w:bCs w:val="0"/>
                <w:color w:val="000000" w:themeColor="text1"/>
                <w:lang w:val="en-US" w:eastAsia="zh-CN"/>
                <w14:textFill>
                  <w14:solidFill>
                    <w14:schemeClr w14:val="tx1"/>
                  </w14:solidFill>
                </w14:textFill>
              </w:rPr>
              <w:t>四川省环境保护厅公告2018年第3号</w:t>
            </w:r>
            <w:r>
              <w:rPr>
                <w:rFonts w:hint="default" w:cs="Times New Roman"/>
                <w:b w:val="0"/>
                <w:bCs w:val="0"/>
                <w:color w:val="000000" w:themeColor="text1"/>
                <w:lang w:eastAsia="zh-CN"/>
                <w14:textFill>
                  <w14:solidFill>
                    <w14:schemeClr w14:val="tx1"/>
                  </w14:solidFill>
                </w14:textFill>
              </w:rPr>
              <w:t>）</w:t>
            </w:r>
            <w:r>
              <w:rPr>
                <w:rFonts w:hint="default" w:cs="Times New Roman"/>
                <w:b w:val="0"/>
                <w:bCs w:val="0"/>
                <w:color w:val="000000" w:themeColor="text1"/>
                <w:lang w:val="en-US" w:eastAsia="zh-CN"/>
                <w14:textFill>
                  <w14:solidFill>
                    <w14:schemeClr w14:val="tx1"/>
                  </w14:solidFill>
                </w14:textFill>
              </w:rPr>
              <w:t>的相关要求。</w:t>
            </w:r>
          </w:p>
          <w:p w14:paraId="0E8A36E8">
            <w:pPr>
              <w:pStyle w:val="4"/>
              <w:numPr>
                <w:ilvl w:val="0"/>
                <w:numId w:val="8"/>
              </w:numPr>
              <w:spacing w:before="163"/>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与</w:t>
            </w:r>
            <w:r>
              <w:rPr>
                <w:b/>
                <w:bCs/>
                <w:color w:val="000000" w:themeColor="text1"/>
                <w:kern w:val="0"/>
                <w:sz w:val="24"/>
                <w:lang w:bidi="ar"/>
                <w14:textFill>
                  <w14:solidFill>
                    <w14:schemeClr w14:val="tx1"/>
                  </w14:solidFill>
                </w14:textFill>
              </w:rPr>
              <w:t>《</w:t>
            </w:r>
            <w:r>
              <w:rPr>
                <w:b/>
                <w:bCs/>
                <w:color w:val="000000" w:themeColor="text1"/>
                <w:sz w:val="24"/>
                <w:szCs w:val="32"/>
                <w14:textFill>
                  <w14:solidFill>
                    <w14:schemeClr w14:val="tx1"/>
                  </w14:solidFill>
                </w14:textFill>
              </w:rPr>
              <w:t>四川省重污染天气金属表面处理及热处理加工等10个行业应急减排措施制定技术指南（2024年修订版</w:t>
            </w:r>
            <w:r>
              <w:rPr>
                <w:rFonts w:hint="eastAsia"/>
                <w:b/>
                <w:bCs/>
                <w:color w:val="000000" w:themeColor="text1"/>
                <w:sz w:val="24"/>
                <w:szCs w:val="32"/>
                <w:lang w:eastAsia="zh-CN"/>
                <w14:textFill>
                  <w14:solidFill>
                    <w14:schemeClr w14:val="tx1"/>
                  </w14:solidFill>
                </w14:textFill>
              </w:rPr>
              <w:t>）</w:t>
            </w:r>
            <w:r>
              <w:rPr>
                <w:b/>
                <w:bCs/>
                <w:color w:val="000000" w:themeColor="text1"/>
                <w:kern w:val="0"/>
                <w:sz w:val="24"/>
                <w:lang w:bidi="ar"/>
                <w14:textFill>
                  <w14:solidFill>
                    <w14:schemeClr w14:val="tx1"/>
                  </w14:solidFill>
                </w14:textFill>
              </w:rPr>
              <w:t>》（川环办函〔2024〕337号）</w:t>
            </w:r>
            <w:r>
              <w:rPr>
                <w:rFonts w:hint="eastAsia"/>
                <w:b/>
                <w:bCs/>
                <w:color w:val="000000" w:themeColor="text1"/>
                <w:kern w:val="0"/>
                <w:sz w:val="24"/>
                <w:lang w:eastAsia="zh-CN" w:bidi="ar"/>
                <w14:textFill>
                  <w14:solidFill>
                    <w14:schemeClr w14:val="tx1"/>
                  </w14:solidFill>
                </w14:textFill>
              </w:rPr>
              <w:t>、《</w:t>
            </w:r>
            <w:r>
              <w:rPr>
                <w:rFonts w:hint="eastAsia"/>
                <w:b/>
                <w:bCs/>
                <w:color w:val="000000" w:themeColor="text1"/>
                <w:kern w:val="0"/>
                <w:sz w:val="24"/>
                <w:lang w:val="en-US" w:eastAsia="zh-CN" w:bidi="ar"/>
                <w14:textFill>
                  <w14:solidFill>
                    <w14:schemeClr w14:val="tx1"/>
                  </w14:solidFill>
                </w14:textFill>
              </w:rPr>
              <w:t>重污染天气重点行业应急减排措施执行技术指南（2020年修订版）</w:t>
            </w:r>
            <w:r>
              <w:rPr>
                <w:rFonts w:hint="eastAsia"/>
                <w:b/>
                <w:bCs/>
                <w:color w:val="000000" w:themeColor="text1"/>
                <w:kern w:val="0"/>
                <w:sz w:val="24"/>
                <w:lang w:eastAsia="zh-CN" w:bidi="ar"/>
                <w14:textFill>
                  <w14:solidFill>
                    <w14:schemeClr w14:val="tx1"/>
                  </w14:solidFill>
                </w14:textFill>
              </w:rPr>
              <w:t>》（</w:t>
            </w:r>
            <w:r>
              <w:rPr>
                <w:rFonts w:hint="eastAsia"/>
                <w:b/>
                <w:bCs/>
                <w:color w:val="000000" w:themeColor="text1"/>
                <w:kern w:val="0"/>
                <w:sz w:val="24"/>
                <w:lang w:val="en-US" w:eastAsia="zh-CN" w:bidi="ar"/>
                <w14:textFill>
                  <w14:solidFill>
                    <w14:schemeClr w14:val="tx1"/>
                  </w14:solidFill>
                </w14:textFill>
              </w:rPr>
              <w:t>环办大气函</w:t>
            </w:r>
            <w:r>
              <w:rPr>
                <w:b/>
                <w:bCs/>
                <w:color w:val="000000" w:themeColor="text1"/>
                <w:kern w:val="0"/>
                <w:sz w:val="24"/>
                <w:lang w:bidi="ar"/>
                <w14:textFill>
                  <w14:solidFill>
                    <w14:schemeClr w14:val="tx1"/>
                  </w14:solidFill>
                </w14:textFill>
              </w:rPr>
              <w:t>〔202</w:t>
            </w:r>
            <w:r>
              <w:rPr>
                <w:rFonts w:hint="eastAsia"/>
                <w:b/>
                <w:bCs/>
                <w:color w:val="000000" w:themeColor="text1"/>
                <w:kern w:val="0"/>
                <w:sz w:val="24"/>
                <w:lang w:val="en-US" w:eastAsia="zh-CN" w:bidi="ar"/>
                <w14:textFill>
                  <w14:solidFill>
                    <w14:schemeClr w14:val="tx1"/>
                  </w14:solidFill>
                </w14:textFill>
              </w:rPr>
              <w:t>0</w:t>
            </w:r>
            <w:r>
              <w:rPr>
                <w:b/>
                <w:bCs/>
                <w:color w:val="000000" w:themeColor="text1"/>
                <w:kern w:val="0"/>
                <w:sz w:val="24"/>
                <w:lang w:bidi="ar"/>
                <w14:textFill>
                  <w14:solidFill>
                    <w14:schemeClr w14:val="tx1"/>
                  </w14:solidFill>
                </w14:textFill>
              </w:rPr>
              <w:t>〕3</w:t>
            </w:r>
            <w:r>
              <w:rPr>
                <w:rFonts w:hint="eastAsia"/>
                <w:b/>
                <w:bCs/>
                <w:color w:val="000000" w:themeColor="text1"/>
                <w:kern w:val="0"/>
                <w:sz w:val="24"/>
                <w:lang w:val="en-US" w:eastAsia="zh-CN" w:bidi="ar"/>
                <w14:textFill>
                  <w14:solidFill>
                    <w14:schemeClr w14:val="tx1"/>
                  </w14:solidFill>
                </w14:textFill>
              </w:rPr>
              <w:t>40号</w:t>
            </w:r>
            <w:r>
              <w:rPr>
                <w:rFonts w:hint="eastAsia"/>
                <w:b/>
                <w:bCs/>
                <w:color w:val="000000" w:themeColor="text1"/>
                <w:kern w:val="0"/>
                <w:sz w:val="24"/>
                <w:lang w:eastAsia="zh-CN" w:bidi="ar"/>
                <w14:textFill>
                  <w14:solidFill>
                    <w14:schemeClr w14:val="tx1"/>
                  </w14:solidFill>
                </w14:textFill>
              </w:rPr>
              <w:t>）</w:t>
            </w:r>
            <w:r>
              <w:rPr>
                <w:rFonts w:hint="eastAsia"/>
                <w:color w:val="000000" w:themeColor="text1"/>
                <w:lang w:val="en-US" w:eastAsia="zh-CN"/>
                <w14:textFill>
                  <w14:solidFill>
                    <w14:schemeClr w14:val="tx1"/>
                  </w14:solidFill>
                </w14:textFill>
              </w:rPr>
              <w:t>的符合性分析</w:t>
            </w:r>
          </w:p>
          <w:p w14:paraId="088E8DF3">
            <w:pPr>
              <w:widowControl w:val="0"/>
              <w:numPr>
                <w:ilvl w:val="0"/>
                <w:numId w:val="0"/>
              </w:numPr>
              <w:spacing w:line="360" w:lineRule="auto"/>
              <w:ind w:firstLine="480"/>
              <w:jc w:val="both"/>
              <w:rPr>
                <w:rFonts w:hint="eastAsia"/>
                <w:lang w:val="en-US" w:eastAsia="zh-CN"/>
              </w:rPr>
            </w:pPr>
            <w:r>
              <w:rPr>
                <w:rFonts w:hint="eastAsia"/>
                <w:lang w:val="en-US" w:eastAsia="zh-CN"/>
              </w:rPr>
              <w:t>本项目采用回转窑干燥、预热和煅烧水基岩屑后，再配以水泥、砂石、固化剂和水等制备免烧砌块。前端煅烧回转窑参照</w:t>
            </w:r>
            <w:r>
              <w:rPr>
                <w:b w:val="0"/>
                <w:bCs w:val="0"/>
                <w:color w:val="000000" w:themeColor="text1"/>
                <w:kern w:val="0"/>
                <w:sz w:val="24"/>
                <w:lang w:bidi="ar"/>
                <w14:textFill>
                  <w14:solidFill>
                    <w14:schemeClr w14:val="tx1"/>
                  </w14:solidFill>
                </w14:textFill>
              </w:rPr>
              <w:t>《</w:t>
            </w:r>
            <w:r>
              <w:rPr>
                <w:b w:val="0"/>
                <w:bCs w:val="0"/>
                <w:color w:val="000000" w:themeColor="text1"/>
                <w:sz w:val="24"/>
                <w:szCs w:val="32"/>
                <w14:textFill>
                  <w14:solidFill>
                    <w14:schemeClr w14:val="tx1"/>
                  </w14:solidFill>
                </w14:textFill>
              </w:rPr>
              <w:t>四川省重污染天气金属表面处理及热处理加工等10个行业应急减排措施制定技术指南（2024年修订版</w:t>
            </w:r>
            <w:r>
              <w:rPr>
                <w:rFonts w:hint="eastAsia"/>
                <w:b w:val="0"/>
                <w:bCs w:val="0"/>
                <w:color w:val="000000" w:themeColor="text1"/>
                <w:sz w:val="24"/>
                <w:szCs w:val="32"/>
                <w:lang w:eastAsia="zh-CN"/>
                <w14:textFill>
                  <w14:solidFill>
                    <w14:schemeClr w14:val="tx1"/>
                  </w14:solidFill>
                </w14:textFill>
              </w:rPr>
              <w:t>）</w:t>
            </w:r>
            <w:r>
              <w:rPr>
                <w:b w:val="0"/>
                <w:bCs w:val="0"/>
                <w:color w:val="000000" w:themeColor="text1"/>
                <w:kern w:val="0"/>
                <w:sz w:val="24"/>
                <w:lang w:bidi="ar"/>
                <w14:textFill>
                  <w14:solidFill>
                    <w14:schemeClr w14:val="tx1"/>
                  </w14:solidFill>
                </w14:textFill>
              </w:rPr>
              <w:t>》（川环办函〔2024〕337号）</w:t>
            </w:r>
            <w:r>
              <w:rPr>
                <w:rFonts w:hint="eastAsia"/>
                <w:b w:val="0"/>
                <w:bCs w:val="0"/>
                <w:color w:val="000000" w:themeColor="text1"/>
                <w:kern w:val="0"/>
                <w:sz w:val="24"/>
                <w:lang w:val="en-US" w:eastAsia="zh-CN" w:bidi="ar"/>
                <w14:textFill>
                  <w14:solidFill>
                    <w14:schemeClr w14:val="tx1"/>
                  </w14:solidFill>
                </w14:textFill>
              </w:rPr>
              <w:t>中“通用行业”B级企业要求，后端制备免烧砌块执行</w:t>
            </w:r>
            <w:r>
              <w:rPr>
                <w:rFonts w:hint="eastAsia"/>
                <w:b w:val="0"/>
                <w:bCs w:val="0"/>
                <w:color w:val="000000" w:themeColor="text1"/>
                <w:kern w:val="0"/>
                <w:sz w:val="24"/>
                <w:lang w:eastAsia="zh-CN" w:bidi="ar"/>
                <w14:textFill>
                  <w14:solidFill>
                    <w14:schemeClr w14:val="tx1"/>
                  </w14:solidFill>
                </w14:textFill>
              </w:rPr>
              <w:t>《</w:t>
            </w:r>
            <w:r>
              <w:rPr>
                <w:rFonts w:hint="eastAsia"/>
                <w:b w:val="0"/>
                <w:bCs w:val="0"/>
                <w:color w:val="000000" w:themeColor="text1"/>
                <w:kern w:val="0"/>
                <w:sz w:val="24"/>
                <w:lang w:val="en-US" w:eastAsia="zh-CN" w:bidi="ar"/>
                <w14:textFill>
                  <w14:solidFill>
                    <w14:schemeClr w14:val="tx1"/>
                  </w14:solidFill>
                </w14:textFill>
              </w:rPr>
              <w:t>重污染天气重点行业应急减排措施执行技术指南（2020年修订版）</w:t>
            </w:r>
            <w:r>
              <w:rPr>
                <w:rFonts w:hint="eastAsia"/>
                <w:b w:val="0"/>
                <w:bCs w:val="0"/>
                <w:color w:val="000000" w:themeColor="text1"/>
                <w:kern w:val="0"/>
                <w:sz w:val="24"/>
                <w:lang w:eastAsia="zh-CN" w:bidi="ar"/>
                <w14:textFill>
                  <w14:solidFill>
                    <w14:schemeClr w14:val="tx1"/>
                  </w14:solidFill>
                </w14:textFill>
              </w:rPr>
              <w:t>》（</w:t>
            </w:r>
            <w:r>
              <w:rPr>
                <w:rFonts w:hint="eastAsia"/>
                <w:b w:val="0"/>
                <w:bCs w:val="0"/>
                <w:color w:val="000000" w:themeColor="text1"/>
                <w:kern w:val="0"/>
                <w:sz w:val="24"/>
                <w:lang w:val="en-US" w:eastAsia="zh-CN" w:bidi="ar"/>
                <w14:textFill>
                  <w14:solidFill>
                    <w14:schemeClr w14:val="tx1"/>
                  </w14:solidFill>
                </w14:textFill>
              </w:rPr>
              <w:t>环办大气函</w:t>
            </w:r>
            <w:r>
              <w:rPr>
                <w:b w:val="0"/>
                <w:bCs w:val="0"/>
                <w:color w:val="000000" w:themeColor="text1"/>
                <w:kern w:val="0"/>
                <w:sz w:val="24"/>
                <w:lang w:bidi="ar"/>
                <w14:textFill>
                  <w14:solidFill>
                    <w14:schemeClr w14:val="tx1"/>
                  </w14:solidFill>
                </w14:textFill>
              </w:rPr>
              <w:t>〔202</w:t>
            </w:r>
            <w:r>
              <w:rPr>
                <w:rFonts w:hint="eastAsia"/>
                <w:b w:val="0"/>
                <w:bCs w:val="0"/>
                <w:color w:val="000000" w:themeColor="text1"/>
                <w:kern w:val="0"/>
                <w:sz w:val="24"/>
                <w:lang w:val="en-US" w:eastAsia="zh-CN" w:bidi="ar"/>
                <w14:textFill>
                  <w14:solidFill>
                    <w14:schemeClr w14:val="tx1"/>
                  </w14:solidFill>
                </w14:textFill>
              </w:rPr>
              <w:t>0</w:t>
            </w:r>
            <w:r>
              <w:rPr>
                <w:b w:val="0"/>
                <w:bCs w:val="0"/>
                <w:color w:val="000000" w:themeColor="text1"/>
                <w:kern w:val="0"/>
                <w:sz w:val="24"/>
                <w:lang w:bidi="ar"/>
                <w14:textFill>
                  <w14:solidFill>
                    <w14:schemeClr w14:val="tx1"/>
                  </w14:solidFill>
                </w14:textFill>
              </w:rPr>
              <w:t>〕3</w:t>
            </w:r>
            <w:r>
              <w:rPr>
                <w:rFonts w:hint="eastAsia"/>
                <w:b w:val="0"/>
                <w:bCs w:val="0"/>
                <w:color w:val="000000" w:themeColor="text1"/>
                <w:kern w:val="0"/>
                <w:sz w:val="24"/>
                <w:lang w:val="en-US" w:eastAsia="zh-CN" w:bidi="ar"/>
                <w14:textFill>
                  <w14:solidFill>
                    <w14:schemeClr w14:val="tx1"/>
                  </w14:solidFill>
                </w14:textFill>
              </w:rPr>
              <w:t>40号</w:t>
            </w:r>
            <w:r>
              <w:rPr>
                <w:rFonts w:hint="eastAsia"/>
                <w:b w:val="0"/>
                <w:bCs w:val="0"/>
                <w:color w:val="000000" w:themeColor="text1"/>
                <w:kern w:val="0"/>
                <w:sz w:val="24"/>
                <w:lang w:eastAsia="zh-CN" w:bidi="ar"/>
                <w14:textFill>
                  <w14:solidFill>
                    <w14:schemeClr w14:val="tx1"/>
                  </w14:solidFill>
                </w14:textFill>
              </w:rPr>
              <w:t>）</w:t>
            </w:r>
            <w:r>
              <w:rPr>
                <w:rFonts w:hint="eastAsia"/>
                <w:b w:val="0"/>
                <w:bCs w:val="0"/>
                <w:color w:val="000000" w:themeColor="text1"/>
                <w:kern w:val="0"/>
                <w:sz w:val="24"/>
                <w:lang w:val="en-US" w:eastAsia="zh-CN" w:bidi="ar"/>
                <w14:textFill>
                  <w14:solidFill>
                    <w14:schemeClr w14:val="tx1"/>
                  </w14:solidFill>
                </w14:textFill>
              </w:rPr>
              <w:t>中“非烧结砖引领指标”。具体分析如下：</w:t>
            </w:r>
          </w:p>
          <w:p w14:paraId="457AF58A">
            <w:pPr>
              <w:numPr>
                <w:ilvl w:val="0"/>
                <w:numId w:val="0"/>
              </w:numPr>
              <w:autoSpaceDE w:val="0"/>
              <w:autoSpaceDN w:val="0"/>
              <w:adjustRightInd w:val="0"/>
              <w:snapToGrid w:val="0"/>
              <w:ind w:left="397" w:hanging="397"/>
              <w:jc w:val="center"/>
              <w:rPr>
                <w:b/>
                <w:bCs/>
                <w:color w:val="000000" w:themeColor="text1"/>
                <w:kern w:val="0"/>
                <w:sz w:val="21"/>
                <w:szCs w:val="18"/>
                <w14:textFill>
                  <w14:solidFill>
                    <w14:schemeClr w14:val="tx1"/>
                  </w14:solidFill>
                </w14:textFill>
              </w:rPr>
            </w:pPr>
            <w:r>
              <w:rPr>
                <w:rFonts w:hint="default" w:ascii="Times New Roman" w:hAnsi="Times New Roman" w:eastAsia="宋体" w:cstheme="minorBidi"/>
                <w:b/>
                <w:bCs/>
                <w:color w:val="000000" w:themeColor="text1"/>
                <w:kern w:val="0"/>
                <w:sz w:val="21"/>
                <w:szCs w:val="18"/>
                <w:lang w:val="en-US" w:eastAsia="zh-CN" w:bidi="ar-SA"/>
                <w14:textFill>
                  <w14:solidFill>
                    <w14:schemeClr w14:val="tx1"/>
                  </w14:solidFill>
                </w14:textFill>
              </w:rPr>
              <w:t>表1-1</w:t>
            </w:r>
            <w:r>
              <w:rPr>
                <w:rFonts w:hint="eastAsia" w:cstheme="minorBidi"/>
                <w:b/>
                <w:bCs/>
                <w:color w:val="000000" w:themeColor="text1"/>
                <w:kern w:val="0"/>
                <w:sz w:val="21"/>
                <w:szCs w:val="18"/>
                <w:lang w:val="en-US" w:eastAsia="zh-CN" w:bidi="ar-SA"/>
                <w14:textFill>
                  <w14:solidFill>
                    <w14:schemeClr w14:val="tx1"/>
                  </w14:solidFill>
                </w14:textFill>
              </w:rPr>
              <w:t xml:space="preserve">6 </w:t>
            </w:r>
            <w:r>
              <w:rPr>
                <w:b/>
                <w:bCs/>
                <w:color w:val="000000" w:themeColor="text1"/>
                <w:kern w:val="0"/>
                <w:sz w:val="21"/>
                <w:szCs w:val="18"/>
                <w14:textFill>
                  <w14:solidFill>
                    <w14:schemeClr w14:val="tx1"/>
                  </w14:solidFill>
                </w14:textFill>
              </w:rPr>
              <w:t>与</w:t>
            </w:r>
            <w:r>
              <w:rPr>
                <w:rFonts w:hint="eastAsia"/>
                <w:b/>
                <w:bCs/>
                <w:color w:val="000000" w:themeColor="text1"/>
                <w:kern w:val="0"/>
                <w:sz w:val="21"/>
                <w:szCs w:val="18"/>
                <w:lang w:val="en-US" w:eastAsia="zh-CN"/>
                <w14:textFill>
                  <w14:solidFill>
                    <w14:schemeClr w14:val="tx1"/>
                  </w14:solidFill>
                </w14:textFill>
              </w:rPr>
              <w:t>川环办函</w:t>
            </w:r>
            <w:r>
              <w:rPr>
                <w:rFonts w:hint="eastAsia"/>
                <w:b/>
                <w:bCs/>
                <w:color w:val="000000" w:themeColor="text1"/>
                <w:kern w:val="0"/>
                <w:sz w:val="21"/>
                <w:szCs w:val="18"/>
                <w14:textFill>
                  <w14:solidFill>
                    <w14:schemeClr w14:val="tx1"/>
                  </w14:solidFill>
                </w14:textFill>
              </w:rPr>
              <w:t>〔2024〕337</w:t>
            </w:r>
            <w:r>
              <w:rPr>
                <w:rFonts w:hint="eastAsia"/>
                <w:b/>
                <w:bCs/>
                <w:color w:val="000000" w:themeColor="text1"/>
                <w:kern w:val="0"/>
                <w:sz w:val="21"/>
                <w:szCs w:val="18"/>
                <w:lang w:val="en-US" w:eastAsia="zh-CN"/>
                <w14:textFill>
                  <w14:solidFill>
                    <w14:schemeClr w14:val="tx1"/>
                  </w14:solidFill>
                </w14:textFill>
              </w:rPr>
              <w:t>号—</w:t>
            </w:r>
            <w:r>
              <w:rPr>
                <w:b/>
                <w:bCs/>
                <w:color w:val="000000" w:themeColor="text1"/>
                <w:kern w:val="0"/>
                <w:sz w:val="21"/>
                <w:szCs w:val="18"/>
                <w14:textFill>
                  <w14:solidFill>
                    <w14:schemeClr w14:val="tx1"/>
                  </w14:solidFill>
                </w14:textFill>
              </w:rPr>
              <w:t>通用行业企业绩效分级指标的符合性分析一览表</w:t>
            </w:r>
          </w:p>
          <w:tbl>
            <w:tblPr>
              <w:tblStyle w:val="29"/>
              <w:tblW w:w="4997" w:type="pct"/>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5318"/>
              <w:gridCol w:w="1954"/>
              <w:gridCol w:w="905"/>
            </w:tblGrid>
            <w:tr w14:paraId="07BB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7" w:type="pct"/>
                  <w:tcBorders>
                    <w:tl2br w:val="nil"/>
                    <w:tr2bl w:val="nil"/>
                  </w:tcBorders>
                  <w:noWrap w:val="0"/>
                  <w:vAlign w:val="center"/>
                </w:tcPr>
                <w:p w14:paraId="66DEF60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差异指标</w:t>
                  </w:r>
                </w:p>
              </w:tc>
              <w:tc>
                <w:tcPr>
                  <w:tcW w:w="3013" w:type="pct"/>
                  <w:tcBorders>
                    <w:tl2br w:val="nil"/>
                    <w:tr2bl w:val="nil"/>
                  </w:tcBorders>
                  <w:noWrap w:val="0"/>
                  <w:vAlign w:val="center"/>
                </w:tcPr>
                <w:p w14:paraId="4BB714B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B</w:t>
                  </w:r>
                  <w:r>
                    <w:rPr>
                      <w:rFonts w:ascii="Times New Roman" w:hAnsi="Times New Roman" w:cs="Times New Roman"/>
                      <w:b/>
                      <w:bCs/>
                      <w:color w:val="000000" w:themeColor="text1"/>
                      <w:kern w:val="0"/>
                      <w:sz w:val="21"/>
                      <w:szCs w:val="21"/>
                      <w14:textFill>
                        <w14:solidFill>
                          <w14:schemeClr w14:val="tx1"/>
                        </w14:solidFill>
                      </w14:textFill>
                    </w:rPr>
                    <w:t>级企业</w:t>
                  </w:r>
                </w:p>
              </w:tc>
              <w:tc>
                <w:tcPr>
                  <w:tcW w:w="1107" w:type="pct"/>
                  <w:tcBorders>
                    <w:tl2br w:val="nil"/>
                    <w:tr2bl w:val="nil"/>
                  </w:tcBorders>
                  <w:noWrap w:val="0"/>
                  <w:vAlign w:val="center"/>
                </w:tcPr>
                <w:p w14:paraId="710A712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本项目情况</w:t>
                  </w:r>
                </w:p>
              </w:tc>
              <w:tc>
                <w:tcPr>
                  <w:tcW w:w="512" w:type="pct"/>
                  <w:tcBorders>
                    <w:tl2br w:val="nil"/>
                    <w:tr2bl w:val="nil"/>
                  </w:tcBorders>
                  <w:noWrap w:val="0"/>
                  <w:vAlign w:val="center"/>
                </w:tcPr>
                <w:p w14:paraId="4DF1AC8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符合性</w:t>
                  </w:r>
                </w:p>
              </w:tc>
            </w:tr>
            <w:tr w14:paraId="6F4D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7" w:type="pct"/>
                  <w:tcBorders>
                    <w:tl2br w:val="nil"/>
                    <w:tr2bl w:val="nil"/>
                  </w:tcBorders>
                  <w:noWrap w:val="0"/>
                  <w:vAlign w:val="center"/>
                </w:tcPr>
                <w:p w14:paraId="7736D42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能源类型</w:t>
                  </w:r>
                </w:p>
              </w:tc>
              <w:tc>
                <w:tcPr>
                  <w:tcW w:w="3013" w:type="pct"/>
                  <w:tcBorders>
                    <w:tl2br w:val="nil"/>
                    <w:tr2bl w:val="nil"/>
                  </w:tcBorders>
                  <w:noWrap w:val="0"/>
                  <w:vAlign w:val="center"/>
                </w:tcPr>
                <w:p w14:paraId="194D88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olor w:val="000000" w:themeColor="text1"/>
                      <w:kern w:val="0"/>
                      <w:sz w:val="21"/>
                      <w:szCs w:val="21"/>
                      <w:highlight w:val="none"/>
                      <w14:textFill>
                        <w14:solidFill>
                          <w14:schemeClr w14:val="tx1"/>
                        </w14:solidFill>
                      </w14:textFill>
                    </w:rPr>
                    <w:t>未达到A级</w:t>
                  </w:r>
                  <w:r>
                    <w:rPr>
                      <w:rFonts w:hint="eastAsia" w:ascii="Times New Roman" w:hAnsi="Times New Roman"/>
                      <w:color w:val="000000" w:themeColor="text1"/>
                      <w:kern w:val="0"/>
                      <w:sz w:val="21"/>
                      <w:szCs w:val="21"/>
                      <w:highlight w:val="none"/>
                      <w:lang w:eastAsia="zh-CN"/>
                      <w14:textFill>
                        <w14:solidFill>
                          <w14:schemeClr w14:val="tx1"/>
                        </w14:solidFill>
                      </w14:textFill>
                    </w:rPr>
                    <w:t>（以电、天然气为能源）</w:t>
                  </w:r>
                  <w:r>
                    <w:rPr>
                      <w:rFonts w:hint="eastAsia" w:ascii="Times New Roman" w:hAnsi="Times New Roman"/>
                      <w:color w:val="000000" w:themeColor="text1"/>
                      <w:kern w:val="0"/>
                      <w:sz w:val="21"/>
                      <w:szCs w:val="21"/>
                      <w:highlight w:val="none"/>
                      <w14:textFill>
                        <w14:solidFill>
                          <w14:schemeClr w14:val="tx1"/>
                        </w14:solidFill>
                      </w14:textFill>
                    </w:rPr>
                    <w:t>要求。</w:t>
                  </w:r>
                </w:p>
              </w:tc>
              <w:tc>
                <w:tcPr>
                  <w:tcW w:w="1107" w:type="pct"/>
                  <w:tcBorders>
                    <w:tl2br w:val="nil"/>
                    <w:tr2bl w:val="nil"/>
                  </w:tcBorders>
                  <w:noWrap w:val="0"/>
                  <w:vAlign w:val="center"/>
                </w:tcPr>
                <w:p w14:paraId="3EC6CE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本项目主要以电</w:t>
                  </w:r>
                  <w:r>
                    <w:rPr>
                      <w:rFonts w:hint="eastAsia" w:ascii="Times New Roman" w:hAnsi="Times New Roman" w:cs="Times New Roman"/>
                      <w:color w:val="000000" w:themeColor="text1"/>
                      <w:kern w:val="0"/>
                      <w:sz w:val="21"/>
                      <w:szCs w:val="21"/>
                      <w:lang w:eastAsia="zh-CN"/>
                      <w14:textFill>
                        <w14:solidFill>
                          <w14:schemeClr w14:val="tx1"/>
                        </w14:solidFill>
                      </w14:textFill>
                    </w:rPr>
                    <w:t>、</w:t>
                  </w:r>
                  <w:r>
                    <w:rPr>
                      <w:rFonts w:hint="eastAsia" w:ascii="Times New Roman" w:hAnsi="Times New Roman" w:cs="Times New Roman"/>
                      <w:color w:val="000000" w:themeColor="text1"/>
                      <w:kern w:val="0"/>
                      <w:sz w:val="21"/>
                      <w:szCs w:val="21"/>
                      <w:lang w:val="en-US" w:eastAsia="zh-CN"/>
                      <w14:textFill>
                        <w14:solidFill>
                          <w14:schemeClr w14:val="tx1"/>
                        </w14:solidFill>
                      </w14:textFill>
                    </w:rPr>
                    <w:t>天然气</w:t>
                  </w:r>
                  <w:r>
                    <w:rPr>
                      <w:rFonts w:ascii="Times New Roman" w:hAnsi="Times New Roman" w:cs="Times New Roman"/>
                      <w:color w:val="000000" w:themeColor="text1"/>
                      <w:kern w:val="0"/>
                      <w:sz w:val="21"/>
                      <w:szCs w:val="21"/>
                      <w14:textFill>
                        <w14:solidFill>
                          <w14:schemeClr w14:val="tx1"/>
                        </w14:solidFill>
                      </w14:textFill>
                    </w:rPr>
                    <w:t>为能源。</w:t>
                  </w:r>
                </w:p>
              </w:tc>
              <w:tc>
                <w:tcPr>
                  <w:tcW w:w="512" w:type="pct"/>
                  <w:tcBorders>
                    <w:tl2br w:val="nil"/>
                    <w:tr2bl w:val="nil"/>
                  </w:tcBorders>
                  <w:noWrap w:val="0"/>
                  <w:vAlign w:val="center"/>
                </w:tcPr>
                <w:p w14:paraId="6961A71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2278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7" w:type="pct"/>
                  <w:tcBorders>
                    <w:tl2br w:val="nil"/>
                    <w:tr2bl w:val="nil"/>
                  </w:tcBorders>
                  <w:noWrap w:val="0"/>
                  <w:vAlign w:val="center"/>
                </w:tcPr>
                <w:p w14:paraId="348FB1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生产工艺</w:t>
                  </w:r>
                </w:p>
              </w:tc>
              <w:tc>
                <w:tcPr>
                  <w:tcW w:w="3013" w:type="pct"/>
                  <w:tcBorders>
                    <w:tl2br w:val="nil"/>
                    <w:tr2bl w:val="nil"/>
                  </w:tcBorders>
                  <w:noWrap w:val="0"/>
                  <w:vAlign w:val="center"/>
                </w:tcPr>
                <w:p w14:paraId="3C1BBC1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属于《产业结构调整指导目录》鼓励类和允许类。</w:t>
                  </w:r>
                </w:p>
              </w:tc>
              <w:tc>
                <w:tcPr>
                  <w:tcW w:w="1107" w:type="pct"/>
                  <w:tcBorders>
                    <w:tl2br w:val="nil"/>
                    <w:tr2bl w:val="nil"/>
                  </w:tcBorders>
                  <w:noWrap w:val="0"/>
                  <w:vAlign w:val="center"/>
                </w:tcPr>
                <w:p w14:paraId="78E960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对照</w:t>
                  </w:r>
                  <w:r>
                    <w:rPr>
                      <w:rFonts w:ascii="Times New Roman" w:hAnsi="Times New Roman" w:cs="Times New Roman"/>
                      <w:color w:val="000000" w:themeColor="text1"/>
                      <w:kern w:val="0"/>
                      <w:sz w:val="21"/>
                      <w:szCs w:val="21"/>
                      <w14:textFill>
                        <w14:solidFill>
                          <w14:schemeClr w14:val="tx1"/>
                        </w14:solidFill>
                      </w14:textFill>
                    </w:rPr>
                    <w:t>《产业结构调整指导目录》</w:t>
                  </w:r>
                  <w:r>
                    <w:rPr>
                      <w:rFonts w:hint="eastAsia" w:cs="Times New Roman"/>
                      <w:color w:val="000000" w:themeColor="text1"/>
                      <w:kern w:val="0"/>
                      <w:sz w:val="21"/>
                      <w:szCs w:val="21"/>
                      <w:lang w:eastAsia="zh-CN"/>
                      <w14:textFill>
                        <w14:solidFill>
                          <w14:schemeClr w14:val="tx1"/>
                        </w14:solidFill>
                      </w14:textFill>
                    </w:rPr>
                    <w:t>，</w:t>
                  </w:r>
                  <w:r>
                    <w:rPr>
                      <w:rFonts w:ascii="Times New Roman" w:hAnsi="Times New Roman" w:cs="Times New Roman"/>
                      <w:color w:val="000000" w:themeColor="text1"/>
                      <w:kern w:val="0"/>
                      <w:sz w:val="21"/>
                      <w:szCs w:val="21"/>
                      <w14:textFill>
                        <w14:solidFill>
                          <w14:schemeClr w14:val="tx1"/>
                        </w14:solidFill>
                      </w14:textFill>
                    </w:rPr>
                    <w:t>本项目</w:t>
                  </w:r>
                  <w:r>
                    <w:rPr>
                      <w:rFonts w:ascii="Times New Roman" w:hAnsi="Times New Roman" w:cs="Times New Roman"/>
                      <w:color w:val="000000" w:themeColor="text1"/>
                      <w:sz w:val="21"/>
                      <w:szCs w:val="21"/>
                      <w14:textFill>
                        <w14:solidFill>
                          <w14:schemeClr w14:val="tx1"/>
                        </w14:solidFill>
                      </w14:textFill>
                    </w:rPr>
                    <w:t>属于</w:t>
                  </w:r>
                  <w:r>
                    <w:rPr>
                      <w:rFonts w:hint="eastAsia" w:cs="Times New Roman"/>
                      <w:color w:val="000000" w:themeColor="text1"/>
                      <w:sz w:val="21"/>
                      <w:szCs w:val="21"/>
                      <w:lang w:val="en-US" w:eastAsia="zh-CN"/>
                      <w14:textFill>
                        <w14:solidFill>
                          <w14:schemeClr w14:val="tx1"/>
                        </w14:solidFill>
                      </w14:textFill>
                    </w:rPr>
                    <w:t>鼓励</w:t>
                  </w:r>
                  <w:r>
                    <w:rPr>
                      <w:rFonts w:hint="eastAsia" w:ascii="Times New Roman" w:hAnsi="Times New Roman" w:cs="Times New Roman"/>
                      <w:color w:val="000000" w:themeColor="text1"/>
                      <w:sz w:val="21"/>
                      <w:szCs w:val="21"/>
                      <w:lang w:val="en-US" w:eastAsia="zh-CN"/>
                      <w14:textFill>
                        <w14:solidFill>
                          <w14:schemeClr w14:val="tx1"/>
                        </w14:solidFill>
                      </w14:textFill>
                    </w:rPr>
                    <w:t>类</w:t>
                  </w:r>
                  <w:r>
                    <w:rPr>
                      <w:rFonts w:ascii="Times New Roman" w:hAnsi="Times New Roman" w:cs="Times New Roman"/>
                      <w:color w:val="000000" w:themeColor="text1"/>
                      <w:sz w:val="21"/>
                      <w:szCs w:val="21"/>
                      <w14:textFill>
                        <w14:solidFill>
                          <w14:schemeClr w14:val="tx1"/>
                        </w14:solidFill>
                      </w14:textFill>
                    </w:rPr>
                    <w:t>。</w:t>
                  </w:r>
                </w:p>
              </w:tc>
              <w:tc>
                <w:tcPr>
                  <w:tcW w:w="512" w:type="pct"/>
                  <w:tcBorders>
                    <w:tl2br w:val="nil"/>
                    <w:tr2bl w:val="nil"/>
                  </w:tcBorders>
                  <w:noWrap w:val="0"/>
                  <w:vAlign w:val="center"/>
                </w:tcPr>
                <w:p w14:paraId="733ADF5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2AD1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7" w:type="pct"/>
                  <w:vMerge w:val="restart"/>
                  <w:tcBorders>
                    <w:tl2br w:val="nil"/>
                    <w:tr2bl w:val="nil"/>
                  </w:tcBorders>
                  <w:noWrap w:val="0"/>
                  <w:vAlign w:val="center"/>
                </w:tcPr>
                <w:p w14:paraId="143589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无组织管控</w:t>
                  </w:r>
                </w:p>
              </w:tc>
              <w:tc>
                <w:tcPr>
                  <w:tcW w:w="3013" w:type="pct"/>
                  <w:tcBorders>
                    <w:tl2br w:val="nil"/>
                    <w:tr2bl w:val="nil"/>
                  </w:tcBorders>
                  <w:shd w:val="clear" w:color="auto" w:fill="auto"/>
                  <w:noWrap w:val="0"/>
                  <w:vAlign w:val="center"/>
                </w:tcPr>
                <w:p w14:paraId="2B1C730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（一）涉PM企业基本要求</w:t>
                  </w:r>
                </w:p>
                <w:p w14:paraId="67C9834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1、物料装卸</w:t>
                  </w:r>
                </w:p>
                <w:p w14:paraId="3EF72C9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（1）车辆运输的物料应采取封闭措施。粉状、粒状、块状散装物料在封闭料场内装卸，装卸过程中产尘点应设置集尘除尘装置，料场应采取有效抑尘措施。</w:t>
                  </w:r>
                </w:p>
                <w:p w14:paraId="57EA1AF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（2）不易产尘的袋装物料宜在料棚中装卸，如需露天装卸应采取防止破袋及粉尘外逸措施。</w:t>
                  </w:r>
                </w:p>
                <w:p w14:paraId="5B0E9DA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2、物料储存</w:t>
                  </w:r>
                </w:p>
                <w:p w14:paraId="2E6A6F7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一般物料。粉状物料应储存于密闭/封闭料仓中；粒状、块状物料应储存于封闭料场中，并采取喷淋、清扫或其他有效抑尘措施；袋装物料应储存于封闭/半封闭料场中。封闭料场顶棚和四周围墙完整，料场内路面全部硬化，料场货物进出大门为硬质材料门或自动感应门，在确保安全的情况下，所有门窗保持常闭状态。不产尘物料（如钢材、管件）及产品如露天储存应在规定的存储区域码放整齐。</w:t>
                  </w:r>
                </w:p>
                <w:p w14:paraId="171EA31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危险废物。应有符合规范要求的危险废物储存间，危险废物储存间门口应张贴标准规范的危险废物标识和危废信息板，建立台账并挂于危废间内，危险废物的记录和货单保存3年以上。危废间内禁止存放除危险废物和应急工具外的其他物品。</w:t>
                  </w:r>
                </w:p>
                <w:p w14:paraId="3290C10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3、物料转移和输送</w:t>
                  </w:r>
                </w:p>
                <w:p w14:paraId="6B2FA3C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粉状、粒状等易产尘物料转移、输送过程应采用管状带式输送机、气力输送、密闭车厢等密闭方式运输；粒状、块状或粘湿物料采用皮带通廊、封闭车厢等封闭方式运输或苫盖严密，防止沿途抛洒和飞扬；无法封闭的产尘点（物料转载、下料口等）应采取集尘除尘措施，或有效抑尘措施。</w:t>
                  </w:r>
                </w:p>
                <w:p w14:paraId="565254F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4、工艺过程</w:t>
                  </w:r>
                </w:p>
                <w:p w14:paraId="36F9408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（1）各种物料破碎、筛分、配料、混料等过程应在封闭厂房内进行，并采取局部有效抑尘、集尘除尘措施。破碎筛分设备在进、出料口和配料混料过程等产尘点应设置集尘除尘设施。</w:t>
                  </w:r>
                </w:p>
                <w:p w14:paraId="0B461EB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（2）各生产工序的车间地面干净，无积料、积灰现象。生产车间不得有可见烟粉尘外逸。</w:t>
                  </w:r>
                </w:p>
              </w:tc>
              <w:tc>
                <w:tcPr>
                  <w:tcW w:w="1107" w:type="pct"/>
                  <w:vMerge w:val="restart"/>
                  <w:tcBorders>
                    <w:tl2br w:val="nil"/>
                    <w:tr2bl w:val="nil"/>
                  </w:tcBorders>
                  <w:noWrap w:val="0"/>
                  <w:vAlign w:val="center"/>
                </w:tcPr>
                <w:p w14:paraId="0B4A80E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1、项目均采用密闭</w:t>
                  </w:r>
                  <w:r>
                    <w:rPr>
                      <w:rFonts w:hint="eastAsia" w:ascii="Times New Roman" w:hAnsi="Times New Roman" w:cs="Times New Roman"/>
                      <w:color w:val="000000" w:themeColor="text1"/>
                      <w:kern w:val="0"/>
                      <w:sz w:val="21"/>
                      <w:szCs w:val="21"/>
                      <w:lang w:val="en-US" w:eastAsia="zh-CN"/>
                      <w14:textFill>
                        <w14:solidFill>
                          <w14:schemeClr w14:val="tx1"/>
                        </w14:solidFill>
                      </w14:textFill>
                    </w:rPr>
                    <w:t>车辆运输</w:t>
                  </w:r>
                  <w:r>
                    <w:rPr>
                      <w:rFonts w:ascii="Times New Roman" w:hAnsi="Times New Roman" w:cs="Times New Roman"/>
                      <w:color w:val="000000" w:themeColor="text1"/>
                      <w:kern w:val="0"/>
                      <w:sz w:val="21"/>
                      <w:szCs w:val="21"/>
                      <w14:textFill>
                        <w14:solidFill>
                          <w14:schemeClr w14:val="tx1"/>
                        </w14:solidFill>
                      </w14:textFill>
                    </w:rPr>
                    <w:t>在封闭的</w:t>
                  </w:r>
                  <w:r>
                    <w:rPr>
                      <w:rFonts w:hint="eastAsia" w:ascii="Times New Roman" w:hAnsi="Times New Roman" w:cs="Times New Roman"/>
                      <w:color w:val="000000" w:themeColor="text1"/>
                      <w:kern w:val="0"/>
                      <w:sz w:val="21"/>
                      <w:szCs w:val="21"/>
                      <w:lang w:val="en-US" w:eastAsia="zh-CN"/>
                      <w14:textFill>
                        <w14:solidFill>
                          <w14:schemeClr w14:val="tx1"/>
                        </w14:solidFill>
                      </w14:textFill>
                    </w:rPr>
                    <w:t>厂房</w:t>
                  </w:r>
                  <w:r>
                    <w:rPr>
                      <w:rFonts w:ascii="Times New Roman" w:hAnsi="Times New Roman" w:cs="Times New Roman"/>
                      <w:color w:val="000000" w:themeColor="text1"/>
                      <w:kern w:val="0"/>
                      <w:sz w:val="21"/>
                      <w:szCs w:val="21"/>
                      <w14:textFill>
                        <w14:solidFill>
                          <w14:schemeClr w14:val="tx1"/>
                        </w14:solidFill>
                      </w14:textFill>
                    </w:rPr>
                    <w:t>内进行装卸。</w:t>
                  </w:r>
                </w:p>
                <w:p w14:paraId="10B48A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cs="Times New Roman"/>
                      <w:color w:val="000000" w:themeColor="text1"/>
                      <w:kern w:val="0"/>
                      <w:sz w:val="21"/>
                      <w:szCs w:val="21"/>
                      <w:lang w:val="en-US" w:eastAsia="zh-CN"/>
                      <w14:textFill>
                        <w14:solidFill>
                          <w14:schemeClr w14:val="tx1"/>
                        </w14:solidFill>
                      </w14:textFill>
                    </w:rPr>
                    <w:t>煅烧料、水泥设置密闭筒仓；砂石堆存区、预处理药剂投加工段设置洒水抑尘装置；投料粉尘设置侧吸式集气罩+布袋除尘器+喷淋装置；所有原料均位于厂房内，厂房</w:t>
                  </w:r>
                  <w:r>
                    <w:rPr>
                      <w:rFonts w:ascii="Times New Roman" w:hAnsi="Times New Roman" w:cs="Times New Roman"/>
                      <w:color w:val="000000" w:themeColor="text1"/>
                      <w:kern w:val="0"/>
                      <w:sz w:val="21"/>
                      <w:szCs w:val="21"/>
                      <w14:textFill>
                        <w14:solidFill>
                          <w14:schemeClr w14:val="tx1"/>
                        </w14:solidFill>
                      </w14:textFill>
                    </w:rPr>
                    <w:t>四周、顶部均完整、大门为硬质材质，地面硬化，门窗常闭。</w:t>
                  </w:r>
                </w:p>
                <w:p w14:paraId="608EC7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设置独立危废暂存间对危险废物进行分类分区暂存，标识标牌、台账、转运记录等情况完善。液体危废采用密闭容器承装，</w:t>
                  </w:r>
                  <w:r>
                    <w:rPr>
                      <w:rFonts w:hint="eastAsia" w:ascii="Times New Roman" w:hAnsi="Times New Roman" w:cs="Times New Roman"/>
                      <w:color w:val="000000" w:themeColor="text1"/>
                      <w:kern w:val="0"/>
                      <w:sz w:val="21"/>
                      <w:szCs w:val="21"/>
                      <w:lang w:val="en-US" w:eastAsia="zh-CN"/>
                      <w14:textFill>
                        <w14:solidFill>
                          <w14:schemeClr w14:val="tx1"/>
                        </w14:solidFill>
                      </w14:textFill>
                    </w:rPr>
                    <w:t>下</w:t>
                  </w:r>
                  <w:r>
                    <w:rPr>
                      <w:rFonts w:hint="eastAsia" w:cs="Times New Roman"/>
                      <w:color w:val="000000" w:themeColor="text1"/>
                      <w:kern w:val="0"/>
                      <w:sz w:val="21"/>
                      <w:szCs w:val="21"/>
                      <w:lang w:val="en-US" w:eastAsia="zh-CN"/>
                      <w14:textFill>
                        <w14:solidFill>
                          <w14:schemeClr w14:val="tx1"/>
                        </w14:solidFill>
                      </w14:textFill>
                    </w:rPr>
                    <w:t>方</w:t>
                  </w:r>
                  <w:r>
                    <w:rPr>
                      <w:rFonts w:hint="eastAsia" w:ascii="Times New Roman" w:hAnsi="Times New Roman" w:cs="Times New Roman"/>
                      <w:color w:val="000000" w:themeColor="text1"/>
                      <w:kern w:val="0"/>
                      <w:sz w:val="21"/>
                      <w:szCs w:val="21"/>
                      <w:lang w:val="en-US" w:eastAsia="zh-CN"/>
                      <w14:textFill>
                        <w14:solidFill>
                          <w14:schemeClr w14:val="tx1"/>
                        </w14:solidFill>
                      </w14:textFill>
                    </w:rPr>
                    <w:t>设置防渗托盘</w:t>
                  </w:r>
                  <w:r>
                    <w:rPr>
                      <w:rFonts w:ascii="Times New Roman" w:hAnsi="Times New Roman" w:cs="Times New Roman"/>
                      <w:color w:val="000000" w:themeColor="text1"/>
                      <w:kern w:val="0"/>
                      <w:sz w:val="21"/>
                      <w:szCs w:val="21"/>
                      <w14:textFill>
                        <w14:solidFill>
                          <w14:schemeClr w14:val="tx1"/>
                        </w14:solidFill>
                      </w14:textFill>
                    </w:rPr>
                    <w:t>。</w:t>
                  </w:r>
                </w:p>
                <w:p w14:paraId="0CBC8AF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w:t>
                  </w:r>
                  <w:r>
                    <w:rPr>
                      <w:rFonts w:hint="eastAsia" w:cs="Times New Roman"/>
                      <w:color w:val="000000" w:themeColor="text1"/>
                      <w:kern w:val="0"/>
                      <w:sz w:val="21"/>
                      <w:szCs w:val="21"/>
                      <w:lang w:val="en-US" w:eastAsia="zh-CN"/>
                      <w14:textFill>
                        <w14:solidFill>
                          <w14:schemeClr w14:val="tx1"/>
                        </w14:solidFill>
                      </w14:textFill>
                    </w:rPr>
                    <w:t>本项目不使用VOCs物料，粉状、粒状物料采用密闭管道输送</w:t>
                  </w:r>
                  <w:r>
                    <w:rPr>
                      <w:rFonts w:ascii="Times New Roman" w:hAnsi="Times New Roman" w:cs="Times New Roman"/>
                      <w:color w:val="000000" w:themeColor="text1"/>
                      <w:kern w:val="0"/>
                      <w:sz w:val="21"/>
                      <w:szCs w:val="21"/>
                      <w14:textFill>
                        <w14:solidFill>
                          <w14:schemeClr w14:val="tx1"/>
                        </w14:solidFill>
                      </w14:textFill>
                    </w:rPr>
                    <w:t>。</w:t>
                  </w:r>
                </w:p>
                <w:p w14:paraId="42CB026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cs="Times New Roman"/>
                      <w:color w:val="000000" w:themeColor="text1"/>
                      <w:kern w:val="0"/>
                      <w:sz w:val="21"/>
                      <w:szCs w:val="21"/>
                      <w:lang w:eastAsia="zh-CN"/>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4、进行物料开封、转移、配料、混合过程均在封闭的厂房内进行。</w:t>
                  </w:r>
                  <w:r>
                    <w:rPr>
                      <w:rFonts w:hint="eastAsia" w:cs="Times New Roman"/>
                      <w:color w:val="000000" w:themeColor="text1"/>
                      <w:kern w:val="0"/>
                      <w:sz w:val="21"/>
                      <w:szCs w:val="21"/>
                      <w:lang w:val="en-US" w:eastAsia="zh-CN"/>
                      <w14:textFill>
                        <w14:solidFill>
                          <w14:schemeClr w14:val="tx1"/>
                        </w14:solidFill>
                      </w14:textFill>
                    </w:rPr>
                    <w:t>水泥、煅烧料筒仓顶部均自带布袋除尘器处理；砂石堆存区、预处理药剂投加工段设置喷雾抑尘装置；投料粉尘设置侧吸式集气罩+布袋除尘器+喷淋装置</w:t>
                  </w:r>
                  <w:r>
                    <w:rPr>
                      <w:rFonts w:hint="eastAsia" w:ascii="Times New Roman" w:hAnsi="Times New Roman" w:cs="Times New Roman"/>
                      <w:color w:val="000000" w:themeColor="text1"/>
                      <w:kern w:val="0"/>
                      <w:sz w:val="21"/>
                      <w:szCs w:val="21"/>
                      <w:lang w:eastAsia="zh-CN"/>
                      <w14:textFill>
                        <w14:solidFill>
                          <w14:schemeClr w14:val="tx1"/>
                        </w14:solidFill>
                      </w14:textFill>
                    </w:rPr>
                    <w:t>。</w:t>
                  </w:r>
                </w:p>
                <w:p w14:paraId="747F444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5、本项目</w:t>
                  </w:r>
                  <w:r>
                    <w:rPr>
                      <w:rFonts w:hint="eastAsia" w:cs="Times New Roman"/>
                      <w:color w:val="000000" w:themeColor="text1"/>
                      <w:sz w:val="21"/>
                      <w:szCs w:val="21"/>
                      <w:highlight w:val="none"/>
                      <w:lang w:val="en-US" w:eastAsia="zh-CN"/>
                      <w14:textFill>
                        <w14:solidFill>
                          <w14:schemeClr w14:val="tx1"/>
                        </w14:solidFill>
                      </w14:textFill>
                    </w:rPr>
                    <w:t>回转窑干燥、预热阶段挥发出的有机物（石油烃）在脱硫塔处冷凝液化成浮油，定期收集，委托有资质单位处置；极少量达标排放进入环境空气中；回转窑为全密闭设备，不产生无组织VOCs</w:t>
                  </w:r>
                  <w:r>
                    <w:rPr>
                      <w:rFonts w:hint="eastAsia" w:cs="Times New Roman"/>
                      <w:color w:val="000000" w:themeColor="text1"/>
                      <w:kern w:val="0"/>
                      <w:sz w:val="21"/>
                      <w:szCs w:val="21"/>
                      <w:lang w:val="en-US" w:eastAsia="zh-CN"/>
                      <w14:textFill>
                        <w14:solidFill>
                          <w14:schemeClr w14:val="tx1"/>
                        </w14:solidFill>
                      </w14:textFill>
                    </w:rPr>
                    <w:t>。</w:t>
                  </w:r>
                </w:p>
              </w:tc>
              <w:tc>
                <w:tcPr>
                  <w:tcW w:w="512" w:type="pct"/>
                  <w:vMerge w:val="restart"/>
                  <w:tcBorders>
                    <w:tl2br w:val="nil"/>
                    <w:tr2bl w:val="nil"/>
                  </w:tcBorders>
                  <w:noWrap w:val="0"/>
                  <w:vAlign w:val="center"/>
                </w:tcPr>
                <w:p w14:paraId="52CBDA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7018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7" w:type="pct"/>
                  <w:vMerge w:val="continue"/>
                  <w:tcBorders>
                    <w:tl2br w:val="nil"/>
                    <w:tr2bl w:val="nil"/>
                  </w:tcBorders>
                  <w:noWrap w:val="0"/>
                  <w:vAlign w:val="center"/>
                </w:tcPr>
                <w:p w14:paraId="43C9EE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sz w:val="21"/>
                      <w:szCs w:val="21"/>
                      <w14:textFill>
                        <w14:solidFill>
                          <w14:schemeClr w14:val="tx1"/>
                        </w14:solidFill>
                      </w14:textFill>
                    </w:rPr>
                  </w:pPr>
                </w:p>
              </w:tc>
              <w:tc>
                <w:tcPr>
                  <w:tcW w:w="3013" w:type="pct"/>
                  <w:tcBorders>
                    <w:tl2br w:val="nil"/>
                    <w:tr2bl w:val="nil"/>
                  </w:tcBorders>
                  <w:shd w:val="clear" w:color="auto" w:fill="auto"/>
                  <w:noWrap w:val="0"/>
                  <w:vAlign w:val="center"/>
                </w:tcPr>
                <w:p w14:paraId="7B4B722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（二）涉VOCs企业基本要求</w:t>
                  </w:r>
                </w:p>
                <w:p w14:paraId="36BEAF8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1、物料储存</w:t>
                  </w:r>
                </w:p>
                <w:p w14:paraId="3F5286D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VOCs物料应储存于密闭的容器、包装袋、储罐、储库、料仓中。盛装VOCs物料的容器或者包装袋应存放于室内，或存放于设置有雨棚、遮阳或防渗设施的专用场地。盛装VOCs物料的容器或包装袋在非取用状态时应加盖、封口，保持密闭。</w:t>
                  </w:r>
                </w:p>
                <w:p w14:paraId="36C36D5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危险废料存放于独立密闭暂存间内，暂存间内地面硬化并做好防扬散、防流失、防渗漏措施；液体危废需采用密闭容器盛装，必须有泄漏液收集装置（托盘、导流沟、收集池等）；具有挥发性气体的危废需采用密闭容器盛装，暂存间废气经导出口排至气体净化装置。</w:t>
                  </w:r>
                </w:p>
                <w:p w14:paraId="608224D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2、物料转移和输送</w:t>
                  </w:r>
                </w:p>
                <w:p w14:paraId="2C3591F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（1）VOCs物料采用密闭管道或密闭容器等密闭输送。</w:t>
                  </w:r>
                </w:p>
                <w:p w14:paraId="767AAC7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（2）VOCs物料采用密闭包装、密闭容器等密闭方式进行转移。</w:t>
                  </w:r>
                </w:p>
                <w:p w14:paraId="35CA8E9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3、工艺过程</w:t>
                  </w:r>
                </w:p>
                <w:p w14:paraId="3BA85DB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（1）原辅材料调配、使用、回收等过程采用密闭设备或在密闭空间内操作。</w:t>
                  </w:r>
                </w:p>
                <w:p w14:paraId="7170C8C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涉VOCs原料装卸、储存、转移和输送、工艺过程等环节的废气全部收集引至VOCs处理系统。</w:t>
                  </w:r>
                </w:p>
                <w:p w14:paraId="0548BD8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4、其他涉VOCs物料的过程需满足《挥发性有机物无组织排放控制标准》（GB37822-2019）的无组织管控要求。</w:t>
                  </w:r>
                </w:p>
              </w:tc>
              <w:tc>
                <w:tcPr>
                  <w:tcW w:w="1107" w:type="pct"/>
                  <w:vMerge w:val="continue"/>
                  <w:tcBorders>
                    <w:tl2br w:val="nil"/>
                    <w:tr2bl w:val="nil"/>
                  </w:tcBorders>
                  <w:noWrap w:val="0"/>
                  <w:vAlign w:val="center"/>
                </w:tcPr>
                <w:p w14:paraId="034C875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c>
                <w:tcPr>
                  <w:tcW w:w="512" w:type="pct"/>
                  <w:vMerge w:val="continue"/>
                  <w:tcBorders>
                    <w:tl2br w:val="nil"/>
                    <w:tr2bl w:val="nil"/>
                  </w:tcBorders>
                  <w:noWrap w:val="0"/>
                  <w:vAlign w:val="center"/>
                </w:tcPr>
                <w:p w14:paraId="3D8F183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r>
            <w:tr w14:paraId="5B6B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367" w:type="pct"/>
                  <w:vMerge w:val="continue"/>
                  <w:tcBorders>
                    <w:tl2br w:val="nil"/>
                    <w:tr2bl w:val="nil"/>
                  </w:tcBorders>
                  <w:noWrap w:val="0"/>
                  <w:vAlign w:val="center"/>
                </w:tcPr>
                <w:p w14:paraId="68BD900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c>
                <w:tcPr>
                  <w:tcW w:w="3013" w:type="pct"/>
                  <w:tcBorders>
                    <w:tl2br w:val="nil"/>
                    <w:tr2bl w:val="nil"/>
                  </w:tcBorders>
                  <w:shd w:val="clear" w:color="auto" w:fill="auto"/>
                  <w:noWrap w:val="0"/>
                  <w:vAlign w:val="center"/>
                </w:tcPr>
                <w:p w14:paraId="0B75644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（三）厂容厂貌</w:t>
                  </w:r>
                </w:p>
                <w:p w14:paraId="0A57254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厂区内道路、原辅材料和燃料堆场等路面应硬化。厂区内道路采取定期清扫、洒水等措施，保持清洁，路面无明显可见积尘。其他未利用地优先绿化，或进行硬化，无成片裸露土地。</w:t>
                  </w:r>
                </w:p>
              </w:tc>
              <w:tc>
                <w:tcPr>
                  <w:tcW w:w="1107" w:type="pct"/>
                  <w:vMerge w:val="continue"/>
                  <w:tcBorders>
                    <w:tl2br w:val="nil"/>
                    <w:tr2bl w:val="nil"/>
                  </w:tcBorders>
                  <w:noWrap w:val="0"/>
                  <w:vAlign w:val="center"/>
                </w:tcPr>
                <w:p w14:paraId="2115C5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c>
                <w:tcPr>
                  <w:tcW w:w="512" w:type="pct"/>
                  <w:vMerge w:val="continue"/>
                  <w:tcBorders>
                    <w:tl2br w:val="nil"/>
                    <w:tr2bl w:val="nil"/>
                  </w:tcBorders>
                  <w:noWrap w:val="0"/>
                  <w:vAlign w:val="center"/>
                </w:tcPr>
                <w:p w14:paraId="74047ED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r>
            <w:tr w14:paraId="6FA69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67" w:type="pct"/>
                  <w:tcBorders>
                    <w:tl2br w:val="nil"/>
                    <w:tr2bl w:val="nil"/>
                  </w:tcBorders>
                  <w:noWrap w:val="0"/>
                  <w:vAlign w:val="center"/>
                </w:tcPr>
                <w:p w14:paraId="13E76C5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污染治理技术</w:t>
                  </w:r>
                </w:p>
              </w:tc>
              <w:tc>
                <w:tcPr>
                  <w:tcW w:w="3013" w:type="pct"/>
                  <w:tcBorders>
                    <w:tl2br w:val="nil"/>
                    <w:tr2bl w:val="nil"/>
                  </w:tcBorders>
                  <w:noWrap w:val="0"/>
                  <w:vAlign w:val="center"/>
                </w:tcPr>
                <w:p w14:paraId="7335B41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（一）涉锅炉/炉窑要求：</w:t>
                  </w:r>
                </w:p>
                <w:p w14:paraId="45B4EAD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1、燃煤/生物质/燃油等锅炉/炉窑：</w:t>
                  </w:r>
                </w:p>
                <w:p w14:paraId="5C2C9A1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（1）PM采用袋式除尘、滤筒除尘、电袋复合除尘、湿电除尘、四电场及以上静电除尘等高效除尘技术。</w:t>
                  </w:r>
                </w:p>
                <w:p w14:paraId="217FA7F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采用石灰/石-石膏、氨法、钠碱法、双碱法等湿法、干法和半干法（设计效率不低于85%）。</w:t>
                  </w:r>
                </w:p>
                <w:p w14:paraId="0F57AA4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（3）NOx采用低氮燃烧、SNCR/SCR、湿式氧化法等技术。</w:t>
                  </w:r>
                </w:p>
                <w:p w14:paraId="7EEC205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2、电窑、燃气锅炉/炉窑：未达到A级要求。</w:t>
                  </w:r>
                </w:p>
                <w:p w14:paraId="01840D4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（二）其他工序（非锅炉/炉窑）：</w:t>
                  </w:r>
                </w:p>
                <w:p w14:paraId="6445C09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1、PM采用袋式除尘或其他先进除尘工艺。</w:t>
                  </w:r>
                </w:p>
                <w:p w14:paraId="3B13484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2、VOCs废气采用燃烧、吸附等治理技术。</w:t>
                  </w:r>
                </w:p>
              </w:tc>
              <w:tc>
                <w:tcPr>
                  <w:tcW w:w="1107" w:type="pct"/>
                  <w:tcBorders>
                    <w:tl2br w:val="nil"/>
                    <w:tr2bl w:val="nil"/>
                  </w:tcBorders>
                  <w:noWrap w:val="0"/>
                  <w:vAlign w:val="center"/>
                </w:tcPr>
                <w:p w14:paraId="4212E84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本项目回转窑使用天然气进行燃烧，</w:t>
                  </w:r>
                  <w:r>
                    <w:rPr>
                      <w:rFonts w:hint="default" w:ascii="Times New Roman" w:hAnsi="Times New Roman" w:cs="Times New Roman"/>
                      <w:color w:val="000000" w:themeColor="text1"/>
                      <w:kern w:val="0"/>
                      <w:sz w:val="21"/>
                      <w:szCs w:val="21"/>
                      <w:lang w:val="en-US" w:eastAsia="zh-CN"/>
                      <w14:textFill>
                        <w14:solidFill>
                          <w14:schemeClr w14:val="tx1"/>
                        </w14:solidFill>
                      </w14:textFill>
                    </w:rPr>
                    <w:t>燃烧温度为850~1000℃，控制在低氮燃烧最佳控制温度范围（850~1100℃</w:t>
                  </w:r>
                  <w:r>
                    <w:rPr>
                      <w:rFonts w:hint="eastAsia" w:cs="Times New Roman"/>
                      <w:color w:val="000000" w:themeColor="text1"/>
                      <w:kern w:val="0"/>
                      <w:sz w:val="21"/>
                      <w:szCs w:val="21"/>
                      <w:lang w:val="en-US" w:eastAsia="zh-CN"/>
                      <w14:textFill>
                        <w14:solidFill>
                          <w14:schemeClr w14:val="tx1"/>
                        </w14:solidFill>
                      </w14:textFill>
                    </w:rPr>
                    <w:t>），基本不会产生热力型氮氧化物；</w:t>
                  </w:r>
                  <w:r>
                    <w:rPr>
                      <w:rFonts w:hint="eastAsia" w:ascii="Times New Roman" w:hAnsi="Times New Roman" w:cs="Times New Roman"/>
                      <w:color w:val="000000" w:themeColor="text1"/>
                      <w:kern w:val="0"/>
                      <w:sz w:val="21"/>
                      <w:szCs w:val="21"/>
                      <w:lang w:val="en-US" w:eastAsia="zh-CN"/>
                      <w14:textFill>
                        <w14:solidFill>
                          <w14:schemeClr w14:val="tx1"/>
                        </w14:solidFill>
                      </w14:textFill>
                    </w:rPr>
                    <w:t>煅烧废气经</w:t>
                  </w:r>
                  <w:r>
                    <w:rPr>
                      <w:rFonts w:hint="eastAsia" w:ascii="Times New Roman" w:hAnsi="Times New Roman" w:cs="Times New Roman"/>
                      <w:color w:val="000000" w:themeColor="text1"/>
                      <w:sz w:val="21"/>
                      <w:szCs w:val="20"/>
                      <w:lang w:val="en-US" w:eastAsia="zh-CN"/>
                      <w14:textFill>
                        <w14:solidFill>
                          <w14:schemeClr w14:val="tx1"/>
                        </w14:solidFill>
                      </w14:textFill>
                    </w:rPr>
                    <w:t>低氮燃烧器+</w:t>
                  </w:r>
                  <w:r>
                    <w:rPr>
                      <w:rFonts w:hint="eastAsia"/>
                      <w:color w:val="000000" w:themeColor="text1"/>
                      <w:sz w:val="21"/>
                      <w:szCs w:val="21"/>
                      <w:lang w:val="en-US" w:eastAsia="zh-CN"/>
                      <w14:textFill>
                        <w14:solidFill>
                          <w14:schemeClr w14:val="tx1"/>
                        </w14:solidFill>
                      </w14:textFill>
                    </w:rPr>
                    <w:t>旋风除尘器+布袋除尘器1#+喷射活性炭+布袋除尘器2#+2座脱酸塔去除；</w:t>
                  </w:r>
                  <w:r>
                    <w:rPr>
                      <w:rFonts w:hint="eastAsia" w:cs="Times New Roman"/>
                      <w:color w:val="000000" w:themeColor="text1"/>
                      <w:sz w:val="21"/>
                      <w:szCs w:val="21"/>
                      <w:highlight w:val="none"/>
                      <w:lang w:val="en-US" w:eastAsia="zh-CN"/>
                      <w14:textFill>
                        <w14:solidFill>
                          <w14:schemeClr w14:val="tx1"/>
                        </w14:solidFill>
                      </w14:textFill>
                    </w:rPr>
                    <w:t>回转窑干燥、预热阶段挥发出的有机物（石油烃）在脱硫塔处冷凝液化成浮油，定期收集，委托有资质单位处置；极少量达标排放进入环境空气中</w:t>
                  </w:r>
                  <w:r>
                    <w:rPr>
                      <w:rFonts w:hint="eastAsia"/>
                      <w:color w:val="000000" w:themeColor="text1"/>
                      <w:sz w:val="21"/>
                      <w:szCs w:val="21"/>
                      <w:lang w:val="en-US" w:eastAsia="zh-CN"/>
                      <w14:textFill>
                        <w14:solidFill>
                          <w14:schemeClr w14:val="tx1"/>
                        </w14:solidFill>
                      </w14:textFill>
                    </w:rPr>
                    <w:t>。</w:t>
                  </w:r>
                </w:p>
              </w:tc>
              <w:tc>
                <w:tcPr>
                  <w:tcW w:w="512" w:type="pct"/>
                  <w:tcBorders>
                    <w:tl2br w:val="nil"/>
                    <w:tr2bl w:val="nil"/>
                  </w:tcBorders>
                  <w:noWrap w:val="0"/>
                  <w:vAlign w:val="center"/>
                </w:tcPr>
                <w:p w14:paraId="0376AAF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301B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367" w:type="pct"/>
                  <w:vMerge w:val="restart"/>
                  <w:tcBorders>
                    <w:tl2br w:val="nil"/>
                    <w:tr2bl w:val="nil"/>
                  </w:tcBorders>
                  <w:noWrap w:val="0"/>
                  <w:vAlign w:val="center"/>
                </w:tcPr>
                <w:p w14:paraId="5DEBBBB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排放限值</w:t>
                  </w:r>
                </w:p>
              </w:tc>
              <w:tc>
                <w:tcPr>
                  <w:tcW w:w="3013" w:type="pct"/>
                  <w:tcBorders>
                    <w:tl2br w:val="nil"/>
                    <w:tr2bl w:val="nil"/>
                  </w:tcBorders>
                  <w:noWrap w:val="0"/>
                  <w:vAlign w:val="center"/>
                </w:tcPr>
                <w:p w14:paraId="1AD167D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（一）锅炉：</w:t>
                  </w:r>
                </w:p>
                <w:p w14:paraId="72A4433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1、PM、SO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、NOx排放浓度分别不高于：</w:t>
                  </w:r>
                </w:p>
                <w:p w14:paraId="714598C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燃煤/生物质：10、35、50mg/m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62C3BA5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燃油：10、20、80mg/m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1739C5A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燃气：5、10、50/30</w:t>
                  </w:r>
                  <w:r>
                    <w:rPr>
                      <w:rFonts w:ascii="Times New Roman" w:hAnsi="Times New Roman" w:cs="Times New Roman"/>
                      <w:color w:val="000000" w:themeColor="text1"/>
                      <w:kern w:val="0"/>
                      <w:sz w:val="21"/>
                      <w:szCs w:val="21"/>
                      <w:vertAlign w:val="superscript"/>
                      <w14:textFill>
                        <w14:solidFill>
                          <w14:schemeClr w14:val="tx1"/>
                        </w14:solidFill>
                      </w14:textFill>
                    </w:rPr>
                    <w:t>【4】</w:t>
                  </w:r>
                  <w:r>
                    <w:rPr>
                      <w:rFonts w:ascii="Times New Roman" w:hAnsi="Times New Roman" w:cs="Times New Roman"/>
                      <w:color w:val="000000" w:themeColor="text1"/>
                      <w:kern w:val="0"/>
                      <w:sz w:val="21"/>
                      <w:szCs w:val="21"/>
                      <w14:textFill>
                        <w14:solidFill>
                          <w14:schemeClr w14:val="tx1"/>
                        </w14:solidFill>
                      </w14:textFill>
                    </w:rPr>
                    <w:t>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3F3B014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（基准含氧量：燃煤/生物质/燃油/燃气：9%/9%</w:t>
                  </w:r>
                  <w:r>
                    <w:rPr>
                      <w:rFonts w:ascii="Times New Roman" w:hAnsi="Times New Roman" w:cs="Times New Roman"/>
                      <w:color w:val="000000" w:themeColor="text1"/>
                      <w:kern w:val="0"/>
                      <w:sz w:val="21"/>
                      <w:szCs w:val="21"/>
                      <w:vertAlign w:val="superscript"/>
                      <w14:textFill>
                        <w14:solidFill>
                          <w14:schemeClr w14:val="tx1"/>
                        </w14:solidFill>
                      </w14:textFill>
                    </w:rPr>
                    <w:t>【5】</w:t>
                  </w:r>
                  <w:r>
                    <w:rPr>
                      <w:rFonts w:ascii="Times New Roman" w:hAnsi="Times New Roman" w:cs="Times New Roman"/>
                      <w:color w:val="000000" w:themeColor="text1"/>
                      <w:kern w:val="0"/>
                      <w:sz w:val="21"/>
                      <w:szCs w:val="21"/>
                      <w14:textFill>
                        <w14:solidFill>
                          <w14:schemeClr w14:val="tx1"/>
                        </w14:solidFill>
                      </w14:textFill>
                    </w:rPr>
                    <w:t>/3.5%/3.5%）。</w:t>
                  </w:r>
                </w:p>
                <w:p w14:paraId="27ADDC0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2、氨逃逸排放浓度不高于8mg/m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（使用氨水、尿素作还原剂）</w:t>
                  </w:r>
                </w:p>
                <w:p w14:paraId="3BB03ED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（二）加热炉、热处理炉、干燥炉：</w:t>
                  </w:r>
                </w:p>
                <w:p w14:paraId="7B1AB6D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PM、SO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、NOx排放浓度分别不高于：10、50、100mg/m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41D8860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（基准含氧量：燃油/燃煤3.5%/9%，因工艺需要掺入空气/非密闭式生产的按实测浓度计）。</w:t>
                  </w:r>
                </w:p>
                <w:p w14:paraId="7CBD32B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（三）其他炉窑：</w:t>
                  </w:r>
                </w:p>
                <w:p w14:paraId="153A95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PM、SO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、NOx排放浓度分别不高于10、100、200mg/m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（基准含氧量：9%）。</w:t>
                  </w:r>
                </w:p>
                <w:p w14:paraId="460D04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（四）其他工序：</w:t>
                  </w:r>
                </w:p>
                <w:p w14:paraId="35855C3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1、PM有组织排放浓度不高于10mg/m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612914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2、VOCs（以NMHC计）有组织排放浓度不高于40mg/m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5341F2E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3、厂区内无组织排放监控点NMHC的1h平均浓度值不高于6mg/m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、任意一次浓度值不高于20mg/m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tc>
              <w:tc>
                <w:tcPr>
                  <w:tcW w:w="1107" w:type="pct"/>
                  <w:vMerge w:val="restart"/>
                  <w:tcBorders>
                    <w:tl2br w:val="nil"/>
                    <w:tr2bl w:val="nil"/>
                  </w:tcBorders>
                  <w:noWrap w:val="0"/>
                  <w:vAlign w:val="center"/>
                </w:tcPr>
                <w:p w14:paraId="26C94A0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本项目回转窑使用天然气进行燃烧，</w:t>
                  </w:r>
                  <w:r>
                    <w:rPr>
                      <w:rFonts w:hint="eastAsia" w:cs="Times New Roman"/>
                      <w:color w:val="000000" w:themeColor="text1"/>
                      <w:kern w:val="0"/>
                      <w:sz w:val="21"/>
                      <w:szCs w:val="21"/>
                      <w:lang w:val="en-US" w:eastAsia="zh-CN"/>
                      <w14:textFill>
                        <w14:solidFill>
                          <w14:schemeClr w14:val="tx1"/>
                        </w14:solidFill>
                      </w14:textFill>
                    </w:rPr>
                    <w:t>属于其他炉窑，在采取减排措施后，能满足B级企业标准，</w:t>
                  </w:r>
                  <w:r>
                    <w:rPr>
                      <w:rFonts w:ascii="Times New Roman" w:hAnsi="Times New Roman" w:cs="Times New Roman"/>
                      <w:color w:val="000000" w:themeColor="text1"/>
                      <w:kern w:val="0"/>
                      <w:sz w:val="21"/>
                      <w:szCs w:val="21"/>
                      <w14:textFill>
                        <w14:solidFill>
                          <w14:schemeClr w14:val="tx1"/>
                        </w14:solidFill>
                      </w14:textFill>
                    </w:rPr>
                    <w:t>PM、SO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、NOx</w:t>
                  </w:r>
                  <w:r>
                    <w:rPr>
                      <w:rFonts w:hint="eastAsia" w:cs="Times New Roman"/>
                      <w:color w:val="000000" w:themeColor="text1"/>
                      <w:kern w:val="0"/>
                      <w:sz w:val="21"/>
                      <w:szCs w:val="21"/>
                      <w:lang w:eastAsia="zh-CN"/>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VOCs</w:t>
                  </w:r>
                  <w:r>
                    <w:rPr>
                      <w:rFonts w:ascii="Times New Roman" w:hAnsi="Times New Roman" w:cs="Times New Roman"/>
                      <w:color w:val="000000" w:themeColor="text1"/>
                      <w:kern w:val="0"/>
                      <w:sz w:val="21"/>
                      <w:szCs w:val="21"/>
                      <w14:textFill>
                        <w14:solidFill>
                          <w14:schemeClr w14:val="tx1"/>
                        </w14:solidFill>
                      </w14:textFill>
                    </w:rPr>
                    <w:t>排放浓度分别不高于：10、</w:t>
                  </w:r>
                  <w:r>
                    <w:rPr>
                      <w:rFonts w:hint="eastAsia" w:cs="Times New Roman"/>
                      <w:color w:val="000000" w:themeColor="text1"/>
                      <w:kern w:val="0"/>
                      <w:sz w:val="21"/>
                      <w:szCs w:val="21"/>
                      <w:lang w:val="en-US" w:eastAsia="zh-CN"/>
                      <w14:textFill>
                        <w14:solidFill>
                          <w14:schemeClr w14:val="tx1"/>
                        </w14:solidFill>
                      </w14:textFill>
                    </w:rPr>
                    <w:t>100</w:t>
                  </w:r>
                  <w:r>
                    <w:rPr>
                      <w:rFonts w:ascii="Times New Roman" w:hAnsi="Times New Roman" w:cs="Times New Roman"/>
                      <w:color w:val="000000" w:themeColor="text1"/>
                      <w:kern w:val="0"/>
                      <w:sz w:val="21"/>
                      <w:szCs w:val="21"/>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200、40</w:t>
                  </w:r>
                  <w:r>
                    <w:rPr>
                      <w:rFonts w:ascii="Times New Roman" w:hAnsi="Times New Roman" w:cs="Times New Roman"/>
                      <w:color w:val="000000" w:themeColor="text1"/>
                      <w:kern w:val="0"/>
                      <w:sz w:val="21"/>
                      <w:szCs w:val="21"/>
                      <w14:textFill>
                        <w14:solidFill>
                          <w14:schemeClr w14:val="tx1"/>
                        </w14:solidFill>
                      </w14:textFill>
                    </w:rPr>
                    <w:t>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tc>
              <w:tc>
                <w:tcPr>
                  <w:tcW w:w="512" w:type="pct"/>
                  <w:vMerge w:val="restart"/>
                  <w:tcBorders>
                    <w:tl2br w:val="nil"/>
                    <w:tr2bl w:val="nil"/>
                  </w:tcBorders>
                  <w:noWrap w:val="0"/>
                  <w:vAlign w:val="center"/>
                </w:tcPr>
                <w:p w14:paraId="15115FB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5DFA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367" w:type="pct"/>
                  <w:vMerge w:val="continue"/>
                  <w:tcBorders>
                    <w:tl2br w:val="nil"/>
                    <w:tr2bl w:val="nil"/>
                  </w:tcBorders>
                  <w:noWrap w:val="0"/>
                  <w:vAlign w:val="center"/>
                </w:tcPr>
                <w:p w14:paraId="5F1A5D9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p>
              </w:tc>
              <w:tc>
                <w:tcPr>
                  <w:tcW w:w="3013" w:type="pct"/>
                  <w:tcBorders>
                    <w:tl2br w:val="nil"/>
                    <w:tr2bl w:val="nil"/>
                  </w:tcBorders>
                  <w:noWrap w:val="0"/>
                  <w:vAlign w:val="center"/>
                </w:tcPr>
                <w:p w14:paraId="37025EF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备注：各项污染物稳定达到以上排放控制要求。</w:t>
                  </w:r>
                </w:p>
              </w:tc>
              <w:tc>
                <w:tcPr>
                  <w:tcW w:w="1107" w:type="pct"/>
                  <w:vMerge w:val="continue"/>
                  <w:tcBorders>
                    <w:tl2br w:val="nil"/>
                    <w:tr2bl w:val="nil"/>
                  </w:tcBorders>
                  <w:noWrap w:val="0"/>
                  <w:vAlign w:val="center"/>
                </w:tcPr>
                <w:p w14:paraId="4A2172D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cs="Times New Roman"/>
                      <w:color w:val="000000" w:themeColor="text1"/>
                      <w:kern w:val="0"/>
                      <w:sz w:val="21"/>
                      <w:szCs w:val="21"/>
                      <w:lang w:val="en-US" w:eastAsia="zh-CN"/>
                      <w14:textFill>
                        <w14:solidFill>
                          <w14:schemeClr w14:val="tx1"/>
                        </w14:solidFill>
                      </w14:textFill>
                    </w:rPr>
                  </w:pPr>
                </w:p>
              </w:tc>
              <w:tc>
                <w:tcPr>
                  <w:tcW w:w="512" w:type="pct"/>
                  <w:vMerge w:val="continue"/>
                  <w:tcBorders>
                    <w:tl2br w:val="nil"/>
                    <w:tr2bl w:val="nil"/>
                  </w:tcBorders>
                  <w:noWrap w:val="0"/>
                  <w:vAlign w:val="center"/>
                </w:tcPr>
                <w:p w14:paraId="5A9890E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p>
              </w:tc>
            </w:tr>
            <w:tr w14:paraId="31DA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7" w:type="pct"/>
                  <w:tcBorders>
                    <w:tl2br w:val="nil"/>
                    <w:tr2bl w:val="nil"/>
                  </w:tcBorders>
                  <w:noWrap w:val="0"/>
                  <w:vAlign w:val="center"/>
                </w:tcPr>
                <w:p w14:paraId="45942C6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监测监控水平</w:t>
                  </w:r>
                </w:p>
              </w:tc>
              <w:tc>
                <w:tcPr>
                  <w:tcW w:w="3013" w:type="pct"/>
                  <w:tcBorders>
                    <w:tl2br w:val="nil"/>
                    <w:tr2bl w:val="nil"/>
                  </w:tcBorders>
                  <w:noWrap w:val="0"/>
                  <w:vAlign w:val="center"/>
                </w:tcPr>
                <w:p w14:paraId="4E3F055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重点排污单位及排污许可重点管理单位主要排口应当安装污染物排放自动监测设备（CEMS），并与生态环境主管部门的监控设备联网，数据保存一年以上（投产或安装时间不满一年以上的企业，以现有数据为准）。</w:t>
                  </w:r>
                </w:p>
                <w:p w14:paraId="33C0E07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2、按照排污许可证、行业自行监测指南或排污单位自行监测技术指南等相关要求开展自行监测。</w:t>
                  </w:r>
                </w:p>
                <w:p w14:paraId="513A5AA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3、涉气生产工序、生产装置及污染治理设施按要求安装用电监管设备，用电监管数据按要求与省、市管理部门用电监管平台联网。</w:t>
                  </w:r>
                </w:p>
                <w:p w14:paraId="1881590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4、企业主要环保设施及生产设施安装分布式控制系统（DCS）或可保存和查看历史数据的可编程控制系统（PLC），记录企业环保设施运行及相关生产过程主要参数，数据保存一年以上。</w:t>
                  </w:r>
                </w:p>
              </w:tc>
              <w:tc>
                <w:tcPr>
                  <w:tcW w:w="1107" w:type="pct"/>
                  <w:tcBorders>
                    <w:tl2br w:val="nil"/>
                    <w:tr2bl w:val="nil"/>
                  </w:tcBorders>
                  <w:noWrap w:val="0"/>
                  <w:vAlign w:val="center"/>
                </w:tcPr>
                <w:p w14:paraId="531825B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项目按照排污许可证、行业自行监测指南或排污单位自行监测技术指南等相关要求开展自行监测。</w:t>
                  </w:r>
                </w:p>
              </w:tc>
              <w:tc>
                <w:tcPr>
                  <w:tcW w:w="512" w:type="pct"/>
                  <w:tcBorders>
                    <w:tl2br w:val="nil"/>
                    <w:tr2bl w:val="nil"/>
                  </w:tcBorders>
                  <w:noWrap w:val="0"/>
                  <w:vAlign w:val="center"/>
                </w:tcPr>
                <w:p w14:paraId="22ABDC9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760B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7" w:type="pct"/>
                  <w:tcBorders>
                    <w:tl2br w:val="nil"/>
                    <w:tr2bl w:val="nil"/>
                  </w:tcBorders>
                  <w:noWrap w:val="0"/>
                  <w:vAlign w:val="center"/>
                </w:tcPr>
                <w:p w14:paraId="0AA090A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运输方式</w:t>
                  </w:r>
                </w:p>
              </w:tc>
              <w:tc>
                <w:tcPr>
                  <w:tcW w:w="5318" w:type="dxa"/>
                  <w:tcBorders>
                    <w:tl2br w:val="nil"/>
                    <w:tr2bl w:val="nil"/>
                  </w:tcBorders>
                  <w:noWrap w:val="0"/>
                  <w:vAlign w:val="center"/>
                </w:tcPr>
                <w:p w14:paraId="3960218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1、物料公路运输使用国五及以上排放标准重型载货车辆（含燃气）或新能源车辆等清洁运输方式比例不低于80%。</w:t>
                  </w:r>
                </w:p>
                <w:p w14:paraId="07E7493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2、厂内运输车辆达到国五及以上排放标准（含燃气）或使用新能源车辆的比例不低于80%。</w:t>
                  </w:r>
                </w:p>
                <w:p w14:paraId="787840D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3、厂内非道路移动机械达到国三及以上排放标准或使用新能源机械的比例不低于80%。</w:t>
                  </w:r>
                </w:p>
                <w:p w14:paraId="0C66176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4、危险品及危废运输全部使用国五及以上或新能源车辆。</w:t>
                  </w:r>
                </w:p>
              </w:tc>
              <w:tc>
                <w:tcPr>
                  <w:tcW w:w="1107" w:type="pct"/>
                  <w:tcBorders>
                    <w:tl2br w:val="nil"/>
                    <w:tr2bl w:val="nil"/>
                  </w:tcBorders>
                  <w:noWrap w:val="0"/>
                  <w:vAlign w:val="center"/>
                </w:tcPr>
                <w:p w14:paraId="4B4C971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物料公路运输、危险废物运输均使用国五排放标准重型载货车辆。</w:t>
                  </w:r>
                </w:p>
              </w:tc>
              <w:tc>
                <w:tcPr>
                  <w:tcW w:w="512" w:type="pct"/>
                  <w:tcBorders>
                    <w:tl2br w:val="nil"/>
                    <w:tr2bl w:val="nil"/>
                  </w:tcBorders>
                  <w:noWrap w:val="0"/>
                  <w:vAlign w:val="center"/>
                </w:tcPr>
                <w:p w14:paraId="30DA217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0A28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7" w:type="pct"/>
                  <w:tcBorders>
                    <w:tl2br w:val="nil"/>
                    <w:tr2bl w:val="nil"/>
                  </w:tcBorders>
                  <w:noWrap w:val="0"/>
                  <w:vAlign w:val="center"/>
                </w:tcPr>
                <w:p w14:paraId="116FCE6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运输监管</w:t>
                  </w:r>
                </w:p>
              </w:tc>
              <w:tc>
                <w:tcPr>
                  <w:tcW w:w="5318" w:type="dxa"/>
                  <w:tcBorders>
                    <w:tl2br w:val="nil"/>
                    <w:tr2bl w:val="nil"/>
                  </w:tcBorders>
                  <w:noWrap w:val="0"/>
                  <w:vAlign w:val="center"/>
                </w:tcPr>
                <w:p w14:paraId="0910EE2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1、年度日均载货车辆进出10辆次及以上的单位，应参照《重污染天气重点行业移动源应急管理技术指南》建立门禁视频监控系统和电子台账。</w:t>
                  </w:r>
                </w:p>
                <w:p w14:paraId="08ADAE6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2、其他企业建立车辆进出台账。</w:t>
                  </w:r>
                </w:p>
              </w:tc>
              <w:tc>
                <w:tcPr>
                  <w:tcW w:w="1107" w:type="pct"/>
                  <w:tcBorders>
                    <w:tl2br w:val="nil"/>
                    <w:tr2bl w:val="nil"/>
                  </w:tcBorders>
                  <w:noWrap w:val="0"/>
                  <w:vAlign w:val="center"/>
                </w:tcPr>
                <w:p w14:paraId="5DF7C83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企业建立门禁视频监控系统和车辆进出台账。</w:t>
                  </w:r>
                </w:p>
              </w:tc>
              <w:tc>
                <w:tcPr>
                  <w:tcW w:w="512" w:type="pct"/>
                  <w:tcBorders>
                    <w:tl2br w:val="nil"/>
                    <w:tr2bl w:val="nil"/>
                  </w:tcBorders>
                  <w:noWrap w:val="0"/>
                  <w:vAlign w:val="center"/>
                </w:tcPr>
                <w:p w14:paraId="3B7F158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28AA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5000" w:type="pct"/>
                  <w:gridSpan w:val="4"/>
                  <w:tcBorders>
                    <w:tl2br w:val="nil"/>
                    <w:tr2bl w:val="nil"/>
                  </w:tcBorders>
                  <w:noWrap w:val="0"/>
                  <w:vAlign w:val="center"/>
                </w:tcPr>
                <w:p w14:paraId="23EC2C0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：采用纯生物质锅炉、窑炉，在SO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稳定达到排放限值情况下可不采用脱硫工艺。</w:t>
                  </w:r>
                </w:p>
                <w:p w14:paraId="00DE1E2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w:t>
                  </w:r>
                  <w:r>
                    <w:rPr>
                      <w:rFonts w:ascii="Times New Roman" w:hAnsi="Times New Roman" w:cs="Times New Roman"/>
                      <w:color w:val="000000" w:themeColor="text1"/>
                      <w:kern w:val="0"/>
                      <w:sz w:val="21"/>
                      <w:szCs w:val="21"/>
                      <w:vertAlign w:val="superscript"/>
                      <w14:textFill>
                        <w14:solidFill>
                          <w14:schemeClr w14:val="tx1"/>
                        </w14:solidFill>
                      </w14:textFill>
                    </w:rPr>
                    <w:t>【5】</w:t>
                  </w:r>
                  <w:r>
                    <w:rPr>
                      <w:rFonts w:ascii="Times New Roman" w:hAnsi="Times New Roman" w:cs="Times New Roman"/>
                      <w:color w:val="000000" w:themeColor="text1"/>
                      <w:kern w:val="0"/>
                      <w:sz w:val="21"/>
                      <w:szCs w:val="21"/>
                      <w14:textFill>
                        <w14:solidFill>
                          <w14:schemeClr w14:val="tx1"/>
                        </w14:solidFill>
                      </w14:textFill>
                    </w:rPr>
                    <w:t>：不包含生物质/垃圾焚烧发电。</w:t>
                  </w:r>
                </w:p>
              </w:tc>
            </w:tr>
          </w:tbl>
          <w:p w14:paraId="64B9904B">
            <w:pPr>
              <w:numPr>
                <w:ilvl w:val="0"/>
                <w:numId w:val="0"/>
              </w:numPr>
              <w:autoSpaceDE/>
              <w:autoSpaceDN/>
              <w:adjustRightInd w:val="0"/>
              <w:snapToGrid w:val="0"/>
              <w:spacing w:line="360" w:lineRule="auto"/>
              <w:ind w:left="0" w:firstLine="0"/>
              <w:jc w:val="center"/>
              <w:rPr>
                <w:b/>
                <w:bCs/>
                <w:color w:val="000000" w:themeColor="text1"/>
                <w:kern w:val="0"/>
                <w:sz w:val="21"/>
                <w:szCs w:val="18"/>
                <w14:textFill>
                  <w14:solidFill>
                    <w14:schemeClr w14:val="tx1"/>
                  </w14:solidFill>
                </w14:textFill>
              </w:rPr>
            </w:pPr>
            <w:r>
              <w:rPr>
                <w:rFonts w:hint="default" w:ascii="Times New Roman" w:hAnsi="Times New Roman" w:eastAsia="宋体" w:cstheme="minorBidi"/>
                <w:b/>
                <w:bCs/>
                <w:color w:val="000000" w:themeColor="text1"/>
                <w:kern w:val="0"/>
                <w:sz w:val="21"/>
                <w:szCs w:val="18"/>
                <w:lang w:val="en-US" w:eastAsia="zh-CN" w:bidi="ar-SA"/>
                <w14:textFill>
                  <w14:solidFill>
                    <w14:schemeClr w14:val="tx1"/>
                  </w14:solidFill>
                </w14:textFill>
              </w:rPr>
              <w:t>表1-1</w:t>
            </w:r>
            <w:r>
              <w:rPr>
                <w:rFonts w:hint="eastAsia" w:cstheme="minorBidi"/>
                <w:b/>
                <w:bCs/>
                <w:color w:val="000000" w:themeColor="text1"/>
                <w:kern w:val="0"/>
                <w:sz w:val="21"/>
                <w:szCs w:val="18"/>
                <w:lang w:val="en-US" w:eastAsia="zh-CN" w:bidi="ar-SA"/>
                <w14:textFill>
                  <w14:solidFill>
                    <w14:schemeClr w14:val="tx1"/>
                  </w14:solidFill>
                </w14:textFill>
              </w:rPr>
              <w:t xml:space="preserve">7 </w:t>
            </w:r>
            <w:r>
              <w:rPr>
                <w:b/>
                <w:bCs/>
                <w:color w:val="000000" w:themeColor="text1"/>
                <w:kern w:val="0"/>
                <w:sz w:val="21"/>
                <w:szCs w:val="18"/>
                <w14:textFill>
                  <w14:solidFill>
                    <w14:schemeClr w14:val="tx1"/>
                  </w14:solidFill>
                </w14:textFill>
              </w:rPr>
              <w:t>与</w:t>
            </w:r>
            <w:r>
              <w:rPr>
                <w:rFonts w:hint="eastAsia"/>
                <w:b/>
                <w:bCs/>
                <w:color w:val="000000" w:themeColor="text1"/>
                <w:kern w:val="0"/>
                <w:sz w:val="21"/>
                <w:szCs w:val="18"/>
                <w14:textFill>
                  <w14:solidFill>
                    <w14:schemeClr w14:val="tx1"/>
                  </w14:solidFill>
                </w14:textFill>
              </w:rPr>
              <w:t>环办大气函〔2020〕340号</w:t>
            </w:r>
            <w:r>
              <w:rPr>
                <w:rFonts w:hint="eastAsia"/>
                <w:b/>
                <w:bCs/>
                <w:color w:val="000000" w:themeColor="text1"/>
                <w:kern w:val="0"/>
                <w:sz w:val="21"/>
                <w:szCs w:val="18"/>
                <w:lang w:eastAsia="zh-CN"/>
                <w14:textFill>
                  <w14:solidFill>
                    <w14:schemeClr w14:val="tx1"/>
                  </w14:solidFill>
                </w14:textFill>
              </w:rPr>
              <w:t>—</w:t>
            </w:r>
            <w:r>
              <w:rPr>
                <w:rFonts w:hint="eastAsia"/>
                <w:b/>
                <w:bCs/>
                <w:color w:val="000000" w:themeColor="text1"/>
                <w:kern w:val="0"/>
                <w:sz w:val="21"/>
                <w:szCs w:val="18"/>
                <w:lang w:val="en-US" w:eastAsia="zh-CN"/>
                <w14:textFill>
                  <w14:solidFill>
                    <w14:schemeClr w14:val="tx1"/>
                  </w14:solidFill>
                </w14:textFill>
              </w:rPr>
              <w:t>砖瓦窑行业“</w:t>
            </w:r>
            <w:r>
              <w:rPr>
                <w:rFonts w:hint="eastAsia"/>
                <w:b/>
                <w:bCs/>
                <w:color w:val="000000" w:themeColor="text1"/>
                <w:kern w:val="0"/>
                <w:sz w:val="21"/>
                <w:szCs w:val="18"/>
                <w14:textFill>
                  <w14:solidFill>
                    <w14:schemeClr w14:val="tx1"/>
                  </w14:solidFill>
                </w14:textFill>
              </w:rPr>
              <w:t>非烧结砖企业</w:t>
            </w:r>
            <w:r>
              <w:rPr>
                <w:rFonts w:hint="eastAsia"/>
                <w:b/>
                <w:bCs/>
                <w:color w:val="000000" w:themeColor="text1"/>
                <w:kern w:val="0"/>
                <w:sz w:val="21"/>
                <w:szCs w:val="18"/>
                <w:lang w:val="en-US" w:eastAsia="zh-CN"/>
                <w14:textFill>
                  <w14:solidFill>
                    <w14:schemeClr w14:val="tx1"/>
                  </w14:solidFill>
                </w14:textFill>
              </w:rPr>
              <w:t>”</w:t>
            </w:r>
            <w:r>
              <w:rPr>
                <w:b/>
                <w:bCs/>
                <w:color w:val="000000" w:themeColor="text1"/>
                <w:kern w:val="0"/>
                <w:sz w:val="21"/>
                <w:szCs w:val="18"/>
                <w14:textFill>
                  <w14:solidFill>
                    <w14:schemeClr w14:val="tx1"/>
                  </w14:solidFill>
                </w14:textFill>
              </w:rPr>
              <w:t>绩效分级指标的符合性分析</w:t>
            </w:r>
          </w:p>
          <w:tbl>
            <w:tblPr>
              <w:tblStyle w:val="29"/>
              <w:tblW w:w="4997" w:type="pct"/>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3534"/>
              <w:gridCol w:w="3736"/>
              <w:gridCol w:w="913"/>
            </w:tblGrid>
            <w:tr w14:paraId="4579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4" w:type="pct"/>
                  <w:tcBorders>
                    <w:tl2br w:val="nil"/>
                    <w:tr2bl w:val="nil"/>
                  </w:tcBorders>
                  <w:noWrap w:val="0"/>
                  <w:vAlign w:val="center"/>
                </w:tcPr>
                <w:p w14:paraId="7561B9E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差异指标</w:t>
                  </w:r>
                </w:p>
              </w:tc>
              <w:tc>
                <w:tcPr>
                  <w:tcW w:w="2002" w:type="pct"/>
                  <w:tcBorders>
                    <w:tl2br w:val="nil"/>
                    <w:tr2bl w:val="nil"/>
                  </w:tcBorders>
                  <w:noWrap w:val="0"/>
                  <w:vAlign w:val="center"/>
                </w:tcPr>
                <w:p w14:paraId="7AB4D13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b/>
                      <w:bCs/>
                      <w:color w:val="000000" w:themeColor="text1"/>
                      <w:kern w:val="0"/>
                      <w:sz w:val="21"/>
                      <w:szCs w:val="21"/>
                      <w:lang w:val="en-US"/>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引领性指标</w:t>
                  </w:r>
                </w:p>
              </w:tc>
              <w:tc>
                <w:tcPr>
                  <w:tcW w:w="2116" w:type="pct"/>
                  <w:tcBorders>
                    <w:tl2br w:val="nil"/>
                    <w:tr2bl w:val="nil"/>
                  </w:tcBorders>
                  <w:noWrap w:val="0"/>
                  <w:vAlign w:val="center"/>
                </w:tcPr>
                <w:p w14:paraId="5ABCC0B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本项目情况</w:t>
                  </w:r>
                </w:p>
              </w:tc>
              <w:tc>
                <w:tcPr>
                  <w:tcW w:w="517" w:type="pct"/>
                  <w:tcBorders>
                    <w:tl2br w:val="nil"/>
                    <w:tr2bl w:val="nil"/>
                  </w:tcBorders>
                  <w:noWrap w:val="0"/>
                  <w:vAlign w:val="center"/>
                </w:tcPr>
                <w:p w14:paraId="00285AC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符合性</w:t>
                  </w:r>
                </w:p>
              </w:tc>
            </w:tr>
            <w:tr w14:paraId="186D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4" w:type="pct"/>
                  <w:tcBorders>
                    <w:tl2br w:val="nil"/>
                    <w:tr2bl w:val="nil"/>
                  </w:tcBorders>
                  <w:noWrap w:val="0"/>
                  <w:vAlign w:val="center"/>
                </w:tcPr>
                <w:p w14:paraId="5D2AEEC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能源类型</w:t>
                  </w:r>
                </w:p>
              </w:tc>
              <w:tc>
                <w:tcPr>
                  <w:tcW w:w="2002" w:type="pct"/>
                  <w:tcBorders>
                    <w:tl2br w:val="nil"/>
                    <w:tr2bl w:val="nil"/>
                  </w:tcBorders>
                  <w:noWrap w:val="0"/>
                  <w:vAlign w:val="center"/>
                </w:tcPr>
                <w:p w14:paraId="16BA7A0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电、天然气、余热蒸汽</w:t>
                  </w:r>
                </w:p>
              </w:tc>
              <w:tc>
                <w:tcPr>
                  <w:tcW w:w="2116" w:type="pct"/>
                  <w:tcBorders>
                    <w:tl2br w:val="nil"/>
                    <w:tr2bl w:val="nil"/>
                  </w:tcBorders>
                  <w:noWrap w:val="0"/>
                  <w:vAlign w:val="center"/>
                </w:tcPr>
                <w:p w14:paraId="460725E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本项目免烧砌块生产设备主要以电为能源。</w:t>
                  </w:r>
                </w:p>
              </w:tc>
              <w:tc>
                <w:tcPr>
                  <w:tcW w:w="517" w:type="pct"/>
                  <w:tcBorders>
                    <w:tl2br w:val="nil"/>
                    <w:tr2bl w:val="nil"/>
                  </w:tcBorders>
                  <w:noWrap w:val="0"/>
                  <w:vAlign w:val="center"/>
                </w:tcPr>
                <w:p w14:paraId="0636773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6E5D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4" w:type="pct"/>
                  <w:tcBorders>
                    <w:tl2br w:val="nil"/>
                    <w:tr2bl w:val="nil"/>
                  </w:tcBorders>
                  <w:noWrap w:val="0"/>
                  <w:vAlign w:val="center"/>
                </w:tcPr>
                <w:p w14:paraId="5C283B2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污染治理技术</w:t>
                  </w:r>
                </w:p>
              </w:tc>
              <w:tc>
                <w:tcPr>
                  <w:tcW w:w="2002" w:type="pct"/>
                  <w:tcBorders>
                    <w:tl2br w:val="nil"/>
                    <w:tr2bl w:val="nil"/>
                  </w:tcBorders>
                  <w:noWrap w:val="0"/>
                  <w:vAlign w:val="center"/>
                </w:tcPr>
                <w:p w14:paraId="6615576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除尘采用袋式除尘工艺，天然气锅炉采用低氮燃烧工艺。</w:t>
                  </w:r>
                </w:p>
              </w:tc>
              <w:tc>
                <w:tcPr>
                  <w:tcW w:w="2116" w:type="pct"/>
                  <w:tcBorders>
                    <w:tl2br w:val="nil"/>
                    <w:tr2bl w:val="nil"/>
                  </w:tcBorders>
                  <w:noWrap w:val="0"/>
                  <w:vAlign w:val="center"/>
                </w:tcPr>
                <w:p w14:paraId="2705A947">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000000" w:themeColor="text1"/>
                      <w:kern w:val="0"/>
                      <w:sz w:val="21"/>
                      <w:szCs w:val="21"/>
                      <w:lang w:val="en-US"/>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本项目免烧砌块制备过程中投料粉尘设置侧吸式集气罩+布袋除尘器+喷淋装置；水泥、煅烧料筒仓顶部均自带布袋除尘器处理。</w:t>
                  </w:r>
                </w:p>
              </w:tc>
              <w:tc>
                <w:tcPr>
                  <w:tcW w:w="517" w:type="pct"/>
                  <w:tcBorders>
                    <w:tl2br w:val="nil"/>
                    <w:tr2bl w:val="nil"/>
                  </w:tcBorders>
                  <w:noWrap w:val="0"/>
                  <w:vAlign w:val="center"/>
                </w:tcPr>
                <w:p w14:paraId="2434DA5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2E48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4" w:type="pct"/>
                  <w:tcBorders>
                    <w:tl2br w:val="nil"/>
                    <w:tr2bl w:val="nil"/>
                  </w:tcBorders>
                  <w:noWrap w:val="0"/>
                  <w:vAlign w:val="center"/>
                </w:tcPr>
                <w:p w14:paraId="5572BFD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cs="Times New Roman"/>
                      <w:b/>
                      <w:bCs/>
                      <w:color w:val="000000" w:themeColor="text1"/>
                      <w:kern w:val="0"/>
                      <w:sz w:val="21"/>
                      <w:szCs w:val="21"/>
                      <w:lang w:val="en-US" w:eastAsia="zh-CN"/>
                      <w14:textFill>
                        <w14:solidFill>
                          <w14:schemeClr w14:val="tx1"/>
                        </w14:solidFill>
                      </w14:textFill>
                    </w:rPr>
                    <w:t>排放限值</w:t>
                  </w:r>
                </w:p>
              </w:tc>
              <w:tc>
                <w:tcPr>
                  <w:tcW w:w="2002" w:type="pct"/>
                  <w:tcBorders>
                    <w:tl2br w:val="nil"/>
                    <w:tr2bl w:val="nil"/>
                  </w:tcBorders>
                  <w:shd w:val="clear" w:color="auto" w:fill="auto"/>
                  <w:noWrap w:val="0"/>
                  <w:vAlign w:val="center"/>
                </w:tcPr>
                <w:p w14:paraId="5516B49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天然气锅炉PM、NOx排放浓度分别不高于10、50mg/m</w:t>
                  </w:r>
                  <w:r>
                    <w:rPr>
                      <w:rFonts w:hint="eastAsia" w:cs="Times New Roman"/>
                      <w:color w:val="000000" w:themeColor="text1"/>
                      <w:kern w:val="0"/>
                      <w:sz w:val="21"/>
                      <w:szCs w:val="21"/>
                      <w:vertAlign w:val="superscript"/>
                      <w14:textFill>
                        <w14:solidFill>
                          <w14:schemeClr w14:val="tx1"/>
                        </w14:solidFill>
                      </w14:textFill>
                    </w:rPr>
                    <w:t>3</w:t>
                  </w:r>
                  <w:r>
                    <w:rPr>
                      <w:rFonts w:hint="eastAsia" w:cs="Times New Roman"/>
                      <w:color w:val="000000" w:themeColor="text1"/>
                      <w:kern w:val="0"/>
                      <w:sz w:val="21"/>
                      <w:szCs w:val="21"/>
                      <w14:textFill>
                        <w14:solidFill>
                          <w14:schemeClr w14:val="tx1"/>
                        </w14:solidFill>
                      </w14:textFill>
                    </w:rPr>
                    <w:t>，基准氧含量3.5%；破碎、成型等其他产尘点PM排放浓度不高于10mg/m</w:t>
                  </w:r>
                  <w:r>
                    <w:rPr>
                      <w:rFonts w:hint="eastAsia" w:cs="Times New Roman"/>
                      <w:color w:val="000000" w:themeColor="text1"/>
                      <w:kern w:val="0"/>
                      <w:sz w:val="21"/>
                      <w:szCs w:val="21"/>
                      <w:vertAlign w:val="superscript"/>
                      <w14:textFill>
                        <w14:solidFill>
                          <w14:schemeClr w14:val="tx1"/>
                        </w14:solidFill>
                      </w14:textFill>
                    </w:rPr>
                    <w:t>3</w:t>
                  </w:r>
                  <w:r>
                    <w:rPr>
                      <w:rFonts w:hint="eastAsia" w:cs="Times New Roman"/>
                      <w:color w:val="000000" w:themeColor="text1"/>
                      <w:kern w:val="0"/>
                      <w:sz w:val="21"/>
                      <w:szCs w:val="21"/>
                      <w:lang w:eastAsia="zh-CN"/>
                      <w14:textFill>
                        <w14:solidFill>
                          <w14:schemeClr w14:val="tx1"/>
                        </w14:solidFill>
                      </w14:textFill>
                    </w:rPr>
                    <w:t>。</w:t>
                  </w:r>
                </w:p>
              </w:tc>
              <w:tc>
                <w:tcPr>
                  <w:tcW w:w="2116" w:type="pct"/>
                  <w:tcBorders>
                    <w:tl2br w:val="nil"/>
                    <w:tr2bl w:val="nil"/>
                  </w:tcBorders>
                  <w:noWrap w:val="0"/>
                  <w:vAlign w:val="center"/>
                </w:tcPr>
                <w:p w14:paraId="21488F6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本项目制备免烧砌块过程不使用天然气锅炉</w:t>
                  </w:r>
                  <w:r>
                    <w:rPr>
                      <w:rFonts w:hint="eastAsia" w:cs="Times New Roman"/>
                      <w:color w:val="000000" w:themeColor="text1"/>
                      <w:kern w:val="0"/>
                      <w:sz w:val="21"/>
                      <w:szCs w:val="21"/>
                      <w:lang w:eastAsia="zh-CN"/>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投料、砂石堆存、预处理药剂投加、水泥筒仓、煅烧料仓贮存过程中产生的PM</w:t>
                  </w:r>
                  <w:r>
                    <w:rPr>
                      <w:rFonts w:hint="eastAsia" w:cs="Times New Roman"/>
                      <w:color w:val="000000" w:themeColor="text1"/>
                      <w:kern w:val="0"/>
                      <w:sz w:val="21"/>
                      <w:szCs w:val="21"/>
                      <w14:textFill>
                        <w14:solidFill>
                          <w14:schemeClr w14:val="tx1"/>
                        </w14:solidFill>
                      </w14:textFill>
                    </w:rPr>
                    <w:t>排放浓度不高于10mg/m</w:t>
                  </w:r>
                  <w:r>
                    <w:rPr>
                      <w:rFonts w:hint="eastAsia" w:cs="Times New Roman"/>
                      <w:color w:val="000000" w:themeColor="text1"/>
                      <w:kern w:val="0"/>
                      <w:sz w:val="21"/>
                      <w:szCs w:val="21"/>
                      <w:vertAlign w:val="superscript"/>
                      <w14:textFill>
                        <w14:solidFill>
                          <w14:schemeClr w14:val="tx1"/>
                        </w14:solidFill>
                      </w14:textFill>
                    </w:rPr>
                    <w:t>3</w:t>
                  </w:r>
                  <w:r>
                    <w:rPr>
                      <w:rFonts w:hint="eastAsia" w:cs="Times New Roman"/>
                      <w:color w:val="000000" w:themeColor="text1"/>
                      <w:kern w:val="0"/>
                      <w:sz w:val="21"/>
                      <w:szCs w:val="21"/>
                      <w:lang w:eastAsia="zh-CN"/>
                      <w14:textFill>
                        <w14:solidFill>
                          <w14:schemeClr w14:val="tx1"/>
                        </w14:solidFill>
                      </w14:textFill>
                    </w:rPr>
                    <w:t>。</w:t>
                  </w:r>
                </w:p>
              </w:tc>
              <w:tc>
                <w:tcPr>
                  <w:tcW w:w="517" w:type="pct"/>
                  <w:tcBorders>
                    <w:tl2br w:val="nil"/>
                    <w:tr2bl w:val="nil"/>
                  </w:tcBorders>
                  <w:noWrap w:val="0"/>
                  <w:vAlign w:val="center"/>
                </w:tcPr>
                <w:p w14:paraId="32AE23A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693B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4" w:type="pct"/>
                  <w:tcBorders>
                    <w:tl2br w:val="nil"/>
                    <w:tr2bl w:val="nil"/>
                  </w:tcBorders>
                  <w:noWrap w:val="0"/>
                  <w:vAlign w:val="center"/>
                </w:tcPr>
                <w:p w14:paraId="2B9D3A2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无组织排放</w:t>
                  </w:r>
                </w:p>
              </w:tc>
              <w:tc>
                <w:tcPr>
                  <w:tcW w:w="2002" w:type="pct"/>
                  <w:tcBorders>
                    <w:tl2br w:val="nil"/>
                    <w:tr2bl w:val="nil"/>
                  </w:tcBorders>
                  <w:shd w:val="clear" w:color="auto" w:fill="auto"/>
                  <w:noWrap w:val="0"/>
                  <w:vAlign w:val="center"/>
                </w:tcPr>
                <w:p w14:paraId="716B2D7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石粉、矿砂、土等粉状物料应封闭储存，并采取喷淋等有效抑尘措施，物料采用封闭式皮带、斗提、斜槽运输，各物料破碎、转载、下料口设置集尘罩并配置袋式除尘器，库顶等泄压口配备袋式除尘器。料棚配备喷雾抑尘设施，料棚出入口配备自动门，其他物料全部封闭储存</w:t>
                  </w:r>
                  <w:r>
                    <w:rPr>
                      <w:rFonts w:hint="eastAsia" w:cs="Times New Roman"/>
                      <w:color w:val="000000" w:themeColor="text1"/>
                      <w:kern w:val="0"/>
                      <w:sz w:val="21"/>
                      <w:szCs w:val="21"/>
                      <w:lang w:eastAsia="zh-CN"/>
                      <w14:textFill>
                        <w14:solidFill>
                          <w14:schemeClr w14:val="tx1"/>
                        </w14:solidFill>
                      </w14:textFill>
                    </w:rPr>
                    <w:t>。</w:t>
                  </w:r>
                </w:p>
              </w:tc>
              <w:tc>
                <w:tcPr>
                  <w:tcW w:w="2116" w:type="pct"/>
                  <w:tcBorders>
                    <w:tl2br w:val="nil"/>
                    <w:tr2bl w:val="nil"/>
                  </w:tcBorders>
                  <w:noWrap w:val="0"/>
                  <w:vAlign w:val="center"/>
                </w:tcPr>
                <w:p w14:paraId="796DFD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大门为硬质材质，地面硬化，门窗常闭。</w:t>
                  </w:r>
                </w:p>
                <w:p w14:paraId="4740D5D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进行物料开封、转移、配料、混合过程均在封闭的厂房内进行。</w:t>
                  </w:r>
                  <w:r>
                    <w:rPr>
                      <w:rFonts w:hint="eastAsia" w:cs="Times New Roman"/>
                      <w:color w:val="000000" w:themeColor="text1"/>
                      <w:kern w:val="0"/>
                      <w:sz w:val="21"/>
                      <w:szCs w:val="21"/>
                      <w:lang w:val="en-US" w:eastAsia="zh-CN"/>
                      <w14:textFill>
                        <w14:solidFill>
                          <w14:schemeClr w14:val="tx1"/>
                        </w14:solidFill>
                      </w14:textFill>
                    </w:rPr>
                    <w:t>水泥、煅烧料筒仓顶部均自带布袋除尘器处理；砂石堆存区、预处理药剂投加工段设置喷雾抑尘装置；投料粉尘设置侧吸式集气罩+布袋除尘器+喷淋装置</w:t>
                  </w:r>
                  <w:r>
                    <w:rPr>
                      <w:rFonts w:hint="eastAsia" w:ascii="Times New Roman" w:hAnsi="Times New Roman" w:cs="Times New Roman"/>
                      <w:color w:val="000000" w:themeColor="text1"/>
                      <w:kern w:val="0"/>
                      <w:sz w:val="21"/>
                      <w:szCs w:val="21"/>
                      <w:lang w:eastAsia="zh-CN"/>
                      <w14:textFill>
                        <w14:solidFill>
                          <w14:schemeClr w14:val="tx1"/>
                        </w14:solidFill>
                      </w14:textFill>
                    </w:rPr>
                    <w:t>。</w:t>
                  </w:r>
                </w:p>
              </w:tc>
              <w:tc>
                <w:tcPr>
                  <w:tcW w:w="517" w:type="pct"/>
                  <w:tcBorders>
                    <w:tl2br w:val="nil"/>
                    <w:tr2bl w:val="nil"/>
                  </w:tcBorders>
                  <w:noWrap w:val="0"/>
                  <w:vAlign w:val="center"/>
                </w:tcPr>
                <w:p w14:paraId="5AB5A3E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符合</w:t>
                  </w:r>
                </w:p>
              </w:tc>
            </w:tr>
            <w:tr w14:paraId="0664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4" w:type="pct"/>
                  <w:tcBorders>
                    <w:tl2br w:val="nil"/>
                    <w:tr2bl w:val="nil"/>
                  </w:tcBorders>
                  <w:noWrap w:val="0"/>
                  <w:vAlign w:val="center"/>
                </w:tcPr>
                <w:p w14:paraId="2CEE5AA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监测监控水平</w:t>
                  </w:r>
                </w:p>
              </w:tc>
              <w:tc>
                <w:tcPr>
                  <w:tcW w:w="2002" w:type="pct"/>
                  <w:tcBorders>
                    <w:tl2br w:val="nil"/>
                    <w:tr2bl w:val="nil"/>
                  </w:tcBorders>
                  <w:noWrap w:val="0"/>
                  <w:vAlign w:val="center"/>
                </w:tcPr>
                <w:p w14:paraId="76B7AF8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eastAsia" w:ascii="Times New Roman" w:hAnsi="Times New Roman" w:eastAsia="宋体" w:cs="Times New Roman"/>
                      <w:color w:val="000000" w:themeColor="text1"/>
                      <w:kern w:val="0"/>
                      <w:sz w:val="21"/>
                      <w:szCs w:val="21"/>
                      <w:lang w:eastAsia="zh-CN"/>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重点排污企业配套的锅炉等热源排放口安装CEMS（不含以电、余热蒸汽为热源），数据保存一年以上。料场出入口等易产尘点，安装高清视频监控设施，数据保存三个月以上</w:t>
                  </w:r>
                  <w:r>
                    <w:rPr>
                      <w:rFonts w:hint="eastAsia" w:cs="Times New Roman"/>
                      <w:color w:val="000000" w:themeColor="text1"/>
                      <w:kern w:val="0"/>
                      <w:sz w:val="21"/>
                      <w:szCs w:val="21"/>
                      <w:lang w:eastAsia="zh-CN"/>
                      <w14:textFill>
                        <w14:solidFill>
                          <w14:schemeClr w14:val="tx1"/>
                        </w14:solidFill>
                      </w14:textFill>
                    </w:rPr>
                    <w:t>。</w:t>
                  </w:r>
                </w:p>
              </w:tc>
              <w:tc>
                <w:tcPr>
                  <w:tcW w:w="2116" w:type="pct"/>
                  <w:tcBorders>
                    <w:tl2br w:val="nil"/>
                    <w:tr2bl w:val="nil"/>
                  </w:tcBorders>
                  <w:noWrap w:val="0"/>
                  <w:vAlign w:val="center"/>
                </w:tcPr>
                <w:p w14:paraId="31A3320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本项目不属于重点排污单位，制备免烧砌块过程不使用锅炉。</w:t>
                  </w:r>
                </w:p>
              </w:tc>
              <w:tc>
                <w:tcPr>
                  <w:tcW w:w="517" w:type="pct"/>
                  <w:tcBorders>
                    <w:tl2br w:val="nil"/>
                    <w:tr2bl w:val="nil"/>
                  </w:tcBorders>
                  <w:noWrap w:val="0"/>
                  <w:vAlign w:val="center"/>
                </w:tcPr>
                <w:p w14:paraId="66B4618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5A8F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4" w:type="pct"/>
                  <w:tcBorders>
                    <w:tl2br w:val="nil"/>
                    <w:tr2bl w:val="nil"/>
                  </w:tcBorders>
                  <w:noWrap w:val="0"/>
                  <w:vAlign w:val="center"/>
                </w:tcPr>
                <w:p w14:paraId="32D3087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运输方式</w:t>
                  </w:r>
                </w:p>
              </w:tc>
              <w:tc>
                <w:tcPr>
                  <w:tcW w:w="2002" w:type="pct"/>
                  <w:tcBorders>
                    <w:tl2br w:val="nil"/>
                    <w:tr2bl w:val="nil"/>
                  </w:tcBorders>
                  <w:noWrap w:val="0"/>
                  <w:vAlign w:val="center"/>
                </w:tcPr>
                <w:p w14:paraId="451F718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eastAsia"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1、物料公路运输全部使用达到国五及以上排放标准重型载货车辆（含燃气）或新能源车辆；</w:t>
                  </w:r>
                </w:p>
                <w:p w14:paraId="38BC07B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eastAsia"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2、厂内运输车辆全部达到国五及以上排放标准（含燃气）或使用新能源车辆；</w:t>
                  </w:r>
                </w:p>
                <w:p w14:paraId="6463935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eastAsia" w:ascii="Times New Roman" w:hAnsi="Times New Roman" w:eastAsia="宋体" w:cs="Times New Roman"/>
                      <w:color w:val="000000" w:themeColor="text1"/>
                      <w:kern w:val="0"/>
                      <w:sz w:val="21"/>
                      <w:szCs w:val="21"/>
                      <w:lang w:eastAsia="zh-CN"/>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3、厂内非道路移动机械全部达到国三及以上排放标准或使用新能源机械</w:t>
                  </w:r>
                  <w:r>
                    <w:rPr>
                      <w:rFonts w:hint="eastAsia" w:cs="Times New Roman"/>
                      <w:color w:val="000000" w:themeColor="text1"/>
                      <w:kern w:val="0"/>
                      <w:sz w:val="21"/>
                      <w:szCs w:val="21"/>
                      <w:lang w:eastAsia="zh-CN"/>
                      <w14:textFill>
                        <w14:solidFill>
                          <w14:schemeClr w14:val="tx1"/>
                        </w14:solidFill>
                      </w14:textFill>
                    </w:rPr>
                    <w:t>。</w:t>
                  </w:r>
                </w:p>
              </w:tc>
              <w:tc>
                <w:tcPr>
                  <w:tcW w:w="2116" w:type="pct"/>
                  <w:tcBorders>
                    <w:tl2br w:val="nil"/>
                    <w:tr2bl w:val="nil"/>
                  </w:tcBorders>
                  <w:noWrap w:val="0"/>
                  <w:vAlign w:val="center"/>
                </w:tcPr>
                <w:p w14:paraId="3C70614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物料公路运输、危险废物运输均使用国五排放标准重型载货车辆。</w:t>
                  </w:r>
                </w:p>
              </w:tc>
              <w:tc>
                <w:tcPr>
                  <w:tcW w:w="517" w:type="pct"/>
                  <w:tcBorders>
                    <w:tl2br w:val="nil"/>
                    <w:tr2bl w:val="nil"/>
                  </w:tcBorders>
                  <w:noWrap w:val="0"/>
                  <w:vAlign w:val="center"/>
                </w:tcPr>
                <w:p w14:paraId="1F78F3B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6EA9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64" w:type="pct"/>
                  <w:tcBorders>
                    <w:tl2br w:val="nil"/>
                    <w:tr2bl w:val="nil"/>
                  </w:tcBorders>
                  <w:noWrap w:val="0"/>
                  <w:vAlign w:val="center"/>
                </w:tcPr>
                <w:p w14:paraId="1EFDC0F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运输监管</w:t>
                  </w:r>
                </w:p>
              </w:tc>
              <w:tc>
                <w:tcPr>
                  <w:tcW w:w="2002" w:type="pct"/>
                  <w:tcBorders>
                    <w:tl2br w:val="nil"/>
                    <w:tr2bl w:val="nil"/>
                  </w:tcBorders>
                  <w:noWrap w:val="0"/>
                  <w:vAlign w:val="center"/>
                </w:tcPr>
                <w:p w14:paraId="6C84EF0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参照《重污染天气重点行业移动源应急管理技术指南》建立门禁系统和电子台账</w:t>
                  </w:r>
                  <w:r>
                    <w:rPr>
                      <w:rFonts w:hint="eastAsia" w:cs="Times New Roman"/>
                      <w:color w:val="000000" w:themeColor="text1"/>
                      <w:kern w:val="0"/>
                      <w:sz w:val="21"/>
                      <w:szCs w:val="21"/>
                      <w:lang w:eastAsia="zh-CN"/>
                      <w14:textFill>
                        <w14:solidFill>
                          <w14:schemeClr w14:val="tx1"/>
                        </w14:solidFill>
                      </w14:textFill>
                    </w:rPr>
                    <w:t>。</w:t>
                  </w:r>
                </w:p>
              </w:tc>
              <w:tc>
                <w:tcPr>
                  <w:tcW w:w="2116" w:type="pct"/>
                  <w:tcBorders>
                    <w:tl2br w:val="nil"/>
                    <w:tr2bl w:val="nil"/>
                  </w:tcBorders>
                  <w:noWrap w:val="0"/>
                  <w:vAlign w:val="center"/>
                </w:tcPr>
                <w:p w14:paraId="4E566E6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企业建立门禁视频监控系统和车辆进出</w:t>
                  </w:r>
                  <w:r>
                    <w:rPr>
                      <w:rFonts w:hint="eastAsia" w:cs="Times New Roman"/>
                      <w:color w:val="000000" w:themeColor="text1"/>
                      <w:kern w:val="0"/>
                      <w:sz w:val="21"/>
                      <w:szCs w:val="21"/>
                      <w:lang w:val="en-US" w:eastAsia="zh-CN"/>
                      <w14:textFill>
                        <w14:solidFill>
                          <w14:schemeClr w14:val="tx1"/>
                        </w14:solidFill>
                      </w14:textFill>
                    </w:rPr>
                    <w:t>电子</w:t>
                  </w:r>
                  <w:r>
                    <w:rPr>
                      <w:rFonts w:ascii="Times New Roman" w:hAnsi="Times New Roman" w:cs="Times New Roman"/>
                      <w:color w:val="000000" w:themeColor="text1"/>
                      <w:kern w:val="0"/>
                      <w:sz w:val="21"/>
                      <w:szCs w:val="21"/>
                      <w14:textFill>
                        <w14:solidFill>
                          <w14:schemeClr w14:val="tx1"/>
                        </w14:solidFill>
                      </w14:textFill>
                    </w:rPr>
                    <w:t>台账。</w:t>
                  </w:r>
                </w:p>
              </w:tc>
              <w:tc>
                <w:tcPr>
                  <w:tcW w:w="517" w:type="pct"/>
                  <w:tcBorders>
                    <w:tl2br w:val="nil"/>
                    <w:tr2bl w:val="nil"/>
                  </w:tcBorders>
                  <w:noWrap w:val="0"/>
                  <w:vAlign w:val="center"/>
                </w:tcPr>
                <w:p w14:paraId="6A94067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bl>
          <w:p w14:paraId="2BF01437">
            <w:pPr>
              <w:pStyle w:val="4"/>
              <w:spacing w:before="0" w:beforeLines="0"/>
              <w:ind w:firstLine="480" w:firstLineChars="200"/>
              <w:rPr>
                <w:rFonts w:hint="eastAsia"/>
                <w:color w:val="000000" w:themeColor="text1"/>
                <w:lang w:val="en-US" w:eastAsia="zh-CN"/>
                <w14:textFill>
                  <w14:solidFill>
                    <w14:schemeClr w14:val="tx1"/>
                  </w14:solidFill>
                </w14:textFill>
              </w:rPr>
            </w:pPr>
            <w:r>
              <w:rPr>
                <w:b w:val="0"/>
                <w:bCs/>
                <w:color w:val="000000" w:themeColor="text1"/>
                <w:kern w:val="0"/>
                <w:sz w:val="24"/>
                <w14:textFill>
                  <w14:solidFill>
                    <w14:schemeClr w14:val="tx1"/>
                  </w14:solidFill>
                </w14:textFill>
              </w:rPr>
              <w:t>根据上表所述，本项目</w:t>
            </w:r>
            <w:r>
              <w:rPr>
                <w:rFonts w:hint="eastAsia"/>
                <w:b w:val="0"/>
                <w:bCs/>
                <w:color w:val="000000" w:themeColor="text1"/>
                <w:kern w:val="0"/>
                <w:sz w:val="24"/>
                <w:lang w:val="en-US" w:eastAsia="zh-CN"/>
                <w14:textFill>
                  <w14:solidFill>
                    <w14:schemeClr w14:val="tx1"/>
                  </w14:solidFill>
                </w14:textFill>
              </w:rPr>
              <w:t>在采取减排措施后，能满足B级企业标准要求，</w:t>
            </w:r>
            <w:r>
              <w:rPr>
                <w:b w:val="0"/>
                <w:bCs/>
                <w:color w:val="000000" w:themeColor="text1"/>
                <w:kern w:val="0"/>
                <w:sz w:val="24"/>
                <w:lang w:bidi="ar"/>
                <w14:textFill>
                  <w14:solidFill>
                    <w14:schemeClr w14:val="tx1"/>
                  </w14:solidFill>
                </w14:textFill>
              </w:rPr>
              <w:t>与《</w:t>
            </w:r>
            <w:r>
              <w:rPr>
                <w:b w:val="0"/>
                <w:bCs/>
                <w:color w:val="000000" w:themeColor="text1"/>
                <w:sz w:val="24"/>
                <w14:textFill>
                  <w14:solidFill>
                    <w14:schemeClr w14:val="tx1"/>
                  </w14:solidFill>
                </w14:textFill>
              </w:rPr>
              <w:t>四川省重污染天气金属表面处理及热处理加工等10个行业应急减排措施制定技术指南（2024年修订版</w:t>
            </w:r>
            <w:r>
              <w:rPr>
                <w:b w:val="0"/>
                <w:bCs/>
                <w:color w:val="000000" w:themeColor="text1"/>
                <w:kern w:val="0"/>
                <w:sz w:val="24"/>
                <w:lang w:bidi="ar"/>
                <w14:textFill>
                  <w14:solidFill>
                    <w14:schemeClr w14:val="tx1"/>
                  </w14:solidFill>
                </w14:textFill>
              </w:rPr>
              <w:t>》（川环办函〔2024〕337号）中</w:t>
            </w:r>
            <w:r>
              <w:rPr>
                <w:rFonts w:hint="eastAsia" w:ascii="宋体" w:hAnsi="宋体" w:eastAsia="宋体" w:cs="宋体"/>
                <w:b w:val="0"/>
                <w:bCs/>
                <w:color w:val="000000" w:themeColor="text1"/>
                <w:kern w:val="0"/>
                <w:sz w:val="24"/>
                <w:lang w:bidi="ar"/>
                <w14:textFill>
                  <w14:solidFill>
                    <w14:schemeClr w14:val="tx1"/>
                  </w14:solidFill>
                </w14:textFill>
              </w:rPr>
              <w:t>“通用行业”</w:t>
            </w:r>
            <w:r>
              <w:rPr>
                <w:rFonts w:hint="eastAsia" w:ascii="宋体" w:hAnsi="宋体" w:cs="宋体"/>
                <w:b w:val="0"/>
                <w:bCs/>
                <w:color w:val="000000" w:themeColor="text1"/>
                <w:kern w:val="0"/>
                <w:sz w:val="24"/>
                <w:lang w:val="en-US" w:eastAsia="zh-CN" w:bidi="ar"/>
                <w14:textFill>
                  <w14:solidFill>
                    <w14:schemeClr w14:val="tx1"/>
                  </w14:solidFill>
                </w14:textFill>
              </w:rPr>
              <w:t>和</w:t>
            </w:r>
            <w:r>
              <w:rPr>
                <w:rFonts w:hint="eastAsia"/>
                <w:b w:val="0"/>
                <w:bCs w:val="0"/>
                <w:color w:val="000000" w:themeColor="text1"/>
                <w:kern w:val="0"/>
                <w:sz w:val="24"/>
                <w:lang w:eastAsia="zh-CN" w:bidi="ar"/>
                <w14:textFill>
                  <w14:solidFill>
                    <w14:schemeClr w14:val="tx1"/>
                  </w14:solidFill>
                </w14:textFill>
              </w:rPr>
              <w:t>《</w:t>
            </w:r>
            <w:r>
              <w:rPr>
                <w:rFonts w:hint="eastAsia"/>
                <w:b w:val="0"/>
                <w:bCs w:val="0"/>
                <w:color w:val="000000" w:themeColor="text1"/>
                <w:kern w:val="0"/>
                <w:sz w:val="24"/>
                <w:lang w:val="en-US" w:eastAsia="zh-CN" w:bidi="ar"/>
                <w14:textFill>
                  <w14:solidFill>
                    <w14:schemeClr w14:val="tx1"/>
                  </w14:solidFill>
                </w14:textFill>
              </w:rPr>
              <w:t>重污染天气重点行业应急减排措施执行技术指南（2020年修订版）</w:t>
            </w:r>
            <w:r>
              <w:rPr>
                <w:rFonts w:hint="eastAsia"/>
                <w:b w:val="0"/>
                <w:bCs w:val="0"/>
                <w:color w:val="000000" w:themeColor="text1"/>
                <w:kern w:val="0"/>
                <w:sz w:val="24"/>
                <w:lang w:eastAsia="zh-CN" w:bidi="ar"/>
                <w14:textFill>
                  <w14:solidFill>
                    <w14:schemeClr w14:val="tx1"/>
                  </w14:solidFill>
                </w14:textFill>
              </w:rPr>
              <w:t>》（</w:t>
            </w:r>
            <w:r>
              <w:rPr>
                <w:rFonts w:hint="eastAsia"/>
                <w:b w:val="0"/>
                <w:bCs w:val="0"/>
                <w:color w:val="000000" w:themeColor="text1"/>
                <w:kern w:val="0"/>
                <w:sz w:val="24"/>
                <w:lang w:val="en-US" w:eastAsia="zh-CN" w:bidi="ar"/>
                <w14:textFill>
                  <w14:solidFill>
                    <w14:schemeClr w14:val="tx1"/>
                  </w14:solidFill>
                </w14:textFill>
              </w:rPr>
              <w:t>环办大气函</w:t>
            </w:r>
            <w:r>
              <w:rPr>
                <w:b w:val="0"/>
                <w:bCs w:val="0"/>
                <w:color w:val="000000" w:themeColor="text1"/>
                <w:kern w:val="0"/>
                <w:sz w:val="24"/>
                <w:lang w:bidi="ar"/>
                <w14:textFill>
                  <w14:solidFill>
                    <w14:schemeClr w14:val="tx1"/>
                  </w14:solidFill>
                </w14:textFill>
              </w:rPr>
              <w:t>〔202</w:t>
            </w:r>
            <w:r>
              <w:rPr>
                <w:rFonts w:hint="eastAsia"/>
                <w:b w:val="0"/>
                <w:bCs w:val="0"/>
                <w:color w:val="000000" w:themeColor="text1"/>
                <w:kern w:val="0"/>
                <w:sz w:val="24"/>
                <w:lang w:val="en-US" w:eastAsia="zh-CN" w:bidi="ar"/>
                <w14:textFill>
                  <w14:solidFill>
                    <w14:schemeClr w14:val="tx1"/>
                  </w14:solidFill>
                </w14:textFill>
              </w:rPr>
              <w:t>0</w:t>
            </w:r>
            <w:r>
              <w:rPr>
                <w:b w:val="0"/>
                <w:bCs w:val="0"/>
                <w:color w:val="000000" w:themeColor="text1"/>
                <w:kern w:val="0"/>
                <w:sz w:val="24"/>
                <w:lang w:bidi="ar"/>
                <w14:textFill>
                  <w14:solidFill>
                    <w14:schemeClr w14:val="tx1"/>
                  </w14:solidFill>
                </w14:textFill>
              </w:rPr>
              <w:t>〕3</w:t>
            </w:r>
            <w:r>
              <w:rPr>
                <w:rFonts w:hint="eastAsia"/>
                <w:b w:val="0"/>
                <w:bCs w:val="0"/>
                <w:color w:val="000000" w:themeColor="text1"/>
                <w:kern w:val="0"/>
                <w:sz w:val="24"/>
                <w:lang w:val="en-US" w:eastAsia="zh-CN" w:bidi="ar"/>
                <w14:textFill>
                  <w14:solidFill>
                    <w14:schemeClr w14:val="tx1"/>
                  </w14:solidFill>
                </w14:textFill>
              </w:rPr>
              <w:t>40号</w:t>
            </w:r>
            <w:r>
              <w:rPr>
                <w:rFonts w:hint="eastAsia"/>
                <w:b w:val="0"/>
                <w:bCs w:val="0"/>
                <w:color w:val="000000" w:themeColor="text1"/>
                <w:kern w:val="0"/>
                <w:sz w:val="24"/>
                <w:lang w:eastAsia="zh-CN" w:bidi="ar"/>
                <w14:textFill>
                  <w14:solidFill>
                    <w14:schemeClr w14:val="tx1"/>
                  </w14:solidFill>
                </w14:textFill>
              </w:rPr>
              <w:t>）</w:t>
            </w:r>
            <w:r>
              <w:rPr>
                <w:rFonts w:hint="eastAsia"/>
                <w:b w:val="0"/>
                <w:bCs w:val="0"/>
                <w:color w:val="000000" w:themeColor="text1"/>
                <w:kern w:val="0"/>
                <w:sz w:val="24"/>
                <w:lang w:val="en-US" w:eastAsia="zh-CN" w:bidi="ar"/>
                <w14:textFill>
                  <w14:solidFill>
                    <w14:schemeClr w14:val="tx1"/>
                  </w14:solidFill>
                </w14:textFill>
              </w:rPr>
              <w:t>中“砖瓦窑行业—非烧结砖企业”</w:t>
            </w:r>
            <w:r>
              <w:rPr>
                <w:b w:val="0"/>
                <w:bCs/>
                <w:color w:val="000000" w:themeColor="text1"/>
                <w:kern w:val="0"/>
                <w:sz w:val="24"/>
                <w:lang w:bidi="ar"/>
                <w14:textFill>
                  <w14:solidFill>
                    <w14:schemeClr w14:val="tx1"/>
                  </w14:solidFill>
                </w14:textFill>
              </w:rPr>
              <w:t>企业绩效分级指标相符。</w:t>
            </w:r>
            <w:r>
              <w:rPr>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15、与国家及地方有关重金属污染防治的规范文件符合性分析</w:t>
            </w:r>
          </w:p>
          <w:p w14:paraId="616CFB3B">
            <w:pPr>
              <w:pStyle w:val="4"/>
              <w:spacing w:before="0" w:beforeLines="0"/>
              <w:ind w:firstLine="480" w:firstLineChars="200"/>
              <w:rPr>
                <w:rFonts w:hint="default" w:ascii="Times New Roman" w:hAnsi="Times New Roman"/>
                <w:b w:val="0"/>
                <w:bCs/>
                <w:color w:val="000000" w:themeColor="text1"/>
                <w:highlight w:val="none"/>
                <w:lang w:val="en-US" w:eastAsia="zh-CN"/>
                <w14:textFill>
                  <w14:solidFill>
                    <w14:schemeClr w14:val="tx1"/>
                  </w14:solidFill>
                </w14:textFill>
              </w:rPr>
            </w:pPr>
            <w:r>
              <w:rPr>
                <w:rFonts w:hint="default" w:ascii="Times New Roman" w:hAnsi="Times New Roman"/>
                <w:b w:val="0"/>
                <w:bCs/>
                <w:color w:val="000000" w:themeColor="text1"/>
                <w:highlight w:val="none"/>
                <w:lang w:val="en-US" w:eastAsia="zh-CN"/>
                <w14:textFill>
                  <w14:solidFill>
                    <w14:schemeClr w14:val="tx1"/>
                  </w14:solidFill>
                </w14:textFill>
              </w:rPr>
              <w:t>为加强涉重金属行业污染防控，生态环境部于2018年4月16日发布了《关于加强涉重金属行业污染防控的意见》（环土壤[2018]22号）。为进一步强化重金属污染物排放控制，有效防控涉重金属环境风险，生态环境部于2022年3月印发了《关于进一步加强重金属污染防控的意见》（环固体〔2022〕17号）。为贯彻生态环境部《关于加强涉重金属行业污染防控的意见》，严格落实重金属总量控制制度，规范重点行业重金属污染物排放指标管理，四川省生态环境厅发布了《关于印发〈四川省重点行业重金属污染物排放指标管理办法（试行）〉的通知》（川环发〔2021〕13号）。为深入打好污染防治攻坚战，进一步强化重金属污染物排放控制，有效防控涉重金属环境风险，川污防办发布了《关于印发〈四川省</w:t>
            </w:r>
            <w:r>
              <w:rPr>
                <w:rFonts w:hint="eastAsia" w:ascii="宋体" w:hAnsi="宋体" w:eastAsia="宋体" w:cs="宋体"/>
                <w:b w:val="0"/>
                <w:bCs/>
                <w:color w:val="000000" w:themeColor="text1"/>
                <w:highlight w:val="none"/>
                <w:lang w:val="en-US" w:eastAsia="zh-CN"/>
                <w14:textFill>
                  <w14:solidFill>
                    <w14:schemeClr w14:val="tx1"/>
                  </w14:solidFill>
                </w14:textFill>
              </w:rPr>
              <w:t>“十四五”重</w:t>
            </w:r>
            <w:r>
              <w:rPr>
                <w:rFonts w:hint="default" w:ascii="Times New Roman" w:hAnsi="Times New Roman"/>
                <w:b w:val="0"/>
                <w:bCs/>
                <w:color w:val="000000" w:themeColor="text1"/>
                <w:highlight w:val="none"/>
                <w:lang w:val="en-US" w:eastAsia="zh-CN"/>
                <w14:textFill>
                  <w14:solidFill>
                    <w14:schemeClr w14:val="tx1"/>
                  </w14:solidFill>
                </w14:textFill>
              </w:rPr>
              <w:t>金属污染防控工作方案〉的通知》（川污防攻坚办〔2022〕61号）。为此，本评价将结合以上文件的相关要求，对本项目建设符合性分析如下</w:t>
            </w:r>
            <w:r>
              <w:rPr>
                <w:rFonts w:hint="eastAsia"/>
                <w:b w:val="0"/>
                <w:bCs/>
                <w:color w:val="000000" w:themeColor="text1"/>
                <w:highlight w:val="none"/>
                <w:lang w:val="en-US" w:eastAsia="zh-CN"/>
                <w14:textFill>
                  <w14:solidFill>
                    <w14:schemeClr w14:val="tx1"/>
                  </w14:solidFill>
                </w14:textFill>
              </w:rPr>
              <w:t>。</w:t>
            </w:r>
          </w:p>
          <w:p w14:paraId="3DE6DD84">
            <w:pPr>
              <w:ind w:firstLine="0" w:firstLineChars="0"/>
              <w:jc w:val="center"/>
              <w:rPr>
                <w:rFonts w:hint="default"/>
                <w:color w:val="000000" w:themeColor="text1"/>
                <w:lang w:val="en-US" w:eastAsia="zh-CN"/>
                <w14:textFill>
                  <w14:solidFill>
                    <w14:schemeClr w14:val="tx1"/>
                  </w14:solidFill>
                </w14:textFill>
              </w:rPr>
            </w:pPr>
            <w:r>
              <w:rPr>
                <w:rFonts w:hint="default" w:ascii="Times New Roman" w:hAnsi="Times New Roman" w:eastAsia="宋体" w:cstheme="minorBidi"/>
                <w:b/>
                <w:bCs/>
                <w:color w:val="000000" w:themeColor="text1"/>
                <w:kern w:val="0"/>
                <w:sz w:val="21"/>
                <w:szCs w:val="18"/>
                <w:lang w:val="en-US" w:eastAsia="zh-CN" w:bidi="ar-SA"/>
                <w14:textFill>
                  <w14:solidFill>
                    <w14:schemeClr w14:val="tx1"/>
                  </w14:solidFill>
                </w14:textFill>
              </w:rPr>
              <w:t>表1-1</w:t>
            </w:r>
            <w:r>
              <w:rPr>
                <w:rFonts w:hint="eastAsia" w:cstheme="minorBidi"/>
                <w:b/>
                <w:bCs/>
                <w:color w:val="000000" w:themeColor="text1"/>
                <w:kern w:val="0"/>
                <w:sz w:val="21"/>
                <w:szCs w:val="18"/>
                <w:lang w:val="en-US" w:eastAsia="zh-CN" w:bidi="ar-SA"/>
                <w14:textFill>
                  <w14:solidFill>
                    <w14:schemeClr w14:val="tx1"/>
                  </w14:solidFill>
                </w14:textFill>
              </w:rPr>
              <w:t xml:space="preserve">8 </w:t>
            </w:r>
            <w:r>
              <w:rPr>
                <w:b/>
                <w:bCs/>
                <w:color w:val="000000" w:themeColor="text1"/>
                <w:kern w:val="0"/>
                <w:sz w:val="21"/>
                <w:szCs w:val="18"/>
                <w14:textFill>
                  <w14:solidFill>
                    <w14:schemeClr w14:val="tx1"/>
                  </w14:solidFill>
                </w14:textFill>
              </w:rPr>
              <w:t>与</w:t>
            </w:r>
            <w:r>
              <w:rPr>
                <w:rFonts w:hint="eastAsia"/>
                <w:b/>
                <w:bCs/>
                <w:color w:val="000000" w:themeColor="text1"/>
                <w:kern w:val="0"/>
                <w:sz w:val="21"/>
                <w:szCs w:val="18"/>
                <w14:textFill>
                  <w14:solidFill>
                    <w14:schemeClr w14:val="tx1"/>
                  </w14:solidFill>
                </w14:textFill>
              </w:rPr>
              <w:t>《关于进一步加强重金属污染防控的意见》</w:t>
            </w:r>
            <w:r>
              <w:rPr>
                <w:b/>
                <w:bCs/>
                <w:color w:val="000000" w:themeColor="text1"/>
                <w:kern w:val="0"/>
                <w:sz w:val="21"/>
                <w:szCs w:val="18"/>
                <w14:textFill>
                  <w14:solidFill>
                    <w14:schemeClr w14:val="tx1"/>
                  </w14:solidFill>
                </w14:textFill>
              </w:rPr>
              <w:t>的符合性分析一览表</w:t>
            </w:r>
          </w:p>
          <w:tbl>
            <w:tblPr>
              <w:tblStyle w:val="29"/>
              <w:tblW w:w="5000" w:type="pct"/>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647"/>
              <w:gridCol w:w="4290"/>
              <w:gridCol w:w="2343"/>
              <w:gridCol w:w="610"/>
            </w:tblGrid>
            <w:tr w14:paraId="727D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32" w:type="pct"/>
                  <w:noWrap w:val="0"/>
                  <w:vAlign w:val="center"/>
                </w:tcPr>
                <w:p w14:paraId="4463176E">
                  <w:pPr>
                    <w:spacing w:line="280" w:lineRule="exact"/>
                    <w:ind w:firstLine="0" w:firstLineChars="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相关文件</w:t>
                  </w:r>
                </w:p>
              </w:tc>
              <w:tc>
                <w:tcPr>
                  <w:tcW w:w="2794" w:type="pct"/>
                  <w:gridSpan w:val="2"/>
                  <w:noWrap w:val="0"/>
                  <w:vAlign w:val="center"/>
                </w:tcPr>
                <w:p w14:paraId="4048645F">
                  <w:pPr>
                    <w:spacing w:line="280" w:lineRule="exact"/>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相关规定及要求</w:t>
                  </w:r>
                </w:p>
              </w:tc>
              <w:tc>
                <w:tcPr>
                  <w:tcW w:w="1326" w:type="pct"/>
                  <w:noWrap w:val="0"/>
                  <w:vAlign w:val="center"/>
                </w:tcPr>
                <w:p w14:paraId="42CFC512">
                  <w:pPr>
                    <w:spacing w:line="280" w:lineRule="exact"/>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本项目情况</w:t>
                  </w:r>
                </w:p>
              </w:tc>
              <w:tc>
                <w:tcPr>
                  <w:tcW w:w="345" w:type="pct"/>
                  <w:noWrap w:val="0"/>
                  <w:vAlign w:val="center"/>
                </w:tcPr>
                <w:p w14:paraId="1B1AEC5C">
                  <w:pPr>
                    <w:spacing w:line="280" w:lineRule="exact"/>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备注</w:t>
                  </w:r>
                </w:p>
              </w:tc>
            </w:tr>
            <w:tr w14:paraId="42CB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noWrap w:val="0"/>
                  <w:vAlign w:val="center"/>
                </w:tcPr>
                <w:p w14:paraId="77EB7905">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《关于加强涉重金属行业污染防控的意见》</w:t>
                  </w:r>
                </w:p>
              </w:tc>
              <w:tc>
                <w:tcPr>
                  <w:tcW w:w="366" w:type="pct"/>
                  <w:noWrap w:val="0"/>
                  <w:vAlign w:val="center"/>
                </w:tcPr>
                <w:p w14:paraId="7E6CD05E">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工作重点</w:t>
                  </w:r>
                </w:p>
              </w:tc>
              <w:tc>
                <w:tcPr>
                  <w:tcW w:w="2428" w:type="pct"/>
                  <w:noWrap w:val="0"/>
                  <w:vAlign w:val="center"/>
                </w:tcPr>
                <w:p w14:paraId="5F98FF55">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点行业包括重有色金属矿（含伴生矿）采选业（铜、铅锌、镍钴、锡、锑和汞矿采选业等）、中有色金属冶炼业（铜、铅锌、镍钴、锡、锑和汞冶炼等）、铅蓄电池制造业、皮革及其制品业（皮革鞣制加工等）、化学原料及化学制品制造业（电石法聚氯乙烯行业、铬盐行业等）、电镀行业。重点重金属污染物包括铅、汞、镉、铬和类金属砷。</w:t>
                  </w:r>
                </w:p>
              </w:tc>
              <w:tc>
                <w:tcPr>
                  <w:tcW w:w="1326" w:type="pct"/>
                  <w:noWrap w:val="0"/>
                  <w:vAlign w:val="center"/>
                </w:tcPr>
                <w:p w14:paraId="71E42F3F">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，不属于</w:t>
                  </w:r>
                  <w:r>
                    <w:rPr>
                      <w:rFonts w:hint="eastAsia"/>
                      <w:color w:val="000000" w:themeColor="text1"/>
                      <w:sz w:val="21"/>
                      <w:szCs w:val="21"/>
                      <w:highlight w:val="none"/>
                      <w:lang w:val="en-US" w:eastAsia="zh-CN"/>
                      <w14:textFill>
                        <w14:solidFill>
                          <w14:schemeClr w14:val="tx1"/>
                        </w14:solidFill>
                      </w14:textFill>
                    </w:rPr>
                    <w:t>该文件所列</w:t>
                  </w:r>
                  <w:r>
                    <w:rPr>
                      <w:color w:val="000000" w:themeColor="text1"/>
                      <w:sz w:val="21"/>
                      <w:szCs w:val="21"/>
                      <w:highlight w:val="none"/>
                      <w14:textFill>
                        <w14:solidFill>
                          <w14:schemeClr w14:val="tx1"/>
                        </w14:solidFill>
                      </w14:textFill>
                    </w:rPr>
                    <w:t>重点行业。</w:t>
                  </w:r>
                </w:p>
              </w:tc>
              <w:tc>
                <w:tcPr>
                  <w:tcW w:w="345" w:type="pct"/>
                  <w:noWrap w:val="0"/>
                  <w:vAlign w:val="center"/>
                </w:tcPr>
                <w:p w14:paraId="60C9ECAB">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2C49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B7EEB6B">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restart"/>
                  <w:noWrap w:val="0"/>
                  <w:vAlign w:val="center"/>
                </w:tcPr>
                <w:p w14:paraId="2FCC00F2">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严格环境准入</w:t>
                  </w:r>
                </w:p>
              </w:tc>
              <w:tc>
                <w:tcPr>
                  <w:tcW w:w="2428" w:type="pct"/>
                  <w:noWrap w:val="0"/>
                  <w:vAlign w:val="center"/>
                </w:tcPr>
                <w:p w14:paraId="338A52E6">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新、改、扩建涉及重金属重点行业建设项目必须遵循重点重金属污染物排放“减量置换”或“等量置换”的原则，应在本省（区、市）行政区域内有明确具体的重金属污染物排放总量来源。无明确总量来源的，各级环保部门不得批准相关环境影响评价文件。</w:t>
                  </w:r>
                </w:p>
              </w:tc>
              <w:tc>
                <w:tcPr>
                  <w:tcW w:w="1326" w:type="pct"/>
                  <w:noWrap w:val="0"/>
                  <w:vAlign w:val="center"/>
                </w:tcPr>
                <w:p w14:paraId="122E73AF">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，不属于</w:t>
                  </w:r>
                  <w:r>
                    <w:rPr>
                      <w:rFonts w:hint="eastAsia"/>
                      <w:color w:val="000000" w:themeColor="text1"/>
                      <w:sz w:val="21"/>
                      <w:szCs w:val="21"/>
                      <w:highlight w:val="none"/>
                      <w:lang w:val="en-US" w:eastAsia="zh-CN"/>
                      <w14:textFill>
                        <w14:solidFill>
                          <w14:schemeClr w14:val="tx1"/>
                        </w14:solidFill>
                      </w14:textFill>
                    </w:rPr>
                    <w:t>该文件所列</w:t>
                  </w:r>
                  <w:r>
                    <w:rPr>
                      <w:color w:val="000000" w:themeColor="text1"/>
                      <w:sz w:val="21"/>
                      <w:szCs w:val="21"/>
                      <w:highlight w:val="none"/>
                      <w14:textFill>
                        <w14:solidFill>
                          <w14:schemeClr w14:val="tx1"/>
                        </w14:solidFill>
                      </w14:textFill>
                    </w:rPr>
                    <w:t>重点行业。</w:t>
                  </w:r>
                </w:p>
              </w:tc>
              <w:tc>
                <w:tcPr>
                  <w:tcW w:w="345" w:type="pct"/>
                  <w:noWrap w:val="0"/>
                  <w:vAlign w:val="center"/>
                </w:tcPr>
                <w:p w14:paraId="56C292F2">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370E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2A3F725D">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53B35419">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15B91B7F">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严格控制在优先保护类耕地集中区域新、改、扩建新增加重金属污染物排放的项目。现有相关行业企业要采用新技术、新工艺，加快提标升级改造步伐。</w:t>
                  </w:r>
                </w:p>
              </w:tc>
              <w:tc>
                <w:tcPr>
                  <w:tcW w:w="1326" w:type="pct"/>
                  <w:noWrap w:val="0"/>
                  <w:vAlign w:val="center"/>
                </w:tcPr>
                <w:p w14:paraId="1D640CDB">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本项目位于</w:t>
                  </w:r>
                  <w:r>
                    <w:rPr>
                      <w:rFonts w:hint="eastAsia"/>
                      <w:color w:val="000000" w:themeColor="text1"/>
                      <w:sz w:val="21"/>
                      <w:szCs w:val="21"/>
                      <w:highlight w:val="none"/>
                      <w:lang w:val="en-US" w:eastAsia="zh-CN"/>
                      <w14:textFill>
                        <w14:solidFill>
                          <w14:schemeClr w14:val="tx1"/>
                        </w14:solidFill>
                      </w14:textFill>
                    </w:rPr>
                    <w:t>四川平昌经济开发区-星光工业园区</w:t>
                  </w:r>
                  <w:r>
                    <w:rPr>
                      <w:color w:val="000000" w:themeColor="text1"/>
                      <w:sz w:val="21"/>
                      <w:szCs w:val="21"/>
                      <w:highlight w:val="none"/>
                      <w14:textFill>
                        <w14:solidFill>
                          <w14:schemeClr w14:val="tx1"/>
                        </w14:solidFill>
                      </w14:textFill>
                    </w:rPr>
                    <w:t>内</w:t>
                  </w:r>
                  <w:r>
                    <w:rPr>
                      <w:rFonts w:hint="eastAsia"/>
                      <w:color w:val="000000" w:themeColor="text1"/>
                      <w:sz w:val="21"/>
                      <w:szCs w:val="21"/>
                      <w:highlight w:val="none"/>
                      <w14:textFill>
                        <w14:solidFill>
                          <w14:schemeClr w14:val="tx1"/>
                        </w14:solidFill>
                      </w14:textFill>
                    </w:rPr>
                    <w:t>，不在优先保护类耕地集中区内。</w:t>
                  </w:r>
                </w:p>
              </w:tc>
              <w:tc>
                <w:tcPr>
                  <w:tcW w:w="345" w:type="pct"/>
                  <w:noWrap w:val="0"/>
                  <w:vAlign w:val="center"/>
                </w:tcPr>
                <w:p w14:paraId="67986154">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F81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noWrap w:val="0"/>
                  <w:vAlign w:val="center"/>
                </w:tcPr>
                <w:p w14:paraId="359A2D91">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《关于进一步加强重金属污染防控的意见》</w:t>
                  </w:r>
                </w:p>
              </w:tc>
              <w:tc>
                <w:tcPr>
                  <w:tcW w:w="366" w:type="pct"/>
                  <w:vMerge w:val="restart"/>
                  <w:noWrap w:val="0"/>
                  <w:vAlign w:val="center"/>
                </w:tcPr>
                <w:p w14:paraId="3D88BFA2">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防控重点</w:t>
                  </w:r>
                </w:p>
              </w:tc>
              <w:tc>
                <w:tcPr>
                  <w:tcW w:w="2428" w:type="pct"/>
                  <w:noWrap w:val="0"/>
                  <w:vAlign w:val="center"/>
                </w:tcPr>
                <w:p w14:paraId="6EAF804F">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重点重金属污染物。</w:t>
                  </w:r>
                  <w:r>
                    <w:rPr>
                      <w:rFonts w:hint="eastAsia"/>
                      <w:color w:val="000000" w:themeColor="text1"/>
                      <w:sz w:val="21"/>
                      <w:szCs w:val="21"/>
                      <w:highlight w:val="none"/>
                      <w14:textFill>
                        <w14:solidFill>
                          <w14:schemeClr w14:val="tx1"/>
                        </w14:solidFill>
                      </w14:textFill>
                    </w:rPr>
                    <w:t>重点防控的重金属污染物是</w:t>
                  </w:r>
                  <w:r>
                    <w:rPr>
                      <w:rFonts w:hint="eastAsia"/>
                      <w:color w:val="000000" w:themeColor="text1"/>
                      <w:sz w:val="21"/>
                      <w:szCs w:val="21"/>
                      <w:highlight w:val="none"/>
                      <w:shd w:val="clear" w:color="FFFFFF" w:fill="auto"/>
                      <w14:textFill>
                        <w14:solidFill>
                          <w14:schemeClr w14:val="tx1"/>
                        </w14:solidFill>
                      </w14:textFill>
                    </w:rPr>
                    <w:t>铅、汞、镉、铬、砷、铊和锑，并对铅、汞、镉、铬和砷五种重点重金属污染物排放量实施总量控制</w:t>
                  </w:r>
                  <w:r>
                    <w:rPr>
                      <w:rFonts w:hint="eastAsia"/>
                      <w:color w:val="000000" w:themeColor="text1"/>
                      <w:sz w:val="21"/>
                      <w:szCs w:val="21"/>
                      <w:highlight w:val="none"/>
                      <w:shd w:val="clear" w:color="auto" w:fill="auto"/>
                      <w14:textFill>
                        <w14:solidFill>
                          <w14:schemeClr w14:val="tx1"/>
                        </w14:solidFill>
                      </w14:textFill>
                    </w:rPr>
                    <w:t>。</w:t>
                  </w:r>
                </w:p>
              </w:tc>
              <w:tc>
                <w:tcPr>
                  <w:tcW w:w="1326" w:type="pct"/>
                  <w:vMerge w:val="restart"/>
                  <w:noWrap w:val="0"/>
                  <w:vAlign w:val="center"/>
                </w:tcPr>
                <w:p w14:paraId="2DB83B9E">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不属于重点行业</w:t>
                  </w:r>
                  <w:r>
                    <w:rPr>
                      <w:rFonts w:hint="eastAsia"/>
                      <w:color w:val="000000" w:themeColor="text1"/>
                      <w:sz w:val="21"/>
                      <w:szCs w:val="21"/>
                      <w:highlight w:val="none"/>
                      <w14:textFill>
                        <w14:solidFill>
                          <w14:schemeClr w14:val="tx1"/>
                        </w14:solidFill>
                      </w14:textFill>
                    </w:rPr>
                    <w:t>，项目所在地不属于重金属污染防控重点区域</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本项目重金属排放浓度低于检出限，因此不考虑总量控制指标</w:t>
                  </w:r>
                  <w:r>
                    <w:rPr>
                      <w:color w:val="000000" w:themeColor="text1"/>
                      <w:sz w:val="21"/>
                      <w:szCs w:val="21"/>
                      <w:highlight w:val="none"/>
                      <w14:textFill>
                        <w14:solidFill>
                          <w14:schemeClr w14:val="tx1"/>
                        </w14:solidFill>
                      </w14:textFill>
                    </w:rPr>
                    <w:t>。</w:t>
                  </w:r>
                </w:p>
              </w:tc>
              <w:tc>
                <w:tcPr>
                  <w:tcW w:w="345" w:type="pct"/>
                  <w:vMerge w:val="restart"/>
                  <w:noWrap w:val="0"/>
                  <w:vAlign w:val="center"/>
                </w:tcPr>
                <w:p w14:paraId="3A2ECE07">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0292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7AC7683B">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766B2B82">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19AA8B2F">
                  <w:pPr>
                    <w:spacing w:line="270" w:lineRule="exact"/>
                    <w:ind w:firstLine="0" w:firstLineChars="0"/>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14:textFill>
                        <w14:solidFill>
                          <w14:schemeClr w14:val="tx1"/>
                        </w14:solidFill>
                      </w14:textFill>
                    </w:rPr>
                    <w:t>包括</w:t>
                  </w:r>
                  <w:r>
                    <w:rPr>
                      <w:rFonts w:hint="eastAsia"/>
                      <w:color w:val="000000" w:themeColor="text1"/>
                      <w:sz w:val="21"/>
                      <w:szCs w:val="21"/>
                      <w:highlight w:val="none"/>
                      <w:shd w:val="clear" w:color="FFFFFF" w:fill="auto"/>
                      <w14:textFill>
                        <w14:solidFill>
                          <w14:schemeClr w14:val="tx1"/>
                        </w14:solidFill>
                      </w14:textFill>
                    </w:rPr>
                    <w:t>重有色金属矿采选业（铜、铅锌、镍钴、锡、锑和汞矿采选），重有色金属冶炼业（铜、铅锌、镍钴、锡、锑和汞冶炼），铅蓄电池制造业，电镀行业，化学原料及化学制品制造业（电石法（聚）氯乙烯制造、铬盐制造、以工业固体废物为原料的锌无机化合物工业），皮革鞣制加工业等6个行业</w:t>
                  </w:r>
                  <w:r>
                    <w:rPr>
                      <w:rFonts w:hint="eastAsia"/>
                      <w:color w:val="000000" w:themeColor="text1"/>
                      <w:sz w:val="21"/>
                      <w:szCs w:val="21"/>
                      <w:highlight w:val="none"/>
                      <w:shd w:val="clear" w:color="auto" w:fill="auto"/>
                      <w14:textFill>
                        <w14:solidFill>
                          <w14:schemeClr w14:val="tx1"/>
                        </w14:solidFill>
                      </w14:textFill>
                    </w:rPr>
                    <w:t>。</w:t>
                  </w:r>
                </w:p>
              </w:tc>
              <w:tc>
                <w:tcPr>
                  <w:tcW w:w="1326" w:type="pct"/>
                  <w:vMerge w:val="continue"/>
                  <w:noWrap w:val="0"/>
                  <w:vAlign w:val="center"/>
                </w:tcPr>
                <w:p w14:paraId="5C26D3D9">
                  <w:pPr>
                    <w:spacing w:line="270" w:lineRule="exact"/>
                    <w:ind w:firstLine="0" w:firstLineChars="0"/>
                    <w:rPr>
                      <w:color w:val="000000" w:themeColor="text1"/>
                      <w:sz w:val="21"/>
                      <w:szCs w:val="21"/>
                      <w:highlight w:val="none"/>
                      <w14:textFill>
                        <w14:solidFill>
                          <w14:schemeClr w14:val="tx1"/>
                        </w14:solidFill>
                      </w14:textFill>
                    </w:rPr>
                  </w:pPr>
                </w:p>
              </w:tc>
              <w:tc>
                <w:tcPr>
                  <w:tcW w:w="345" w:type="pct"/>
                  <w:vMerge w:val="continue"/>
                  <w:noWrap w:val="0"/>
                  <w:vAlign w:val="center"/>
                </w:tcPr>
                <w:p w14:paraId="3D8B9F68">
                  <w:pPr>
                    <w:spacing w:line="270" w:lineRule="exact"/>
                    <w:ind w:firstLine="0" w:firstLineChars="0"/>
                    <w:jc w:val="center"/>
                    <w:rPr>
                      <w:color w:val="000000" w:themeColor="text1"/>
                      <w:sz w:val="21"/>
                      <w:szCs w:val="21"/>
                      <w:highlight w:val="none"/>
                      <w14:textFill>
                        <w14:solidFill>
                          <w14:schemeClr w14:val="tx1"/>
                        </w14:solidFill>
                      </w14:textFill>
                    </w:rPr>
                  </w:pPr>
                </w:p>
              </w:tc>
            </w:tr>
            <w:tr w14:paraId="5A35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05543A85">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0078CB3A">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6537EBC0">
                  <w:pPr>
                    <w:spacing w:line="270" w:lineRule="exact"/>
                    <w:ind w:firstLine="0" w:firstLineChars="0"/>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重点区域。</w:t>
                  </w:r>
                  <w:r>
                    <w:rPr>
                      <w:rFonts w:hint="eastAsia"/>
                      <w:color w:val="000000" w:themeColor="text1"/>
                      <w:sz w:val="21"/>
                      <w:szCs w:val="21"/>
                      <w:highlight w:val="none"/>
                      <w14:textFill>
                        <w14:solidFill>
                          <w14:schemeClr w14:val="tx1"/>
                        </w14:solidFill>
                      </w14:textFill>
                    </w:rPr>
                    <w:t>依据重金属污染物排放状况、环境质量改善和环境风险防控需求，划定重金属污染防控重点区域。</w:t>
                  </w:r>
                </w:p>
              </w:tc>
              <w:tc>
                <w:tcPr>
                  <w:tcW w:w="1326" w:type="pct"/>
                  <w:vMerge w:val="continue"/>
                  <w:noWrap w:val="0"/>
                  <w:vAlign w:val="center"/>
                </w:tcPr>
                <w:p w14:paraId="1068937F">
                  <w:pPr>
                    <w:spacing w:line="270" w:lineRule="exact"/>
                    <w:ind w:firstLine="0" w:firstLineChars="0"/>
                    <w:rPr>
                      <w:color w:val="000000" w:themeColor="text1"/>
                      <w:sz w:val="21"/>
                      <w:szCs w:val="21"/>
                      <w:highlight w:val="none"/>
                      <w14:textFill>
                        <w14:solidFill>
                          <w14:schemeClr w14:val="tx1"/>
                        </w14:solidFill>
                      </w14:textFill>
                    </w:rPr>
                  </w:pPr>
                </w:p>
              </w:tc>
              <w:tc>
                <w:tcPr>
                  <w:tcW w:w="345" w:type="pct"/>
                  <w:vMerge w:val="continue"/>
                  <w:noWrap w:val="0"/>
                  <w:vAlign w:val="center"/>
                </w:tcPr>
                <w:p w14:paraId="03DF68D4">
                  <w:pPr>
                    <w:spacing w:line="270" w:lineRule="exact"/>
                    <w:ind w:firstLine="0" w:firstLineChars="0"/>
                    <w:jc w:val="center"/>
                    <w:rPr>
                      <w:color w:val="000000" w:themeColor="text1"/>
                      <w:sz w:val="21"/>
                      <w:szCs w:val="21"/>
                      <w:highlight w:val="none"/>
                      <w14:textFill>
                        <w14:solidFill>
                          <w14:schemeClr w14:val="tx1"/>
                        </w14:solidFill>
                      </w14:textFill>
                    </w:rPr>
                  </w:pPr>
                </w:p>
              </w:tc>
            </w:tr>
            <w:tr w14:paraId="1DAF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7B9E93F">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restart"/>
                  <w:noWrap w:val="0"/>
                  <w:vAlign w:val="center"/>
                </w:tcPr>
                <w:p w14:paraId="22CA1AB0">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严格准入，优化涉重金属产业结构和布局</w:t>
                  </w:r>
                </w:p>
              </w:tc>
              <w:tc>
                <w:tcPr>
                  <w:tcW w:w="2428" w:type="pct"/>
                  <w:noWrap w:val="0"/>
                  <w:vAlign w:val="center"/>
                </w:tcPr>
                <w:p w14:paraId="5ED0FB76">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严格重点行业企业准入管理。</w:t>
                  </w:r>
                  <w:r>
                    <w:rPr>
                      <w:rFonts w:hint="eastAsia"/>
                      <w:color w:val="000000" w:themeColor="text1"/>
                      <w:sz w:val="21"/>
                      <w:szCs w:val="21"/>
                      <w:highlight w:val="none"/>
                      <w:shd w:val="clear" w:color="FFFFFF" w:fill="auto"/>
                      <w14:textFill>
                        <w14:solidFill>
                          <w14:schemeClr w14:val="tx1"/>
                        </w14:solidFill>
                      </w14:textFill>
                    </w:rPr>
                    <w:t>新、改、扩建重点行业建设项目应符合“三线一单”、产业政策、区域环评、规划环评和行业环境准入管控要求。重点区域的新、改、扩建重点行业建设项目应遵循重点重金属污染物排放“减量替代”原则，减量替代比例不低于1.2:1；其他区域遵循“等量替代”原则。</w:t>
                  </w:r>
                  <w:r>
                    <w:rPr>
                      <w:rFonts w:hint="eastAsia"/>
                      <w:color w:val="000000" w:themeColor="text1"/>
                      <w:sz w:val="21"/>
                      <w:szCs w:val="21"/>
                      <w:highlight w:val="none"/>
                      <w:shd w:val="clear" w:color="auto" w:fill="auto"/>
                      <w14:textFill>
                        <w14:solidFill>
                          <w14:schemeClr w14:val="tx1"/>
                        </w14:solidFill>
                      </w14:textFill>
                    </w:rPr>
                    <w:t>建设</w:t>
                  </w:r>
                  <w:r>
                    <w:rPr>
                      <w:rFonts w:hint="eastAsia"/>
                      <w:color w:val="000000" w:themeColor="text1"/>
                      <w:sz w:val="21"/>
                      <w:szCs w:val="21"/>
                      <w:highlight w:val="none"/>
                      <w14:textFill>
                        <w14:solidFill>
                          <w14:schemeClr w14:val="tx1"/>
                        </w14:solidFill>
                      </w14:textFill>
                    </w:rPr>
                    <w:t>单位在提交环境影响评价文件时应明确重点重金属污染物排放总量及来源。无明确具体总量来源的，各级生态环境部门不得批准相关环境影响评价文件。总量来源原则上应是同一重点行业内企业削减的重点重金属污染物排放量，当同一重点行业内企业削减量无法满足时可从其他重点行业调剂。严格重点行业建设项目环境影响评价审批，审慎下放审批权限，不得以改革试点为名降低审批要求。</w:t>
                  </w:r>
                </w:p>
              </w:tc>
              <w:tc>
                <w:tcPr>
                  <w:tcW w:w="1326" w:type="pct"/>
                  <w:noWrap w:val="0"/>
                  <w:vAlign w:val="center"/>
                </w:tcPr>
                <w:p w14:paraId="29B08AC7">
                  <w:pPr>
                    <w:spacing w:line="270" w:lineRule="exact"/>
                    <w:ind w:firstLine="0" w:firstLineChars="0"/>
                    <w:rPr>
                      <w:rFonts w:hint="default"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不属于重点行业</w:t>
                  </w:r>
                  <w:r>
                    <w:rPr>
                      <w:rFonts w:hint="eastAsia"/>
                      <w:color w:val="000000" w:themeColor="text1"/>
                      <w:sz w:val="21"/>
                      <w:szCs w:val="21"/>
                      <w:highlight w:val="none"/>
                      <w14:textFill>
                        <w14:solidFill>
                          <w14:schemeClr w14:val="tx1"/>
                        </w14:solidFill>
                      </w14:textFill>
                    </w:rPr>
                    <w:t>，项目所在地不属于重金属污染防控重点区域</w:t>
                  </w:r>
                  <w:r>
                    <w:rPr>
                      <w:color w:val="000000" w:themeColor="text1"/>
                      <w:sz w:val="21"/>
                      <w:szCs w:val="21"/>
                      <w:highlight w:val="none"/>
                      <w14:textFill>
                        <w14:solidFill>
                          <w14:schemeClr w14:val="tx1"/>
                        </w14:solidFill>
                      </w14:textFill>
                    </w:rPr>
                    <w:t>。</w:t>
                  </w:r>
                </w:p>
              </w:tc>
              <w:tc>
                <w:tcPr>
                  <w:tcW w:w="345" w:type="pct"/>
                  <w:noWrap w:val="0"/>
                  <w:vAlign w:val="center"/>
                </w:tcPr>
                <w:p w14:paraId="2A23DE8B">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195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50D7E81">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366553F0">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4D869505">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依法推动落后产能退出。根据《产业结构调整指导目录》《限期淘汰产生严重污染环境的工业固体废物的落后生产工艺设备名录》</w:t>
                  </w:r>
                  <w:r>
                    <w:rPr>
                      <w:rFonts w:hint="eastAsia"/>
                      <w:color w:val="000000" w:themeColor="text1"/>
                      <w:sz w:val="21"/>
                      <w:szCs w:val="21"/>
                      <w:highlight w:val="none"/>
                      <w:shd w:val="clear" w:color="auto" w:fill="auto"/>
                      <w14:textFill>
                        <w14:solidFill>
                          <w14:schemeClr w14:val="tx1"/>
                        </w14:solidFill>
                      </w14:textFill>
                    </w:rPr>
                    <w:t>等要求，</w:t>
                  </w:r>
                  <w:r>
                    <w:rPr>
                      <w:rFonts w:hint="eastAsia"/>
                      <w:color w:val="000000" w:themeColor="text1"/>
                      <w:sz w:val="21"/>
                      <w:szCs w:val="21"/>
                      <w:highlight w:val="none"/>
                      <w:shd w:val="clear" w:color="FFFFFF" w:fill="auto"/>
                      <w14:textFill>
                        <w14:solidFill>
                          <w14:schemeClr w14:val="tx1"/>
                        </w14:solidFill>
                      </w14:textFill>
                    </w:rPr>
                    <w:t>推动依法淘汰涉重金属落后产能和化解过剩产能</w:t>
                  </w:r>
                  <w:r>
                    <w:rPr>
                      <w:rFonts w:hint="eastAsia"/>
                      <w:color w:val="000000" w:themeColor="text1"/>
                      <w:sz w:val="21"/>
                      <w:szCs w:val="21"/>
                      <w:highlight w:val="none"/>
                      <w:shd w:val="clear" w:color="auto" w:fill="auto"/>
                      <w14:textFill>
                        <w14:solidFill>
                          <w14:schemeClr w14:val="tx1"/>
                        </w14:solidFill>
                      </w14:textFill>
                    </w:rPr>
                    <w:t>。</w:t>
                  </w:r>
                  <w:r>
                    <w:rPr>
                      <w:rFonts w:hint="eastAsia"/>
                      <w:color w:val="000000" w:themeColor="text1"/>
                      <w:sz w:val="21"/>
                      <w:szCs w:val="21"/>
                      <w:highlight w:val="none"/>
                      <w14:textFill>
                        <w14:solidFill>
                          <w14:schemeClr w14:val="tx1"/>
                        </w14:solidFill>
                      </w14:textFill>
                    </w:rPr>
                    <w:t>严格执行生态环境保护等相关法规标准，推动经整改仍达不到要求的产能依法依规关闭退出。</w:t>
                  </w:r>
                </w:p>
              </w:tc>
              <w:tc>
                <w:tcPr>
                  <w:tcW w:w="1326" w:type="pct"/>
                  <w:noWrap w:val="0"/>
                  <w:vAlign w:val="center"/>
                </w:tcPr>
                <w:p w14:paraId="7146A493">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经分析，本项目不属于落后产能，所用工艺设备不属于《限期淘汰产生严重污染环境的工业固体废物的落后生产工艺设备名录》中设备。</w:t>
                  </w:r>
                </w:p>
              </w:tc>
              <w:tc>
                <w:tcPr>
                  <w:tcW w:w="345" w:type="pct"/>
                  <w:noWrap w:val="0"/>
                  <w:vAlign w:val="center"/>
                </w:tcPr>
                <w:p w14:paraId="43C062A4">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248CE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6546661">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2FDC77F8">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14B0DAB4">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优化重点行业企业布局。推动涉重金属产业集中优化发展，禁止低端落后产能向长江、黄河中上游地区转移。禁止新建用汞的电石法（聚）氯乙烯生产工艺。新建、扩建的重有色金属冶炼、电镀、制革企业优先选择布设在依法合规设立并经规划环评的产业园区。</w:t>
                  </w:r>
                </w:p>
              </w:tc>
              <w:tc>
                <w:tcPr>
                  <w:tcW w:w="1326" w:type="pct"/>
                  <w:noWrap w:val="0"/>
                  <w:vAlign w:val="center"/>
                </w:tcPr>
                <w:p w14:paraId="320BBB72">
                  <w:pPr>
                    <w:spacing w:line="28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，不属于</w:t>
                  </w:r>
                  <w:r>
                    <w:rPr>
                      <w:rFonts w:hint="eastAsia"/>
                      <w:color w:val="000000" w:themeColor="text1"/>
                      <w:sz w:val="21"/>
                      <w:szCs w:val="21"/>
                      <w:highlight w:val="none"/>
                      <w:lang w:val="en-US" w:eastAsia="zh-CN"/>
                      <w14:textFill>
                        <w14:solidFill>
                          <w14:schemeClr w14:val="tx1"/>
                        </w14:solidFill>
                      </w14:textFill>
                    </w:rPr>
                    <w:t>文件所列禁止类建设项目</w:t>
                  </w:r>
                  <w:r>
                    <w:rPr>
                      <w:color w:val="000000" w:themeColor="text1"/>
                      <w:sz w:val="21"/>
                      <w:szCs w:val="21"/>
                      <w:highlight w:val="none"/>
                      <w14:textFill>
                        <w14:solidFill>
                          <w14:schemeClr w14:val="tx1"/>
                        </w14:solidFill>
                      </w14:textFill>
                    </w:rPr>
                    <w:t>。</w:t>
                  </w:r>
                </w:p>
              </w:tc>
              <w:tc>
                <w:tcPr>
                  <w:tcW w:w="345" w:type="pct"/>
                  <w:noWrap w:val="0"/>
                  <w:vAlign w:val="center"/>
                </w:tcPr>
                <w:p w14:paraId="52C85CE9">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6587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6C9642A5">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restart"/>
                  <w:noWrap w:val="0"/>
                  <w:vAlign w:val="center"/>
                </w:tcPr>
                <w:p w14:paraId="2A912CD0">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突出重点，深化重点行业重金属污染治理</w:t>
                  </w:r>
                </w:p>
              </w:tc>
              <w:tc>
                <w:tcPr>
                  <w:tcW w:w="2428" w:type="pct"/>
                  <w:noWrap w:val="0"/>
                  <w:vAlign w:val="center"/>
                </w:tcPr>
                <w:p w14:paraId="7A650598">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加强重点行业企业清洁生产改造。</w:t>
                  </w:r>
                  <w:r>
                    <w:rPr>
                      <w:rFonts w:hint="eastAsia"/>
                      <w:color w:val="000000" w:themeColor="text1"/>
                      <w:sz w:val="21"/>
                      <w:szCs w:val="21"/>
                      <w:highlight w:val="none"/>
                      <w14:textFill>
                        <w14:solidFill>
                          <w14:schemeClr w14:val="tx1"/>
                        </w14:solidFill>
                      </w14:textFill>
                    </w:rPr>
                    <w:t>加强重点行业清洁生产工艺的开发和应用。重点行业企业“十四五”期间依法至少开展一轮强制性清洁生产审核。到2025年底，重点行业企业基本达到国内清洁生产先进水平。加强重金属污染源头防控，减少使用高镉、高砷或高铊的矿石原料。加大有色金属冶炼行业企业生产工艺设备清洁生产改造力度，积极推动竖罐炼锌设备替代改造和铜冶炼转炉吹炼工艺提升改造。电石法（聚）氯乙烯生产企业生产每吨聚氯乙烯用汞量不得超过49.14克，并确保持续稳中有降。</w:t>
                  </w:r>
                </w:p>
              </w:tc>
              <w:tc>
                <w:tcPr>
                  <w:tcW w:w="1326" w:type="pct"/>
                  <w:noWrap w:val="0"/>
                  <w:vAlign w:val="center"/>
                </w:tcPr>
                <w:p w14:paraId="0DB347E2">
                  <w:pPr>
                    <w:spacing w:line="280" w:lineRule="exact"/>
                    <w:ind w:firstLine="0" w:firstLineChars="0"/>
                    <w:rPr>
                      <w:rFonts w:hint="eastAsia"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不属于重点区域，本项目达到</w:t>
                  </w:r>
                  <w:r>
                    <w:rPr>
                      <w:rFonts w:hint="eastAsia"/>
                      <w:color w:val="000000" w:themeColor="text1"/>
                      <w:sz w:val="21"/>
                      <w:szCs w:val="21"/>
                      <w:highlight w:val="none"/>
                      <w14:textFill>
                        <w14:solidFill>
                          <w14:schemeClr w14:val="tx1"/>
                        </w14:solidFill>
                      </w14:textFill>
                    </w:rPr>
                    <w:t>国内清洁生产先进水平</w:t>
                  </w:r>
                  <w:r>
                    <w:rPr>
                      <w:color w:val="000000" w:themeColor="text1"/>
                      <w:sz w:val="21"/>
                      <w:szCs w:val="21"/>
                      <w:highlight w:val="none"/>
                      <w14:textFill>
                        <w14:solidFill>
                          <w14:schemeClr w14:val="tx1"/>
                        </w14:solidFill>
                      </w14:textFill>
                    </w:rPr>
                    <w:t>。</w:t>
                  </w:r>
                </w:p>
              </w:tc>
              <w:tc>
                <w:tcPr>
                  <w:tcW w:w="345" w:type="pct"/>
                  <w:noWrap w:val="0"/>
                  <w:vAlign w:val="center"/>
                </w:tcPr>
                <w:p w14:paraId="75961CB3">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43B9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C83C32C">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120CB365">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557894B3">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推动重金属污染深度治理。</w:t>
                  </w:r>
                  <w:r>
                    <w:rPr>
                      <w:rFonts w:hint="eastAsia"/>
                      <w:color w:val="000000" w:themeColor="text1"/>
                      <w:sz w:val="21"/>
                      <w:szCs w:val="21"/>
                      <w:highlight w:val="none"/>
                      <w14:textFill>
                        <w14:solidFill>
                          <w14:schemeClr w14:val="tx1"/>
                        </w14:solidFill>
                      </w14:textFill>
                    </w:rPr>
                    <w:t>自2023年起，重点区域铅锌冶炼和铜冶炼行业企业，执行颗粒物和重点重金属污染物特别排放限值。根据排放标准相关规定和重金属污染防控需求，省级人民政府可增加执行特别排放限值的地域范围。上述执行特别排放限值的地域范围，由省级人民政府通过公告或印发相关文件等适当方式予以公布。重有色金属冶炼企业应加强生产车间低空逸散烟气收集处理，有效减少无组织排放。重有色金属矿采选企业要按照规定完善废石堆场、排土场周边雨污分流设施，建设酸性废水收集与处理设施，处理达标后排放。采用洒水、旋风等简易除尘治理工艺的重有色金属矿采选企业，应加强废气收集，实施过滤除尘等颗粒物治理升级改造工程。开展电镀行业重金属污染综合整治，推进专业电镀园区、专业电镀企业重金属污染深度治理。排放汞及汞化合物的企业应当采用最佳可行技术和最佳环境实践，控制并减少汞及汞化合物的排放和释放。</w:t>
                  </w:r>
                </w:p>
              </w:tc>
              <w:tc>
                <w:tcPr>
                  <w:tcW w:w="1326" w:type="pct"/>
                  <w:noWrap w:val="0"/>
                  <w:vAlign w:val="center"/>
                </w:tcPr>
                <w:p w14:paraId="2078D6E4">
                  <w:pPr>
                    <w:spacing w:line="28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项目所在区不属于重点区域</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不涉及冶炼、采选、电镀</w:t>
                  </w:r>
                  <w:r>
                    <w:rPr>
                      <w:rFonts w:hint="eastAsia"/>
                      <w:color w:val="000000" w:themeColor="text1"/>
                      <w:sz w:val="21"/>
                      <w:szCs w:val="21"/>
                      <w:highlight w:val="none"/>
                      <w14:textFill>
                        <w14:solidFill>
                          <w14:schemeClr w14:val="tx1"/>
                        </w14:solidFill>
                      </w14:textFill>
                    </w:rPr>
                    <w:t>。</w:t>
                  </w:r>
                </w:p>
              </w:tc>
              <w:tc>
                <w:tcPr>
                  <w:tcW w:w="345" w:type="pct"/>
                  <w:noWrap w:val="0"/>
                  <w:vAlign w:val="center"/>
                </w:tcPr>
                <w:p w14:paraId="12324BB7">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3040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60EDE961">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098BCAC0">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4F734E4D">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加强涉重金属固体废物环境管理。</w:t>
                  </w:r>
                  <w:r>
                    <w:rPr>
                      <w:rFonts w:hint="eastAsia"/>
                      <w:color w:val="000000" w:themeColor="text1"/>
                      <w:sz w:val="21"/>
                      <w:szCs w:val="21"/>
                      <w:highlight w:val="none"/>
                      <w14:textFill>
                        <w14:solidFill>
                          <w14:schemeClr w14:val="tx1"/>
                        </w14:solidFill>
                      </w14:textFill>
                    </w:rPr>
                    <w:t>加强重点行业企业废渣场环境管理，完善防渗漏、防流失、防扬散等措施。推动锌湿法冶炼工艺按有关规定配套建设浸出渣无害化处理系统及硫渣处理设施。加强尾矿污染防控，开展长江经济带尾矿库污染治理“回头看”和黄河流域、嘉陵江上游尾矿库污染治理。严格废铅蓄电池、冶炼灰渣、钢厂烟灰等含重金属固体废物收集、贮存、转移、利用处置过程的环境管理，防止二次污染。</w:t>
                  </w:r>
                </w:p>
              </w:tc>
              <w:tc>
                <w:tcPr>
                  <w:tcW w:w="1326" w:type="pct"/>
                  <w:noWrap w:val="0"/>
                  <w:vAlign w:val="center"/>
                </w:tcPr>
                <w:p w14:paraId="67BAC0BA">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本项目含水率</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70%水基岩屑储存于水基岩屑储存池内</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经预处理后的35%含水率水基岩屑储存于水基岩屑堆存区内，水基岩屑储存池、干水基岩屑堆存区</w:t>
                  </w:r>
                  <w:r>
                    <w:rPr>
                      <w:rFonts w:hint="eastAsia"/>
                      <w:color w:val="000000" w:themeColor="text1"/>
                      <w:sz w:val="21"/>
                      <w:szCs w:val="21"/>
                      <w:highlight w:val="none"/>
                      <w14:textFill>
                        <w14:solidFill>
                          <w14:schemeClr w14:val="tx1"/>
                        </w14:solidFill>
                      </w14:textFill>
                    </w:rPr>
                    <w:t>地面硬化处理</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并配套落实“</w:t>
                  </w:r>
                  <w:r>
                    <w:rPr>
                      <w:rFonts w:hint="eastAsia"/>
                      <w:color w:val="000000" w:themeColor="text1"/>
                      <w:sz w:val="21"/>
                      <w:szCs w:val="21"/>
                      <w:highlight w:val="none"/>
                      <w:lang w:val="en-US" w:eastAsia="zh-CN"/>
                      <w14:textFill>
                        <w14:solidFill>
                          <w14:schemeClr w14:val="tx1"/>
                        </w14:solidFill>
                      </w14:textFill>
                    </w:rPr>
                    <w:t>六</w:t>
                  </w:r>
                  <w:r>
                    <w:rPr>
                      <w:rFonts w:hint="eastAsia"/>
                      <w:color w:val="000000" w:themeColor="text1"/>
                      <w:sz w:val="21"/>
                      <w:szCs w:val="21"/>
                      <w:highlight w:val="none"/>
                      <w14:textFill>
                        <w14:solidFill>
                          <w14:schemeClr w14:val="tx1"/>
                        </w14:solidFill>
                      </w14:textFill>
                    </w:rPr>
                    <w:t>防”措施（防风、防晒、防雨、防漏、防渗、防腐）。</w:t>
                  </w:r>
                </w:p>
              </w:tc>
              <w:tc>
                <w:tcPr>
                  <w:tcW w:w="345" w:type="pct"/>
                  <w:noWrap w:val="0"/>
                  <w:vAlign w:val="center"/>
                </w:tcPr>
                <w:p w14:paraId="64F3DD1A">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03A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noWrap w:val="0"/>
                  <w:vAlign w:val="center"/>
                </w:tcPr>
                <w:p w14:paraId="1FDB0A70">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《四川省重点行业重金属污染物排放指标管理办法（试行）》</w:t>
                  </w:r>
                </w:p>
              </w:tc>
              <w:tc>
                <w:tcPr>
                  <w:tcW w:w="366" w:type="pct"/>
                  <w:noWrap w:val="0"/>
                  <w:vAlign w:val="center"/>
                </w:tcPr>
                <w:p w14:paraId="26A8A906">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重点行业</w:t>
                  </w:r>
                </w:p>
              </w:tc>
              <w:tc>
                <w:tcPr>
                  <w:tcW w:w="2428" w:type="pct"/>
                  <w:noWrap w:val="0"/>
                  <w:vAlign w:val="center"/>
                </w:tcPr>
                <w:p w14:paraId="3E68A03F">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点行业包括重有色金属矿（含伴生矿）采选业（铜、铅锌、镍钴、锡、锑和汞矿采选等）、重有色金属冶炼业（铜、铅锌、镍钴、锡、锑、汞冶炼和前述金属再生冶炼等）、铅蓄电池制造业、皮革及其制品业（皮革鞣制加工等）、化学原料及化学制品制造业（电石法聚氯乙烯制造、铬盐制造、以工业固废为原料的锌无机化合物工业等）、电镀行业。</w:t>
                  </w:r>
                </w:p>
              </w:tc>
              <w:tc>
                <w:tcPr>
                  <w:tcW w:w="1326" w:type="pct"/>
                  <w:vMerge w:val="restart"/>
                  <w:noWrap w:val="0"/>
                  <w:vAlign w:val="center"/>
                </w:tcPr>
                <w:p w14:paraId="18218772">
                  <w:pPr>
                    <w:spacing w:line="28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项目选址不在重点区域内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791C8564">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5497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53E1D31">
                  <w:pPr>
                    <w:spacing w:line="270" w:lineRule="exact"/>
                    <w:ind w:firstLine="0" w:firstLineChars="0"/>
                    <w:rPr>
                      <w:color w:val="000000" w:themeColor="text1"/>
                      <w:sz w:val="21"/>
                      <w:szCs w:val="21"/>
                      <w:highlight w:val="none"/>
                      <w14:textFill>
                        <w14:solidFill>
                          <w14:schemeClr w14:val="tx1"/>
                        </w14:solidFill>
                      </w14:textFill>
                    </w:rPr>
                  </w:pPr>
                </w:p>
              </w:tc>
              <w:tc>
                <w:tcPr>
                  <w:tcW w:w="366" w:type="pct"/>
                  <w:noWrap w:val="0"/>
                  <w:vAlign w:val="center"/>
                </w:tcPr>
                <w:p w14:paraId="40998FEE">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重点重金属</w:t>
                  </w:r>
                </w:p>
              </w:tc>
              <w:tc>
                <w:tcPr>
                  <w:tcW w:w="2428" w:type="pct"/>
                  <w:noWrap w:val="0"/>
                  <w:vAlign w:val="center"/>
                </w:tcPr>
                <w:p w14:paraId="403DC8E0">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重金属污染物排放指标是指重点行业项目所涉及的废水、废气中铅、汞、镉、铬和类金属砷五种重金属污染物排放总量</w:t>
                  </w:r>
                </w:p>
              </w:tc>
              <w:tc>
                <w:tcPr>
                  <w:tcW w:w="1326" w:type="pct"/>
                  <w:vMerge w:val="continue"/>
                  <w:noWrap w:val="0"/>
                  <w:vAlign w:val="center"/>
                </w:tcPr>
                <w:p w14:paraId="088458BF">
                  <w:pPr>
                    <w:spacing w:line="270" w:lineRule="exact"/>
                    <w:ind w:firstLine="0" w:firstLineChars="0"/>
                    <w:rPr>
                      <w:color w:val="000000" w:themeColor="text1"/>
                      <w:sz w:val="21"/>
                      <w:szCs w:val="21"/>
                      <w:highlight w:val="none"/>
                      <w14:textFill>
                        <w14:solidFill>
                          <w14:schemeClr w14:val="tx1"/>
                        </w14:solidFill>
                      </w14:textFill>
                    </w:rPr>
                  </w:pPr>
                </w:p>
              </w:tc>
              <w:tc>
                <w:tcPr>
                  <w:tcW w:w="345" w:type="pct"/>
                  <w:noWrap w:val="0"/>
                  <w:vAlign w:val="center"/>
                </w:tcPr>
                <w:p w14:paraId="0B2086BE">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1680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A399791">
                  <w:pPr>
                    <w:spacing w:line="270" w:lineRule="exact"/>
                    <w:ind w:firstLine="0" w:firstLineChars="0"/>
                    <w:rPr>
                      <w:color w:val="000000" w:themeColor="text1"/>
                      <w:sz w:val="21"/>
                      <w:szCs w:val="21"/>
                      <w:highlight w:val="none"/>
                      <w14:textFill>
                        <w14:solidFill>
                          <w14:schemeClr w14:val="tx1"/>
                        </w14:solidFill>
                      </w14:textFill>
                    </w:rPr>
                  </w:pPr>
                </w:p>
              </w:tc>
              <w:tc>
                <w:tcPr>
                  <w:tcW w:w="366" w:type="pct"/>
                  <w:noWrap w:val="0"/>
                  <w:vAlign w:val="center"/>
                </w:tcPr>
                <w:p w14:paraId="097DFE25">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总量指标</w:t>
                  </w:r>
                </w:p>
              </w:tc>
              <w:tc>
                <w:tcPr>
                  <w:tcW w:w="2428" w:type="pct"/>
                  <w:noWrap w:val="0"/>
                  <w:vAlign w:val="center"/>
                </w:tcPr>
                <w:p w14:paraId="76BA42D6">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新、改（扩）建重点行业建设项目应遵循重金属污染物排放“减量置换”或“等量替换”的原则。建设单位提交环境影响评价文件时，应明确新增重金属污染物排放指标来源。</w:t>
                  </w:r>
                </w:p>
              </w:tc>
              <w:tc>
                <w:tcPr>
                  <w:tcW w:w="1326" w:type="pct"/>
                  <w:vMerge w:val="continue"/>
                  <w:noWrap w:val="0"/>
                  <w:vAlign w:val="center"/>
                </w:tcPr>
                <w:p w14:paraId="4C5C8C8D">
                  <w:pPr>
                    <w:spacing w:line="280" w:lineRule="exact"/>
                    <w:ind w:firstLine="0" w:firstLineChars="0"/>
                    <w:rPr>
                      <w:color w:val="000000" w:themeColor="text1"/>
                      <w:sz w:val="21"/>
                      <w:szCs w:val="21"/>
                      <w:highlight w:val="none"/>
                      <w14:textFill>
                        <w14:solidFill>
                          <w14:schemeClr w14:val="tx1"/>
                        </w14:solidFill>
                      </w14:textFill>
                    </w:rPr>
                  </w:pPr>
                </w:p>
              </w:tc>
              <w:tc>
                <w:tcPr>
                  <w:tcW w:w="345" w:type="pct"/>
                  <w:noWrap w:val="0"/>
                  <w:vAlign w:val="center"/>
                </w:tcPr>
                <w:p w14:paraId="0CD09324">
                  <w:pPr>
                    <w:spacing w:line="28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2FB7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noWrap w:val="0"/>
                  <w:vAlign w:val="center"/>
                </w:tcPr>
                <w:p w14:paraId="4FB0B03B">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《四川省“十四五”重金属污染防治实施方案》</w:t>
                  </w:r>
                </w:p>
              </w:tc>
              <w:tc>
                <w:tcPr>
                  <w:tcW w:w="366" w:type="pct"/>
                  <w:vMerge w:val="restart"/>
                  <w:noWrap w:val="0"/>
                  <w:vAlign w:val="center"/>
                </w:tcPr>
                <w:p w14:paraId="2D13BEA7">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防控重点</w:t>
                  </w:r>
                </w:p>
              </w:tc>
              <w:tc>
                <w:tcPr>
                  <w:tcW w:w="2428" w:type="pct"/>
                  <w:noWrap w:val="0"/>
                  <w:vAlign w:val="center"/>
                </w:tcPr>
                <w:p w14:paraId="5D4CF08C">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重点重金属污染物。</w:t>
                  </w:r>
                  <w:r>
                    <w:rPr>
                      <w:rFonts w:hint="eastAsia"/>
                      <w:color w:val="000000" w:themeColor="text1"/>
                      <w:sz w:val="21"/>
                      <w:szCs w:val="21"/>
                      <w:highlight w:val="none"/>
                      <w14:textFill>
                        <w14:solidFill>
                          <w14:schemeClr w14:val="tx1"/>
                        </w14:solidFill>
                      </w14:textFill>
                    </w:rPr>
                    <w:t>铅（Pb）、汞（Hg）、镉（Cd）、铬（Cr）、砷（As）、铊（Tl）和锑（Sb），并对铅、汞、镉、铬和砷五种重金属污染物排放量实施总量控制。</w:t>
                  </w:r>
                </w:p>
              </w:tc>
              <w:tc>
                <w:tcPr>
                  <w:tcW w:w="1326" w:type="pct"/>
                  <w:vMerge w:val="restart"/>
                  <w:noWrap w:val="0"/>
                  <w:vAlign w:val="center"/>
                </w:tcPr>
                <w:p w14:paraId="28B85084">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5808B4D5">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0873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AE6D732">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57A7353A">
                  <w:pPr>
                    <w:spacing w:line="270" w:lineRule="exact"/>
                    <w:ind w:firstLine="0" w:firstLineChars="0"/>
                    <w:rPr>
                      <w:color w:val="000000" w:themeColor="text1"/>
                      <w:sz w:val="21"/>
                      <w:szCs w:val="21"/>
                      <w:highlight w:val="none"/>
                      <w14:textFill>
                        <w14:solidFill>
                          <w14:schemeClr w14:val="tx1"/>
                        </w14:solidFill>
                      </w14:textFill>
                    </w:rPr>
                  </w:pPr>
                </w:p>
              </w:tc>
              <w:tc>
                <w:tcPr>
                  <w:tcW w:w="2428" w:type="pct"/>
                  <w:noWrap w:val="0"/>
                  <w:vAlign w:val="center"/>
                </w:tcPr>
                <w:p w14:paraId="212620A2">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14:textFill>
                        <w14:solidFill>
                          <w14:schemeClr w14:val="tx1"/>
                        </w14:solidFill>
                      </w14:textFill>
                    </w:rPr>
                    <w:t>重有色金属矿采选业（铜、铅锌、镍钴、锡、锑和汞矿采选）、重有色金属冶炼业（铜、铅锌、镍钴、锡、锑和汞冶炼）、铅蓄电池制造业、电镀行业（包含专业电镀和有电镀工序的企业）、化学原料及化学制品制造业（电石法（聚）氯乙烯制造、铬盐制造、以工业固体废物为原料的锌无机化合物工业）、皮革鞣制加工业等6个行业。</w:t>
                  </w:r>
                </w:p>
              </w:tc>
              <w:tc>
                <w:tcPr>
                  <w:tcW w:w="1326" w:type="pct"/>
                  <w:vMerge w:val="continue"/>
                  <w:noWrap w:val="0"/>
                  <w:vAlign w:val="center"/>
                </w:tcPr>
                <w:p w14:paraId="4E1D647A">
                  <w:pPr>
                    <w:spacing w:line="270" w:lineRule="exact"/>
                    <w:ind w:firstLine="0" w:firstLineChars="0"/>
                    <w:rPr>
                      <w:color w:val="000000" w:themeColor="text1"/>
                      <w:sz w:val="21"/>
                      <w:szCs w:val="21"/>
                      <w:highlight w:val="none"/>
                      <w14:textFill>
                        <w14:solidFill>
                          <w14:schemeClr w14:val="tx1"/>
                        </w14:solidFill>
                      </w14:textFill>
                    </w:rPr>
                  </w:pPr>
                </w:p>
              </w:tc>
              <w:tc>
                <w:tcPr>
                  <w:tcW w:w="345" w:type="pct"/>
                  <w:noWrap w:val="0"/>
                  <w:vAlign w:val="center"/>
                </w:tcPr>
                <w:p w14:paraId="43F2F08A">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1E0F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0402191B">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3BC82291">
                  <w:pPr>
                    <w:spacing w:line="270" w:lineRule="exact"/>
                    <w:ind w:firstLine="0" w:firstLineChars="0"/>
                    <w:rPr>
                      <w:color w:val="000000" w:themeColor="text1"/>
                      <w:sz w:val="21"/>
                      <w:szCs w:val="21"/>
                      <w:highlight w:val="none"/>
                      <w14:textFill>
                        <w14:solidFill>
                          <w14:schemeClr w14:val="tx1"/>
                        </w14:solidFill>
                      </w14:textFill>
                    </w:rPr>
                  </w:pPr>
                </w:p>
              </w:tc>
              <w:tc>
                <w:tcPr>
                  <w:tcW w:w="2428" w:type="pct"/>
                  <w:noWrap w:val="0"/>
                  <w:vAlign w:val="center"/>
                </w:tcPr>
                <w:p w14:paraId="5733505A">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重点区域。</w:t>
                  </w:r>
                  <w:r>
                    <w:rPr>
                      <w:rFonts w:hint="eastAsia"/>
                      <w:color w:val="000000" w:themeColor="text1"/>
                      <w:sz w:val="21"/>
                      <w:szCs w:val="21"/>
                      <w:highlight w:val="none"/>
                      <w:shd w:val="clear" w:color="FFFFFF" w:fill="auto"/>
                      <w14:textFill>
                        <w14:solidFill>
                          <w14:schemeClr w14:val="tx1"/>
                        </w14:solidFill>
                      </w14:textFill>
                    </w:rPr>
                    <w:t>雅安市汉源县、石棉县和凉山州甘洛县</w:t>
                  </w:r>
                  <w:r>
                    <w:rPr>
                      <w:rFonts w:hint="eastAsia"/>
                      <w:color w:val="000000" w:themeColor="text1"/>
                      <w:sz w:val="21"/>
                      <w:szCs w:val="21"/>
                      <w:highlight w:val="none"/>
                      <w:shd w:val="clear" w:color="auto" w:fill="auto"/>
                      <w14:textFill>
                        <w14:solidFill>
                          <w14:schemeClr w14:val="tx1"/>
                        </w14:solidFill>
                      </w14:textFill>
                    </w:rPr>
                    <w:t>。</w:t>
                  </w:r>
                </w:p>
              </w:tc>
              <w:tc>
                <w:tcPr>
                  <w:tcW w:w="1326" w:type="pct"/>
                  <w:vMerge w:val="continue"/>
                  <w:noWrap w:val="0"/>
                  <w:vAlign w:val="center"/>
                </w:tcPr>
                <w:p w14:paraId="04BEE880">
                  <w:pPr>
                    <w:spacing w:line="270" w:lineRule="exact"/>
                    <w:ind w:firstLine="0" w:firstLineChars="0"/>
                    <w:rPr>
                      <w:color w:val="000000" w:themeColor="text1"/>
                      <w:sz w:val="21"/>
                      <w:szCs w:val="21"/>
                      <w:highlight w:val="none"/>
                      <w14:textFill>
                        <w14:solidFill>
                          <w14:schemeClr w14:val="tx1"/>
                        </w14:solidFill>
                      </w14:textFill>
                    </w:rPr>
                  </w:pPr>
                </w:p>
              </w:tc>
              <w:tc>
                <w:tcPr>
                  <w:tcW w:w="345" w:type="pct"/>
                  <w:noWrap w:val="0"/>
                  <w:vAlign w:val="center"/>
                </w:tcPr>
                <w:p w14:paraId="4B0227E0">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324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D0DE851">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restart"/>
                  <w:noWrap w:val="0"/>
                  <w:vAlign w:val="center"/>
                </w:tcPr>
                <w:p w14:paraId="291A850D">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严格环境准入，优化涉重金属产业结构和布局</w:t>
                  </w:r>
                </w:p>
              </w:tc>
              <w:tc>
                <w:tcPr>
                  <w:tcW w:w="2428" w:type="pct"/>
                  <w:noWrap w:val="0"/>
                  <w:vAlign w:val="center"/>
                </w:tcPr>
                <w:p w14:paraId="2B0E4052">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严格重点行业企业准入管理。</w:t>
                  </w:r>
                  <w:r>
                    <w:rPr>
                      <w:rFonts w:hint="eastAsia"/>
                      <w:color w:val="000000" w:themeColor="text1"/>
                      <w:sz w:val="21"/>
                      <w:szCs w:val="21"/>
                      <w:highlight w:val="none"/>
                      <w14:textFill>
                        <w14:solidFill>
                          <w14:schemeClr w14:val="tx1"/>
                        </w14:solidFill>
                      </w14:textFill>
                    </w:rPr>
                    <w:t>新、改、扩建重点行业建设项目应符合“三线一单”、产业政策、区域环评、规划环评和行业环境准入管控要求，同时严格执行长江经济带发展负面清单管理制度。雅安市汉源县、石棉县和凉山州甘洛县新、改、扩建重点行业建设项目应遵循重点重金属污染物排放“减量替代”原则，减量替代比例不低于1.2:1，其他区域遵循“等量替代”原则。按国家规定，建设单位在提交环境影响评价文件时应明确重点重金属污染物排放总量及来源，无明确具体总量来源的，各级生态环境部门不得批准相关环境影响评价文件。总量指标来源原则上应是同一重点行业内企业削减的重点重金属污染物排放量，当同一重点行业内企业削减量无法满足时可从其他重点行业调剂。</w:t>
                  </w:r>
                </w:p>
              </w:tc>
              <w:tc>
                <w:tcPr>
                  <w:tcW w:w="1326" w:type="pct"/>
                  <w:noWrap w:val="0"/>
                  <w:vAlign w:val="center"/>
                </w:tcPr>
                <w:p w14:paraId="3F51A087">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2029F03A">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756F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41A7A589">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6B7A5AFB">
                  <w:pPr>
                    <w:spacing w:line="270" w:lineRule="exact"/>
                    <w:ind w:firstLine="0" w:firstLineChars="0"/>
                    <w:rPr>
                      <w:color w:val="000000" w:themeColor="text1"/>
                      <w:sz w:val="21"/>
                      <w:szCs w:val="21"/>
                      <w:highlight w:val="none"/>
                      <w14:textFill>
                        <w14:solidFill>
                          <w14:schemeClr w14:val="tx1"/>
                        </w14:solidFill>
                      </w14:textFill>
                    </w:rPr>
                  </w:pPr>
                </w:p>
              </w:tc>
              <w:tc>
                <w:tcPr>
                  <w:tcW w:w="2428" w:type="pct"/>
                  <w:noWrap w:val="0"/>
                  <w:vAlign w:val="center"/>
                </w:tcPr>
                <w:p w14:paraId="2009863C">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依法推动落后产能退出。</w:t>
                  </w:r>
                  <w:r>
                    <w:rPr>
                      <w:rFonts w:hint="eastAsia"/>
                      <w:color w:val="000000" w:themeColor="text1"/>
                      <w:sz w:val="21"/>
                      <w:szCs w:val="21"/>
                      <w:highlight w:val="none"/>
                      <w14:textFill>
                        <w14:solidFill>
                          <w14:schemeClr w14:val="tx1"/>
                        </w14:solidFill>
                      </w14:textFill>
                    </w:rPr>
                    <w:t>根据《产业结构调整指导目录》《限期淘汰产生严重污染环境的工业固体废物的落后生产工艺设备名录》等要求，推动依法淘汰涉重金属落后产能和化解过剩产能。严格执行生态环境保护等相关法规标准，推动经整改仍达不到要求的产能依法依规关闭退出。</w:t>
                  </w:r>
                </w:p>
              </w:tc>
              <w:tc>
                <w:tcPr>
                  <w:tcW w:w="1326" w:type="pct"/>
                  <w:noWrap w:val="0"/>
                  <w:vAlign w:val="center"/>
                </w:tcPr>
                <w:p w14:paraId="3533D3D4">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经分析，本项目不属于落后产能，所用工艺设备不属于《限期淘汰产生严重污染环境的工业固体废物的落后生产工艺设备名录》中设备。</w:t>
                  </w:r>
                </w:p>
              </w:tc>
              <w:tc>
                <w:tcPr>
                  <w:tcW w:w="345" w:type="pct"/>
                  <w:noWrap w:val="0"/>
                  <w:vAlign w:val="center"/>
                </w:tcPr>
                <w:p w14:paraId="15D20CE5">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1CD8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43BC8762">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0D78F6F1">
                  <w:pPr>
                    <w:spacing w:line="270" w:lineRule="exact"/>
                    <w:ind w:firstLine="0" w:firstLineChars="0"/>
                    <w:rPr>
                      <w:color w:val="000000" w:themeColor="text1"/>
                      <w:sz w:val="21"/>
                      <w:szCs w:val="21"/>
                      <w:highlight w:val="none"/>
                      <w14:textFill>
                        <w14:solidFill>
                          <w14:schemeClr w14:val="tx1"/>
                        </w14:solidFill>
                      </w14:textFill>
                    </w:rPr>
                  </w:pPr>
                </w:p>
              </w:tc>
              <w:tc>
                <w:tcPr>
                  <w:tcW w:w="2428" w:type="pct"/>
                  <w:noWrap w:val="0"/>
                  <w:vAlign w:val="center"/>
                </w:tcPr>
                <w:p w14:paraId="64BD0940">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优化重点行业企业布局。</w:t>
                  </w:r>
                  <w:r>
                    <w:rPr>
                      <w:rFonts w:hint="eastAsia"/>
                      <w:color w:val="000000" w:themeColor="text1"/>
                      <w:sz w:val="21"/>
                      <w:szCs w:val="21"/>
                      <w:highlight w:val="none"/>
                      <w14:textFill>
                        <w14:solidFill>
                          <w14:schemeClr w14:val="tx1"/>
                        </w14:solidFill>
                      </w14:textFill>
                    </w:rPr>
                    <w:t>积极推动涉重金属产业集中优化发展，持续调整产业结构和优化布局，推进位于环境敏感区和城市建成区环境风险高的大中型重点行业企业搬迁改造。按国家规定，禁止新建用汞的电石法（聚）氯乙烯生产工艺。新建、扩建的重有</w:t>
                  </w:r>
                  <w:r>
                    <w:rPr>
                      <w:rFonts w:hint="eastAsia"/>
                      <w:color w:val="000000" w:themeColor="text1"/>
                      <w:sz w:val="21"/>
                      <w:szCs w:val="21"/>
                      <w:highlight w:val="none"/>
                      <w:lang w:eastAsia="zh-CN"/>
                      <w14:textFill>
                        <w14:solidFill>
                          <w14:schemeClr w14:val="tx1"/>
                        </w14:solidFill>
                      </w14:textFill>
                    </w:rPr>
                    <w:t>色金</w:t>
                  </w:r>
                  <w:r>
                    <w:rPr>
                      <w:rFonts w:hint="eastAsia"/>
                      <w:color w:val="000000" w:themeColor="text1"/>
                      <w:sz w:val="21"/>
                      <w:szCs w:val="21"/>
                      <w:highlight w:val="none"/>
                      <w14:textFill>
                        <w14:solidFill>
                          <w14:schemeClr w14:val="tx1"/>
                        </w14:solidFill>
                      </w14:textFill>
                    </w:rPr>
                    <w:t>属冶炼、电镀、制革等企业优先选择布设在依法合规设立并经规划环评的产业园区。持续推动电镀企业入园。</w:t>
                  </w:r>
                </w:p>
              </w:tc>
              <w:tc>
                <w:tcPr>
                  <w:tcW w:w="1326" w:type="pct"/>
                  <w:noWrap w:val="0"/>
                  <w:vAlign w:val="center"/>
                </w:tcPr>
                <w:p w14:paraId="7FF3CB01">
                  <w:pPr>
                    <w:spacing w:line="270" w:lineRule="exact"/>
                    <w:ind w:firstLine="0" w:firstLineChars="0"/>
                    <w:rPr>
                      <w:rFonts w:hint="default"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35941CDF">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7C2C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FC435E4">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restart"/>
                  <w:noWrap w:val="0"/>
                  <w:vAlign w:val="center"/>
                </w:tcPr>
                <w:p w14:paraId="42C8CB54">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突出重点，深化重点行业重金属污染治理</w:t>
                  </w:r>
                </w:p>
              </w:tc>
              <w:tc>
                <w:tcPr>
                  <w:tcW w:w="2428" w:type="pct"/>
                  <w:noWrap w:val="0"/>
                  <w:vAlign w:val="center"/>
                </w:tcPr>
                <w:p w14:paraId="499D22EB">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加强重点行业企业清洁生产改造。</w:t>
                  </w:r>
                  <w:r>
                    <w:rPr>
                      <w:rFonts w:hint="eastAsia"/>
                      <w:color w:val="000000" w:themeColor="text1"/>
                      <w:sz w:val="21"/>
                      <w:szCs w:val="21"/>
                      <w:highlight w:val="none"/>
                      <w14:textFill>
                        <w14:solidFill>
                          <w14:schemeClr w14:val="tx1"/>
                        </w14:solidFill>
                      </w14:textFill>
                    </w:rPr>
                    <w:t>推动重点行业清洁生产工艺的开发和应用。重点行业企业“十四五”期间依法至少开展一轮强制性清洁生产审核，到2025年底，重点行业企业基本达到国内清洁生产先进水平。电镀行业大力推广无氰、无氟、无磷、低毒、低浓度、低能耗和少用络合剂的清洁生产工艺，鼓励采用三价铬和无铬钝化工艺。鼓励制革行业开展铬鞣剂替代技术改造。加强重金属污染源头防控，减少使用高镉、高砷或高铊的矿石原料。积极推动有色金属冶炼行业企业竖罐炼锌设备替代改造和铜冶炼转炉吹炼工艺提升改造。按国家规定，电石法聚氯乙烯生产企业生产每吨聚氯乙烯用汞量不得超过49.14克，并确保持续稳中有降。</w:t>
                  </w:r>
                </w:p>
              </w:tc>
              <w:tc>
                <w:tcPr>
                  <w:tcW w:w="1326" w:type="pct"/>
                  <w:noWrap w:val="0"/>
                  <w:vAlign w:val="center"/>
                </w:tcPr>
                <w:p w14:paraId="3E7A10E7">
                  <w:pPr>
                    <w:spacing w:line="270" w:lineRule="exact"/>
                    <w:ind w:firstLine="0" w:firstLineChars="0"/>
                    <w:rPr>
                      <w:rFonts w:hint="eastAsia"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达到</w:t>
                  </w:r>
                  <w:r>
                    <w:rPr>
                      <w:rFonts w:hint="eastAsia"/>
                      <w:color w:val="000000" w:themeColor="text1"/>
                      <w:sz w:val="21"/>
                      <w:szCs w:val="21"/>
                      <w:highlight w:val="none"/>
                      <w14:textFill>
                        <w14:solidFill>
                          <w14:schemeClr w14:val="tx1"/>
                        </w14:solidFill>
                      </w14:textFill>
                    </w:rPr>
                    <w:t>国内清洁生产先进水平</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不涉及电镀、钝化工艺，不属于</w:t>
                  </w:r>
                  <w:r>
                    <w:rPr>
                      <w:rFonts w:hint="eastAsia"/>
                      <w:color w:val="000000" w:themeColor="text1"/>
                      <w:sz w:val="21"/>
                      <w:szCs w:val="21"/>
                      <w:highlight w:val="none"/>
                      <w14:textFill>
                        <w14:solidFill>
                          <w14:schemeClr w14:val="tx1"/>
                        </w14:solidFill>
                      </w14:textFill>
                    </w:rPr>
                    <w:t>制革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有色金属冶炼及</w:t>
                  </w:r>
                  <w:r>
                    <w:rPr>
                      <w:rFonts w:hint="eastAsia"/>
                      <w:color w:val="000000" w:themeColor="text1"/>
                      <w:sz w:val="21"/>
                      <w:szCs w:val="21"/>
                      <w:highlight w:val="none"/>
                      <w14:textFill>
                        <w14:solidFill>
                          <w14:schemeClr w14:val="tx1"/>
                        </w14:solidFill>
                      </w14:textFill>
                    </w:rPr>
                    <w:t>电石法聚氯乙烯生产企业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不涉及</w:t>
                  </w:r>
                  <w:r>
                    <w:rPr>
                      <w:rFonts w:hint="eastAsia"/>
                      <w:color w:val="000000" w:themeColor="text1"/>
                      <w:sz w:val="21"/>
                      <w:szCs w:val="21"/>
                      <w:highlight w:val="none"/>
                      <w14:textFill>
                        <w14:solidFill>
                          <w14:schemeClr w14:val="tx1"/>
                        </w14:solidFill>
                      </w14:textFill>
                    </w:rPr>
                    <w:t>高镉、高砷或高铊的矿石原料</w:t>
                  </w:r>
                  <w:r>
                    <w:rPr>
                      <w:rFonts w:hint="eastAsia"/>
                      <w:color w:val="000000" w:themeColor="text1"/>
                      <w:sz w:val="21"/>
                      <w:szCs w:val="21"/>
                      <w:highlight w:val="none"/>
                      <w:lang w:val="en-US" w:eastAsia="zh-CN"/>
                      <w14:textFill>
                        <w14:solidFill>
                          <w14:schemeClr w14:val="tx1"/>
                        </w14:solidFill>
                      </w14:textFill>
                    </w:rPr>
                    <w:t>使用。</w:t>
                  </w:r>
                </w:p>
              </w:tc>
              <w:tc>
                <w:tcPr>
                  <w:tcW w:w="345" w:type="pct"/>
                  <w:noWrap w:val="0"/>
                  <w:vAlign w:val="center"/>
                </w:tcPr>
                <w:p w14:paraId="15AB45B4">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3CA1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4FEFDCFB">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37F057D2">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479CFED8">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推动重金属污染深度治理。</w:t>
                  </w:r>
                  <w:r>
                    <w:rPr>
                      <w:rFonts w:hint="eastAsia"/>
                      <w:color w:val="000000" w:themeColor="text1"/>
                      <w:sz w:val="21"/>
                      <w:szCs w:val="21"/>
                      <w:highlight w:val="none"/>
                      <w14:textFill>
                        <w14:solidFill>
                          <w14:schemeClr w14:val="tx1"/>
                        </w14:solidFill>
                      </w14:textFill>
                    </w:rPr>
                    <w:t>开展矿产资源开发活动集中区重点污染物特别排放限值执行情况“回头看”。按国家规定，自2023年起，汉源县、石棉县、甘洛县铅锌冶炼和铜冶炼企业执行颗粒物特别排放限值。督促有色金属冶炼企业加强生产车间低空逸散烟气收集处理，有效减少无组织排放。督促重有色金属矿采选企业按照规定完善废石堆场、排土场周边雨污分流设施，完善废水收集与处理设施，处理后回用或达标排放。采用洒水、旋风等简易除尘治理工艺的重有色金属矿采选企业，应加强废气收集，实施过滤除尘等颗粒物治理升级改造工程。相关市（州）开展电镀行业重金属污染调查，编制污染综合整治方案并组织实施。推进专业电镀园区、专业电镀企业重金属污染深度治理。排放汞及汞化合物的企业应当采用最佳可得技术和最佳环境实践，控制并减少汞及汞化合物的排放和释放。</w:t>
                  </w:r>
                </w:p>
              </w:tc>
              <w:tc>
                <w:tcPr>
                  <w:tcW w:w="1326" w:type="pct"/>
                  <w:noWrap w:val="0"/>
                  <w:vAlign w:val="center"/>
                </w:tcPr>
                <w:p w14:paraId="6D9A45AE">
                  <w:pPr>
                    <w:spacing w:line="270" w:lineRule="exact"/>
                    <w:ind w:firstLine="0" w:firstLineChars="0"/>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不属于矿产资源开发活动；不属于铅锌冶炼、铜冶炼、有色金属冶炼、重有色金属矿采选企业；不属于电镀行业。仅水基岩屑煅烧过程产生少量重金属，设置1套</w:t>
                  </w:r>
                  <w:r>
                    <w:rPr>
                      <w:rFonts w:hint="eastAsia" w:ascii="Times New Roman" w:hAnsi="Times New Roman" w:cs="Times New Roman"/>
                      <w:color w:val="000000" w:themeColor="text1"/>
                      <w:sz w:val="21"/>
                      <w:szCs w:val="20"/>
                      <w:lang w:val="en-US" w:eastAsia="zh-CN"/>
                      <w14:textFill>
                        <w14:solidFill>
                          <w14:schemeClr w14:val="tx1"/>
                        </w14:solidFill>
                      </w14:textFill>
                    </w:rPr>
                    <w:t>低氮燃烧器+</w:t>
                  </w:r>
                  <w:r>
                    <w:rPr>
                      <w:rFonts w:hint="eastAsia"/>
                      <w:color w:val="000000" w:themeColor="text1"/>
                      <w:sz w:val="21"/>
                      <w:szCs w:val="21"/>
                      <w:highlight w:val="none"/>
                      <w:lang w:val="en-US" w:eastAsia="zh-CN"/>
                      <w14:textFill>
                        <w14:solidFill>
                          <w14:schemeClr w14:val="tx1"/>
                        </w14:solidFill>
                      </w14:textFill>
                    </w:rPr>
                    <w:t>旋风布袋除尘器+布袋除尘器1#+活性炭喷射+布袋除尘器2#+2座脱酸塔对煅烧废气进行处置，经处理后的排放重金属排放浓度低于检出限。</w:t>
                  </w:r>
                </w:p>
              </w:tc>
              <w:tc>
                <w:tcPr>
                  <w:tcW w:w="345" w:type="pct"/>
                  <w:noWrap w:val="0"/>
                  <w:vAlign w:val="center"/>
                </w:tcPr>
                <w:p w14:paraId="62E9CECF">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2D32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71992B0F">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7F0041D2">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2853C00A">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开展涉锰行业排查整治。</w:t>
                  </w:r>
                  <w:r>
                    <w:rPr>
                      <w:rFonts w:hint="eastAsia"/>
                      <w:color w:val="000000" w:themeColor="text1"/>
                      <w:sz w:val="21"/>
                      <w:szCs w:val="21"/>
                      <w:highlight w:val="none"/>
                      <w14:textFill>
                        <w14:solidFill>
                          <w14:schemeClr w14:val="tx1"/>
                        </w14:solidFill>
                      </w14:textFill>
                    </w:rPr>
                    <w:t>对锰矿开采、电解锰生产、锰渣堆存场所地下水、外排废水达标情况及污染防治设施情况等进行全面排查，针对存在的问题实施整治。对长期停用或库容已满的渣场，按相关标准规范封场。相关市（州）于2022年12月底前完成全面排查并形成问题清单报送省污染防治攻坚战领导小组办公室，原则上2024年12月底前完成问题整治，并将整治结果报送省污染防治攻坚战领导小组办公室。</w:t>
                  </w:r>
                </w:p>
              </w:tc>
              <w:tc>
                <w:tcPr>
                  <w:tcW w:w="1326" w:type="pct"/>
                  <w:noWrap w:val="0"/>
                  <w:vAlign w:val="center"/>
                </w:tcPr>
                <w:p w14:paraId="63AC238E">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398C8649">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4916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484EF249">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33469EBC">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43A5B559">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加强涉重金属固体废物环境管理</w:t>
                  </w:r>
                  <w:r>
                    <w:rPr>
                      <w:rFonts w:hint="eastAsia"/>
                      <w:color w:val="000000" w:themeColor="text1"/>
                      <w:sz w:val="21"/>
                      <w:szCs w:val="21"/>
                      <w:highlight w:val="none"/>
                      <w14:textFill>
                        <w14:solidFill>
                          <w14:schemeClr w14:val="tx1"/>
                        </w14:solidFill>
                      </w14:textFill>
                    </w:rPr>
                    <w:t>。加强重点行业企业废渣场环境管理，完善防渗漏、防流失、防扬散等措施。推动锌湿法冶炼工艺按有关规定配套建设浸出渣无害化处理系统及硫渣处理设施。加强尾矿污染防控，制定四川省“十四五”尾矿库污染治理实施方案，持续开展尾矿库污染治理。严格废铅蓄电池、冶炼灰渣、钢厂烟灰等含重金属固体废物收集、贮存、转移、利用处置过程的环境管理，防止二次污染。支持并引导含重金属固体废物资源化综合利用。</w:t>
                  </w:r>
                </w:p>
              </w:tc>
              <w:tc>
                <w:tcPr>
                  <w:tcW w:w="1326" w:type="pct"/>
                  <w:noWrap w:val="0"/>
                  <w:vAlign w:val="center"/>
                </w:tcPr>
                <w:p w14:paraId="51C00198">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经分析，项目</w:t>
                  </w:r>
                  <w:r>
                    <w:rPr>
                      <w:rFonts w:hint="eastAsia"/>
                      <w:color w:val="000000" w:themeColor="text1"/>
                      <w:sz w:val="21"/>
                      <w:szCs w:val="21"/>
                      <w:highlight w:val="none"/>
                      <w:lang w:val="en-US" w:eastAsia="zh-CN"/>
                      <w14:textFill>
                        <w14:solidFill>
                          <w14:schemeClr w14:val="tx1"/>
                        </w14:solidFill>
                      </w14:textFill>
                    </w:rPr>
                    <w:t>含水率</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70%水基岩屑储存于水基岩屑储存池内</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经预处理后的35%含水率水基岩屑储存于水基岩屑堆存区内，水基岩屑储存池、干水基岩屑堆存区</w:t>
                  </w:r>
                  <w:r>
                    <w:rPr>
                      <w:rFonts w:hint="eastAsia"/>
                      <w:color w:val="000000" w:themeColor="text1"/>
                      <w:sz w:val="21"/>
                      <w:szCs w:val="21"/>
                      <w:highlight w:val="none"/>
                      <w14:textFill>
                        <w14:solidFill>
                          <w14:schemeClr w14:val="tx1"/>
                        </w14:solidFill>
                      </w14:textFill>
                    </w:rPr>
                    <w:t>地面硬化处理</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并配套落实“</w:t>
                  </w:r>
                  <w:r>
                    <w:rPr>
                      <w:rFonts w:hint="eastAsia"/>
                      <w:color w:val="000000" w:themeColor="text1"/>
                      <w:sz w:val="21"/>
                      <w:szCs w:val="21"/>
                      <w:highlight w:val="none"/>
                      <w:lang w:val="en-US" w:eastAsia="zh-CN"/>
                      <w14:textFill>
                        <w14:solidFill>
                          <w14:schemeClr w14:val="tx1"/>
                        </w14:solidFill>
                      </w14:textFill>
                    </w:rPr>
                    <w:t>六</w:t>
                  </w:r>
                  <w:r>
                    <w:rPr>
                      <w:rFonts w:hint="eastAsia"/>
                      <w:color w:val="000000" w:themeColor="text1"/>
                      <w:sz w:val="21"/>
                      <w:szCs w:val="21"/>
                      <w:highlight w:val="none"/>
                      <w14:textFill>
                        <w14:solidFill>
                          <w14:schemeClr w14:val="tx1"/>
                        </w14:solidFill>
                      </w14:textFill>
                    </w:rPr>
                    <w:t>防”措施（防风、防晒、防雨、防漏、防渗、防腐）。</w:t>
                  </w:r>
                </w:p>
              </w:tc>
              <w:tc>
                <w:tcPr>
                  <w:tcW w:w="345" w:type="pct"/>
                  <w:noWrap w:val="0"/>
                  <w:vAlign w:val="center"/>
                </w:tcPr>
                <w:p w14:paraId="0A46B3B7">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bl>
          <w:p w14:paraId="43FC7E79">
            <w:pPr>
              <w:pStyle w:val="4"/>
              <w:spacing w:before="0" w:beforeLines="0"/>
              <w:ind w:firstLine="480" w:firstLineChars="200"/>
              <w:rPr>
                <w:rFonts w:hint="default"/>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综上所述，</w:t>
            </w:r>
            <w:r>
              <w:rPr>
                <w:rFonts w:hint="eastAsia" w:ascii="Times New Roman" w:hAnsi="Times New Roman"/>
                <w:b w:val="0"/>
                <w:bCs/>
                <w:smallCaps w:val="0"/>
                <w:color w:val="000000" w:themeColor="text1"/>
                <w:kern w:val="16"/>
                <w:szCs w:val="21"/>
                <w:highlight w:val="none"/>
                <w:lang w:val="zh-CN"/>
                <w14:textFill>
                  <w14:solidFill>
                    <w14:schemeClr w14:val="tx1"/>
                  </w14:solidFill>
                </w14:textFill>
              </w:rPr>
              <w:t>项目所在</w:t>
            </w:r>
            <w:r>
              <w:rPr>
                <w:rFonts w:hint="eastAsia" w:ascii="Times New Roman" w:hAnsi="Times New Roman"/>
                <w:b w:val="0"/>
                <w:bCs/>
                <w:smallCaps w:val="0"/>
                <w:color w:val="000000" w:themeColor="text1"/>
                <w:kern w:val="16"/>
                <w:szCs w:val="21"/>
                <w:highlight w:val="none"/>
                <w:lang w:val="en-US" w:eastAsia="zh-CN"/>
                <w14:textFill>
                  <w14:solidFill>
                    <w14:schemeClr w14:val="tx1"/>
                  </w14:solidFill>
                </w14:textFill>
              </w:rPr>
              <w:t>平昌县</w:t>
            </w:r>
            <w:r>
              <w:rPr>
                <w:rFonts w:hint="eastAsia" w:ascii="Times New Roman" w:hAnsi="Times New Roman"/>
                <w:b w:val="0"/>
                <w:bCs/>
                <w:smallCaps w:val="0"/>
                <w:color w:val="000000" w:themeColor="text1"/>
                <w:kern w:val="16"/>
                <w:szCs w:val="21"/>
                <w:highlight w:val="none"/>
                <w:lang w:val="zh-CN"/>
                <w14:textFill>
                  <w14:solidFill>
                    <w14:schemeClr w14:val="tx1"/>
                  </w14:solidFill>
                </w14:textFill>
              </w:rPr>
              <w:t>不属于国控或省控制重点区域，</w:t>
            </w:r>
            <w:r>
              <w:rPr>
                <w:rFonts w:hint="eastAsia" w:ascii="Times New Roman" w:hAnsi="Times New Roman"/>
                <w:b w:val="0"/>
                <w:bCs/>
                <w:smallCaps w:val="0"/>
                <w:color w:val="000000" w:themeColor="text1"/>
                <w:kern w:val="16"/>
                <w:szCs w:val="21"/>
                <w:highlight w:val="none"/>
                <w:lang w:val="en-US" w:eastAsia="zh-CN"/>
                <w14:textFill>
                  <w14:solidFill>
                    <w14:schemeClr w14:val="tx1"/>
                  </w14:solidFill>
                </w14:textFill>
              </w:rPr>
              <w:t>本项目不属于重点行业</w:t>
            </w:r>
            <w:r>
              <w:rPr>
                <w:rFonts w:hint="eastAsia" w:ascii="Times New Roman" w:hAnsi="Times New Roman"/>
                <w:b w:val="0"/>
                <w:bCs/>
                <w:smallCaps w:val="0"/>
                <w:color w:val="000000" w:themeColor="text1"/>
                <w:kern w:val="16"/>
                <w:szCs w:val="21"/>
                <w:highlight w:val="none"/>
                <w:lang w:val="zh-CN"/>
                <w14:textFill>
                  <w14:solidFill>
                    <w14:schemeClr w14:val="tx1"/>
                  </w14:solidFill>
                </w14:textFill>
              </w:rPr>
              <w:t>。项目不涉及生态红线，建成后将按照相关规定，落实监测制度、排污许可制度、信息公开与公众监督等。因此，该项目符合《关于加强涉重金属行业污染防控的意见》《关于进一步加强重金属污染防控的意见》《四川省重点行业重金属污染物排放指标管理办法（试行）》《四川省“十四五”重金属污染防控工作方案》等相关要求</w:t>
            </w:r>
            <w:r>
              <w:rPr>
                <w:rFonts w:hint="eastAsia"/>
                <w:b w:val="0"/>
                <w:bCs/>
                <w:color w:val="000000" w:themeColor="text1"/>
                <w:lang w:val="en-US" w:eastAsia="zh-CN"/>
                <w14:textFill>
                  <w14:solidFill>
                    <w14:schemeClr w14:val="tx1"/>
                  </w14:solidFill>
                </w14:textFill>
              </w:rPr>
              <w:t>。</w:t>
            </w:r>
          </w:p>
          <w:p w14:paraId="18904E89">
            <w:pPr>
              <w:pStyle w:val="4"/>
              <w:spacing w:before="0" w:beforeLines="0"/>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17、与</w:t>
            </w:r>
            <w:r>
              <w:rPr>
                <w:rFonts w:hint="eastAsia" w:ascii="Times New Roman" w:hAnsi="Times New Roman"/>
                <w:color w:val="000000" w:themeColor="text1"/>
                <w:highlight w:val="none"/>
                <w:lang w:val="en-US" w:eastAsia="zh-CN"/>
                <w14:textFill>
                  <w14:solidFill>
                    <w14:schemeClr w14:val="tx1"/>
                  </w14:solidFill>
                </w14:textFill>
              </w:rPr>
              <w:t>《固体废物鉴别标准 通则》（GB34330-2025）的符合性分析</w:t>
            </w:r>
          </w:p>
          <w:p w14:paraId="1170E3DE">
            <w:pPr>
              <w:pStyle w:val="75"/>
              <w:bidi w:val="0"/>
              <w:rPr>
                <w:rFonts w:hint="default"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根据《固体废物鉴别标准 通则》（GB34330-2025），规定如下：</w:t>
            </w:r>
          </w:p>
          <w:p w14:paraId="638573AB">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6 利用固体废物生产的产物以及环境治理和污染控制过程中产生的物质的鉴别</w:t>
            </w:r>
          </w:p>
          <w:p w14:paraId="54B2CCBE">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6.1 市场上存在使用正常原料生产的同类物质，并同时满足以下条件时，不属于固体废物：</w:t>
            </w:r>
          </w:p>
          <w:p w14:paraId="7AC3D6CE">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a）物质组成（有效成分含量和杂质限量）及性能指标符合以下任一国家或行业通行的标准，并按标准规定的用途使用：</w:t>
            </w:r>
          </w:p>
          <w:p w14:paraId="0D1EF91D">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1）针对固体废物利用工艺制定的产品质量标准；</w:t>
            </w:r>
          </w:p>
          <w:p w14:paraId="2AB865C3">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2）市场上使用正常原料生产的同类物质的质量标准。</w:t>
            </w:r>
          </w:p>
          <w:p w14:paraId="68C8BE3C">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b）除正常物质组成之外，其他对人体健康或生态环境有害的物质，符合相关国家污染控制标准所规定的含量限值[含量限值包含6.1a）规定的所有使用情形]，或技术规范所规定的技术要求。当没有国家污染控制标准或技术规范时，与被替代物质相比，满足以下任意条件：</w:t>
            </w:r>
          </w:p>
          <w:p w14:paraId="446B63C1">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1）产物中环境有害成分含量[6.1a）标准规定除外]不得高于被替代物质；或所含有害成分在被替代物质任何使用过程中均不足以对人体健康或生态环境造成不利的影响；</w:t>
            </w:r>
          </w:p>
          <w:p w14:paraId="3BF90031">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2）如该产物替代工业原料使用时，生产的产品所含有害成分含量符合6.1a）和6.1b）1）规定的要求，且生产过程中排放到环境中的污染物应不高于污染控制标准所规定的排放要求。当特征污染物缺乏相应的排放控制限值时，污染物排放应不高于使用被替代原料的情形，或不足以对人体健康或生态环境造成不利的影响；</w:t>
            </w:r>
          </w:p>
          <w:p w14:paraId="2294B37C">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3）如该产物替代燃料使用时，排放到环境中的污染物应不高于该燃烧设施污染控制标准所规定的污染物排放要求。当该特征污染物缺乏相应的排放限值时，污染物排放应不高于使用被替代燃料的情形，或不足以对人体健康或生态环境造成不利的影响。</w:t>
            </w:r>
          </w:p>
          <w:p w14:paraId="2B761922">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6.2不满足第6.1规定的鉴别条件，或市场上不存在使用正常原料生产的同类物质时，均属于固体废物。</w:t>
            </w:r>
          </w:p>
          <w:p w14:paraId="527CD250">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6.3以不具有实际功能价值的固体废物为原料或配料产生的混配产物，仍然属于固体废物。</w:t>
            </w:r>
          </w:p>
          <w:p w14:paraId="4CCAFEFD">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7.2本标准鉴别不属于固体废物的副产物和目标产物（包括固体废物利用产物），超出市场的实际需求，而采用或必须采用7.1所列作业方式进行处置，或以不属于其原始用途的方式进行利用时，属于固体废物。</w:t>
            </w:r>
          </w:p>
          <w:p w14:paraId="244E142A">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本项目与《固体废物鉴别标准 通则》（GB34330-2025）符合性如下：</w:t>
            </w:r>
          </w:p>
          <w:p w14:paraId="06E3EFE1">
            <w:pPr>
              <w:pStyle w:val="75"/>
              <w:bidi w:val="0"/>
              <w:rPr>
                <w:rFonts w:hint="default"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（1）针对固体废物利用工艺制定的产品质量标准</w:t>
            </w:r>
          </w:p>
          <w:p w14:paraId="6E8C5101">
            <w:pPr>
              <w:pStyle w:val="75"/>
              <w:bidi w:val="0"/>
              <w:rPr>
                <w:rFonts w:hint="default"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1）市场上存在使用水基岩屑制备免烧砖的同类型企业</w:t>
            </w:r>
          </w:p>
          <w:p w14:paraId="722E2085">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①《苏里格气田水基钻屑资源化利用技术研究与应用》（钻采工艺，第44卷第4期，2021年），成功试制免烧砖19万块。</w:t>
            </w:r>
          </w:p>
          <w:p w14:paraId="293A7E96">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②射洪恒璟源新型建材有限责任公司在射洪市沱牌镇通泉村建设“射洪恒璟源新型建材年产40万吨免烧砖建设项目”，利用外购水基岩屑，配以一定比例的水泥、砂石、外加剂等，通过静压机压制成型，在厂区内自然养护，形成免烧砖。该项目已通过竣工环保验收，目前正常运行。</w:t>
            </w:r>
          </w:p>
          <w:p w14:paraId="5D2B0E6D">
            <w:pPr>
              <w:pStyle w:val="75"/>
              <w:bidi w:val="0"/>
              <w:rPr>
                <w:rFonts w:hint="default"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2）市场上存在针对免烧砖的产品质量标准</w:t>
            </w:r>
          </w:p>
          <w:p w14:paraId="11D8E0FF">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根据《四川省页岩气开采业污染防治技术政策》中：“四 固体废物处置及综合利用（四）水基岩屑应首先进行固液分离，降低含水率，剩余固相优先考虑资源化综合利用，同时加强其暂存、预处理、转运等过程的环境管理，避免二次污染。企业自身加工利用水基岩屑，应符合国家行业技术政策和相关环保要求；利用水基岩屑加工制作成产品外售，应符合产品质量标准。”</w:t>
            </w:r>
          </w:p>
          <w:p w14:paraId="02600F95">
            <w:pPr>
              <w:pStyle w:val="75"/>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本次项目先将入厂含水率</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ascii="Times New Roman" w:hAnsi="Times New Roman"/>
                <w:color w:val="000000" w:themeColor="text1"/>
                <w:highlight w:val="none"/>
                <w:lang w:val="en-US" w:eastAsia="zh-CN"/>
                <w14:textFill>
                  <w14:solidFill>
                    <w14:schemeClr w14:val="tx1"/>
                  </w14:solidFill>
                </w14:textFill>
              </w:rPr>
              <w:t>70%的水基岩屑进行预处理，脱水成35%的水基岩屑，再采用煅烧回转窑干燥、预热和干燥工艺对含水率35%水基岩屑进行处理，处理后配以水泥、砂石、固化剂、水生产免烧砌块。免烧砌块产品执行《</w:t>
            </w:r>
            <w:r>
              <w:rPr>
                <w:rFonts w:hint="eastAsia" w:cs="Times New Roman"/>
                <w:color w:val="000000" w:themeColor="text1"/>
                <w:lang w:val="en-US" w:eastAsia="zh-CN"/>
                <w14:textFill>
                  <w14:solidFill>
                    <w14:schemeClr w14:val="tx1"/>
                  </w14:solidFill>
                </w14:textFill>
              </w:rPr>
              <w:t>非烧结垃圾尾矿砖》（JC/T422-2025）</w:t>
            </w:r>
            <w:r>
              <w:rPr>
                <w:rFonts w:hint="eastAsia" w:ascii="Times New Roman" w:hAnsi="Times New Roman"/>
                <w:color w:val="000000" w:themeColor="text1"/>
                <w:highlight w:val="none"/>
                <w:lang w:val="en-US" w:eastAsia="zh-CN"/>
                <w14:textFill>
                  <w14:solidFill>
                    <w14:schemeClr w14:val="tx1"/>
                  </w14:solidFill>
                </w14:textFill>
              </w:rPr>
              <w:t>标准要求，同时满足</w:t>
            </w:r>
            <w:r>
              <w:rPr>
                <w:rFonts w:hint="eastAsia" w:ascii="Times New Roman" w:hAnsi="Times New Roman"/>
                <w:color w:val="000000" w:themeColor="text1"/>
                <w:highlight w:val="none"/>
                <w:lang w:val="en-US"/>
                <w14:textFill>
                  <w14:solidFill>
                    <w14:schemeClr w14:val="tx1"/>
                  </w14:solidFill>
                </w14:textFill>
              </w:rPr>
              <w:t>《陆上石油天然气开采水基钻井废弃物处理处置及资源化利用技术规范》（SY/T7466-2020</w:t>
            </w:r>
            <w:r>
              <w:rPr>
                <w:rFonts w:hint="eastAsia" w:ascii="Times New Roman" w:hAnsi="Times New Roman"/>
                <w:color w:val="000000" w:themeColor="text1"/>
                <w:highlight w:val="none"/>
                <w:lang w:val="en-US" w:eastAsia="zh-CN"/>
                <w14:textFill>
                  <w14:solidFill>
                    <w14:schemeClr w14:val="tx1"/>
                  </w14:solidFill>
                </w14:textFill>
              </w:rPr>
              <w:t>）、</w:t>
            </w:r>
            <w:r>
              <w:rPr>
                <w:rFonts w:hint="eastAsia" w:ascii="Times New Roman" w:hAnsi="Times New Roman"/>
                <w:color w:val="000000" w:themeColor="text1"/>
                <w:highlight w:val="none"/>
                <w:lang w:val="en-US"/>
                <w14:textFill>
                  <w14:solidFill>
                    <w14:schemeClr w14:val="tx1"/>
                  </w14:solidFill>
                </w14:textFill>
              </w:rPr>
              <w:t>《陆上石油天然气钻井环境保护技术规范》（SY/T7298-2024</w:t>
            </w:r>
            <w:r>
              <w:rPr>
                <w:rFonts w:hint="eastAsia" w:ascii="Times New Roman" w:hAnsi="Times New Roman"/>
                <w:color w:val="000000" w:themeColor="text1"/>
                <w:highlight w:val="none"/>
                <w:lang w:val="en-US" w:eastAsia="zh-CN"/>
                <w14:textFill>
                  <w14:solidFill>
                    <w14:schemeClr w14:val="tx1"/>
                  </w14:solidFill>
                </w14:textFill>
              </w:rPr>
              <w:t>）</w:t>
            </w:r>
            <w:r>
              <w:rPr>
                <w:rFonts w:hint="eastAsia" w:ascii="Times New Roman" w:hAnsi="Times New Roman"/>
                <w:color w:val="000000" w:themeColor="text1"/>
                <w:highlight w:val="none"/>
                <w:lang w:val="en-US"/>
                <w14:textFill>
                  <w14:solidFill>
                    <w14:schemeClr w14:val="tx1"/>
                  </w14:solidFill>
                </w14:textFill>
              </w:rPr>
              <w:t>中关于浸出液污染控制项目限值要求</w:t>
            </w:r>
            <w:r>
              <w:rPr>
                <w:rFonts w:hint="eastAsia" w:ascii="Times New Roman" w:hAnsi="Times New Roman"/>
                <w:color w:val="000000" w:themeColor="text1"/>
                <w:highlight w:val="none"/>
                <w:lang w:val="en-US" w:eastAsia="zh-CN"/>
                <w14:textFill>
                  <w14:solidFill>
                    <w14:schemeClr w14:val="tx1"/>
                  </w14:solidFill>
                </w14:textFill>
              </w:rPr>
              <w:t>。</w:t>
            </w:r>
          </w:p>
          <w:p w14:paraId="63405DF3">
            <w:pPr>
              <w:pStyle w:val="75"/>
              <w:bidi w:val="0"/>
              <w:rPr>
                <w:rFonts w:hint="default"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因此，本项目产品有针对固体废物利用工艺制定的产品质量标准。</w:t>
            </w:r>
          </w:p>
          <w:p w14:paraId="24AD11C1">
            <w:pPr>
              <w:pStyle w:val="75"/>
              <w:bidi w:val="0"/>
              <w:rPr>
                <w:rFonts w:hint="default"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（2）组分符合国家限值要求</w:t>
            </w:r>
          </w:p>
          <w:p w14:paraId="2381B6AB">
            <w:pPr>
              <w:pStyle w:val="16"/>
              <w:spacing w:after="0"/>
              <w:ind w:firstLine="482" w:firstLineChars="200"/>
              <w:rPr>
                <w:rFonts w:hint="default"/>
                <w:b/>
                <w:bCs/>
                <w:i/>
                <w:iCs/>
                <w:color w:val="000000" w:themeColor="text1"/>
                <w:lang w:val="en-US" w:eastAsia="zh-CN"/>
                <w14:textFill>
                  <w14:solidFill>
                    <w14:schemeClr w14:val="tx1"/>
                  </w14:solidFill>
                </w14:textFill>
              </w:rPr>
            </w:pPr>
            <w:r>
              <w:rPr>
                <w:rFonts w:hint="eastAsia"/>
                <w:b/>
                <w:bCs/>
                <w:i/>
                <w:iCs/>
                <w:color w:val="000000" w:themeColor="text1"/>
                <w:lang w:val="en-US" w:eastAsia="zh-CN"/>
                <w14:textFill>
                  <w14:solidFill>
                    <w14:schemeClr w14:val="tx1"/>
                  </w14:solidFill>
                </w14:textFill>
              </w:rPr>
              <w:t>该内容涉密，不予公开。</w:t>
            </w:r>
          </w:p>
          <w:p w14:paraId="45455F2F">
            <w:pPr>
              <w:pStyle w:val="75"/>
              <w:bidi w:val="0"/>
              <w:rPr>
                <w:rFonts w:hint="default" w:ascii="Times New Roman" w:hAnsi="Times New Roman"/>
                <w:b w:val="0"/>
                <w:bCs w:val="0"/>
                <w:color w:val="000000" w:themeColor="text1"/>
                <w:highlight w:val="none"/>
                <w:lang w:val="en-US" w:eastAsia="zh-CN"/>
                <w14:textFill>
                  <w14:solidFill>
                    <w14:schemeClr w14:val="tx1"/>
                  </w14:solidFill>
                </w14:textFill>
              </w:rPr>
            </w:pPr>
            <w:r>
              <w:rPr>
                <w:rFonts w:hint="eastAsia" w:ascii="Times New Roman" w:hAnsi="Times New Roman"/>
                <w:b w:val="0"/>
                <w:bCs w:val="0"/>
                <w:color w:val="000000" w:themeColor="text1"/>
                <w:highlight w:val="none"/>
                <w:lang w:val="en-US" w:eastAsia="zh-CN"/>
                <w14:textFill>
                  <w14:solidFill>
                    <w14:schemeClr w14:val="tx1"/>
                  </w14:solidFill>
                </w14:textFill>
              </w:rPr>
              <w:t>本项目水基岩屑通过</w:t>
            </w:r>
            <w:r>
              <w:rPr>
                <w:rFonts w:hint="eastAsia"/>
                <w:color w:val="000000" w:themeColor="text1"/>
                <w:lang w:val="en-US" w:eastAsia="zh-CN"/>
                <w14:textFill>
                  <w14:solidFill>
                    <w14:schemeClr w14:val="tx1"/>
                  </w14:solidFill>
                </w14:textFill>
              </w:rPr>
              <w:t>干燥、预热和</w:t>
            </w:r>
            <w:r>
              <w:rPr>
                <w:rFonts w:hint="eastAsia" w:ascii="Times New Roman" w:hAnsi="Times New Roman"/>
                <w:b w:val="0"/>
                <w:bCs w:val="0"/>
                <w:color w:val="000000" w:themeColor="text1"/>
                <w:highlight w:val="none"/>
                <w:lang w:val="en-US" w:eastAsia="zh-CN"/>
                <w14:textFill>
                  <w14:solidFill>
                    <w14:schemeClr w14:val="tx1"/>
                  </w14:solidFill>
                </w14:textFill>
              </w:rPr>
              <w:t>煅烧预处理后，再配以水泥、砂石、固化剂、水等制备免烧砖。水基岩屑采用回转窑进行干燥、预热和煅烧预处理，去除大部分石油烃等聚合物，改变水基岩屑结构，使其烧结固化，增加强度，并将重金属固定在晶格内，大幅减少其浸出量；在后续蒸汽养护条件下通过水泥的水化反应形成致密的硬化体，将重金属进一步固定在晶格内，降低其浸出风险。</w:t>
            </w:r>
          </w:p>
          <w:p w14:paraId="00ED37C1">
            <w:pPr>
              <w:pStyle w:val="75"/>
              <w:bidi w:val="0"/>
              <w:rPr>
                <w:rFonts w:hint="default" w:ascii="Times New Roman" w:hAnsi="Times New Roman" w:cs="Times New Roman"/>
                <w:color w:val="000000" w:themeColor="text1"/>
                <w:kern w:val="0"/>
                <w:szCs w:val="24"/>
                <w:lang w:val="en-US" w:eastAsia="zh-CN" w:bidi="ar"/>
                <w14:textFill>
                  <w14:solidFill>
                    <w14:schemeClr w14:val="tx1"/>
                  </w14:solidFill>
                </w14:textFill>
              </w:rPr>
            </w:pPr>
            <w:r>
              <w:rPr>
                <w:rFonts w:hint="eastAsia" w:ascii="Times New Roman" w:hAnsi="Times New Roman" w:cs="Times New Roman"/>
                <w:color w:val="000000" w:themeColor="text1"/>
                <w:kern w:val="0"/>
                <w:szCs w:val="24"/>
                <w:lang w:val="en-US" w:eastAsia="zh-CN" w:bidi="ar"/>
                <w14:textFill>
                  <w14:solidFill>
                    <w14:schemeClr w14:val="tx1"/>
                  </w14:solidFill>
                </w14:textFill>
              </w:rPr>
              <w:t>因此，本项目生产的免烧砌块</w:t>
            </w:r>
            <w:r>
              <w:rPr>
                <w:rFonts w:hint="eastAsia" w:ascii="Times New Roman" w:hAnsi="Times New Roman"/>
                <w:color w:val="000000" w:themeColor="text1"/>
                <w:highlight w:val="none"/>
                <w:lang w:val="en-US" w:eastAsia="zh-CN"/>
                <w14:textFill>
                  <w14:solidFill>
                    <w14:schemeClr w14:val="tx1"/>
                  </w14:solidFill>
                </w14:textFill>
              </w:rPr>
              <w:t>除正常物质组成之外，其他对人体健康或生态环境有害的物质均符合相关国家污染控制标准所规定的含量限值要求。</w:t>
            </w:r>
          </w:p>
          <w:p w14:paraId="610477E3">
            <w:pPr>
              <w:pStyle w:val="75"/>
              <w:rPr>
                <w:rFonts w:hint="eastAsia"/>
                <w:color w:val="000000" w:themeColor="text1"/>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综上所述，根据《固体废物鉴别标准 通则》（GB34330-2025）中规定，本项目综合利用水基岩屑生产的免烧砌块不作为固体废物管理，按照相应的产品管理。</w:t>
            </w:r>
          </w:p>
          <w:p w14:paraId="285DFEB5">
            <w:pPr>
              <w:pStyle w:val="4"/>
              <w:spacing w:before="0" w:beforeLines="0"/>
              <w:ind w:firstLine="0" w:firstLineChars="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18、与《</w:t>
            </w:r>
            <w:r>
              <w:rPr>
                <w:rFonts w:hint="eastAsia"/>
                <w:color w:val="000000" w:themeColor="text1"/>
                <w14:textFill>
                  <w14:solidFill>
                    <w14:schemeClr w14:val="tx1"/>
                  </w14:solidFill>
                </w14:textFill>
              </w:rPr>
              <w:t>一般工业固体废物贮存和填埋污染控制标准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（GB18599-2020）</w:t>
            </w:r>
            <w:r>
              <w:rPr>
                <w:rFonts w:hint="eastAsia"/>
                <w:color w:val="000000" w:themeColor="text1"/>
                <w:lang w:val="en-US" w:eastAsia="zh-CN"/>
                <w14:textFill>
                  <w14:solidFill>
                    <w14:schemeClr w14:val="tx1"/>
                  </w14:solidFill>
                </w14:textFill>
              </w:rPr>
              <w:t>符合性分析</w:t>
            </w:r>
          </w:p>
          <w:p w14:paraId="49FB6749">
            <w:pPr>
              <w:rPr>
                <w:rFonts w:hint="default" w:eastAsia="宋体"/>
                <w:lang w:val="en-US" w:eastAsia="zh-CN"/>
              </w:rPr>
            </w:pPr>
            <w:r>
              <w:rPr>
                <w:rFonts w:hint="eastAsia"/>
                <w:lang w:val="en-US" w:eastAsia="zh-CN"/>
              </w:rPr>
              <w:t>本项目为水基岩屑综合利用项目，水基岩屑贮存与</w:t>
            </w:r>
            <w:r>
              <w:rPr>
                <w:rFonts w:hint="eastAsia"/>
              </w:rPr>
              <w:t>《一般工业固体废物贮存和填埋污染控制标准》（GB18599-2020）</w:t>
            </w:r>
            <w:r>
              <w:rPr>
                <w:rFonts w:hint="eastAsia"/>
                <w:lang w:val="en-US" w:eastAsia="zh-CN"/>
              </w:rPr>
              <w:t>的符合性分析如下：</w:t>
            </w:r>
          </w:p>
          <w:p w14:paraId="0382C1FF">
            <w:pPr>
              <w:pStyle w:val="12"/>
              <w:rPr>
                <w:color w:val="000000" w:themeColor="text1"/>
                <w:szCs w:val="2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noBreakHyphen/>
            </w:r>
            <w:r>
              <w:rPr>
                <w:rFonts w:hint="eastAsia"/>
                <w:color w:val="000000" w:themeColor="text1"/>
                <w:lang w:val="en-US" w:eastAsia="zh-CN"/>
                <w14:textFill>
                  <w14:solidFill>
                    <w14:schemeClr w14:val="tx1"/>
                  </w14:solidFill>
                </w14:textFill>
              </w:rPr>
              <w:t>21</w:t>
            </w:r>
            <w:r>
              <w:rPr>
                <w:color w:val="000000" w:themeColor="text1"/>
                <w14:textFill>
                  <w14:solidFill>
                    <w14:schemeClr w14:val="tx1"/>
                  </w14:solidFill>
                </w14:textFill>
              </w:rPr>
              <w:t xml:space="preserve"> </w:t>
            </w:r>
            <w:r>
              <w:rPr>
                <w:bCs/>
                <w:color w:val="000000" w:themeColor="text1"/>
                <w:szCs w:val="21"/>
                <w14:textFill>
                  <w14:solidFill>
                    <w14:schemeClr w14:val="tx1"/>
                  </w14:solidFill>
                </w14:textFill>
              </w:rPr>
              <w:t>本项目与</w:t>
            </w:r>
            <w:r>
              <w:rPr>
                <w:rFonts w:hint="eastAsia"/>
                <w:bCs/>
                <w:color w:val="000000" w:themeColor="text1"/>
                <w:szCs w:val="21"/>
                <w:lang w:val="en-US" w:eastAsia="zh-CN"/>
                <w14:textFill>
                  <w14:solidFill>
                    <w14:schemeClr w14:val="tx1"/>
                  </w14:solidFill>
                </w14:textFill>
              </w:rPr>
              <w:t>GB18599-2020</w:t>
            </w:r>
            <w:r>
              <w:rPr>
                <w:bCs/>
                <w:color w:val="000000" w:themeColor="text1"/>
                <w:szCs w:val="21"/>
                <w14:textFill>
                  <w14:solidFill>
                    <w14:schemeClr w14:val="tx1"/>
                  </w14:solidFill>
                </w14:textFill>
              </w:rPr>
              <w:t>的符合性分析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4104"/>
              <w:gridCol w:w="3161"/>
              <w:gridCol w:w="878"/>
            </w:tblGrid>
            <w:tr w14:paraId="31F0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9" w:type="pct"/>
                  <w:vAlign w:val="center"/>
                </w:tcPr>
                <w:p w14:paraId="3EC93837">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序号</w:t>
                  </w:r>
                </w:p>
              </w:tc>
              <w:tc>
                <w:tcPr>
                  <w:tcW w:w="2323" w:type="pct"/>
                  <w:vAlign w:val="center"/>
                </w:tcPr>
                <w:p w14:paraId="140E136A">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标准</w:t>
                  </w:r>
                  <w:r>
                    <w:rPr>
                      <w:rFonts w:hint="default" w:ascii="Times New Roman" w:hAnsi="Times New Roman" w:cs="Times New Roman"/>
                      <w:color w:val="000000" w:themeColor="text1"/>
                      <w14:textFill>
                        <w14:solidFill>
                          <w14:schemeClr w14:val="tx1"/>
                        </w14:solidFill>
                      </w14:textFill>
                    </w:rPr>
                    <w:t>要求</w:t>
                  </w:r>
                </w:p>
              </w:tc>
              <w:tc>
                <w:tcPr>
                  <w:tcW w:w="1789" w:type="pct"/>
                  <w:vAlign w:val="center"/>
                </w:tcPr>
                <w:p w14:paraId="587BB211">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本项目情况</w:t>
                  </w:r>
                </w:p>
              </w:tc>
              <w:tc>
                <w:tcPr>
                  <w:tcW w:w="497" w:type="pct"/>
                  <w:vAlign w:val="center"/>
                </w:tcPr>
                <w:p w14:paraId="013C5321">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符合性</w:t>
                  </w:r>
                </w:p>
              </w:tc>
            </w:tr>
            <w:tr w14:paraId="018A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9" w:type="pct"/>
                  <w:vAlign w:val="center"/>
                </w:tcPr>
                <w:p w14:paraId="5B9A2A35">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2323" w:type="pct"/>
                  <w:vAlign w:val="center"/>
                </w:tcPr>
                <w:p w14:paraId="7ADDA695">
                  <w:pPr>
                    <w:pStyle w:val="13"/>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贮存场和填埋场一般应包含以下单元：a）防渗系统、渗滤液收集和导排系统；b）雨污分流系统；c）分析化验与环境监测系统；d）公用工程和配套设施；e）地下水导排系统和废水处理系统（根据具体情况选择设置）。</w:t>
                  </w:r>
                </w:p>
              </w:tc>
              <w:tc>
                <w:tcPr>
                  <w:tcW w:w="1789" w:type="pct"/>
                  <w:vAlign w:val="center"/>
                </w:tcPr>
                <w:p w14:paraId="4B9CC50C">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水基岩屑储存池旁设置1座渗滤液池，水基岩屑储存池、堆存区及渗滤液池均采用重点防渗措施，水基岩屑储存池、渗滤液池采用强度等级为C30且抗渗等级为P6的混凝土硬化；水基岩屑堆存区采用防渗混凝土+2mm厚人工防渗材料。全厂采用雨污分流。设置环境监测系统、公用工程和</w:t>
                  </w:r>
                  <w:r>
                    <w:rPr>
                      <w:rFonts w:hint="eastAsia" w:cs="Times New Roman"/>
                      <w:color w:val="000000" w:themeColor="text1"/>
                      <w:lang w:val="en-US" w:eastAsia="zh-CN"/>
                      <w14:textFill>
                        <w14:solidFill>
                          <w14:schemeClr w14:val="tx1"/>
                        </w14:solidFill>
                      </w14:textFill>
                    </w:rPr>
                    <w:t>配套设施</w:t>
                  </w:r>
                  <w:r>
                    <w:rPr>
                      <w:rFonts w:hint="eastAsia" w:ascii="Times New Roman" w:hAnsi="Times New Roman" w:cs="Times New Roman"/>
                      <w:color w:val="000000" w:themeColor="text1"/>
                      <w:lang w:val="en-US" w:eastAsia="zh-CN"/>
                      <w14:textFill>
                        <w14:solidFill>
                          <w14:schemeClr w14:val="tx1"/>
                        </w14:solidFill>
                      </w14:textFill>
                    </w:rPr>
                    <w:t>。</w:t>
                  </w:r>
                </w:p>
              </w:tc>
              <w:tc>
                <w:tcPr>
                  <w:tcW w:w="497" w:type="pct"/>
                  <w:vAlign w:val="center"/>
                </w:tcPr>
                <w:p w14:paraId="5645C118">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符合</w:t>
                  </w:r>
                </w:p>
              </w:tc>
            </w:tr>
            <w:tr w14:paraId="462A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9" w:type="pct"/>
                  <w:shd w:val="clear" w:color="auto" w:fill="auto"/>
                  <w:vAlign w:val="center"/>
                </w:tcPr>
                <w:p w14:paraId="78C136BA">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p>
              </w:tc>
              <w:tc>
                <w:tcPr>
                  <w:tcW w:w="2323" w:type="pct"/>
                  <w:vAlign w:val="center"/>
                </w:tcPr>
                <w:p w14:paraId="5B39360D">
                  <w:pPr>
                    <w:pStyle w:val="13"/>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贮存场及填埋场渗滤液收集池的防渗要求应不低于对应贮存场、填埋场的防渗要求</w:t>
                  </w:r>
                  <w:r>
                    <w:rPr>
                      <w:rFonts w:hint="default" w:ascii="Times New Roman" w:hAnsi="Times New Roman" w:cs="Times New Roman"/>
                      <w:color w:val="000000" w:themeColor="text1"/>
                      <w:lang w:eastAsia="zh-CN"/>
                      <w14:textFill>
                        <w14:solidFill>
                          <w14:schemeClr w14:val="tx1"/>
                        </w14:solidFill>
                      </w14:textFill>
                    </w:rPr>
                    <w:t>。</w:t>
                  </w:r>
                </w:p>
              </w:tc>
              <w:tc>
                <w:tcPr>
                  <w:tcW w:w="1789" w:type="pct"/>
                  <w:vAlign w:val="center"/>
                </w:tcPr>
                <w:p w14:paraId="16CF03A1">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本项目渗滤液池和水基岩屑储存池均采用重点防渗措施，水基岩屑储存池、渗滤液池采用强度等级为C30且抗渗等级为P6的混凝土硬化</w:t>
                  </w:r>
                </w:p>
              </w:tc>
              <w:tc>
                <w:tcPr>
                  <w:tcW w:w="497" w:type="pct"/>
                  <w:vAlign w:val="center"/>
                </w:tcPr>
                <w:p w14:paraId="3BA59249">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w:t>
                  </w:r>
                </w:p>
              </w:tc>
            </w:tr>
            <w:tr w14:paraId="1C04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9" w:type="pct"/>
                  <w:vMerge w:val="restart"/>
                  <w:shd w:val="clear" w:color="auto" w:fill="auto"/>
                  <w:vAlign w:val="center"/>
                </w:tcPr>
                <w:p w14:paraId="7BC69AA2">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p>
              </w:tc>
              <w:tc>
                <w:tcPr>
                  <w:tcW w:w="2323" w:type="pct"/>
                  <w:vAlign w:val="center"/>
                </w:tcPr>
                <w:p w14:paraId="5F7B0004">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Ⅰ</w:t>
                  </w:r>
                  <w:r>
                    <w:rPr>
                      <w:rFonts w:hint="default" w:ascii="Times New Roman" w:hAnsi="Times New Roman" w:cs="Times New Roman"/>
                      <w:color w:val="000000" w:themeColor="text1"/>
                      <w14:textFill>
                        <w14:solidFill>
                          <w14:schemeClr w14:val="tx1"/>
                        </w14:solidFill>
                      </w14:textFill>
                    </w:rPr>
                    <w:t>类场技术要求</w:t>
                  </w:r>
                  <w:r>
                    <w:rPr>
                      <w:rFonts w:hint="default" w:ascii="Times New Roman" w:hAnsi="Times New Roman" w:cs="Times New Roman"/>
                      <w:color w:val="000000" w:themeColor="text1"/>
                      <w:lang w:eastAsia="zh-CN"/>
                      <w14:textFill>
                        <w14:solidFill>
                          <w14:schemeClr w14:val="tx1"/>
                        </w14:solidFill>
                      </w14:textFill>
                    </w:rPr>
                    <w:t>：</w:t>
                  </w:r>
                </w:p>
                <w:p w14:paraId="370C4842">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5.2.1当天然基础层饱和渗透系数不大于1.0×10</w:t>
                  </w:r>
                  <w:r>
                    <w:rPr>
                      <w:rFonts w:hint="default" w:ascii="Times New Roman" w:hAnsi="Times New Roman" w:cs="Times New Roman"/>
                      <w:color w:val="000000" w:themeColor="text1"/>
                      <w:vertAlign w:val="superscript"/>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cm/s，且厚度不小于0.75m时，可以采用天然基础层作为防渗衬层。</w:t>
                  </w:r>
                </w:p>
                <w:p w14:paraId="12A4C7BA">
                  <w:pPr>
                    <w:pStyle w:val="13"/>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5.2.2当天然基础层不能满足5.2.1条防渗要求时，可采用改性压实粘土类衬层或具有同等以上隔水效力的其他材料防渗衬层，其防渗性能应至少相当于渗透系数为1.0×10</w:t>
                  </w:r>
                  <w:r>
                    <w:rPr>
                      <w:rFonts w:hint="default" w:ascii="Times New Roman" w:hAnsi="Times New Roman" w:cs="Times New Roman"/>
                      <w:color w:val="000000" w:themeColor="text1"/>
                      <w:vertAlign w:val="superscript"/>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cm/s且厚度为0.75m的天然基础层。</w:t>
                  </w:r>
                </w:p>
              </w:tc>
              <w:tc>
                <w:tcPr>
                  <w:tcW w:w="1789" w:type="pct"/>
                  <w:vMerge w:val="restart"/>
                  <w:vAlign w:val="center"/>
                </w:tcPr>
                <w:p w14:paraId="5F39E16A">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本项目水基岩屑</w:t>
                  </w:r>
                  <w:r>
                    <w:rPr>
                      <w:rFonts w:hint="eastAsia"/>
                      <w:lang w:val="en-US" w:eastAsia="zh-CN"/>
                    </w:rPr>
                    <w:t>从严按照II类固废进行管理。</w:t>
                  </w:r>
                  <w:r>
                    <w:rPr>
                      <w:rFonts w:hint="eastAsia" w:ascii="Times New Roman" w:hAnsi="Times New Roman" w:cs="Times New Roman"/>
                      <w:color w:val="000000" w:themeColor="text1"/>
                      <w:lang w:val="en-US" w:eastAsia="zh-CN"/>
                      <w14:textFill>
                        <w14:solidFill>
                          <w14:schemeClr w14:val="tx1"/>
                        </w14:solidFill>
                      </w14:textFill>
                    </w:rPr>
                    <w:t>水基岩屑储存池、堆存区及渗滤液池均采用重点防渗措施，水基岩屑储存池、渗滤液池采用强度等级为C30且抗渗等级为P6的混凝土硬化；水基岩屑堆存区采用防渗混凝土+2mm厚人工防渗材料。</w:t>
                  </w:r>
                  <w:r>
                    <w:rPr>
                      <w:rFonts w:hint="eastAsia" w:cs="Times New Roman"/>
                      <w:color w:val="000000" w:themeColor="text1"/>
                      <w:lang w:val="en-US" w:eastAsia="zh-CN"/>
                      <w14:textFill>
                        <w14:solidFill>
                          <w14:schemeClr w14:val="tx1"/>
                        </w14:solidFill>
                      </w14:textFill>
                    </w:rPr>
                    <w:t>能满足II</w:t>
                  </w:r>
                  <w:r>
                    <w:rPr>
                      <w:rFonts w:hint="default" w:ascii="Times New Roman" w:hAnsi="Times New Roman" w:cs="Times New Roman"/>
                      <w:color w:val="000000" w:themeColor="text1"/>
                      <w14:textFill>
                        <w14:solidFill>
                          <w14:schemeClr w14:val="tx1"/>
                        </w14:solidFill>
                      </w14:textFill>
                    </w:rPr>
                    <w:t>类场</w:t>
                  </w:r>
                  <w:r>
                    <w:rPr>
                      <w:rFonts w:hint="eastAsia" w:cs="Times New Roman"/>
                      <w:color w:val="000000" w:themeColor="text1"/>
                      <w:lang w:val="en-US" w:eastAsia="zh-CN"/>
                      <w14:textFill>
                        <w14:solidFill>
                          <w14:schemeClr w14:val="tx1"/>
                        </w14:solidFill>
                      </w14:textFill>
                    </w:rPr>
                    <w:t>技术要求。</w:t>
                  </w:r>
                </w:p>
              </w:tc>
              <w:tc>
                <w:tcPr>
                  <w:tcW w:w="497" w:type="pct"/>
                  <w:vMerge w:val="restart"/>
                  <w:vAlign w:val="center"/>
                </w:tcPr>
                <w:p w14:paraId="722543F5">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w:t>
                  </w:r>
                </w:p>
              </w:tc>
            </w:tr>
            <w:tr w14:paraId="1B23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9" w:type="pct"/>
                  <w:vMerge w:val="continue"/>
                  <w:shd w:val="clear" w:color="auto" w:fill="auto"/>
                  <w:vAlign w:val="center"/>
                </w:tcPr>
                <w:p w14:paraId="7C5079AA">
                  <w:pPr>
                    <w:pStyle w:val="13"/>
                    <w:jc w:val="both"/>
                  </w:pPr>
                </w:p>
              </w:tc>
              <w:tc>
                <w:tcPr>
                  <w:tcW w:w="2323" w:type="pct"/>
                  <w:vAlign w:val="center"/>
                </w:tcPr>
                <w:p w14:paraId="320C9F41">
                  <w:pPr>
                    <w:pStyle w:val="13"/>
                    <w:jc w:val="both"/>
                    <w:rPr>
                      <w:rFonts w:hint="default"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II类场技术要求</w:t>
                  </w:r>
                </w:p>
                <w:p w14:paraId="1EE72B79">
                  <w:pPr>
                    <w:pStyle w:val="13"/>
                    <w:jc w:val="both"/>
                    <w:rPr>
                      <w:rFonts w:hint="default"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5.3.1</w:t>
                  </w:r>
                  <w:r>
                    <w:rPr>
                      <w:rFonts w:hint="eastAsia" w:cs="Times New Roman"/>
                      <w:color w:val="000000" w:themeColor="text1"/>
                      <w:lang w:val="en-US" w:eastAsia="zh-CN"/>
                      <w14:textFill>
                        <w14:solidFill>
                          <w14:schemeClr w14:val="tx1"/>
                        </w14:solidFill>
                      </w14:textFill>
                    </w:rPr>
                    <w:t xml:space="preserve"> </w:t>
                  </w:r>
                  <w:r>
                    <w:rPr>
                      <w:rFonts w:hint="default" w:cs="Times New Roman"/>
                      <w:color w:val="000000" w:themeColor="text1"/>
                      <w14:textFill>
                        <w14:solidFill>
                          <w14:schemeClr w14:val="tx1"/>
                        </w14:solidFill>
                      </w14:textFill>
                    </w:rPr>
                    <w:t>II类场应采用单人工复合衬层作为防渗衬层，并符合以下技术要求：</w:t>
                  </w:r>
                </w:p>
                <w:p w14:paraId="0138C404">
                  <w:pPr>
                    <w:pStyle w:val="13"/>
                    <w:jc w:val="both"/>
                    <w:rPr>
                      <w:rFonts w:hint="default"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a）人工合成材料应采用高密度聚乙烯膜，厚度不小于1.5mm，并满足GB/T17643规定的技术指标要求。采用其他人工合成材料的，其防渗性能至少相当于1.5mm高密度聚乙烯膜的防渗性能。</w:t>
                  </w:r>
                </w:p>
                <w:p w14:paraId="4C232C0E">
                  <w:pPr>
                    <w:pStyle w:val="13"/>
                    <w:jc w:val="both"/>
                    <w:rPr>
                      <w:rFonts w:hint="default" w:ascii="Times New Roman" w:hAnsi="Times New Roman"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b）粘土衬层厚度应不小于0.75m，且经压实、人工改性等措施处理后的饱和渗透系数不应大于1.0×10</w:t>
                  </w:r>
                  <w:r>
                    <w:rPr>
                      <w:rFonts w:hint="default" w:cs="Times New Roman"/>
                      <w:color w:val="000000" w:themeColor="text1"/>
                      <w:vertAlign w:val="superscript"/>
                      <w14:textFill>
                        <w14:solidFill>
                          <w14:schemeClr w14:val="tx1"/>
                        </w14:solidFill>
                      </w14:textFill>
                    </w:rPr>
                    <w:t>-7</w:t>
                  </w:r>
                  <w:r>
                    <w:rPr>
                      <w:rFonts w:hint="default" w:cs="Times New Roman"/>
                      <w:color w:val="000000" w:themeColor="text1"/>
                      <w14:textFill>
                        <w14:solidFill>
                          <w14:schemeClr w14:val="tx1"/>
                        </w14:solidFill>
                      </w14:textFill>
                    </w:rPr>
                    <w:t xml:space="preserve">cm/s。使用其他粘土类防渗衬层材料时，应具有同等以上隔水效力。 </w:t>
                  </w:r>
                </w:p>
              </w:tc>
              <w:tc>
                <w:tcPr>
                  <w:tcW w:w="1789" w:type="pct"/>
                  <w:vMerge w:val="continue"/>
                  <w:vAlign w:val="center"/>
                </w:tcPr>
                <w:p w14:paraId="1EED38DC">
                  <w:pPr>
                    <w:pStyle w:val="13"/>
                    <w:jc w:val="both"/>
                    <w:rPr>
                      <w:rFonts w:hint="default" w:ascii="Times New Roman" w:hAnsi="Times New Roman" w:cs="Times New Roman"/>
                      <w:color w:val="000000" w:themeColor="text1"/>
                      <w14:textFill>
                        <w14:solidFill>
                          <w14:schemeClr w14:val="tx1"/>
                        </w14:solidFill>
                      </w14:textFill>
                    </w:rPr>
                  </w:pPr>
                </w:p>
              </w:tc>
              <w:tc>
                <w:tcPr>
                  <w:tcW w:w="497" w:type="pct"/>
                  <w:vMerge w:val="continue"/>
                  <w:vAlign w:val="center"/>
                </w:tcPr>
                <w:p w14:paraId="7132236A">
                  <w:pPr>
                    <w:pStyle w:val="13"/>
                    <w:jc w:val="both"/>
                    <w:rPr>
                      <w:rFonts w:hint="default" w:ascii="Times New Roman" w:hAnsi="Times New Roman" w:cs="Times New Roman"/>
                      <w:color w:val="000000" w:themeColor="text1"/>
                      <w14:textFill>
                        <w14:solidFill>
                          <w14:schemeClr w14:val="tx1"/>
                        </w14:solidFill>
                      </w14:textFill>
                    </w:rPr>
                  </w:pPr>
                </w:p>
              </w:tc>
            </w:tr>
            <w:tr w14:paraId="359D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9" w:type="pct"/>
                  <w:vMerge w:val="restart"/>
                  <w:shd w:val="clear" w:color="auto" w:fill="auto"/>
                  <w:vAlign w:val="center"/>
                </w:tcPr>
                <w:p w14:paraId="5C12FF19">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p>
              </w:tc>
              <w:tc>
                <w:tcPr>
                  <w:tcW w:w="2323" w:type="pct"/>
                  <w:vAlign w:val="center"/>
                </w:tcPr>
                <w:p w14:paraId="6E0BA289">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6.1进入I类场的一般工业固体废物应同时满足以下要求：</w:t>
                  </w:r>
                </w:p>
                <w:p w14:paraId="062AE63C">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a）第I类一般工业固体废物（包括第II类一般工业固体废物经处理后属于第I类一般工业固体废物的）；</w:t>
                  </w:r>
                </w:p>
                <w:p w14:paraId="6B112C79">
                  <w:pPr>
                    <w:pStyle w:val="13"/>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b）有机质含量小于2%（煤矸石除外），测定方法按照HJ761进行；</w:t>
                  </w:r>
                </w:p>
                <w:p w14:paraId="25ADB212">
                  <w:pPr>
                    <w:pStyle w:val="13"/>
                    <w:ind w:firstLine="0" w:firstLineChars="0"/>
                    <w:jc w:val="both"/>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c）水溶性盐总量小于2%，测定方法按照NY/T1121.16进行。</w:t>
                  </w:r>
                </w:p>
              </w:tc>
              <w:tc>
                <w:tcPr>
                  <w:tcW w:w="1789" w:type="pct"/>
                  <w:vMerge w:val="restart"/>
                  <w:vAlign w:val="center"/>
                </w:tcPr>
                <w:p w14:paraId="6AC5CA6A">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本项目水基岩屑储存池及水基岩屑堆存区仅暂存水基岩屑。</w:t>
                  </w:r>
                  <w:r>
                    <w:rPr>
                      <w:rFonts w:hint="eastAsia" w:cs="Times New Roman"/>
                      <w:color w:val="000000" w:themeColor="text1"/>
                      <w:lang w:val="en-US" w:eastAsia="zh-CN"/>
                      <w14:textFill>
                        <w14:solidFill>
                          <w14:schemeClr w14:val="tx1"/>
                        </w14:solidFill>
                      </w14:textFill>
                    </w:rPr>
                    <w:t>进行了重点防渗，满足II类场要求，因此本次评价要求建设单位后续对产品质量检测指标增加有机质含量、水溶性盐总量，需均小于5%。</w:t>
                  </w:r>
                </w:p>
              </w:tc>
              <w:tc>
                <w:tcPr>
                  <w:tcW w:w="497" w:type="pct"/>
                  <w:vMerge w:val="restart"/>
                  <w:vAlign w:val="center"/>
                </w:tcPr>
                <w:p w14:paraId="48832758">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w:t>
                  </w:r>
                </w:p>
              </w:tc>
            </w:tr>
            <w:tr w14:paraId="4690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9" w:type="pct"/>
                  <w:vMerge w:val="continue"/>
                  <w:shd w:val="clear" w:color="auto" w:fill="auto"/>
                  <w:vAlign w:val="center"/>
                </w:tcPr>
                <w:p w14:paraId="0AFCFC28">
                  <w:pPr>
                    <w:pStyle w:val="13"/>
                    <w:ind w:firstLine="0" w:firstLineChars="0"/>
                    <w:jc w:val="both"/>
                  </w:pPr>
                </w:p>
              </w:tc>
              <w:tc>
                <w:tcPr>
                  <w:tcW w:w="2323" w:type="pct"/>
                  <w:vAlign w:val="center"/>
                </w:tcPr>
                <w:p w14:paraId="21F9C469">
                  <w:pPr>
                    <w:pStyle w:val="13"/>
                    <w:ind w:firstLine="0" w:firstLineChars="0"/>
                    <w:jc w:val="both"/>
                    <w:rPr>
                      <w:rFonts w:hint="default"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6.2进入II类场的一般工业固体废物应同时满足以下要求：</w:t>
                  </w:r>
                </w:p>
                <w:p w14:paraId="3837AC83">
                  <w:pPr>
                    <w:pStyle w:val="13"/>
                    <w:ind w:firstLine="0" w:firstLineChars="0"/>
                    <w:jc w:val="both"/>
                    <w:rPr>
                      <w:rFonts w:hint="default"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a）有机质含量小于5%（煤矸石除外），测定方法按照HJ761进行；</w:t>
                  </w:r>
                </w:p>
                <w:p w14:paraId="029FEBAC">
                  <w:pPr>
                    <w:pStyle w:val="13"/>
                    <w:ind w:firstLine="0" w:firstLineChars="0"/>
                    <w:jc w:val="both"/>
                    <w:rPr>
                      <w:rFonts w:hint="default" w:ascii="Times New Roman" w:hAnsi="Times New Roman"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b）水溶性盐总量小于5%，测定方法按照NY/T1121.16进行。</w:t>
                  </w:r>
                </w:p>
              </w:tc>
              <w:tc>
                <w:tcPr>
                  <w:tcW w:w="1789" w:type="pct"/>
                  <w:vMerge w:val="continue"/>
                  <w:vAlign w:val="center"/>
                </w:tcPr>
                <w:p w14:paraId="5AA901C0">
                  <w:pPr>
                    <w:pStyle w:val="13"/>
                    <w:ind w:firstLine="0" w:firstLineChars="0"/>
                    <w:jc w:val="both"/>
                    <w:rPr>
                      <w:rFonts w:hint="default" w:ascii="Times New Roman" w:hAnsi="Times New Roman" w:cs="Times New Roman"/>
                      <w:color w:val="000000" w:themeColor="text1"/>
                      <w14:textFill>
                        <w14:solidFill>
                          <w14:schemeClr w14:val="tx1"/>
                        </w14:solidFill>
                      </w14:textFill>
                    </w:rPr>
                  </w:pPr>
                </w:p>
              </w:tc>
              <w:tc>
                <w:tcPr>
                  <w:tcW w:w="497" w:type="pct"/>
                  <w:vMerge w:val="continue"/>
                  <w:vAlign w:val="center"/>
                </w:tcPr>
                <w:p w14:paraId="3D5AF3A6">
                  <w:pPr>
                    <w:pStyle w:val="13"/>
                    <w:ind w:firstLine="0" w:firstLineChars="0"/>
                    <w:jc w:val="both"/>
                    <w:rPr>
                      <w:rFonts w:hint="default" w:ascii="Times New Roman" w:hAnsi="Times New Roman" w:cs="Times New Roman"/>
                      <w:color w:val="000000" w:themeColor="text1"/>
                      <w14:textFill>
                        <w14:solidFill>
                          <w14:schemeClr w14:val="tx1"/>
                        </w14:solidFill>
                      </w14:textFill>
                    </w:rPr>
                  </w:pPr>
                </w:p>
              </w:tc>
            </w:tr>
            <w:tr w14:paraId="6A3D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9" w:type="pct"/>
                  <w:shd w:val="clear" w:color="auto" w:fill="auto"/>
                  <w:vAlign w:val="center"/>
                </w:tcPr>
                <w:p w14:paraId="56172CE0">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p>
              </w:tc>
              <w:tc>
                <w:tcPr>
                  <w:tcW w:w="2323" w:type="pct"/>
                  <w:vAlign w:val="center"/>
                </w:tcPr>
                <w:p w14:paraId="09F2667D">
                  <w:pPr>
                    <w:pStyle w:val="13"/>
                    <w:ind w:firstLine="0" w:firstLineChars="0"/>
                    <w:jc w:val="both"/>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不相容的一般工业固体废物应设置不同的分区进行贮存和填埋作业。 </w:t>
                  </w:r>
                </w:p>
              </w:tc>
              <w:tc>
                <w:tcPr>
                  <w:tcW w:w="1789" w:type="pct"/>
                  <w:vAlign w:val="center"/>
                </w:tcPr>
                <w:p w14:paraId="20A98D6C">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本项目将聚合物水基岩屑和磺化/聚磺水基岩屑进行分开暂存。</w:t>
                  </w:r>
                </w:p>
              </w:tc>
              <w:tc>
                <w:tcPr>
                  <w:tcW w:w="497" w:type="pct"/>
                  <w:vAlign w:val="center"/>
                </w:tcPr>
                <w:p w14:paraId="6A21CCC6">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符合</w:t>
                  </w:r>
                </w:p>
              </w:tc>
            </w:tr>
            <w:tr w14:paraId="358F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9" w:type="pct"/>
                  <w:shd w:val="clear" w:color="auto" w:fill="auto"/>
                  <w:vAlign w:val="center"/>
                </w:tcPr>
                <w:p w14:paraId="42EAC4EF">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p>
              </w:tc>
              <w:tc>
                <w:tcPr>
                  <w:tcW w:w="2323" w:type="pct"/>
                  <w:vAlign w:val="center"/>
                </w:tcPr>
                <w:p w14:paraId="1A1C1A23">
                  <w:pPr>
                    <w:pStyle w:val="13"/>
                    <w:ind w:firstLine="0" w:firstLineChars="0"/>
                    <w:jc w:val="both"/>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危险废物和生活垃圾不得进入一般工业固体废物贮存场及填埋场。国家及地方有关法律法规、标准另有规定的除外</w:t>
                  </w:r>
                  <w:r>
                    <w:rPr>
                      <w:rFonts w:hint="default" w:ascii="Times New Roman" w:hAnsi="Times New Roman" w:cs="Times New Roman"/>
                      <w:color w:val="000000" w:themeColor="text1"/>
                      <w:lang w:eastAsia="zh-CN"/>
                      <w14:textFill>
                        <w14:solidFill>
                          <w14:schemeClr w14:val="tx1"/>
                        </w14:solidFill>
                      </w14:textFill>
                    </w:rPr>
                    <w:t>。</w:t>
                  </w:r>
                </w:p>
              </w:tc>
              <w:tc>
                <w:tcPr>
                  <w:tcW w:w="1789" w:type="pct"/>
                  <w:vAlign w:val="center"/>
                </w:tcPr>
                <w:p w14:paraId="46057C2D">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本项目设置单独危废暂存间进行暂存危险废物，生活垃圾日产日清，由环卫部门统一清运。</w:t>
                  </w:r>
                </w:p>
              </w:tc>
              <w:tc>
                <w:tcPr>
                  <w:tcW w:w="497" w:type="pct"/>
                  <w:vAlign w:val="center"/>
                </w:tcPr>
                <w:p w14:paraId="084AC088">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符合</w:t>
                  </w:r>
                </w:p>
              </w:tc>
            </w:tr>
          </w:tbl>
          <w:p w14:paraId="0EE767A2">
            <w:pPr>
              <w:rPr>
                <w:rFonts w:hint="default" w:eastAsia="宋体"/>
                <w:lang w:val="en-US" w:eastAsia="zh-CN"/>
              </w:rPr>
            </w:pPr>
            <w:r>
              <w:rPr>
                <w:rFonts w:hint="eastAsia"/>
                <w:lang w:val="en-US" w:eastAsia="zh-CN"/>
              </w:rPr>
              <w:t>综上所述，本项目水基岩屑贮存满足</w:t>
            </w:r>
            <w:r>
              <w:rPr>
                <w:rFonts w:hint="eastAsia"/>
              </w:rPr>
              <w:t>《一般工业固体废物贮存和填埋污染控制标准》（GB18599-2020）</w:t>
            </w:r>
            <w:r>
              <w:rPr>
                <w:rFonts w:hint="eastAsia"/>
                <w:lang w:val="en-US" w:eastAsia="zh-CN"/>
              </w:rPr>
              <w:t>中的相关要求。</w:t>
            </w:r>
          </w:p>
          <w:p w14:paraId="7C933F05">
            <w:pPr>
              <w:pStyle w:val="4"/>
              <w:spacing w:before="0" w:beforeLines="0"/>
              <w:ind w:firstLine="0" w:firstLine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19、</w:t>
            </w:r>
            <w:r>
              <w:rPr>
                <w:color w:val="000000" w:themeColor="text1"/>
                <w14:textFill>
                  <w14:solidFill>
                    <w14:schemeClr w14:val="tx1"/>
                  </w14:solidFill>
                </w14:textFill>
              </w:rPr>
              <w:t>外环境关系及选址合理性分析</w:t>
            </w:r>
          </w:p>
          <w:p w14:paraId="27F92F40">
            <w:pPr>
              <w:ind w:firstLine="48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（1）外环境情况</w:t>
            </w:r>
          </w:p>
          <w:p w14:paraId="15662814">
            <w:pPr>
              <w:ind w:firstLine="480"/>
              <w:rPr>
                <w:rFonts w:hint="default" w:cs="Times New Roman"/>
                <w:b/>
                <w:bCs/>
                <w:color w:val="000000" w:themeColor="text1"/>
                <w:lang w:val="en-US" w:eastAsia="zh-CN"/>
                <w14:textFill>
                  <w14:solidFill>
                    <w14:schemeClr w14:val="tx1"/>
                  </w14:solidFill>
                </w14:textFill>
              </w:rPr>
            </w:pPr>
            <w:r>
              <w:rPr>
                <w:rFonts w:hint="eastAsia" w:cs="Times New Roman"/>
                <w:b/>
                <w:bCs/>
                <w:color w:val="000000" w:themeColor="text1"/>
                <w:lang w:eastAsia="zh-CN"/>
                <w14:textFill>
                  <w14:solidFill>
                    <w14:schemeClr w14:val="tx1"/>
                  </w14:solidFill>
                </w14:textFill>
              </w:rPr>
              <w:t>①</w:t>
            </w:r>
            <w:r>
              <w:rPr>
                <w:rFonts w:hint="eastAsia" w:cs="Times New Roman"/>
                <w:b/>
                <w:bCs/>
                <w:color w:val="000000" w:themeColor="text1"/>
                <w:lang w:val="en-US" w:eastAsia="zh-CN"/>
                <w14:textFill>
                  <w14:solidFill>
                    <w14:schemeClr w14:val="tx1"/>
                  </w14:solidFill>
                </w14:textFill>
              </w:rPr>
              <w:t>500m范围内外环境</w:t>
            </w:r>
          </w:p>
          <w:p w14:paraId="63C78DBC">
            <w:pPr>
              <w:ind w:firstLine="480"/>
              <w:rPr>
                <w:rFonts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四川平昌经济开发区星光工业园施迈路1号（1号厂房、2号厂房、3号厂房），本项目已取得园区入园许可，符合规划要求。本项目租赁四川金联玉合电气有限公司-原单位名称为四川施迈电气有限公司）已建成的1号厂房、2号厂房、3号厂房建设本项目。周边总体上以其他工业企业、空置厂房及居民为主。</w:t>
            </w:r>
          </w:p>
          <w:p w14:paraId="0F868B72">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 xml:space="preserve">1-22 </w:t>
            </w: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500m范围内</w:t>
            </w:r>
            <w:r>
              <w:rPr>
                <w:rFonts w:cs="Times New Roman"/>
                <w:color w:val="000000" w:themeColor="text1"/>
                <w14:textFill>
                  <w14:solidFill>
                    <w14:schemeClr w14:val="tx1"/>
                  </w14:solidFill>
                </w14:textFill>
              </w:rPr>
              <w:t>外环境概括表</w:t>
            </w:r>
          </w:p>
          <w:tbl>
            <w:tblPr>
              <w:tblStyle w:val="29"/>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4"/>
              <w:gridCol w:w="3546"/>
              <w:gridCol w:w="889"/>
              <w:gridCol w:w="1136"/>
              <w:gridCol w:w="887"/>
              <w:gridCol w:w="1808"/>
            </w:tblGrid>
            <w:tr w14:paraId="7E82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vAlign w:val="center"/>
                </w:tcPr>
                <w:p w14:paraId="55512AF9">
                  <w:pPr>
                    <w:pStyle w:val="51"/>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序号</w:t>
                  </w:r>
                </w:p>
              </w:tc>
              <w:tc>
                <w:tcPr>
                  <w:tcW w:w="2007" w:type="pct"/>
                  <w:vAlign w:val="center"/>
                </w:tcPr>
                <w:p w14:paraId="25EA63D5">
                  <w:pPr>
                    <w:pStyle w:val="51"/>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名称</w:t>
                  </w:r>
                </w:p>
              </w:tc>
              <w:tc>
                <w:tcPr>
                  <w:tcW w:w="503" w:type="pct"/>
                  <w:vAlign w:val="center"/>
                </w:tcPr>
                <w:p w14:paraId="2C049FE6">
                  <w:pPr>
                    <w:pStyle w:val="51"/>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方位</w:t>
                  </w:r>
                </w:p>
              </w:tc>
              <w:tc>
                <w:tcPr>
                  <w:tcW w:w="643" w:type="pct"/>
                  <w:vAlign w:val="center"/>
                </w:tcPr>
                <w:p w14:paraId="4876F2E7">
                  <w:pPr>
                    <w:pStyle w:val="51"/>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距离/m</w:t>
                  </w:r>
                </w:p>
              </w:tc>
              <w:tc>
                <w:tcPr>
                  <w:tcW w:w="502" w:type="pct"/>
                  <w:vAlign w:val="center"/>
                </w:tcPr>
                <w:p w14:paraId="1651522D">
                  <w:pPr>
                    <w:pStyle w:val="51"/>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性质</w:t>
                  </w:r>
                </w:p>
              </w:tc>
              <w:tc>
                <w:tcPr>
                  <w:tcW w:w="1023" w:type="pct"/>
                  <w:vAlign w:val="center"/>
                </w:tcPr>
                <w:p w14:paraId="71BCFD12">
                  <w:pPr>
                    <w:pStyle w:val="51"/>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备注</w:t>
                  </w:r>
                </w:p>
              </w:tc>
            </w:tr>
            <w:tr w14:paraId="7A14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vAlign w:val="center"/>
                </w:tcPr>
                <w:p w14:paraId="0B4E20D6">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2007" w:type="pct"/>
                  <w:vAlign w:val="center"/>
                </w:tcPr>
                <w:p w14:paraId="53472D9D">
                  <w:pPr>
                    <w:pStyle w:val="13"/>
                    <w:jc w:val="center"/>
                    <w:rPr>
                      <w:rFonts w:hint="eastAsia"/>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四川三科共兴再生资源有限公司</w:t>
                  </w:r>
                </w:p>
              </w:tc>
              <w:tc>
                <w:tcPr>
                  <w:tcW w:w="503" w:type="pct"/>
                  <w:vAlign w:val="center"/>
                </w:tcPr>
                <w:p w14:paraId="6E51C096">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643" w:type="pct"/>
                  <w:vAlign w:val="center"/>
                </w:tcPr>
                <w:p w14:paraId="223F1C29">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w:t>
                  </w:r>
                </w:p>
              </w:tc>
              <w:tc>
                <w:tcPr>
                  <w:tcW w:w="502" w:type="pct"/>
                  <w:vAlign w:val="center"/>
                </w:tcPr>
                <w:p w14:paraId="64919C62">
                  <w:pPr>
                    <w:pStyle w:val="13"/>
                    <w:jc w:val="center"/>
                    <w:rPr>
                      <w:rFonts w:hint="eastAsia"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58C6BBA8">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固废综合利用，已停产</w:t>
                  </w:r>
                </w:p>
              </w:tc>
            </w:tr>
            <w:tr w14:paraId="0A3E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vAlign w:val="center"/>
                </w:tcPr>
                <w:p w14:paraId="3E6F48D1">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2007" w:type="pct"/>
                  <w:vAlign w:val="center"/>
                </w:tcPr>
                <w:p w14:paraId="0C4948C2">
                  <w:pPr>
                    <w:pStyle w:val="13"/>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中石油钻井泥浆配置站原料库房</w:t>
                  </w:r>
                </w:p>
              </w:tc>
              <w:tc>
                <w:tcPr>
                  <w:tcW w:w="503" w:type="pct"/>
                  <w:vAlign w:val="center"/>
                </w:tcPr>
                <w:p w14:paraId="10BB9CC8">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北侧</w:t>
                  </w:r>
                </w:p>
              </w:tc>
              <w:tc>
                <w:tcPr>
                  <w:tcW w:w="643" w:type="pct"/>
                  <w:vAlign w:val="center"/>
                </w:tcPr>
                <w:p w14:paraId="370247AC">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24</w:t>
                  </w:r>
                </w:p>
              </w:tc>
              <w:tc>
                <w:tcPr>
                  <w:tcW w:w="502" w:type="pct"/>
                  <w:vAlign w:val="center"/>
                </w:tcPr>
                <w:p w14:paraId="196CF3BD">
                  <w:pPr>
                    <w:pStyle w:val="13"/>
                    <w:jc w:val="center"/>
                    <w:rPr>
                      <w:rFonts w:hint="eastAsia"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3D17430F">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库房</w:t>
                  </w:r>
                </w:p>
              </w:tc>
            </w:tr>
            <w:tr w14:paraId="24C3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7CDDE430">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2007" w:type="pct"/>
                  <w:vAlign w:val="center"/>
                </w:tcPr>
                <w:p w14:paraId="17B04767">
                  <w:pPr>
                    <w:pStyle w:val="13"/>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中石油钻井泥浆配置站</w:t>
                  </w:r>
                </w:p>
              </w:tc>
              <w:tc>
                <w:tcPr>
                  <w:tcW w:w="503" w:type="pct"/>
                  <w:vAlign w:val="center"/>
                </w:tcPr>
                <w:p w14:paraId="1B4DA4FE">
                  <w:pPr>
                    <w:pStyle w:val="13"/>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北侧</w:t>
                  </w:r>
                </w:p>
              </w:tc>
              <w:tc>
                <w:tcPr>
                  <w:tcW w:w="643" w:type="pct"/>
                  <w:vAlign w:val="center"/>
                </w:tcPr>
                <w:p w14:paraId="44B5FDDC">
                  <w:pPr>
                    <w:pStyle w:val="13"/>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502" w:type="pct"/>
                  <w:vAlign w:val="center"/>
                </w:tcPr>
                <w:p w14:paraId="27C28586">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企业</w:t>
                  </w:r>
                </w:p>
              </w:tc>
              <w:tc>
                <w:tcPr>
                  <w:tcW w:w="1023" w:type="pct"/>
                  <w:vAlign w:val="center"/>
                </w:tcPr>
                <w:p w14:paraId="184754FA">
                  <w:pPr>
                    <w:pStyle w:val="13"/>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泥浆配置</w:t>
                  </w:r>
                </w:p>
              </w:tc>
            </w:tr>
            <w:tr w14:paraId="32B5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116E7EF0">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2007" w:type="pct"/>
                  <w:vAlign w:val="center"/>
                </w:tcPr>
                <w:p w14:paraId="57088A36">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大众产业园二期</w:t>
                  </w:r>
                </w:p>
              </w:tc>
              <w:tc>
                <w:tcPr>
                  <w:tcW w:w="503" w:type="pct"/>
                  <w:vAlign w:val="center"/>
                </w:tcPr>
                <w:p w14:paraId="7DAB2F53">
                  <w:pPr>
                    <w:pStyle w:val="13"/>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北侧</w:t>
                  </w:r>
                </w:p>
              </w:tc>
              <w:tc>
                <w:tcPr>
                  <w:tcW w:w="643" w:type="pct"/>
                  <w:vAlign w:val="center"/>
                </w:tcPr>
                <w:p w14:paraId="2B439111">
                  <w:pPr>
                    <w:pStyle w:val="13"/>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cs="Times New Roman"/>
                      <w:color w:val="000000" w:themeColor="text1"/>
                      <w:sz w:val="21"/>
                      <w:szCs w:val="21"/>
                      <w14:textFill>
                        <w14:solidFill>
                          <w14:schemeClr w14:val="tx1"/>
                        </w14:solidFill>
                      </w14:textFill>
                    </w:rPr>
                    <w:t>5</w:t>
                  </w:r>
                  <w:r>
                    <w:rPr>
                      <w:rFonts w:hint="eastAsia" w:cs="Times New Roman"/>
                      <w:color w:val="000000" w:themeColor="text1"/>
                      <w:sz w:val="21"/>
                      <w:szCs w:val="21"/>
                      <w:lang w:val="en-US" w:eastAsia="zh-CN"/>
                      <w14:textFill>
                        <w14:solidFill>
                          <w14:schemeClr w14:val="tx1"/>
                        </w14:solidFill>
                      </w14:textFill>
                    </w:rPr>
                    <w:t>5</w:t>
                  </w:r>
                </w:p>
              </w:tc>
              <w:tc>
                <w:tcPr>
                  <w:tcW w:w="502" w:type="pct"/>
                  <w:vAlign w:val="center"/>
                </w:tcPr>
                <w:p w14:paraId="5A211436">
                  <w:pPr>
                    <w:pStyle w:val="13"/>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264214BC">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工业园区</w:t>
                  </w:r>
                </w:p>
              </w:tc>
            </w:tr>
            <w:tr w14:paraId="0870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74AF8F63">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2007" w:type="pct"/>
                  <w:vAlign w:val="center"/>
                </w:tcPr>
                <w:p w14:paraId="0E1CB0BE">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中铁十一局集团有限公司项目部</w:t>
                  </w:r>
                </w:p>
              </w:tc>
              <w:tc>
                <w:tcPr>
                  <w:tcW w:w="503" w:type="pct"/>
                  <w:vAlign w:val="center"/>
                </w:tcPr>
                <w:p w14:paraId="7DB53286">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643" w:type="pct"/>
                  <w:vAlign w:val="center"/>
                </w:tcPr>
                <w:p w14:paraId="2B604627">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60</w:t>
                  </w:r>
                </w:p>
              </w:tc>
              <w:tc>
                <w:tcPr>
                  <w:tcW w:w="502" w:type="pct"/>
                  <w:vAlign w:val="center"/>
                </w:tcPr>
                <w:p w14:paraId="2770093B">
                  <w:pPr>
                    <w:pStyle w:val="13"/>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4C9F95B7">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3364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2D390D44">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p>
              </w:tc>
              <w:tc>
                <w:tcPr>
                  <w:tcW w:w="2007" w:type="pct"/>
                  <w:vAlign w:val="center"/>
                </w:tcPr>
                <w:p w14:paraId="00BEBDED">
                  <w:pPr>
                    <w:pStyle w:val="13"/>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平昌县茂鑫金属制品有限公司</w:t>
                  </w:r>
                </w:p>
              </w:tc>
              <w:tc>
                <w:tcPr>
                  <w:tcW w:w="503" w:type="pct"/>
                  <w:vAlign w:val="center"/>
                </w:tcPr>
                <w:p w14:paraId="3088E6DE">
                  <w:pPr>
                    <w:pStyle w:val="13"/>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643" w:type="pct"/>
                  <w:vAlign w:val="center"/>
                </w:tcPr>
                <w:p w14:paraId="0F0DAE37">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330</w:t>
                  </w:r>
                </w:p>
              </w:tc>
              <w:tc>
                <w:tcPr>
                  <w:tcW w:w="502" w:type="pct"/>
                  <w:vAlign w:val="center"/>
                </w:tcPr>
                <w:p w14:paraId="1AE1319D">
                  <w:pPr>
                    <w:pStyle w:val="13"/>
                    <w:jc w:val="center"/>
                    <w:rPr>
                      <w:rFonts w:hint="eastAsia"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7423CF47">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金属制品制造</w:t>
                  </w:r>
                </w:p>
              </w:tc>
            </w:tr>
            <w:tr w14:paraId="4D4E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424DF4EC">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w:t>
                  </w:r>
                </w:p>
              </w:tc>
              <w:tc>
                <w:tcPr>
                  <w:tcW w:w="2007" w:type="pct"/>
                  <w:vAlign w:val="center"/>
                </w:tcPr>
                <w:p w14:paraId="43B9DC66">
                  <w:pPr>
                    <w:pStyle w:val="13"/>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平昌县助力车轮制造有限公司</w:t>
                  </w:r>
                </w:p>
              </w:tc>
              <w:tc>
                <w:tcPr>
                  <w:tcW w:w="503" w:type="pct"/>
                  <w:vAlign w:val="center"/>
                </w:tcPr>
                <w:p w14:paraId="4C4906A7">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北侧</w:t>
                  </w:r>
                </w:p>
              </w:tc>
              <w:tc>
                <w:tcPr>
                  <w:tcW w:w="643" w:type="pct"/>
                  <w:vAlign w:val="center"/>
                </w:tcPr>
                <w:p w14:paraId="28910717">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75</w:t>
                  </w:r>
                </w:p>
              </w:tc>
              <w:tc>
                <w:tcPr>
                  <w:tcW w:w="502" w:type="pct"/>
                  <w:vAlign w:val="center"/>
                </w:tcPr>
                <w:p w14:paraId="5EC9CFB3">
                  <w:pPr>
                    <w:pStyle w:val="13"/>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76770DF9">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钢圈生产</w:t>
                  </w:r>
                </w:p>
              </w:tc>
            </w:tr>
            <w:tr w14:paraId="2637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3AFB1011">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w:t>
                  </w:r>
                </w:p>
              </w:tc>
              <w:tc>
                <w:tcPr>
                  <w:tcW w:w="2007" w:type="pct"/>
                  <w:vAlign w:val="center"/>
                </w:tcPr>
                <w:p w14:paraId="4CA42B60">
                  <w:pPr>
                    <w:pStyle w:val="13"/>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光富报废汽车回收有限责任公司</w:t>
                  </w:r>
                </w:p>
              </w:tc>
              <w:tc>
                <w:tcPr>
                  <w:tcW w:w="503" w:type="pct"/>
                  <w:vAlign w:val="center"/>
                </w:tcPr>
                <w:p w14:paraId="5120DB7D">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643" w:type="pct"/>
                  <w:vAlign w:val="center"/>
                </w:tcPr>
                <w:p w14:paraId="74912D8A">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285</w:t>
                  </w:r>
                </w:p>
              </w:tc>
              <w:tc>
                <w:tcPr>
                  <w:tcW w:w="502" w:type="pct"/>
                  <w:vAlign w:val="center"/>
                </w:tcPr>
                <w:p w14:paraId="008CECE4">
                  <w:pPr>
                    <w:pStyle w:val="13"/>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148DF17D">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报废汽车回收</w:t>
                  </w:r>
                </w:p>
              </w:tc>
            </w:tr>
            <w:tr w14:paraId="4347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5B137C0E">
                  <w:pPr>
                    <w:pStyle w:val="13"/>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w:t>
                  </w:r>
                </w:p>
              </w:tc>
              <w:tc>
                <w:tcPr>
                  <w:tcW w:w="2007" w:type="pct"/>
                  <w:vAlign w:val="center"/>
                </w:tcPr>
                <w:p w14:paraId="253FE202">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居民点1#</w:t>
                  </w:r>
                </w:p>
              </w:tc>
              <w:tc>
                <w:tcPr>
                  <w:tcW w:w="503" w:type="pct"/>
                  <w:vAlign w:val="center"/>
                </w:tcPr>
                <w:p w14:paraId="6A40B7E8">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643" w:type="pct"/>
                  <w:vAlign w:val="center"/>
                </w:tcPr>
                <w:p w14:paraId="7A09F875">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400-490</w:t>
                  </w:r>
                </w:p>
              </w:tc>
              <w:tc>
                <w:tcPr>
                  <w:tcW w:w="502" w:type="pct"/>
                  <w:vAlign w:val="center"/>
                </w:tcPr>
                <w:p w14:paraId="4E768327">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居民</w:t>
                  </w:r>
                </w:p>
              </w:tc>
              <w:tc>
                <w:tcPr>
                  <w:tcW w:w="1023" w:type="pct"/>
                  <w:vAlign w:val="center"/>
                </w:tcPr>
                <w:p w14:paraId="66360097">
                  <w:pPr>
                    <w:pStyle w:val="13"/>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约24人</w:t>
                  </w:r>
                </w:p>
              </w:tc>
            </w:tr>
            <w:tr w14:paraId="046D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7B1189BB">
                  <w:pPr>
                    <w:pStyle w:val="13"/>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2007" w:type="pct"/>
                  <w:vAlign w:val="center"/>
                </w:tcPr>
                <w:p w14:paraId="6ADDD7F2">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居民点2</w:t>
                  </w:r>
                  <w:r>
                    <w:rPr>
                      <w:rFonts w:cs="Times New Roman"/>
                      <w:color w:val="000000" w:themeColor="text1"/>
                      <w:sz w:val="21"/>
                      <w:szCs w:val="21"/>
                      <w14:textFill>
                        <w14:solidFill>
                          <w14:schemeClr w14:val="tx1"/>
                        </w14:solidFill>
                      </w14:textFill>
                    </w:rPr>
                    <w:t>#</w:t>
                  </w:r>
                </w:p>
              </w:tc>
              <w:tc>
                <w:tcPr>
                  <w:tcW w:w="503" w:type="pct"/>
                  <w:vAlign w:val="center"/>
                </w:tcPr>
                <w:p w14:paraId="5BB2596C">
                  <w:pPr>
                    <w:pStyle w:val="13"/>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643" w:type="pct"/>
                  <w:vAlign w:val="center"/>
                </w:tcPr>
                <w:p w14:paraId="641D5D79">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460</w:t>
                  </w:r>
                  <w:r>
                    <w:rPr>
                      <w:rFonts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63</w:t>
                  </w:r>
                  <w:r>
                    <w:rPr>
                      <w:rFonts w:cs="Times New Roman"/>
                      <w:color w:val="000000" w:themeColor="text1"/>
                      <w:sz w:val="21"/>
                      <w:szCs w:val="21"/>
                      <w14:textFill>
                        <w14:solidFill>
                          <w14:schemeClr w14:val="tx1"/>
                        </w14:solidFill>
                      </w14:textFill>
                    </w:rPr>
                    <w:t>0</w:t>
                  </w:r>
                </w:p>
              </w:tc>
              <w:tc>
                <w:tcPr>
                  <w:tcW w:w="502" w:type="pct"/>
                  <w:vAlign w:val="center"/>
                </w:tcPr>
                <w:p w14:paraId="5597D19C">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w:t>
                  </w:r>
                </w:p>
              </w:tc>
              <w:tc>
                <w:tcPr>
                  <w:tcW w:w="1023" w:type="pct"/>
                  <w:vAlign w:val="center"/>
                </w:tcPr>
                <w:p w14:paraId="027861A6">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约51人</w:t>
                  </w:r>
                </w:p>
              </w:tc>
            </w:tr>
            <w:tr w14:paraId="0FCE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0F85685A">
                  <w:pPr>
                    <w:pStyle w:val="13"/>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w:t>
                  </w:r>
                </w:p>
              </w:tc>
              <w:tc>
                <w:tcPr>
                  <w:tcW w:w="2007" w:type="pct"/>
                  <w:vAlign w:val="center"/>
                </w:tcPr>
                <w:p w14:paraId="0C010643">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居民点3</w:t>
                  </w:r>
                  <w:r>
                    <w:rPr>
                      <w:rFonts w:cs="Times New Roman"/>
                      <w:color w:val="000000" w:themeColor="text1"/>
                      <w:sz w:val="21"/>
                      <w:szCs w:val="21"/>
                      <w14:textFill>
                        <w14:solidFill>
                          <w14:schemeClr w14:val="tx1"/>
                        </w14:solidFill>
                      </w14:textFill>
                    </w:rPr>
                    <w:t>#</w:t>
                  </w:r>
                </w:p>
              </w:tc>
              <w:tc>
                <w:tcPr>
                  <w:tcW w:w="503" w:type="pct"/>
                  <w:vAlign w:val="center"/>
                </w:tcPr>
                <w:p w14:paraId="1E59E958">
                  <w:pPr>
                    <w:pStyle w:val="13"/>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东南侧</w:t>
                  </w:r>
                </w:p>
              </w:tc>
              <w:tc>
                <w:tcPr>
                  <w:tcW w:w="643" w:type="pct"/>
                  <w:vAlign w:val="center"/>
                </w:tcPr>
                <w:p w14:paraId="7A59A6DD">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4</w:t>
                  </w:r>
                  <w:r>
                    <w:rPr>
                      <w:rFonts w:hint="eastAsia" w:cs="Times New Roman"/>
                      <w:color w:val="000000" w:themeColor="text1"/>
                      <w:sz w:val="21"/>
                      <w:szCs w:val="21"/>
                      <w:lang w:val="en-US" w:eastAsia="zh-CN"/>
                      <w14:textFill>
                        <w14:solidFill>
                          <w14:schemeClr w14:val="tx1"/>
                        </w14:solidFill>
                      </w14:textFill>
                    </w:rPr>
                    <w:t>30</w:t>
                  </w:r>
                  <w:r>
                    <w:rPr>
                      <w:rFonts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610</w:t>
                  </w:r>
                </w:p>
              </w:tc>
              <w:tc>
                <w:tcPr>
                  <w:tcW w:w="502" w:type="pct"/>
                  <w:vAlign w:val="center"/>
                </w:tcPr>
                <w:p w14:paraId="5C635A94">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w:t>
                  </w:r>
                </w:p>
              </w:tc>
              <w:tc>
                <w:tcPr>
                  <w:tcW w:w="1023" w:type="pct"/>
                  <w:vAlign w:val="center"/>
                </w:tcPr>
                <w:p w14:paraId="280B2AC7">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约45人</w:t>
                  </w:r>
                </w:p>
              </w:tc>
            </w:tr>
            <w:tr w14:paraId="727B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35832827">
                  <w:pPr>
                    <w:pStyle w:val="13"/>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2007" w:type="pct"/>
                  <w:vAlign w:val="center"/>
                </w:tcPr>
                <w:p w14:paraId="03A82196">
                  <w:pPr>
                    <w:pStyle w:val="13"/>
                    <w:ind w:firstLine="0" w:firstLineChars="0"/>
                    <w:jc w:val="center"/>
                    <w:rPr>
                      <w:rFonts w:hint="eastAsia"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四川惠创智链科技有限公司</w:t>
                  </w:r>
                </w:p>
              </w:tc>
              <w:tc>
                <w:tcPr>
                  <w:tcW w:w="503" w:type="pct"/>
                  <w:vAlign w:val="center"/>
                </w:tcPr>
                <w:p w14:paraId="641D1A8F">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南侧</w:t>
                  </w:r>
                </w:p>
              </w:tc>
              <w:tc>
                <w:tcPr>
                  <w:tcW w:w="643" w:type="pct"/>
                  <w:vAlign w:val="center"/>
                </w:tcPr>
                <w:p w14:paraId="4B90BA16">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8</w:t>
                  </w:r>
                  <w:r>
                    <w:rPr>
                      <w:rFonts w:cs="Times New Roman"/>
                      <w:color w:val="000000" w:themeColor="text1"/>
                      <w:sz w:val="21"/>
                      <w:szCs w:val="21"/>
                      <w14:textFill>
                        <w14:solidFill>
                          <w14:schemeClr w14:val="tx1"/>
                        </w14:solidFill>
                      </w14:textFill>
                    </w:rPr>
                    <w:t>5</w:t>
                  </w:r>
                </w:p>
              </w:tc>
              <w:tc>
                <w:tcPr>
                  <w:tcW w:w="502" w:type="pct"/>
                  <w:vAlign w:val="center"/>
                </w:tcPr>
                <w:p w14:paraId="0A3FCB8A">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7090E88D">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电动车、摩托车组装、发动机生产</w:t>
                  </w:r>
                </w:p>
              </w:tc>
            </w:tr>
            <w:tr w14:paraId="5743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07D5ED5C">
                  <w:pPr>
                    <w:pStyle w:val="13"/>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3</w:t>
                  </w:r>
                </w:p>
              </w:tc>
              <w:tc>
                <w:tcPr>
                  <w:tcW w:w="2007" w:type="pct"/>
                  <w:vAlign w:val="center"/>
                </w:tcPr>
                <w:p w14:paraId="34FFA017">
                  <w:pPr>
                    <w:pStyle w:val="13"/>
                    <w:ind w:firstLine="0" w:firstLineChars="0"/>
                    <w:jc w:val="center"/>
                    <w:rPr>
                      <w:rFonts w:hint="eastAsia"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平昌县三统机械制造有限公司</w:t>
                  </w:r>
                </w:p>
              </w:tc>
              <w:tc>
                <w:tcPr>
                  <w:tcW w:w="503" w:type="pct"/>
                  <w:vAlign w:val="center"/>
                </w:tcPr>
                <w:p w14:paraId="4DAD58A3">
                  <w:pPr>
                    <w:pStyle w:val="13"/>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南侧</w:t>
                  </w:r>
                </w:p>
              </w:tc>
              <w:tc>
                <w:tcPr>
                  <w:tcW w:w="643" w:type="pct"/>
                  <w:vAlign w:val="center"/>
                </w:tcPr>
                <w:p w14:paraId="0E2E4D98">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4</w:t>
                  </w:r>
                  <w:r>
                    <w:rPr>
                      <w:rFonts w:hint="eastAsia" w:cs="Times New Roman"/>
                      <w:color w:val="000000" w:themeColor="text1"/>
                      <w:sz w:val="21"/>
                      <w:szCs w:val="21"/>
                      <w:lang w:val="en-US" w:eastAsia="zh-CN"/>
                      <w14:textFill>
                        <w14:solidFill>
                          <w14:schemeClr w14:val="tx1"/>
                        </w14:solidFill>
                      </w14:textFill>
                    </w:rPr>
                    <w:t>7</w:t>
                  </w:r>
                  <w:r>
                    <w:rPr>
                      <w:rFonts w:cs="Times New Roman"/>
                      <w:color w:val="000000" w:themeColor="text1"/>
                      <w:sz w:val="21"/>
                      <w:szCs w:val="21"/>
                      <w14:textFill>
                        <w14:solidFill>
                          <w14:schemeClr w14:val="tx1"/>
                        </w14:solidFill>
                      </w14:textFill>
                    </w:rPr>
                    <w:t>0</w:t>
                  </w:r>
                </w:p>
              </w:tc>
              <w:tc>
                <w:tcPr>
                  <w:tcW w:w="502" w:type="pct"/>
                  <w:vAlign w:val="center"/>
                </w:tcPr>
                <w:p w14:paraId="216374AC">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23737D8A">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曲轴、齿轮生产</w:t>
                  </w:r>
                </w:p>
              </w:tc>
            </w:tr>
            <w:tr w14:paraId="1EF8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5EB62E35">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4</w:t>
                  </w:r>
                </w:p>
              </w:tc>
              <w:tc>
                <w:tcPr>
                  <w:tcW w:w="2007" w:type="pct"/>
                  <w:vAlign w:val="center"/>
                </w:tcPr>
                <w:p w14:paraId="0E17A0DE">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居民点</w:t>
                  </w:r>
                  <w:r>
                    <w:rPr>
                      <w:rFonts w:cs="Times New Roman"/>
                      <w:color w:val="000000" w:themeColor="text1"/>
                      <w:sz w:val="21"/>
                      <w:szCs w:val="21"/>
                      <w14:textFill>
                        <w14:solidFill>
                          <w14:schemeClr w14:val="tx1"/>
                        </w14:solidFill>
                      </w14:textFill>
                    </w:rPr>
                    <w:t>4#</w:t>
                  </w:r>
                </w:p>
              </w:tc>
              <w:tc>
                <w:tcPr>
                  <w:tcW w:w="503" w:type="pct"/>
                  <w:vAlign w:val="center"/>
                </w:tcPr>
                <w:p w14:paraId="3B83108F">
                  <w:pPr>
                    <w:pStyle w:val="13"/>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西侧</w:t>
                  </w:r>
                </w:p>
              </w:tc>
              <w:tc>
                <w:tcPr>
                  <w:tcW w:w="643" w:type="pct"/>
                  <w:vAlign w:val="center"/>
                </w:tcPr>
                <w:p w14:paraId="2E1F025C">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50</w:t>
                  </w:r>
                  <w:r>
                    <w:rPr>
                      <w:rFonts w:cs="Times New Roman"/>
                      <w:color w:val="000000" w:themeColor="text1"/>
                      <w:sz w:val="21"/>
                      <w:szCs w:val="21"/>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60</w:t>
                  </w:r>
                </w:p>
              </w:tc>
              <w:tc>
                <w:tcPr>
                  <w:tcW w:w="502" w:type="pct"/>
                  <w:vAlign w:val="center"/>
                </w:tcPr>
                <w:p w14:paraId="76AA570A">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w:t>
                  </w:r>
                </w:p>
              </w:tc>
              <w:tc>
                <w:tcPr>
                  <w:tcW w:w="1023" w:type="pct"/>
                  <w:vAlign w:val="center"/>
                </w:tcPr>
                <w:p w14:paraId="3B9A4D11">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约36人</w:t>
                  </w:r>
                </w:p>
              </w:tc>
            </w:tr>
            <w:tr w14:paraId="60E6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3B284CC6">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5</w:t>
                  </w:r>
                </w:p>
              </w:tc>
              <w:tc>
                <w:tcPr>
                  <w:tcW w:w="2007" w:type="pct"/>
                  <w:vAlign w:val="center"/>
                </w:tcPr>
                <w:p w14:paraId="14160AEB">
                  <w:pPr>
                    <w:pStyle w:val="13"/>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平昌家豪制衣有限公司</w:t>
                  </w:r>
                </w:p>
              </w:tc>
              <w:tc>
                <w:tcPr>
                  <w:tcW w:w="503" w:type="pct"/>
                  <w:vAlign w:val="center"/>
                </w:tcPr>
                <w:p w14:paraId="2CADA726">
                  <w:pPr>
                    <w:pStyle w:val="13"/>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西侧</w:t>
                  </w:r>
                </w:p>
              </w:tc>
              <w:tc>
                <w:tcPr>
                  <w:tcW w:w="643" w:type="pct"/>
                  <w:vAlign w:val="center"/>
                </w:tcPr>
                <w:p w14:paraId="1CF2251D">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55</w:t>
                  </w:r>
                </w:p>
              </w:tc>
              <w:tc>
                <w:tcPr>
                  <w:tcW w:w="502" w:type="pct"/>
                  <w:vAlign w:val="center"/>
                </w:tcPr>
                <w:p w14:paraId="108687E1">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4E562805">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服装加工</w:t>
                  </w:r>
                </w:p>
              </w:tc>
            </w:tr>
            <w:tr w14:paraId="7B54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73BD8A87">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6</w:t>
                  </w:r>
                </w:p>
              </w:tc>
              <w:tc>
                <w:tcPr>
                  <w:tcW w:w="2007" w:type="pct"/>
                  <w:vAlign w:val="center"/>
                </w:tcPr>
                <w:p w14:paraId="49784D96">
                  <w:pPr>
                    <w:pStyle w:val="13"/>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平昌县星光实验学校</w:t>
                  </w:r>
                </w:p>
              </w:tc>
              <w:tc>
                <w:tcPr>
                  <w:tcW w:w="503" w:type="pct"/>
                  <w:vAlign w:val="center"/>
                </w:tcPr>
                <w:p w14:paraId="274546BD">
                  <w:pPr>
                    <w:pStyle w:val="13"/>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西侧</w:t>
                  </w:r>
                </w:p>
              </w:tc>
              <w:tc>
                <w:tcPr>
                  <w:tcW w:w="643" w:type="pct"/>
                  <w:vAlign w:val="center"/>
                </w:tcPr>
                <w:p w14:paraId="27B792EF">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31</w:t>
                  </w:r>
                  <w:r>
                    <w:rPr>
                      <w:rFonts w:cs="Times New Roman"/>
                      <w:color w:val="000000" w:themeColor="text1"/>
                      <w:sz w:val="21"/>
                      <w:szCs w:val="21"/>
                      <w14:textFill>
                        <w14:solidFill>
                          <w14:schemeClr w14:val="tx1"/>
                        </w14:solidFill>
                      </w14:textFill>
                    </w:rPr>
                    <w:t>0-540</w:t>
                  </w:r>
                </w:p>
              </w:tc>
              <w:tc>
                <w:tcPr>
                  <w:tcW w:w="502" w:type="pct"/>
                  <w:vAlign w:val="center"/>
                </w:tcPr>
                <w:p w14:paraId="488C9F3C">
                  <w:pPr>
                    <w:pStyle w:val="13"/>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学校</w:t>
                  </w:r>
                </w:p>
              </w:tc>
              <w:tc>
                <w:tcPr>
                  <w:tcW w:w="1023" w:type="pct"/>
                  <w:vAlign w:val="center"/>
                </w:tcPr>
                <w:p w14:paraId="48A4508F">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约1500人</w:t>
                  </w:r>
                </w:p>
              </w:tc>
            </w:tr>
            <w:tr w14:paraId="4B2C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17DB9BA0">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7</w:t>
                  </w:r>
                </w:p>
              </w:tc>
              <w:tc>
                <w:tcPr>
                  <w:tcW w:w="2007" w:type="pct"/>
                  <w:shd w:val="clear" w:color="auto" w:fill="auto"/>
                  <w:vAlign w:val="center"/>
                </w:tcPr>
                <w:p w14:paraId="5EEDF8ED">
                  <w:pPr>
                    <w:pStyle w:val="13"/>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平昌正丰塑料制品有限公司</w:t>
                  </w:r>
                </w:p>
              </w:tc>
              <w:tc>
                <w:tcPr>
                  <w:tcW w:w="503" w:type="pct"/>
                  <w:shd w:val="clear" w:color="auto" w:fill="auto"/>
                  <w:vAlign w:val="center"/>
                </w:tcPr>
                <w:p w14:paraId="6A7397F4">
                  <w:pPr>
                    <w:pStyle w:val="13"/>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643" w:type="pct"/>
                  <w:shd w:val="clear" w:color="auto" w:fill="auto"/>
                  <w:vAlign w:val="center"/>
                </w:tcPr>
                <w:p w14:paraId="6F994F25">
                  <w:pPr>
                    <w:pStyle w:val="13"/>
                    <w:ind w:firstLine="0" w:firstLine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310</w:t>
                  </w:r>
                </w:p>
              </w:tc>
              <w:tc>
                <w:tcPr>
                  <w:tcW w:w="502" w:type="pct"/>
                  <w:shd w:val="clear" w:color="auto" w:fill="auto"/>
                  <w:vAlign w:val="center"/>
                </w:tcPr>
                <w:p w14:paraId="677E20AC">
                  <w:pPr>
                    <w:pStyle w:val="13"/>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shd w:val="clear" w:color="auto" w:fill="auto"/>
                  <w:vAlign w:val="center"/>
                </w:tcPr>
                <w:p w14:paraId="3837B8B3">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塑料颗粒生产</w:t>
                  </w:r>
                </w:p>
              </w:tc>
            </w:tr>
            <w:tr w14:paraId="0A83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744BF907">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8</w:t>
                  </w:r>
                </w:p>
              </w:tc>
              <w:tc>
                <w:tcPr>
                  <w:tcW w:w="2007" w:type="pct"/>
                  <w:shd w:val="clear" w:color="auto" w:fill="auto"/>
                  <w:vAlign w:val="center"/>
                </w:tcPr>
                <w:p w14:paraId="219D75C2">
                  <w:pPr>
                    <w:pStyle w:val="13"/>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平昌县岚苑艺术全屋定制家居有限公司</w:t>
                  </w:r>
                </w:p>
              </w:tc>
              <w:tc>
                <w:tcPr>
                  <w:tcW w:w="503" w:type="pct"/>
                  <w:shd w:val="clear" w:color="auto" w:fill="auto"/>
                  <w:vAlign w:val="center"/>
                </w:tcPr>
                <w:p w14:paraId="30BB62D4">
                  <w:pPr>
                    <w:pStyle w:val="13"/>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643" w:type="pct"/>
                  <w:shd w:val="clear" w:color="auto" w:fill="auto"/>
                  <w:vAlign w:val="center"/>
                </w:tcPr>
                <w:p w14:paraId="1FCB2035">
                  <w:pPr>
                    <w:pStyle w:val="13"/>
                    <w:ind w:firstLine="0" w:firstLine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210</w:t>
                  </w:r>
                </w:p>
              </w:tc>
              <w:tc>
                <w:tcPr>
                  <w:tcW w:w="502" w:type="pct"/>
                  <w:shd w:val="clear" w:color="auto" w:fill="auto"/>
                  <w:vAlign w:val="center"/>
                </w:tcPr>
                <w:p w14:paraId="4E9F45C7">
                  <w:pPr>
                    <w:pStyle w:val="13"/>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shd w:val="clear" w:color="auto" w:fill="auto"/>
                  <w:vAlign w:val="center"/>
                </w:tcPr>
                <w:p w14:paraId="3E2C29D7">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已停产</w:t>
                  </w:r>
                </w:p>
              </w:tc>
            </w:tr>
            <w:tr w14:paraId="756A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1CFE5D2B">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9</w:t>
                  </w:r>
                </w:p>
              </w:tc>
              <w:tc>
                <w:tcPr>
                  <w:tcW w:w="2007" w:type="pct"/>
                  <w:shd w:val="clear" w:color="auto" w:fill="auto"/>
                  <w:vAlign w:val="center"/>
                </w:tcPr>
                <w:p w14:paraId="65490E17">
                  <w:pPr>
                    <w:pStyle w:val="13"/>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平昌县轩达涂料厂</w:t>
                  </w:r>
                </w:p>
              </w:tc>
              <w:tc>
                <w:tcPr>
                  <w:tcW w:w="503" w:type="pct"/>
                  <w:shd w:val="clear" w:color="auto" w:fill="auto"/>
                  <w:vAlign w:val="center"/>
                </w:tcPr>
                <w:p w14:paraId="3EAE6F88">
                  <w:pPr>
                    <w:pStyle w:val="13"/>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643" w:type="pct"/>
                  <w:shd w:val="clear" w:color="auto" w:fill="auto"/>
                  <w:vAlign w:val="center"/>
                </w:tcPr>
                <w:p w14:paraId="44F992D1">
                  <w:pPr>
                    <w:pStyle w:val="13"/>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2</w:t>
                  </w:r>
                  <w:r>
                    <w:rPr>
                      <w:rFonts w:cs="Times New Roman"/>
                      <w:color w:val="000000" w:themeColor="text1"/>
                      <w:sz w:val="21"/>
                      <w:szCs w:val="21"/>
                      <w14:textFill>
                        <w14:solidFill>
                          <w14:schemeClr w14:val="tx1"/>
                        </w14:solidFill>
                      </w14:textFill>
                    </w:rPr>
                    <w:t>90</w:t>
                  </w:r>
                </w:p>
              </w:tc>
              <w:tc>
                <w:tcPr>
                  <w:tcW w:w="502" w:type="pct"/>
                  <w:shd w:val="clear" w:color="auto" w:fill="auto"/>
                  <w:vAlign w:val="center"/>
                </w:tcPr>
                <w:p w14:paraId="358230AC">
                  <w:pPr>
                    <w:pStyle w:val="13"/>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shd w:val="clear" w:color="auto" w:fill="auto"/>
                  <w:vAlign w:val="center"/>
                </w:tcPr>
                <w:p w14:paraId="12FC2B60">
                  <w:pPr>
                    <w:pStyle w:val="13"/>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机制炭加工</w:t>
                  </w:r>
                </w:p>
              </w:tc>
            </w:tr>
            <w:tr w14:paraId="28AA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214A5734">
                  <w:pPr>
                    <w:pStyle w:val="13"/>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w:t>
                  </w:r>
                </w:p>
              </w:tc>
              <w:tc>
                <w:tcPr>
                  <w:tcW w:w="2007" w:type="pct"/>
                  <w:vAlign w:val="center"/>
                </w:tcPr>
                <w:p w14:paraId="3C001AA4">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停产闲置厂房</w:t>
                  </w:r>
                </w:p>
              </w:tc>
              <w:tc>
                <w:tcPr>
                  <w:tcW w:w="503" w:type="pct"/>
                  <w:vAlign w:val="center"/>
                </w:tcPr>
                <w:p w14:paraId="6B0ADA9F">
                  <w:pPr>
                    <w:pStyle w:val="13"/>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643" w:type="pct"/>
                  <w:vAlign w:val="center"/>
                </w:tcPr>
                <w:p w14:paraId="1A71E5D3">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315</w:t>
                  </w:r>
                </w:p>
              </w:tc>
              <w:tc>
                <w:tcPr>
                  <w:tcW w:w="502" w:type="pct"/>
                  <w:vAlign w:val="center"/>
                </w:tcPr>
                <w:p w14:paraId="1E8A7E09">
                  <w:pPr>
                    <w:pStyle w:val="13"/>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c>
                <w:tcPr>
                  <w:tcW w:w="1023" w:type="pct"/>
                  <w:vAlign w:val="center"/>
                </w:tcPr>
                <w:p w14:paraId="02A1CEDD">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r w14:paraId="22D5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shd w:val="clear" w:color="auto" w:fill="auto"/>
                  <w:vAlign w:val="center"/>
                </w:tcPr>
                <w:p w14:paraId="1E9709EE">
                  <w:pPr>
                    <w:pStyle w:val="13"/>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21</w:t>
                  </w:r>
                </w:p>
              </w:tc>
              <w:tc>
                <w:tcPr>
                  <w:tcW w:w="2007" w:type="pct"/>
                  <w:vAlign w:val="center"/>
                </w:tcPr>
                <w:p w14:paraId="2364A377">
                  <w:pPr>
                    <w:pStyle w:val="13"/>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居民点</w:t>
                  </w:r>
                  <w:r>
                    <w:rPr>
                      <w:rFonts w:cs="Times New Roman"/>
                      <w:color w:val="000000" w:themeColor="text1"/>
                      <w:sz w:val="21"/>
                      <w:szCs w:val="21"/>
                      <w14:textFill>
                        <w14:solidFill>
                          <w14:schemeClr w14:val="tx1"/>
                        </w14:solidFill>
                      </w14:textFill>
                    </w:rPr>
                    <w:t>5#</w:t>
                  </w:r>
                </w:p>
              </w:tc>
              <w:tc>
                <w:tcPr>
                  <w:tcW w:w="503" w:type="pct"/>
                  <w:vAlign w:val="center"/>
                </w:tcPr>
                <w:p w14:paraId="66DFD8F4">
                  <w:pPr>
                    <w:pStyle w:val="13"/>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643" w:type="pct"/>
                  <w:vAlign w:val="center"/>
                </w:tcPr>
                <w:p w14:paraId="349308D8">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4</w:t>
                  </w:r>
                  <w:r>
                    <w:rPr>
                      <w:rFonts w:hint="eastAsia" w:cs="Times New Roman"/>
                      <w:color w:val="000000" w:themeColor="text1"/>
                      <w:sz w:val="21"/>
                      <w:szCs w:val="21"/>
                      <w:lang w:val="en-US" w:eastAsia="zh-CN"/>
                      <w14:textFill>
                        <w14:solidFill>
                          <w14:schemeClr w14:val="tx1"/>
                        </w14:solidFill>
                      </w14:textFill>
                    </w:rPr>
                    <w:t>7</w:t>
                  </w:r>
                  <w:r>
                    <w:rPr>
                      <w:rFonts w:cs="Times New Roman"/>
                      <w:color w:val="000000" w:themeColor="text1"/>
                      <w:sz w:val="21"/>
                      <w:szCs w:val="21"/>
                      <w14:textFill>
                        <w14:solidFill>
                          <w14:schemeClr w14:val="tx1"/>
                        </w14:solidFill>
                      </w14:textFill>
                    </w:rPr>
                    <w:t>0-4</w:t>
                  </w:r>
                  <w:r>
                    <w:rPr>
                      <w:rFonts w:hint="eastAsia" w:cs="Times New Roman"/>
                      <w:color w:val="000000" w:themeColor="text1"/>
                      <w:sz w:val="21"/>
                      <w:szCs w:val="21"/>
                      <w:lang w:val="en-US" w:eastAsia="zh-CN"/>
                      <w14:textFill>
                        <w14:solidFill>
                          <w14:schemeClr w14:val="tx1"/>
                        </w14:solidFill>
                      </w14:textFill>
                    </w:rPr>
                    <w:t>90</w:t>
                  </w:r>
                </w:p>
              </w:tc>
              <w:tc>
                <w:tcPr>
                  <w:tcW w:w="502" w:type="pct"/>
                  <w:vAlign w:val="center"/>
                </w:tcPr>
                <w:p w14:paraId="07C71825">
                  <w:pPr>
                    <w:pStyle w:val="13"/>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w:t>
                  </w:r>
                </w:p>
              </w:tc>
              <w:tc>
                <w:tcPr>
                  <w:tcW w:w="1023" w:type="pct"/>
                  <w:vAlign w:val="center"/>
                </w:tcPr>
                <w:p w14:paraId="4549493D">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约21人</w:t>
                  </w:r>
                </w:p>
              </w:tc>
            </w:tr>
            <w:tr w14:paraId="292B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9" w:type="pct"/>
                  <w:vAlign w:val="center"/>
                </w:tcPr>
                <w:p w14:paraId="25FD27D2">
                  <w:pPr>
                    <w:pStyle w:val="13"/>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22</w:t>
                  </w:r>
                </w:p>
              </w:tc>
              <w:tc>
                <w:tcPr>
                  <w:tcW w:w="2007" w:type="pct"/>
                  <w:vAlign w:val="center"/>
                </w:tcPr>
                <w:p w14:paraId="7BED6F0A">
                  <w:pPr>
                    <w:pStyle w:val="13"/>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巴河</w:t>
                  </w:r>
                </w:p>
              </w:tc>
              <w:tc>
                <w:tcPr>
                  <w:tcW w:w="503" w:type="pct"/>
                  <w:vAlign w:val="center"/>
                </w:tcPr>
                <w:p w14:paraId="5EC9C4F9">
                  <w:pPr>
                    <w:pStyle w:val="13"/>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西南侧</w:t>
                  </w:r>
                </w:p>
              </w:tc>
              <w:tc>
                <w:tcPr>
                  <w:tcW w:w="643" w:type="pct"/>
                  <w:vAlign w:val="center"/>
                </w:tcPr>
                <w:p w14:paraId="7D96657C">
                  <w:pPr>
                    <w:pStyle w:val="13"/>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5</w:t>
                  </w:r>
                  <w:r>
                    <w:rPr>
                      <w:rFonts w:cs="Times New Roman"/>
                      <w:color w:val="000000" w:themeColor="text1"/>
                      <w:sz w:val="21"/>
                      <w:szCs w:val="21"/>
                      <w14:textFill>
                        <w14:solidFill>
                          <w14:schemeClr w14:val="tx1"/>
                        </w14:solidFill>
                      </w14:textFill>
                    </w:rPr>
                    <w:t>40</w:t>
                  </w:r>
                </w:p>
              </w:tc>
              <w:tc>
                <w:tcPr>
                  <w:tcW w:w="502" w:type="pct"/>
                  <w:vAlign w:val="center"/>
                </w:tcPr>
                <w:p w14:paraId="0DC04EDF">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河流</w:t>
                  </w:r>
                </w:p>
              </w:tc>
              <w:tc>
                <w:tcPr>
                  <w:tcW w:w="1023" w:type="pct"/>
                  <w:vAlign w:val="center"/>
                </w:tcPr>
                <w:p w14:paraId="76B95461">
                  <w:pPr>
                    <w:pStyle w:val="13"/>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r>
          </w:tbl>
          <w:p w14:paraId="6699B7BA">
            <w:pPr>
              <w:ind w:firstLine="482" w:firstLineChars="200"/>
              <w:jc w:val="both"/>
              <w:rPr>
                <w:rFonts w:cs="Times New Roman"/>
                <w:b/>
                <w:bCs/>
                <w:color w:val="000000" w:themeColor="text1"/>
                <w:sz w:val="24"/>
                <w:szCs w:val="22"/>
                <w14:textFill>
                  <w14:solidFill>
                    <w14:schemeClr w14:val="tx1"/>
                  </w14:solidFill>
                </w14:textFill>
              </w:rPr>
            </w:pPr>
            <w:r>
              <w:rPr>
                <w:rFonts w:hint="eastAsia" w:cs="Times New Roman"/>
                <w:b/>
                <w:bCs/>
                <w:color w:val="000000" w:themeColor="text1"/>
                <w:sz w:val="24"/>
                <w:szCs w:val="22"/>
                <w:lang w:val="en-US" w:eastAsia="zh-CN"/>
                <w14:textFill>
                  <w14:solidFill>
                    <w14:schemeClr w14:val="tx1"/>
                  </w14:solidFill>
                </w14:textFill>
              </w:rPr>
              <w:t>②大气环境影响评价2.5km范围内</w:t>
            </w:r>
            <w:r>
              <w:rPr>
                <w:rFonts w:cs="Times New Roman"/>
                <w:b/>
                <w:bCs/>
                <w:color w:val="000000" w:themeColor="text1"/>
                <w:sz w:val="24"/>
                <w:szCs w:val="22"/>
                <w14:textFill>
                  <w14:solidFill>
                    <w14:schemeClr w14:val="tx1"/>
                  </w14:solidFill>
                </w14:textFill>
              </w:rPr>
              <w:t>外环境</w:t>
            </w:r>
          </w:p>
          <w:p w14:paraId="218B3DCA">
            <w:pPr>
              <w:pStyle w:val="16"/>
              <w:spacing w:after="0"/>
              <w:ind w:firstLine="480" w:firstLineChars="200"/>
              <w:rPr>
                <w:rFonts w:hint="eastAsia" w:cs="Times New Roman"/>
                <w:b w:val="0"/>
                <w:bCs w:val="0"/>
                <w:color w:val="000000" w:themeColor="text1"/>
                <w:sz w:val="24"/>
                <w:szCs w:val="22"/>
                <w:lang w:val="en-US" w:eastAsia="zh-CN"/>
                <w14:textFill>
                  <w14:solidFill>
                    <w14:schemeClr w14:val="tx1"/>
                  </w14:solidFill>
                </w14:textFill>
              </w:rPr>
            </w:pPr>
            <w:r>
              <w:rPr>
                <w:rFonts w:hint="eastAsia" w:cs="Times New Roman"/>
                <w:b w:val="0"/>
                <w:bCs w:val="0"/>
                <w:color w:val="000000" w:themeColor="text1"/>
                <w:sz w:val="24"/>
                <w:szCs w:val="22"/>
                <w:lang w:val="en-US" w:eastAsia="zh-CN"/>
                <w14:textFill>
                  <w14:solidFill>
                    <w14:schemeClr w14:val="tx1"/>
                  </w14:solidFill>
                </w14:textFill>
              </w:rPr>
              <w:t>本项目设置大气专项评价，经大气预测，大气环境影响评价属于二级评价，因此评价范围</w:t>
            </w:r>
            <w:r>
              <w:rPr>
                <w:rFonts w:hint="default" w:ascii="Times New Roman" w:hAnsi="Times New Roman" w:eastAsia="宋体" w:cs="Times New Roman"/>
                <w:color w:val="000000" w:themeColor="text1"/>
                <w:spacing w:val="4"/>
                <w:sz w:val="24"/>
                <w:szCs w:val="24"/>
                <w14:textFill>
                  <w14:solidFill>
                    <w14:schemeClr w14:val="tx1"/>
                  </w14:solidFill>
                </w14:textFill>
              </w:rPr>
              <w:t>以厂址为中心</w:t>
            </w:r>
            <w:r>
              <w:rPr>
                <w:rFonts w:hint="eastAsia" w:ascii="Times New Roman" w:hAnsi="Times New Roman" w:cs="Times New Roman"/>
                <w:color w:val="000000" w:themeColor="text1"/>
                <w:spacing w:val="4"/>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4"/>
                <w:sz w:val="24"/>
                <w:szCs w:val="24"/>
                <w14:textFill>
                  <w14:solidFill>
                    <w14:schemeClr w14:val="tx1"/>
                  </w14:solidFill>
                </w14:textFill>
              </w:rPr>
              <w:t>边长为</w:t>
            </w:r>
            <w:r>
              <w:rPr>
                <w:rFonts w:hint="eastAsia" w:cs="Times New Roman"/>
                <w:color w:val="000000" w:themeColor="text1"/>
                <w:spacing w:val="4"/>
                <w:sz w:val="24"/>
                <w:szCs w:val="24"/>
                <w:lang w:val="en-US" w:eastAsia="zh-CN"/>
                <w14:textFill>
                  <w14:solidFill>
                    <w14:schemeClr w14:val="tx1"/>
                  </w14:solidFill>
                </w14:textFill>
              </w:rPr>
              <w:t>5km</w:t>
            </w:r>
            <w:r>
              <w:rPr>
                <w:rFonts w:hint="eastAsia" w:ascii="Times New Roman" w:hAnsi="Times New Roman" w:cs="Times New Roman"/>
                <w:color w:val="000000" w:themeColor="text1"/>
                <w:spacing w:val="4"/>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4"/>
                <w:sz w:val="24"/>
                <w:szCs w:val="24"/>
                <w14:textFill>
                  <w14:solidFill>
                    <w14:schemeClr w14:val="tx1"/>
                  </w14:solidFill>
                </w14:textFill>
              </w:rPr>
              <w:t>面积</w:t>
            </w:r>
            <w:r>
              <w:rPr>
                <w:rFonts w:hint="eastAsia" w:cs="Times New Roman"/>
                <w:color w:val="000000" w:themeColor="text1"/>
                <w:spacing w:val="4"/>
                <w:sz w:val="24"/>
                <w:szCs w:val="24"/>
                <w:lang w:val="en-US" w:eastAsia="zh-CN"/>
                <w14:textFill>
                  <w14:solidFill>
                    <w14:schemeClr w14:val="tx1"/>
                  </w14:solidFill>
                </w14:textFill>
              </w:rPr>
              <w:t>25</w:t>
            </w:r>
            <w:r>
              <w:rPr>
                <w:rFonts w:hint="default" w:ascii="Times New Roman" w:hAnsi="Times New Roman" w:eastAsia="宋体" w:cs="Times New Roman"/>
                <w:color w:val="000000" w:themeColor="text1"/>
                <w:spacing w:val="4"/>
                <w:sz w:val="24"/>
                <w:szCs w:val="24"/>
                <w14:textFill>
                  <w14:solidFill>
                    <w14:schemeClr w14:val="tx1"/>
                  </w14:solidFill>
                </w14:textFill>
              </w:rPr>
              <w:t>km</w:t>
            </w:r>
            <w:r>
              <w:rPr>
                <w:rFonts w:hint="default" w:ascii="Times New Roman" w:hAnsi="Times New Roman" w:eastAsia="宋体" w:cs="Times New Roman"/>
                <w:color w:val="000000" w:themeColor="text1"/>
                <w:spacing w:val="4"/>
                <w:sz w:val="24"/>
                <w:szCs w:val="24"/>
                <w:vertAlign w:val="superscript"/>
                <w14:textFill>
                  <w14:solidFill>
                    <w14:schemeClr w14:val="tx1"/>
                  </w14:solidFill>
                </w14:textFill>
              </w:rPr>
              <w:t>2</w:t>
            </w:r>
            <w:r>
              <w:rPr>
                <w:rFonts w:hint="eastAsia" w:cs="Times New Roman"/>
                <w:b w:val="0"/>
                <w:bCs w:val="0"/>
                <w:color w:val="000000" w:themeColor="text1"/>
                <w:sz w:val="24"/>
                <w:szCs w:val="22"/>
                <w:lang w:val="en-US" w:eastAsia="zh-CN"/>
                <w14:textFill>
                  <w14:solidFill>
                    <w14:schemeClr w14:val="tx1"/>
                  </w14:solidFill>
                </w14:textFill>
              </w:rPr>
              <w:t>，因此，该范围内的环境保护目标如下。</w:t>
            </w:r>
          </w:p>
          <w:p w14:paraId="49142007">
            <w:pPr>
              <w:ind w:firstLine="0" w:firstLineChars="0"/>
              <w:jc w:val="center"/>
              <w:rPr>
                <w:rFonts w:cs="Times New Roman"/>
                <w:b/>
                <w:bCs/>
                <w:color w:val="000000" w:themeColor="text1"/>
                <w:sz w:val="21"/>
                <w:szCs w:val="20"/>
                <w14:textFill>
                  <w14:solidFill>
                    <w14:schemeClr w14:val="tx1"/>
                  </w14:solidFill>
                </w14:textFill>
              </w:rPr>
            </w:pPr>
            <w:r>
              <w:rPr>
                <w:rFonts w:cs="Times New Roman"/>
                <w:b/>
                <w:bCs/>
                <w:color w:val="000000" w:themeColor="text1"/>
                <w:sz w:val="21"/>
                <w:szCs w:val="20"/>
                <w14:textFill>
                  <w14:solidFill>
                    <w14:schemeClr w14:val="tx1"/>
                  </w14:solidFill>
                </w14:textFill>
              </w:rPr>
              <w:t>表</w:t>
            </w:r>
            <w:r>
              <w:rPr>
                <w:rFonts w:hint="eastAsia" w:cs="Times New Roman"/>
                <w:b/>
                <w:bCs/>
                <w:color w:val="000000" w:themeColor="text1"/>
                <w:sz w:val="21"/>
                <w:szCs w:val="20"/>
                <w:lang w:val="en-US" w:eastAsia="zh-CN"/>
                <w14:textFill>
                  <w14:solidFill>
                    <w14:schemeClr w14:val="tx1"/>
                  </w14:solidFill>
                </w14:textFill>
              </w:rPr>
              <w:t xml:space="preserve">1-23 </w:t>
            </w:r>
            <w:r>
              <w:rPr>
                <w:rFonts w:cs="Times New Roman"/>
                <w:b/>
                <w:bCs/>
                <w:color w:val="000000" w:themeColor="text1"/>
                <w:sz w:val="21"/>
                <w:szCs w:val="20"/>
                <w14:textFill>
                  <w14:solidFill>
                    <w14:schemeClr w14:val="tx1"/>
                  </w14:solidFill>
                </w14:textFill>
              </w:rPr>
              <w:t>本项目</w:t>
            </w:r>
            <w:r>
              <w:rPr>
                <w:rFonts w:hint="eastAsia" w:cs="Times New Roman"/>
                <w:b/>
                <w:bCs/>
                <w:color w:val="000000" w:themeColor="text1"/>
                <w:sz w:val="21"/>
                <w:szCs w:val="20"/>
                <w:lang w:val="en-US" w:eastAsia="zh-CN"/>
                <w14:textFill>
                  <w14:solidFill>
                    <w14:schemeClr w14:val="tx1"/>
                  </w14:solidFill>
                </w14:textFill>
              </w:rPr>
              <w:t>大气环境影响评价2.5km范围内</w:t>
            </w:r>
            <w:r>
              <w:rPr>
                <w:rFonts w:cs="Times New Roman"/>
                <w:b/>
                <w:bCs/>
                <w:color w:val="000000" w:themeColor="text1"/>
                <w:sz w:val="21"/>
                <w:szCs w:val="20"/>
                <w14:textFill>
                  <w14:solidFill>
                    <w14:schemeClr w14:val="tx1"/>
                  </w14:solidFill>
                </w14:textFill>
              </w:rPr>
              <w:t>外环境概括表</w:t>
            </w:r>
          </w:p>
          <w:tbl>
            <w:tblPr>
              <w:tblStyle w:val="29"/>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37"/>
              <w:gridCol w:w="1288"/>
              <w:gridCol w:w="1062"/>
              <w:gridCol w:w="1276"/>
              <w:gridCol w:w="854"/>
              <w:gridCol w:w="755"/>
              <w:gridCol w:w="768"/>
              <w:gridCol w:w="1170"/>
              <w:gridCol w:w="1108"/>
            </w:tblGrid>
            <w:tr w14:paraId="0D01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restart"/>
                  <w:vAlign w:val="center"/>
                </w:tcPr>
                <w:p w14:paraId="6F43A48B">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环境要素</w:t>
                  </w:r>
                </w:p>
              </w:tc>
              <w:tc>
                <w:tcPr>
                  <w:tcW w:w="730" w:type="pct"/>
                  <w:vMerge w:val="restart"/>
                  <w:vAlign w:val="center"/>
                </w:tcPr>
                <w:p w14:paraId="090AF9D7">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保护目标</w:t>
                  </w:r>
                </w:p>
                <w:p w14:paraId="2D2B79EA">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名称</w:t>
                  </w:r>
                </w:p>
              </w:tc>
              <w:tc>
                <w:tcPr>
                  <w:tcW w:w="1325" w:type="pct"/>
                  <w:gridSpan w:val="2"/>
                  <w:vAlign w:val="center"/>
                </w:tcPr>
                <w:p w14:paraId="240ACCFC">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中心地理坐标</w:t>
                  </w:r>
                </w:p>
              </w:tc>
              <w:tc>
                <w:tcPr>
                  <w:tcW w:w="484" w:type="pct"/>
                  <w:vMerge w:val="restart"/>
                  <w:vAlign w:val="center"/>
                </w:tcPr>
                <w:p w14:paraId="52BE3D44">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相对厂址</w:t>
                  </w:r>
                  <w:r>
                    <w:rPr>
                      <w:rFonts w:hint="default" w:ascii="Times New Roman" w:hAnsi="Times New Roman" w:cs="Times New Roman"/>
                      <w:color w:val="000000" w:themeColor="text1"/>
                      <w:sz w:val="21"/>
                      <w:szCs w:val="21"/>
                      <w:lang w:val="zh-CN"/>
                      <w14:textFill>
                        <w14:solidFill>
                          <w14:schemeClr w14:val="tx1"/>
                        </w14:solidFill>
                      </w14:textFill>
                    </w:rPr>
                    <w:t>距离</w:t>
                  </w:r>
                  <w:r>
                    <w:rPr>
                      <w:rFonts w:hint="default" w:ascii="Times New Roman" w:hAnsi="Times New Roman" w:cs="Times New Roman"/>
                      <w:color w:val="000000" w:themeColor="text1"/>
                      <w:sz w:val="21"/>
                      <w:szCs w:val="21"/>
                      <w:lang w:val="en-US" w:eastAsia="zh-CN"/>
                      <w14:textFill>
                        <w14:solidFill>
                          <w14:schemeClr w14:val="tx1"/>
                        </w14:solidFill>
                      </w14:textFill>
                    </w:rPr>
                    <w:t>/m</w:t>
                  </w:r>
                </w:p>
              </w:tc>
              <w:tc>
                <w:tcPr>
                  <w:tcW w:w="428" w:type="pct"/>
                  <w:vMerge w:val="restart"/>
                  <w:vAlign w:val="center"/>
                </w:tcPr>
                <w:p w14:paraId="2EE04C59">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相对厂址方位</w:t>
                  </w:r>
                </w:p>
              </w:tc>
              <w:tc>
                <w:tcPr>
                  <w:tcW w:w="434" w:type="pct"/>
                  <w:vMerge w:val="restart"/>
                  <w:vAlign w:val="center"/>
                </w:tcPr>
                <w:p w14:paraId="181D0EA9">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保护</w:t>
                  </w:r>
                </w:p>
                <w:p w14:paraId="32990A60">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对象</w:t>
                  </w:r>
                </w:p>
              </w:tc>
              <w:tc>
                <w:tcPr>
                  <w:tcW w:w="663" w:type="pct"/>
                  <w:vMerge w:val="restart"/>
                  <w:vAlign w:val="center"/>
                </w:tcPr>
                <w:p w14:paraId="1DB0192C">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保护内容</w:t>
                  </w:r>
                </w:p>
              </w:tc>
              <w:tc>
                <w:tcPr>
                  <w:tcW w:w="628" w:type="pct"/>
                  <w:vMerge w:val="restart"/>
                  <w:vAlign w:val="center"/>
                </w:tcPr>
                <w:p w14:paraId="4D1CF716">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环境功能</w:t>
                  </w:r>
                  <w:r>
                    <w:rPr>
                      <w:rFonts w:hint="default" w:ascii="Times New Roman" w:hAnsi="Times New Roman" w:cs="Times New Roman"/>
                      <w:color w:val="000000" w:themeColor="text1"/>
                      <w:sz w:val="21"/>
                      <w:szCs w:val="21"/>
                      <w:lang w:val="en-US" w:eastAsia="zh-CN"/>
                      <w14:textFill>
                        <w14:solidFill>
                          <w14:schemeClr w14:val="tx1"/>
                        </w14:solidFill>
                      </w14:textFill>
                    </w:rPr>
                    <w:t>区</w:t>
                  </w:r>
                </w:p>
              </w:tc>
            </w:tr>
            <w:tr w14:paraId="7B8B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688CEB7A">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730" w:type="pct"/>
                  <w:vMerge w:val="continue"/>
                  <w:vAlign w:val="center"/>
                </w:tcPr>
                <w:p w14:paraId="341FA1F1">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602" w:type="pct"/>
                  <w:vAlign w:val="center"/>
                </w:tcPr>
                <w:p w14:paraId="54CBFE84">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X</w:t>
                  </w:r>
                </w:p>
              </w:tc>
              <w:tc>
                <w:tcPr>
                  <w:tcW w:w="723" w:type="pct"/>
                  <w:vAlign w:val="center"/>
                </w:tcPr>
                <w:p w14:paraId="2E7F2D21">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Y</w:t>
                  </w:r>
                </w:p>
              </w:tc>
              <w:tc>
                <w:tcPr>
                  <w:tcW w:w="484" w:type="pct"/>
                  <w:vMerge w:val="continue"/>
                  <w:vAlign w:val="center"/>
                </w:tcPr>
                <w:p w14:paraId="14386037">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28" w:type="pct"/>
                  <w:vMerge w:val="continue"/>
                  <w:vAlign w:val="center"/>
                </w:tcPr>
                <w:p w14:paraId="5ABDCA7E">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34" w:type="pct"/>
                  <w:vMerge w:val="continue"/>
                  <w:vAlign w:val="center"/>
                </w:tcPr>
                <w:p w14:paraId="1F558658">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663" w:type="pct"/>
                  <w:vMerge w:val="continue"/>
                  <w:vAlign w:val="center"/>
                </w:tcPr>
                <w:p w14:paraId="01143475">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628" w:type="pct"/>
                  <w:vMerge w:val="continue"/>
                  <w:vAlign w:val="center"/>
                </w:tcPr>
                <w:p w14:paraId="00539BB5">
                  <w:pPr>
                    <w:pStyle w:val="51"/>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2852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restart"/>
                  <w:vAlign w:val="center"/>
                </w:tcPr>
                <w:p w14:paraId="4DC6DB3C">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环境空气</w:t>
                  </w:r>
                </w:p>
              </w:tc>
              <w:tc>
                <w:tcPr>
                  <w:tcW w:w="730" w:type="pct"/>
                  <w:shd w:val="clear" w:color="auto" w:fill="auto"/>
                  <w:vAlign w:val="center"/>
                </w:tcPr>
                <w:p w14:paraId="2232D4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居民点3</w:t>
                  </w:r>
                </w:p>
              </w:tc>
              <w:tc>
                <w:tcPr>
                  <w:tcW w:w="602" w:type="pct"/>
                  <w:shd w:val="clear" w:color="auto" w:fill="auto"/>
                  <w:vAlign w:val="center"/>
                </w:tcPr>
                <w:p w14:paraId="3DB937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609.25</w:t>
                  </w:r>
                </w:p>
              </w:tc>
              <w:tc>
                <w:tcPr>
                  <w:tcW w:w="723" w:type="pct"/>
                  <w:shd w:val="clear" w:color="auto" w:fill="auto"/>
                  <w:vAlign w:val="center"/>
                </w:tcPr>
                <w:p w14:paraId="0C15CD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-231.07</w:t>
                  </w:r>
                </w:p>
              </w:tc>
              <w:tc>
                <w:tcPr>
                  <w:tcW w:w="484" w:type="pct"/>
                  <w:shd w:val="clear" w:color="auto" w:fill="auto"/>
                  <w:vAlign w:val="center"/>
                </w:tcPr>
                <w:p w14:paraId="65D91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651</w:t>
                  </w:r>
                </w:p>
              </w:tc>
              <w:tc>
                <w:tcPr>
                  <w:tcW w:w="428" w:type="pct"/>
                  <w:shd w:val="clear" w:color="auto" w:fill="auto"/>
                  <w:vAlign w:val="center"/>
                </w:tcPr>
                <w:p w14:paraId="7D77CF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ESE</w:t>
                  </w:r>
                </w:p>
              </w:tc>
              <w:tc>
                <w:tcPr>
                  <w:tcW w:w="434" w:type="pct"/>
                  <w:shd w:val="clear" w:color="auto" w:fill="auto"/>
                  <w:vAlign w:val="center"/>
                </w:tcPr>
                <w:p w14:paraId="74FE10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4AC1FA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约45人</w:t>
                  </w:r>
                </w:p>
              </w:tc>
              <w:tc>
                <w:tcPr>
                  <w:tcW w:w="628" w:type="pct"/>
                  <w:vMerge w:val="restart"/>
                  <w:vAlign w:val="center"/>
                </w:tcPr>
                <w:p w14:paraId="5B422A03">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GB3095-2026</w:t>
                  </w:r>
                  <w:r>
                    <w:rPr>
                      <w:rFonts w:hint="default" w:ascii="Times New Roman" w:hAnsi="Times New Roman" w:cs="Times New Roman"/>
                      <w:color w:val="000000" w:themeColor="text1"/>
                      <w:sz w:val="21"/>
                      <w:szCs w:val="21"/>
                      <w14:textFill>
                        <w14:solidFill>
                          <w14:schemeClr w14:val="tx1"/>
                        </w14:solidFill>
                      </w14:textFill>
                    </w:rPr>
                    <w:t>大气环境质量二类功能区</w:t>
                  </w:r>
                </w:p>
              </w:tc>
            </w:tr>
            <w:tr w14:paraId="704D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560B394E">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328D19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居民点1</w:t>
                  </w:r>
                </w:p>
              </w:tc>
              <w:tc>
                <w:tcPr>
                  <w:tcW w:w="602" w:type="pct"/>
                  <w:shd w:val="clear" w:color="auto" w:fill="auto"/>
                  <w:vAlign w:val="center"/>
                </w:tcPr>
                <w:p w14:paraId="77C988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-226.52</w:t>
                  </w:r>
                </w:p>
              </w:tc>
              <w:tc>
                <w:tcPr>
                  <w:tcW w:w="723" w:type="pct"/>
                  <w:shd w:val="clear" w:color="auto" w:fill="auto"/>
                  <w:vAlign w:val="center"/>
                </w:tcPr>
                <w:p w14:paraId="4A085B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463.21</w:t>
                  </w:r>
                </w:p>
              </w:tc>
              <w:tc>
                <w:tcPr>
                  <w:tcW w:w="484" w:type="pct"/>
                  <w:shd w:val="clear" w:color="auto" w:fill="auto"/>
                  <w:vAlign w:val="center"/>
                </w:tcPr>
                <w:p w14:paraId="652944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515</w:t>
                  </w:r>
                </w:p>
              </w:tc>
              <w:tc>
                <w:tcPr>
                  <w:tcW w:w="428" w:type="pct"/>
                  <w:shd w:val="clear" w:color="auto" w:fill="auto"/>
                  <w:vAlign w:val="center"/>
                </w:tcPr>
                <w:p w14:paraId="2E7F7D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434" w:type="pct"/>
                  <w:shd w:val="clear" w:color="auto" w:fill="auto"/>
                  <w:vAlign w:val="center"/>
                </w:tcPr>
                <w:p w14:paraId="5FC2E9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3333E9E3">
                  <w:pPr>
                    <w:pStyle w:val="13"/>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约24人</w:t>
                  </w:r>
                </w:p>
              </w:tc>
              <w:tc>
                <w:tcPr>
                  <w:tcW w:w="628" w:type="pct"/>
                  <w:vMerge w:val="continue"/>
                  <w:vAlign w:val="center"/>
                </w:tcPr>
                <w:p w14:paraId="2A2EE09B">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190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6633BCB6">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68112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居民点2</w:t>
                  </w:r>
                </w:p>
              </w:tc>
              <w:tc>
                <w:tcPr>
                  <w:tcW w:w="602" w:type="pct"/>
                  <w:shd w:val="clear" w:color="auto" w:fill="auto"/>
                  <w:vAlign w:val="center"/>
                </w:tcPr>
                <w:p w14:paraId="78C755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413.97</w:t>
                  </w:r>
                </w:p>
              </w:tc>
              <w:tc>
                <w:tcPr>
                  <w:tcW w:w="723" w:type="pct"/>
                  <w:shd w:val="clear" w:color="auto" w:fill="auto"/>
                  <w:vAlign w:val="center"/>
                </w:tcPr>
                <w:p w14:paraId="046312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359.26</w:t>
                  </w:r>
                </w:p>
              </w:tc>
              <w:tc>
                <w:tcPr>
                  <w:tcW w:w="484" w:type="pct"/>
                  <w:shd w:val="clear" w:color="auto" w:fill="auto"/>
                  <w:vAlign w:val="center"/>
                </w:tcPr>
                <w:p w14:paraId="14D2A8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548</w:t>
                  </w:r>
                </w:p>
              </w:tc>
              <w:tc>
                <w:tcPr>
                  <w:tcW w:w="428" w:type="pct"/>
                  <w:shd w:val="clear" w:color="auto" w:fill="auto"/>
                  <w:vAlign w:val="center"/>
                </w:tcPr>
                <w:p w14:paraId="440860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434" w:type="pct"/>
                  <w:shd w:val="clear" w:color="auto" w:fill="auto"/>
                  <w:vAlign w:val="center"/>
                </w:tcPr>
                <w:p w14:paraId="457630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4856D0C8">
                  <w:pPr>
                    <w:pStyle w:val="13"/>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约51人</w:t>
                  </w:r>
                </w:p>
              </w:tc>
              <w:tc>
                <w:tcPr>
                  <w:tcW w:w="628" w:type="pct"/>
                  <w:vMerge w:val="continue"/>
                  <w:vAlign w:val="center"/>
                </w:tcPr>
                <w:p w14:paraId="185A05D6">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DA8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0A239136">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4BD4D4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双星社区</w:t>
                  </w:r>
                </w:p>
              </w:tc>
              <w:tc>
                <w:tcPr>
                  <w:tcW w:w="602" w:type="pct"/>
                  <w:shd w:val="clear" w:color="auto" w:fill="auto"/>
                  <w:vAlign w:val="center"/>
                </w:tcPr>
                <w:p w14:paraId="14D530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-854.28</w:t>
                  </w:r>
                </w:p>
              </w:tc>
              <w:tc>
                <w:tcPr>
                  <w:tcW w:w="723" w:type="pct"/>
                  <w:shd w:val="clear" w:color="auto" w:fill="auto"/>
                  <w:vAlign w:val="center"/>
                </w:tcPr>
                <w:p w14:paraId="0FEAC0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230.49</w:t>
                  </w:r>
                </w:p>
              </w:tc>
              <w:tc>
                <w:tcPr>
                  <w:tcW w:w="484" w:type="pct"/>
                  <w:shd w:val="clear" w:color="auto" w:fill="auto"/>
                  <w:vAlign w:val="center"/>
                </w:tcPr>
                <w:p w14:paraId="1DB3B5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884</w:t>
                  </w:r>
                </w:p>
              </w:tc>
              <w:tc>
                <w:tcPr>
                  <w:tcW w:w="428" w:type="pct"/>
                  <w:shd w:val="clear" w:color="auto" w:fill="auto"/>
                  <w:vAlign w:val="center"/>
                </w:tcPr>
                <w:p w14:paraId="6D73FC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434" w:type="pct"/>
                  <w:shd w:val="clear" w:color="auto" w:fill="auto"/>
                  <w:vAlign w:val="center"/>
                </w:tcPr>
                <w:p w14:paraId="7D519F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69CD36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约500人</w:t>
                  </w:r>
                </w:p>
              </w:tc>
              <w:tc>
                <w:tcPr>
                  <w:tcW w:w="628" w:type="pct"/>
                  <w:vMerge w:val="continue"/>
                  <w:vAlign w:val="center"/>
                </w:tcPr>
                <w:p w14:paraId="05FD3D6D">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ED9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67EE4200">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3EA78D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歇凉树</w:t>
                  </w:r>
                </w:p>
              </w:tc>
              <w:tc>
                <w:tcPr>
                  <w:tcW w:w="602" w:type="pct"/>
                  <w:shd w:val="clear" w:color="auto" w:fill="auto"/>
                  <w:vAlign w:val="center"/>
                </w:tcPr>
                <w:p w14:paraId="038A1A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-1410.53</w:t>
                  </w:r>
                </w:p>
              </w:tc>
              <w:tc>
                <w:tcPr>
                  <w:tcW w:w="723" w:type="pct"/>
                  <w:shd w:val="clear" w:color="auto" w:fill="auto"/>
                  <w:vAlign w:val="center"/>
                </w:tcPr>
                <w:p w14:paraId="215F92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703.81</w:t>
                  </w:r>
                </w:p>
              </w:tc>
              <w:tc>
                <w:tcPr>
                  <w:tcW w:w="484" w:type="pct"/>
                  <w:shd w:val="clear" w:color="auto" w:fill="auto"/>
                  <w:vAlign w:val="center"/>
                </w:tcPr>
                <w:p w14:paraId="3241F8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1576</w:t>
                  </w:r>
                </w:p>
              </w:tc>
              <w:tc>
                <w:tcPr>
                  <w:tcW w:w="428" w:type="pct"/>
                  <w:shd w:val="clear" w:color="auto" w:fill="auto"/>
                  <w:vAlign w:val="center"/>
                </w:tcPr>
                <w:p w14:paraId="14E216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434" w:type="pct"/>
                  <w:shd w:val="clear" w:color="auto" w:fill="auto"/>
                  <w:vAlign w:val="center"/>
                </w:tcPr>
                <w:p w14:paraId="05872D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136E2F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约160人</w:t>
                  </w:r>
                </w:p>
              </w:tc>
              <w:tc>
                <w:tcPr>
                  <w:tcW w:w="628" w:type="pct"/>
                  <w:vMerge w:val="continue"/>
                  <w:vAlign w:val="center"/>
                </w:tcPr>
                <w:p w14:paraId="7E6D2E1F">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A25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7CB681BA">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658B11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居民点4</w:t>
                  </w:r>
                </w:p>
              </w:tc>
              <w:tc>
                <w:tcPr>
                  <w:tcW w:w="602" w:type="pct"/>
                  <w:shd w:val="clear" w:color="auto" w:fill="auto"/>
                  <w:vAlign w:val="center"/>
                </w:tcPr>
                <w:p w14:paraId="3D4833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-299.34</w:t>
                  </w:r>
                </w:p>
              </w:tc>
              <w:tc>
                <w:tcPr>
                  <w:tcW w:w="723" w:type="pct"/>
                  <w:shd w:val="clear" w:color="auto" w:fill="auto"/>
                  <w:vAlign w:val="center"/>
                </w:tcPr>
                <w:p w14:paraId="01247A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-21.57</w:t>
                  </w:r>
                </w:p>
              </w:tc>
              <w:tc>
                <w:tcPr>
                  <w:tcW w:w="484" w:type="pct"/>
                  <w:shd w:val="clear" w:color="auto" w:fill="auto"/>
                  <w:vAlign w:val="center"/>
                </w:tcPr>
                <w:p w14:paraId="1BD016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300</w:t>
                  </w:r>
                </w:p>
              </w:tc>
              <w:tc>
                <w:tcPr>
                  <w:tcW w:w="428" w:type="pct"/>
                  <w:shd w:val="clear" w:color="auto" w:fill="auto"/>
                  <w:vAlign w:val="center"/>
                </w:tcPr>
                <w:p w14:paraId="2CF65E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w:t>
                  </w:r>
                </w:p>
              </w:tc>
              <w:tc>
                <w:tcPr>
                  <w:tcW w:w="434" w:type="pct"/>
                  <w:shd w:val="clear" w:color="auto" w:fill="auto"/>
                  <w:vAlign w:val="center"/>
                </w:tcPr>
                <w:p w14:paraId="127014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4B31A8D5">
                  <w:pPr>
                    <w:pStyle w:val="13"/>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约36人</w:t>
                  </w:r>
                </w:p>
              </w:tc>
              <w:tc>
                <w:tcPr>
                  <w:tcW w:w="628" w:type="pct"/>
                  <w:vMerge w:val="continue"/>
                  <w:vAlign w:val="center"/>
                </w:tcPr>
                <w:p w14:paraId="1652C3B6">
                  <w:pPr>
                    <w:pStyle w:val="13"/>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C7A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2CFD7F1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740E0D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居民点5</w:t>
                  </w:r>
                </w:p>
              </w:tc>
              <w:tc>
                <w:tcPr>
                  <w:tcW w:w="602" w:type="pct"/>
                  <w:shd w:val="clear" w:color="auto" w:fill="auto"/>
                  <w:vAlign w:val="center"/>
                </w:tcPr>
                <w:p w14:paraId="0B281A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-443.83</w:t>
                  </w:r>
                </w:p>
              </w:tc>
              <w:tc>
                <w:tcPr>
                  <w:tcW w:w="723" w:type="pct"/>
                  <w:shd w:val="clear" w:color="auto" w:fill="auto"/>
                  <w:vAlign w:val="center"/>
                </w:tcPr>
                <w:p w14:paraId="617938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339.41</w:t>
                  </w:r>
                </w:p>
              </w:tc>
              <w:tc>
                <w:tcPr>
                  <w:tcW w:w="484" w:type="pct"/>
                  <w:shd w:val="clear" w:color="auto" w:fill="auto"/>
                  <w:vAlign w:val="center"/>
                </w:tcPr>
                <w:p w14:paraId="35D822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558</w:t>
                  </w:r>
                </w:p>
              </w:tc>
              <w:tc>
                <w:tcPr>
                  <w:tcW w:w="428" w:type="pct"/>
                  <w:shd w:val="clear" w:color="auto" w:fill="auto"/>
                  <w:vAlign w:val="center"/>
                </w:tcPr>
                <w:p w14:paraId="684F3A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434" w:type="pct"/>
                  <w:shd w:val="clear" w:color="auto" w:fill="auto"/>
                  <w:vAlign w:val="center"/>
                </w:tcPr>
                <w:p w14:paraId="4C1077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44ED3C99">
                  <w:pPr>
                    <w:pStyle w:val="13"/>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约21人</w:t>
                  </w:r>
                </w:p>
              </w:tc>
              <w:tc>
                <w:tcPr>
                  <w:tcW w:w="628" w:type="pct"/>
                  <w:vMerge w:val="continue"/>
                  <w:vAlign w:val="center"/>
                </w:tcPr>
                <w:p w14:paraId="32AC164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640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252528A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4EA0F2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平昌县星光实验学校</w:t>
                  </w:r>
                </w:p>
              </w:tc>
              <w:tc>
                <w:tcPr>
                  <w:tcW w:w="602" w:type="pct"/>
                  <w:shd w:val="clear" w:color="auto" w:fill="auto"/>
                  <w:vAlign w:val="center"/>
                </w:tcPr>
                <w:p w14:paraId="21325B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-480.84</w:t>
                  </w:r>
                </w:p>
              </w:tc>
              <w:tc>
                <w:tcPr>
                  <w:tcW w:w="723" w:type="pct"/>
                  <w:shd w:val="clear" w:color="auto" w:fill="auto"/>
                  <w:vAlign w:val="center"/>
                </w:tcPr>
                <w:p w14:paraId="2CA7D3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146.92</w:t>
                  </w:r>
                </w:p>
              </w:tc>
              <w:tc>
                <w:tcPr>
                  <w:tcW w:w="484" w:type="pct"/>
                  <w:shd w:val="clear" w:color="auto" w:fill="auto"/>
                  <w:vAlign w:val="center"/>
                </w:tcPr>
                <w:p w14:paraId="0D75D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502</w:t>
                  </w:r>
                </w:p>
              </w:tc>
              <w:tc>
                <w:tcPr>
                  <w:tcW w:w="428" w:type="pct"/>
                  <w:shd w:val="clear" w:color="auto" w:fill="auto"/>
                  <w:vAlign w:val="center"/>
                </w:tcPr>
                <w:p w14:paraId="3AB09C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434" w:type="pct"/>
                  <w:shd w:val="clear" w:color="auto" w:fill="auto"/>
                  <w:vAlign w:val="center"/>
                </w:tcPr>
                <w:p w14:paraId="682A0D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学校</w:t>
                  </w:r>
                </w:p>
              </w:tc>
              <w:tc>
                <w:tcPr>
                  <w:tcW w:w="663" w:type="pct"/>
                  <w:shd w:val="clear" w:color="auto" w:fill="auto"/>
                  <w:vAlign w:val="center"/>
                </w:tcPr>
                <w:p w14:paraId="663FD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约1500人</w:t>
                  </w:r>
                </w:p>
              </w:tc>
              <w:tc>
                <w:tcPr>
                  <w:tcW w:w="628" w:type="pct"/>
                  <w:vMerge w:val="continue"/>
                  <w:vAlign w:val="center"/>
                </w:tcPr>
                <w:p w14:paraId="288B74F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C2F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75B0383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5FB3A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高冠村</w:t>
                  </w:r>
                </w:p>
              </w:tc>
              <w:tc>
                <w:tcPr>
                  <w:tcW w:w="602" w:type="pct"/>
                  <w:shd w:val="clear" w:color="auto" w:fill="auto"/>
                  <w:vAlign w:val="center"/>
                </w:tcPr>
                <w:p w14:paraId="13310A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2249.71</w:t>
                  </w:r>
                </w:p>
              </w:tc>
              <w:tc>
                <w:tcPr>
                  <w:tcW w:w="723" w:type="pct"/>
                  <w:shd w:val="clear" w:color="auto" w:fill="auto"/>
                  <w:vAlign w:val="center"/>
                </w:tcPr>
                <w:p w14:paraId="2E9F4B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615.05</w:t>
                  </w:r>
                </w:p>
              </w:tc>
              <w:tc>
                <w:tcPr>
                  <w:tcW w:w="484" w:type="pct"/>
                  <w:shd w:val="clear" w:color="auto" w:fill="auto"/>
                  <w:vAlign w:val="center"/>
                </w:tcPr>
                <w:p w14:paraId="3563D8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2332</w:t>
                  </w:r>
                </w:p>
              </w:tc>
              <w:tc>
                <w:tcPr>
                  <w:tcW w:w="428" w:type="pct"/>
                  <w:shd w:val="clear" w:color="auto" w:fill="auto"/>
                  <w:vAlign w:val="center"/>
                </w:tcPr>
                <w:p w14:paraId="238C23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434" w:type="pct"/>
                  <w:shd w:val="clear" w:color="auto" w:fill="auto"/>
                  <w:vAlign w:val="center"/>
                </w:tcPr>
                <w:p w14:paraId="337672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181939B0">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约220人</w:t>
                  </w:r>
                </w:p>
              </w:tc>
              <w:tc>
                <w:tcPr>
                  <w:tcW w:w="628" w:type="pct"/>
                  <w:vMerge w:val="continue"/>
                  <w:vAlign w:val="center"/>
                </w:tcPr>
                <w:p w14:paraId="3C0B0F1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D8B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19B5F927">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4B52EF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吴家沟</w:t>
                  </w:r>
                </w:p>
              </w:tc>
              <w:tc>
                <w:tcPr>
                  <w:tcW w:w="602" w:type="pct"/>
                  <w:shd w:val="clear" w:color="auto" w:fill="auto"/>
                  <w:vAlign w:val="center"/>
                </w:tcPr>
                <w:p w14:paraId="737364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2137.73</w:t>
                  </w:r>
                </w:p>
              </w:tc>
              <w:tc>
                <w:tcPr>
                  <w:tcW w:w="723" w:type="pct"/>
                  <w:shd w:val="clear" w:color="auto" w:fill="auto"/>
                  <w:vAlign w:val="center"/>
                </w:tcPr>
                <w:p w14:paraId="3FCADC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1477.88</w:t>
                  </w:r>
                </w:p>
              </w:tc>
              <w:tc>
                <w:tcPr>
                  <w:tcW w:w="484" w:type="pct"/>
                  <w:shd w:val="clear" w:color="auto" w:fill="auto"/>
                  <w:vAlign w:val="center"/>
                </w:tcPr>
                <w:p w14:paraId="001B87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2598</w:t>
                  </w:r>
                </w:p>
              </w:tc>
              <w:tc>
                <w:tcPr>
                  <w:tcW w:w="428" w:type="pct"/>
                  <w:shd w:val="clear" w:color="auto" w:fill="auto"/>
                  <w:vAlign w:val="center"/>
                </w:tcPr>
                <w:p w14:paraId="70C0C3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434" w:type="pct"/>
                  <w:shd w:val="clear" w:color="auto" w:fill="auto"/>
                  <w:vAlign w:val="center"/>
                </w:tcPr>
                <w:p w14:paraId="5F0AB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50B9C9BC">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约135人</w:t>
                  </w:r>
                </w:p>
              </w:tc>
              <w:tc>
                <w:tcPr>
                  <w:tcW w:w="628" w:type="pct"/>
                  <w:vMerge w:val="continue"/>
                  <w:vAlign w:val="center"/>
                </w:tcPr>
                <w:p w14:paraId="2FE5B69A">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A7A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6038D50A">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3C23E3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孙家山</w:t>
                  </w:r>
                </w:p>
              </w:tc>
              <w:tc>
                <w:tcPr>
                  <w:tcW w:w="602" w:type="pct"/>
                  <w:shd w:val="clear" w:color="auto" w:fill="auto"/>
                  <w:vAlign w:val="center"/>
                </w:tcPr>
                <w:p w14:paraId="435001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2073.25</w:t>
                  </w:r>
                </w:p>
              </w:tc>
              <w:tc>
                <w:tcPr>
                  <w:tcW w:w="723" w:type="pct"/>
                  <w:shd w:val="clear" w:color="auto" w:fill="auto"/>
                  <w:vAlign w:val="center"/>
                </w:tcPr>
                <w:p w14:paraId="6357CC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-65.18</w:t>
                  </w:r>
                </w:p>
              </w:tc>
              <w:tc>
                <w:tcPr>
                  <w:tcW w:w="484" w:type="pct"/>
                  <w:shd w:val="clear" w:color="auto" w:fill="auto"/>
                  <w:vAlign w:val="center"/>
                </w:tcPr>
                <w:p w14:paraId="55A1D8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2074</w:t>
                  </w:r>
                </w:p>
              </w:tc>
              <w:tc>
                <w:tcPr>
                  <w:tcW w:w="428" w:type="pct"/>
                  <w:shd w:val="clear" w:color="auto" w:fill="auto"/>
                  <w:vAlign w:val="center"/>
                </w:tcPr>
                <w:p w14:paraId="5D3895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w:t>
                  </w:r>
                </w:p>
              </w:tc>
              <w:tc>
                <w:tcPr>
                  <w:tcW w:w="434" w:type="pct"/>
                  <w:shd w:val="clear" w:color="auto" w:fill="auto"/>
                  <w:vAlign w:val="center"/>
                </w:tcPr>
                <w:p w14:paraId="0BF053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1D2575AB">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约330人</w:t>
                  </w:r>
                </w:p>
              </w:tc>
              <w:tc>
                <w:tcPr>
                  <w:tcW w:w="628" w:type="pct"/>
                  <w:vMerge w:val="continue"/>
                  <w:vAlign w:val="center"/>
                </w:tcPr>
                <w:p w14:paraId="4AE24837">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6A6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73FBEBE4">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2261FE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土桥子</w:t>
                  </w:r>
                </w:p>
              </w:tc>
              <w:tc>
                <w:tcPr>
                  <w:tcW w:w="602" w:type="pct"/>
                  <w:shd w:val="clear" w:color="auto" w:fill="auto"/>
                  <w:vAlign w:val="center"/>
                </w:tcPr>
                <w:p w14:paraId="3B1D7B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1959.68</w:t>
                  </w:r>
                </w:p>
              </w:tc>
              <w:tc>
                <w:tcPr>
                  <w:tcW w:w="723" w:type="pct"/>
                  <w:shd w:val="clear" w:color="auto" w:fill="auto"/>
                  <w:vAlign w:val="center"/>
                </w:tcPr>
                <w:p w14:paraId="1C6D9E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842.25</w:t>
                  </w:r>
                </w:p>
              </w:tc>
              <w:tc>
                <w:tcPr>
                  <w:tcW w:w="484" w:type="pct"/>
                  <w:shd w:val="clear" w:color="auto" w:fill="auto"/>
                  <w:vAlign w:val="center"/>
                </w:tcPr>
                <w:p w14:paraId="4E2B1C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2133</w:t>
                  </w:r>
                </w:p>
              </w:tc>
              <w:tc>
                <w:tcPr>
                  <w:tcW w:w="428" w:type="pct"/>
                  <w:shd w:val="clear" w:color="auto" w:fill="auto"/>
                  <w:vAlign w:val="center"/>
                </w:tcPr>
                <w:p w14:paraId="5F237C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434" w:type="pct"/>
                  <w:shd w:val="clear" w:color="auto" w:fill="auto"/>
                  <w:vAlign w:val="center"/>
                </w:tcPr>
                <w:p w14:paraId="4487B4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167619DB">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约280人</w:t>
                  </w:r>
                </w:p>
              </w:tc>
              <w:tc>
                <w:tcPr>
                  <w:tcW w:w="628" w:type="pct"/>
                  <w:vMerge w:val="continue"/>
                  <w:vAlign w:val="center"/>
                </w:tcPr>
                <w:p w14:paraId="01F95E0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C3A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670025C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18A06B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北沙村</w:t>
                  </w:r>
                </w:p>
              </w:tc>
              <w:tc>
                <w:tcPr>
                  <w:tcW w:w="602" w:type="pct"/>
                  <w:shd w:val="clear" w:color="auto" w:fill="auto"/>
                  <w:vAlign w:val="center"/>
                </w:tcPr>
                <w:p w14:paraId="5B1715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1814.64</w:t>
                  </w:r>
                </w:p>
              </w:tc>
              <w:tc>
                <w:tcPr>
                  <w:tcW w:w="723" w:type="pct"/>
                  <w:shd w:val="clear" w:color="auto" w:fill="auto"/>
                  <w:vAlign w:val="center"/>
                </w:tcPr>
                <w:p w14:paraId="705478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-1434.35</w:t>
                  </w:r>
                </w:p>
              </w:tc>
              <w:tc>
                <w:tcPr>
                  <w:tcW w:w="484" w:type="pct"/>
                  <w:shd w:val="clear" w:color="auto" w:fill="auto"/>
                  <w:vAlign w:val="center"/>
                </w:tcPr>
                <w:p w14:paraId="37237A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2313</w:t>
                  </w:r>
                </w:p>
              </w:tc>
              <w:tc>
                <w:tcPr>
                  <w:tcW w:w="428" w:type="pct"/>
                  <w:shd w:val="clear" w:color="auto" w:fill="auto"/>
                  <w:vAlign w:val="center"/>
                </w:tcPr>
                <w:p w14:paraId="436B1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SE</w:t>
                  </w:r>
                </w:p>
              </w:tc>
              <w:tc>
                <w:tcPr>
                  <w:tcW w:w="434" w:type="pct"/>
                  <w:shd w:val="clear" w:color="auto" w:fill="auto"/>
                  <w:vAlign w:val="center"/>
                </w:tcPr>
                <w:p w14:paraId="000775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42D2A483">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约266人</w:t>
                  </w:r>
                </w:p>
              </w:tc>
              <w:tc>
                <w:tcPr>
                  <w:tcW w:w="628" w:type="pct"/>
                  <w:vMerge w:val="continue"/>
                  <w:vAlign w:val="center"/>
                </w:tcPr>
                <w:p w14:paraId="59B154D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1D5A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312C21F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5B78B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大宁村</w:t>
                  </w:r>
                </w:p>
              </w:tc>
              <w:tc>
                <w:tcPr>
                  <w:tcW w:w="602" w:type="pct"/>
                  <w:shd w:val="clear" w:color="auto" w:fill="auto"/>
                  <w:vAlign w:val="center"/>
                </w:tcPr>
                <w:p w14:paraId="33615F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1263.53</w:t>
                  </w:r>
                </w:p>
              </w:tc>
              <w:tc>
                <w:tcPr>
                  <w:tcW w:w="723" w:type="pct"/>
                  <w:shd w:val="clear" w:color="auto" w:fill="auto"/>
                  <w:vAlign w:val="center"/>
                </w:tcPr>
                <w:p w14:paraId="1915A5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2447.75</w:t>
                  </w:r>
                </w:p>
              </w:tc>
              <w:tc>
                <w:tcPr>
                  <w:tcW w:w="484" w:type="pct"/>
                  <w:shd w:val="clear" w:color="auto" w:fill="auto"/>
                  <w:vAlign w:val="center"/>
                </w:tcPr>
                <w:p w14:paraId="58CB34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2754</w:t>
                  </w:r>
                </w:p>
              </w:tc>
              <w:tc>
                <w:tcPr>
                  <w:tcW w:w="428" w:type="pct"/>
                  <w:shd w:val="clear" w:color="auto" w:fill="auto"/>
                  <w:vAlign w:val="center"/>
                </w:tcPr>
                <w:p w14:paraId="53DDDD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NNE</w:t>
                  </w:r>
                </w:p>
              </w:tc>
              <w:tc>
                <w:tcPr>
                  <w:tcW w:w="434" w:type="pct"/>
                  <w:shd w:val="clear" w:color="auto" w:fill="auto"/>
                  <w:vAlign w:val="center"/>
                </w:tcPr>
                <w:p w14:paraId="02F94F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0E95A8A3">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约260人</w:t>
                  </w:r>
                </w:p>
              </w:tc>
              <w:tc>
                <w:tcPr>
                  <w:tcW w:w="628" w:type="pct"/>
                  <w:vMerge w:val="continue"/>
                  <w:vAlign w:val="center"/>
                </w:tcPr>
                <w:p w14:paraId="0FA81865">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8B2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7E4097FE">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36C282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王家梁</w:t>
                  </w:r>
                </w:p>
              </w:tc>
              <w:tc>
                <w:tcPr>
                  <w:tcW w:w="602" w:type="pct"/>
                  <w:shd w:val="clear" w:color="auto" w:fill="auto"/>
                  <w:vAlign w:val="center"/>
                </w:tcPr>
                <w:p w14:paraId="305CE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1087.69</w:t>
                  </w:r>
                </w:p>
              </w:tc>
              <w:tc>
                <w:tcPr>
                  <w:tcW w:w="723" w:type="pct"/>
                  <w:shd w:val="clear" w:color="auto" w:fill="auto"/>
                  <w:vAlign w:val="center"/>
                </w:tcPr>
                <w:p w14:paraId="35D0C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1734.54</w:t>
                  </w:r>
                </w:p>
              </w:tc>
              <w:tc>
                <w:tcPr>
                  <w:tcW w:w="484" w:type="pct"/>
                  <w:shd w:val="clear" w:color="auto" w:fill="auto"/>
                  <w:vAlign w:val="center"/>
                </w:tcPr>
                <w:p w14:paraId="283A48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2047</w:t>
                  </w:r>
                </w:p>
              </w:tc>
              <w:tc>
                <w:tcPr>
                  <w:tcW w:w="428" w:type="pct"/>
                  <w:shd w:val="clear" w:color="auto" w:fill="auto"/>
                  <w:vAlign w:val="center"/>
                </w:tcPr>
                <w:p w14:paraId="53E9D8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NNE</w:t>
                  </w:r>
                </w:p>
              </w:tc>
              <w:tc>
                <w:tcPr>
                  <w:tcW w:w="434" w:type="pct"/>
                  <w:shd w:val="clear" w:color="auto" w:fill="auto"/>
                  <w:vAlign w:val="center"/>
                </w:tcPr>
                <w:p w14:paraId="383303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0C98BA20">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约180人</w:t>
                  </w:r>
                </w:p>
              </w:tc>
              <w:tc>
                <w:tcPr>
                  <w:tcW w:w="628" w:type="pct"/>
                  <w:vMerge w:val="continue"/>
                  <w:vAlign w:val="center"/>
                </w:tcPr>
                <w:p w14:paraId="57676519">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24C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3B4ACC2F">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699335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何家山</w:t>
                  </w:r>
                </w:p>
              </w:tc>
              <w:tc>
                <w:tcPr>
                  <w:tcW w:w="602" w:type="pct"/>
                  <w:shd w:val="clear" w:color="auto" w:fill="auto"/>
                  <w:vAlign w:val="center"/>
                </w:tcPr>
                <w:p w14:paraId="4998BD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1035.89</w:t>
                  </w:r>
                </w:p>
              </w:tc>
              <w:tc>
                <w:tcPr>
                  <w:tcW w:w="723" w:type="pct"/>
                  <w:shd w:val="clear" w:color="auto" w:fill="auto"/>
                  <w:vAlign w:val="center"/>
                </w:tcPr>
                <w:p w14:paraId="7726FA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-462.57</w:t>
                  </w:r>
                </w:p>
              </w:tc>
              <w:tc>
                <w:tcPr>
                  <w:tcW w:w="484" w:type="pct"/>
                  <w:shd w:val="clear" w:color="auto" w:fill="auto"/>
                  <w:vAlign w:val="center"/>
                </w:tcPr>
                <w:p w14:paraId="6452D4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1134</w:t>
                  </w:r>
                </w:p>
              </w:tc>
              <w:tc>
                <w:tcPr>
                  <w:tcW w:w="428" w:type="pct"/>
                  <w:shd w:val="clear" w:color="auto" w:fill="auto"/>
                  <w:vAlign w:val="center"/>
                </w:tcPr>
                <w:p w14:paraId="5869FC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ESE</w:t>
                  </w:r>
                </w:p>
              </w:tc>
              <w:tc>
                <w:tcPr>
                  <w:tcW w:w="434" w:type="pct"/>
                  <w:shd w:val="clear" w:color="auto" w:fill="auto"/>
                  <w:vAlign w:val="center"/>
                </w:tcPr>
                <w:p w14:paraId="21298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162BFE2E">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约520人</w:t>
                  </w:r>
                </w:p>
              </w:tc>
              <w:tc>
                <w:tcPr>
                  <w:tcW w:w="628" w:type="pct"/>
                  <w:vMerge w:val="continue"/>
                  <w:vAlign w:val="center"/>
                </w:tcPr>
                <w:p w14:paraId="6DD4537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EAB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4EC5A566">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61A22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王棚院</w:t>
                  </w:r>
                </w:p>
              </w:tc>
              <w:tc>
                <w:tcPr>
                  <w:tcW w:w="602" w:type="pct"/>
                  <w:shd w:val="clear" w:color="auto" w:fill="auto"/>
                  <w:vAlign w:val="center"/>
                </w:tcPr>
                <w:p w14:paraId="4CA5A1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914.22</w:t>
                  </w:r>
                </w:p>
              </w:tc>
              <w:tc>
                <w:tcPr>
                  <w:tcW w:w="723" w:type="pct"/>
                  <w:shd w:val="clear" w:color="auto" w:fill="auto"/>
                  <w:vAlign w:val="center"/>
                </w:tcPr>
                <w:p w14:paraId="508102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899.32</w:t>
                  </w:r>
                </w:p>
              </w:tc>
              <w:tc>
                <w:tcPr>
                  <w:tcW w:w="484" w:type="pct"/>
                  <w:shd w:val="clear" w:color="auto" w:fill="auto"/>
                  <w:vAlign w:val="center"/>
                </w:tcPr>
                <w:p w14:paraId="33D4D1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1282</w:t>
                  </w:r>
                </w:p>
              </w:tc>
              <w:tc>
                <w:tcPr>
                  <w:tcW w:w="428" w:type="pct"/>
                  <w:shd w:val="clear" w:color="auto" w:fill="auto"/>
                  <w:vAlign w:val="center"/>
                </w:tcPr>
                <w:p w14:paraId="2BD62C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434" w:type="pct"/>
                  <w:shd w:val="clear" w:color="auto" w:fill="auto"/>
                  <w:vAlign w:val="center"/>
                </w:tcPr>
                <w:p w14:paraId="264DCF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5CE91C35">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约400人</w:t>
                  </w:r>
                </w:p>
              </w:tc>
              <w:tc>
                <w:tcPr>
                  <w:tcW w:w="628" w:type="pct"/>
                  <w:vMerge w:val="continue"/>
                  <w:vAlign w:val="center"/>
                </w:tcPr>
                <w:p w14:paraId="121EAF81">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5C2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1B9AE0CB">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619C95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白顶子</w:t>
                  </w:r>
                </w:p>
              </w:tc>
              <w:tc>
                <w:tcPr>
                  <w:tcW w:w="602" w:type="pct"/>
                  <w:shd w:val="clear" w:color="auto" w:fill="auto"/>
                  <w:vAlign w:val="center"/>
                </w:tcPr>
                <w:p w14:paraId="76EE36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827.8</w:t>
                  </w:r>
                </w:p>
              </w:tc>
              <w:tc>
                <w:tcPr>
                  <w:tcW w:w="723" w:type="pct"/>
                  <w:shd w:val="clear" w:color="auto" w:fill="auto"/>
                  <w:vAlign w:val="center"/>
                </w:tcPr>
                <w:p w14:paraId="295E50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465.01</w:t>
                  </w:r>
                </w:p>
              </w:tc>
              <w:tc>
                <w:tcPr>
                  <w:tcW w:w="484" w:type="pct"/>
                  <w:shd w:val="clear" w:color="auto" w:fill="auto"/>
                  <w:vAlign w:val="center"/>
                </w:tcPr>
                <w:p w14:paraId="3CDFD7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949</w:t>
                  </w:r>
                </w:p>
              </w:tc>
              <w:tc>
                <w:tcPr>
                  <w:tcW w:w="428" w:type="pct"/>
                  <w:shd w:val="clear" w:color="auto" w:fill="auto"/>
                  <w:vAlign w:val="center"/>
                </w:tcPr>
                <w:p w14:paraId="77C3BD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434" w:type="pct"/>
                  <w:shd w:val="clear" w:color="auto" w:fill="auto"/>
                  <w:vAlign w:val="center"/>
                </w:tcPr>
                <w:p w14:paraId="6DC0F4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2E1BAC44">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105</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025262B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6AD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676D7F36">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097E5B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字石板</w:t>
                  </w:r>
                </w:p>
              </w:tc>
              <w:tc>
                <w:tcPr>
                  <w:tcW w:w="602" w:type="pct"/>
                  <w:shd w:val="clear" w:color="auto" w:fill="auto"/>
                  <w:vAlign w:val="center"/>
                </w:tcPr>
                <w:p w14:paraId="780CFB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584.68</w:t>
                  </w:r>
                </w:p>
              </w:tc>
              <w:tc>
                <w:tcPr>
                  <w:tcW w:w="723" w:type="pct"/>
                  <w:shd w:val="clear" w:color="auto" w:fill="auto"/>
                  <w:vAlign w:val="center"/>
                </w:tcPr>
                <w:p w14:paraId="5F6B9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-1702.61</w:t>
                  </w:r>
                </w:p>
              </w:tc>
              <w:tc>
                <w:tcPr>
                  <w:tcW w:w="484" w:type="pct"/>
                  <w:shd w:val="clear" w:color="auto" w:fill="auto"/>
                  <w:vAlign w:val="center"/>
                </w:tcPr>
                <w:p w14:paraId="147134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1800</w:t>
                  </w:r>
                </w:p>
              </w:tc>
              <w:tc>
                <w:tcPr>
                  <w:tcW w:w="428" w:type="pct"/>
                  <w:shd w:val="clear" w:color="auto" w:fill="auto"/>
                  <w:vAlign w:val="center"/>
                </w:tcPr>
                <w:p w14:paraId="6F3517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SSE</w:t>
                  </w:r>
                </w:p>
              </w:tc>
              <w:tc>
                <w:tcPr>
                  <w:tcW w:w="434" w:type="pct"/>
                  <w:shd w:val="clear" w:color="auto" w:fill="auto"/>
                  <w:vAlign w:val="center"/>
                </w:tcPr>
                <w:p w14:paraId="1A69C7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7170B36A">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约210人</w:t>
                  </w:r>
                </w:p>
              </w:tc>
              <w:tc>
                <w:tcPr>
                  <w:tcW w:w="628" w:type="pct"/>
                  <w:vMerge w:val="continue"/>
                  <w:vAlign w:val="center"/>
                </w:tcPr>
                <w:p w14:paraId="3785574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574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387D9146">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1F3DBB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梅垭村</w:t>
                  </w:r>
                </w:p>
              </w:tc>
              <w:tc>
                <w:tcPr>
                  <w:tcW w:w="602" w:type="pct"/>
                  <w:shd w:val="clear" w:color="auto" w:fill="auto"/>
                  <w:vAlign w:val="center"/>
                </w:tcPr>
                <w:p w14:paraId="4F3468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195.88</w:t>
                  </w:r>
                </w:p>
              </w:tc>
              <w:tc>
                <w:tcPr>
                  <w:tcW w:w="723" w:type="pct"/>
                  <w:shd w:val="clear" w:color="auto" w:fill="auto"/>
                  <w:vAlign w:val="center"/>
                </w:tcPr>
                <w:p w14:paraId="6CCA6E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-1244.4</w:t>
                  </w:r>
                </w:p>
              </w:tc>
              <w:tc>
                <w:tcPr>
                  <w:tcW w:w="484" w:type="pct"/>
                  <w:shd w:val="clear" w:color="auto" w:fill="auto"/>
                  <w:vAlign w:val="center"/>
                </w:tcPr>
                <w:p w14:paraId="216F80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1259</w:t>
                  </w:r>
                </w:p>
              </w:tc>
              <w:tc>
                <w:tcPr>
                  <w:tcW w:w="428" w:type="pct"/>
                  <w:shd w:val="clear" w:color="auto" w:fill="auto"/>
                  <w:vAlign w:val="center"/>
                </w:tcPr>
                <w:p w14:paraId="5C1695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t>
                  </w:r>
                </w:p>
              </w:tc>
              <w:tc>
                <w:tcPr>
                  <w:tcW w:w="434" w:type="pct"/>
                  <w:shd w:val="clear" w:color="auto" w:fill="auto"/>
                  <w:vAlign w:val="center"/>
                </w:tcPr>
                <w:p w14:paraId="21F3AA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04F1FE28">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约180人</w:t>
                  </w:r>
                </w:p>
              </w:tc>
              <w:tc>
                <w:tcPr>
                  <w:tcW w:w="628" w:type="pct"/>
                  <w:vMerge w:val="continue"/>
                  <w:vAlign w:val="center"/>
                </w:tcPr>
                <w:p w14:paraId="30B27780">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1B99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7C63A08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0FF107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老屋坝</w:t>
                  </w:r>
                </w:p>
              </w:tc>
              <w:tc>
                <w:tcPr>
                  <w:tcW w:w="602" w:type="pct"/>
                  <w:shd w:val="clear" w:color="auto" w:fill="auto"/>
                  <w:vAlign w:val="center"/>
                </w:tcPr>
                <w:p w14:paraId="0519CC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-230.08</w:t>
                  </w:r>
                </w:p>
              </w:tc>
              <w:tc>
                <w:tcPr>
                  <w:tcW w:w="723" w:type="pct"/>
                  <w:shd w:val="clear" w:color="auto" w:fill="auto"/>
                  <w:vAlign w:val="center"/>
                </w:tcPr>
                <w:p w14:paraId="526C9D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1120.85</w:t>
                  </w:r>
                </w:p>
              </w:tc>
              <w:tc>
                <w:tcPr>
                  <w:tcW w:w="484" w:type="pct"/>
                  <w:shd w:val="clear" w:color="auto" w:fill="auto"/>
                  <w:vAlign w:val="center"/>
                </w:tcPr>
                <w:p w14:paraId="726EE7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1144</w:t>
                  </w:r>
                </w:p>
              </w:tc>
              <w:tc>
                <w:tcPr>
                  <w:tcW w:w="428" w:type="pct"/>
                  <w:shd w:val="clear" w:color="auto" w:fill="auto"/>
                  <w:vAlign w:val="center"/>
                </w:tcPr>
                <w:p w14:paraId="6C8E93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434" w:type="pct"/>
                  <w:shd w:val="clear" w:color="auto" w:fill="auto"/>
                  <w:vAlign w:val="center"/>
                </w:tcPr>
                <w:p w14:paraId="022C86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43390C16">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120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15661CF4">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12FA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56DD68AB">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47A9CE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袁家山</w:t>
                  </w:r>
                </w:p>
              </w:tc>
              <w:tc>
                <w:tcPr>
                  <w:tcW w:w="602" w:type="pct"/>
                  <w:shd w:val="clear" w:color="auto" w:fill="auto"/>
                  <w:vAlign w:val="center"/>
                </w:tcPr>
                <w:p w14:paraId="231EB3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-183.37</w:t>
                  </w:r>
                </w:p>
              </w:tc>
              <w:tc>
                <w:tcPr>
                  <w:tcW w:w="723" w:type="pct"/>
                  <w:shd w:val="clear" w:color="auto" w:fill="auto"/>
                  <w:vAlign w:val="center"/>
                </w:tcPr>
                <w:p w14:paraId="630FA8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-1274</w:t>
                  </w:r>
                </w:p>
              </w:tc>
              <w:tc>
                <w:tcPr>
                  <w:tcW w:w="484" w:type="pct"/>
                  <w:shd w:val="clear" w:color="auto" w:fill="auto"/>
                  <w:vAlign w:val="center"/>
                </w:tcPr>
                <w:p w14:paraId="59949A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1287</w:t>
                  </w:r>
                </w:p>
              </w:tc>
              <w:tc>
                <w:tcPr>
                  <w:tcW w:w="428" w:type="pct"/>
                  <w:shd w:val="clear" w:color="auto" w:fill="auto"/>
                  <w:vAlign w:val="center"/>
                </w:tcPr>
                <w:p w14:paraId="40CFB6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t>
                  </w:r>
                </w:p>
              </w:tc>
              <w:tc>
                <w:tcPr>
                  <w:tcW w:w="434" w:type="pct"/>
                  <w:shd w:val="clear" w:color="auto" w:fill="auto"/>
                  <w:vAlign w:val="center"/>
                </w:tcPr>
                <w:p w14:paraId="4BF765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4F4580C8">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约190人</w:t>
                  </w:r>
                </w:p>
              </w:tc>
              <w:tc>
                <w:tcPr>
                  <w:tcW w:w="628" w:type="pct"/>
                  <w:vMerge w:val="continue"/>
                  <w:vAlign w:val="center"/>
                </w:tcPr>
                <w:p w14:paraId="5119BFF2">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B06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574F5906">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30231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临江村</w:t>
                  </w:r>
                </w:p>
              </w:tc>
              <w:tc>
                <w:tcPr>
                  <w:tcW w:w="602" w:type="pct"/>
                  <w:shd w:val="clear" w:color="auto" w:fill="auto"/>
                  <w:vAlign w:val="center"/>
                </w:tcPr>
                <w:p w14:paraId="2139D4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-625.66</w:t>
                  </w:r>
                </w:p>
              </w:tc>
              <w:tc>
                <w:tcPr>
                  <w:tcW w:w="723" w:type="pct"/>
                  <w:shd w:val="clear" w:color="auto" w:fill="auto"/>
                  <w:vAlign w:val="center"/>
                </w:tcPr>
                <w:p w14:paraId="3D13E8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1933.94</w:t>
                  </w:r>
                </w:p>
              </w:tc>
              <w:tc>
                <w:tcPr>
                  <w:tcW w:w="484" w:type="pct"/>
                  <w:shd w:val="clear" w:color="auto" w:fill="auto"/>
                  <w:vAlign w:val="center"/>
                </w:tcPr>
                <w:p w14:paraId="645FAB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2032</w:t>
                  </w:r>
                </w:p>
              </w:tc>
              <w:tc>
                <w:tcPr>
                  <w:tcW w:w="428" w:type="pct"/>
                  <w:shd w:val="clear" w:color="auto" w:fill="auto"/>
                  <w:vAlign w:val="center"/>
                </w:tcPr>
                <w:p w14:paraId="53D44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434" w:type="pct"/>
                  <w:shd w:val="clear" w:color="auto" w:fill="auto"/>
                  <w:vAlign w:val="center"/>
                </w:tcPr>
                <w:p w14:paraId="7FCCF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50D26961">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约170人</w:t>
                  </w:r>
                </w:p>
              </w:tc>
              <w:tc>
                <w:tcPr>
                  <w:tcW w:w="628" w:type="pct"/>
                  <w:vMerge w:val="continue"/>
                  <w:vAlign w:val="center"/>
                </w:tcPr>
                <w:p w14:paraId="5CC91C3E">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DEF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787172C2">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1E2565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老鹰寨</w:t>
                  </w:r>
                </w:p>
              </w:tc>
              <w:tc>
                <w:tcPr>
                  <w:tcW w:w="602" w:type="pct"/>
                  <w:shd w:val="clear" w:color="auto" w:fill="auto"/>
                  <w:vAlign w:val="center"/>
                </w:tcPr>
                <w:p w14:paraId="1780F4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-724.3</w:t>
                  </w:r>
                </w:p>
              </w:tc>
              <w:tc>
                <w:tcPr>
                  <w:tcW w:w="723" w:type="pct"/>
                  <w:shd w:val="clear" w:color="auto" w:fill="auto"/>
                  <w:vAlign w:val="center"/>
                </w:tcPr>
                <w:p w14:paraId="322BD0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2087.3</w:t>
                  </w:r>
                </w:p>
              </w:tc>
              <w:tc>
                <w:tcPr>
                  <w:tcW w:w="484" w:type="pct"/>
                  <w:shd w:val="clear" w:color="auto" w:fill="auto"/>
                  <w:vAlign w:val="center"/>
                </w:tcPr>
                <w:p w14:paraId="45ACD5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2209</w:t>
                  </w:r>
                </w:p>
              </w:tc>
              <w:tc>
                <w:tcPr>
                  <w:tcW w:w="428" w:type="pct"/>
                  <w:shd w:val="clear" w:color="auto" w:fill="auto"/>
                  <w:vAlign w:val="center"/>
                </w:tcPr>
                <w:p w14:paraId="62D4E1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434" w:type="pct"/>
                  <w:shd w:val="clear" w:color="auto" w:fill="auto"/>
                  <w:vAlign w:val="center"/>
                </w:tcPr>
                <w:p w14:paraId="5AC6A2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3DBD6A77">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0B960709">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8CE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05894D4F">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10301B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杜家坝</w:t>
                  </w:r>
                </w:p>
              </w:tc>
              <w:tc>
                <w:tcPr>
                  <w:tcW w:w="602" w:type="pct"/>
                  <w:shd w:val="clear" w:color="auto" w:fill="auto"/>
                  <w:vAlign w:val="center"/>
                </w:tcPr>
                <w:p w14:paraId="69D719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-938.51</w:t>
                  </w:r>
                </w:p>
              </w:tc>
              <w:tc>
                <w:tcPr>
                  <w:tcW w:w="723" w:type="pct"/>
                  <w:shd w:val="clear" w:color="auto" w:fill="auto"/>
                  <w:vAlign w:val="center"/>
                </w:tcPr>
                <w:p w14:paraId="0A78F2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-1543.83</w:t>
                  </w:r>
                </w:p>
              </w:tc>
              <w:tc>
                <w:tcPr>
                  <w:tcW w:w="484" w:type="pct"/>
                  <w:shd w:val="clear" w:color="auto" w:fill="auto"/>
                  <w:vAlign w:val="center"/>
                </w:tcPr>
                <w:p w14:paraId="220859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1806</w:t>
                  </w:r>
                </w:p>
              </w:tc>
              <w:tc>
                <w:tcPr>
                  <w:tcW w:w="428" w:type="pct"/>
                  <w:shd w:val="clear" w:color="auto" w:fill="auto"/>
                  <w:vAlign w:val="center"/>
                </w:tcPr>
                <w:p w14:paraId="0CA9E1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SSW</w:t>
                  </w:r>
                </w:p>
              </w:tc>
              <w:tc>
                <w:tcPr>
                  <w:tcW w:w="434" w:type="pct"/>
                  <w:shd w:val="clear" w:color="auto" w:fill="auto"/>
                  <w:vAlign w:val="center"/>
                </w:tcPr>
                <w:p w14:paraId="4C354E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3FCB2393">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5B92975F">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20AB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19758126">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260A3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方家坝</w:t>
                  </w:r>
                </w:p>
              </w:tc>
              <w:tc>
                <w:tcPr>
                  <w:tcW w:w="602" w:type="pct"/>
                  <w:shd w:val="clear" w:color="auto" w:fill="auto"/>
                  <w:vAlign w:val="center"/>
                </w:tcPr>
                <w:p w14:paraId="2DDBD4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-1092.66</w:t>
                  </w:r>
                </w:p>
              </w:tc>
              <w:tc>
                <w:tcPr>
                  <w:tcW w:w="723" w:type="pct"/>
                  <w:shd w:val="clear" w:color="auto" w:fill="auto"/>
                  <w:vAlign w:val="center"/>
                </w:tcPr>
                <w:p w14:paraId="4CE14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1503.25</w:t>
                  </w:r>
                </w:p>
              </w:tc>
              <w:tc>
                <w:tcPr>
                  <w:tcW w:w="484" w:type="pct"/>
                  <w:shd w:val="clear" w:color="auto" w:fill="auto"/>
                  <w:vAlign w:val="center"/>
                </w:tcPr>
                <w:p w14:paraId="441099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1858</w:t>
                  </w:r>
                </w:p>
              </w:tc>
              <w:tc>
                <w:tcPr>
                  <w:tcW w:w="428" w:type="pct"/>
                  <w:shd w:val="clear" w:color="auto" w:fill="auto"/>
                  <w:vAlign w:val="center"/>
                </w:tcPr>
                <w:p w14:paraId="164E05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434" w:type="pct"/>
                  <w:shd w:val="clear" w:color="auto" w:fill="auto"/>
                  <w:vAlign w:val="center"/>
                </w:tcPr>
                <w:p w14:paraId="73C44F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70E220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774AA709">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1D4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1A153D69">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46A656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风滩村</w:t>
                  </w:r>
                </w:p>
              </w:tc>
              <w:tc>
                <w:tcPr>
                  <w:tcW w:w="602" w:type="pct"/>
                  <w:shd w:val="clear" w:color="auto" w:fill="auto"/>
                  <w:vAlign w:val="center"/>
                </w:tcPr>
                <w:p w14:paraId="20C2D4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-1028.06</w:t>
                  </w:r>
                </w:p>
              </w:tc>
              <w:tc>
                <w:tcPr>
                  <w:tcW w:w="723" w:type="pct"/>
                  <w:shd w:val="clear" w:color="auto" w:fill="auto"/>
                  <w:vAlign w:val="center"/>
                </w:tcPr>
                <w:p w14:paraId="77D323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-1822.69</w:t>
                  </w:r>
                </w:p>
              </w:tc>
              <w:tc>
                <w:tcPr>
                  <w:tcW w:w="484" w:type="pct"/>
                  <w:shd w:val="clear" w:color="auto" w:fill="auto"/>
                  <w:vAlign w:val="center"/>
                </w:tcPr>
                <w:p w14:paraId="14118B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2092</w:t>
                  </w:r>
                </w:p>
              </w:tc>
              <w:tc>
                <w:tcPr>
                  <w:tcW w:w="428" w:type="pct"/>
                  <w:shd w:val="clear" w:color="auto" w:fill="auto"/>
                  <w:vAlign w:val="center"/>
                </w:tcPr>
                <w:p w14:paraId="271F6C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SSW</w:t>
                  </w:r>
                </w:p>
              </w:tc>
              <w:tc>
                <w:tcPr>
                  <w:tcW w:w="434" w:type="pct"/>
                  <w:shd w:val="clear" w:color="auto" w:fill="auto"/>
                  <w:vAlign w:val="center"/>
                </w:tcPr>
                <w:p w14:paraId="7FDFCC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6880A4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210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6E160900">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79D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61EC736D">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5E0D2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尉家溪</w:t>
                  </w:r>
                </w:p>
              </w:tc>
              <w:tc>
                <w:tcPr>
                  <w:tcW w:w="602" w:type="pct"/>
                  <w:shd w:val="clear" w:color="auto" w:fill="auto"/>
                  <w:vAlign w:val="center"/>
                </w:tcPr>
                <w:p w14:paraId="68034E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-1636.99</w:t>
                  </w:r>
                </w:p>
              </w:tc>
              <w:tc>
                <w:tcPr>
                  <w:tcW w:w="723" w:type="pct"/>
                  <w:shd w:val="clear" w:color="auto" w:fill="auto"/>
                  <w:vAlign w:val="center"/>
                </w:tcPr>
                <w:p w14:paraId="2BA064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-322.3</w:t>
                  </w:r>
                </w:p>
              </w:tc>
              <w:tc>
                <w:tcPr>
                  <w:tcW w:w="484" w:type="pct"/>
                  <w:shd w:val="clear" w:color="auto" w:fill="auto"/>
                  <w:vAlign w:val="center"/>
                </w:tcPr>
                <w:p w14:paraId="6778F9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1668</w:t>
                  </w:r>
                </w:p>
              </w:tc>
              <w:tc>
                <w:tcPr>
                  <w:tcW w:w="428" w:type="pct"/>
                  <w:shd w:val="clear" w:color="auto" w:fill="auto"/>
                  <w:vAlign w:val="center"/>
                </w:tcPr>
                <w:p w14:paraId="586553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w:t>
                  </w:r>
                </w:p>
              </w:tc>
              <w:tc>
                <w:tcPr>
                  <w:tcW w:w="434" w:type="pct"/>
                  <w:shd w:val="clear" w:color="auto" w:fill="auto"/>
                  <w:vAlign w:val="center"/>
                </w:tcPr>
                <w:p w14:paraId="602767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422BA7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3CBC4F25">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35E4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2344333E">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718F8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雷坡石</w:t>
                  </w:r>
                </w:p>
              </w:tc>
              <w:tc>
                <w:tcPr>
                  <w:tcW w:w="602" w:type="pct"/>
                  <w:shd w:val="clear" w:color="auto" w:fill="auto"/>
                  <w:vAlign w:val="center"/>
                </w:tcPr>
                <w:p w14:paraId="148441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-1878.19</w:t>
                  </w:r>
                </w:p>
              </w:tc>
              <w:tc>
                <w:tcPr>
                  <w:tcW w:w="723" w:type="pct"/>
                  <w:shd w:val="clear" w:color="auto" w:fill="auto"/>
                  <w:vAlign w:val="center"/>
                </w:tcPr>
                <w:p w14:paraId="70A336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-2094.29</w:t>
                  </w:r>
                </w:p>
              </w:tc>
              <w:tc>
                <w:tcPr>
                  <w:tcW w:w="484" w:type="pct"/>
                  <w:shd w:val="clear" w:color="auto" w:fill="auto"/>
                  <w:vAlign w:val="center"/>
                </w:tcPr>
                <w:p w14:paraId="3CF00D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281</w:t>
                  </w:r>
                  <w:r>
                    <w:rPr>
                      <w:rFonts w:hint="eastAsia" w:ascii="Times New Roman" w:hAnsi="Times New Roman" w:cs="Times New Roman"/>
                      <w:sz w:val="21"/>
                      <w:szCs w:val="21"/>
                      <w:lang w:val="en-US" w:eastAsia="zh-CN"/>
                    </w:rPr>
                    <w:t>3</w:t>
                  </w:r>
                </w:p>
              </w:tc>
              <w:tc>
                <w:tcPr>
                  <w:tcW w:w="428" w:type="pct"/>
                  <w:shd w:val="clear" w:color="auto" w:fill="auto"/>
                  <w:vAlign w:val="center"/>
                </w:tcPr>
                <w:p w14:paraId="175A30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w:t>
                  </w:r>
                </w:p>
              </w:tc>
              <w:tc>
                <w:tcPr>
                  <w:tcW w:w="434" w:type="pct"/>
                  <w:shd w:val="clear" w:color="auto" w:fill="auto"/>
                  <w:vAlign w:val="center"/>
                </w:tcPr>
                <w:p w14:paraId="0846BB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5649E7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350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1DDFBAE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772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309309B1">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55432F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狮子滩</w:t>
                  </w:r>
                </w:p>
              </w:tc>
              <w:tc>
                <w:tcPr>
                  <w:tcW w:w="602" w:type="pct"/>
                  <w:shd w:val="clear" w:color="auto" w:fill="auto"/>
                  <w:vAlign w:val="center"/>
                </w:tcPr>
                <w:p w14:paraId="0FA249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-2244.91</w:t>
                  </w:r>
                </w:p>
              </w:tc>
              <w:tc>
                <w:tcPr>
                  <w:tcW w:w="723" w:type="pct"/>
                  <w:shd w:val="clear" w:color="auto" w:fill="auto"/>
                  <w:vAlign w:val="center"/>
                </w:tcPr>
                <w:p w14:paraId="427E8D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1618.06</w:t>
                  </w:r>
                </w:p>
              </w:tc>
              <w:tc>
                <w:tcPr>
                  <w:tcW w:w="484" w:type="pct"/>
                  <w:shd w:val="clear" w:color="auto" w:fill="auto"/>
                  <w:vAlign w:val="center"/>
                </w:tcPr>
                <w:p w14:paraId="7EAF6E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2767</w:t>
                  </w:r>
                </w:p>
              </w:tc>
              <w:tc>
                <w:tcPr>
                  <w:tcW w:w="428" w:type="pct"/>
                  <w:shd w:val="clear" w:color="auto" w:fill="auto"/>
                  <w:vAlign w:val="center"/>
                </w:tcPr>
                <w:p w14:paraId="58F810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434" w:type="pct"/>
                  <w:shd w:val="clear" w:color="auto" w:fill="auto"/>
                  <w:vAlign w:val="center"/>
                </w:tcPr>
                <w:p w14:paraId="5B977B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3802A1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180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58C94EA4">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9C6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05" w:type="pct"/>
                  <w:vMerge w:val="continue"/>
                  <w:vAlign w:val="center"/>
                </w:tcPr>
                <w:p w14:paraId="5A7DE960">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30" w:type="pct"/>
                  <w:shd w:val="clear" w:color="auto" w:fill="auto"/>
                  <w:vAlign w:val="center"/>
                </w:tcPr>
                <w:p w14:paraId="3286FC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马鞍石</w:t>
                  </w:r>
                </w:p>
              </w:tc>
              <w:tc>
                <w:tcPr>
                  <w:tcW w:w="602" w:type="pct"/>
                  <w:shd w:val="clear" w:color="auto" w:fill="auto"/>
                  <w:vAlign w:val="center"/>
                </w:tcPr>
                <w:p w14:paraId="6791C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-2376.13</w:t>
                  </w:r>
                </w:p>
              </w:tc>
              <w:tc>
                <w:tcPr>
                  <w:tcW w:w="723" w:type="pct"/>
                  <w:shd w:val="clear" w:color="auto" w:fill="auto"/>
                  <w:vAlign w:val="center"/>
                </w:tcPr>
                <w:p w14:paraId="12B6A8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-894.93</w:t>
                  </w:r>
                </w:p>
              </w:tc>
              <w:tc>
                <w:tcPr>
                  <w:tcW w:w="484" w:type="pct"/>
                  <w:shd w:val="clear" w:color="auto" w:fill="auto"/>
                  <w:vAlign w:val="center"/>
                </w:tcPr>
                <w:p w14:paraId="55DBD7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2539</w:t>
                  </w:r>
                </w:p>
              </w:tc>
              <w:tc>
                <w:tcPr>
                  <w:tcW w:w="428" w:type="pct"/>
                  <w:shd w:val="clear" w:color="auto" w:fill="auto"/>
                  <w:vAlign w:val="center"/>
                </w:tcPr>
                <w:p w14:paraId="6D8812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WSW</w:t>
                  </w:r>
                </w:p>
              </w:tc>
              <w:tc>
                <w:tcPr>
                  <w:tcW w:w="434" w:type="pct"/>
                  <w:shd w:val="clear" w:color="auto" w:fill="auto"/>
                  <w:vAlign w:val="center"/>
                </w:tcPr>
                <w:p w14:paraId="6E2B97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663" w:type="pct"/>
                  <w:shd w:val="clear" w:color="auto" w:fill="auto"/>
                  <w:vAlign w:val="center"/>
                </w:tcPr>
                <w:p w14:paraId="1C8F77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628" w:type="pct"/>
                  <w:vMerge w:val="continue"/>
                  <w:vAlign w:val="center"/>
                </w:tcPr>
                <w:p w14:paraId="48B03F34">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2C05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05" w:type="pct"/>
                  <w:vMerge w:val="continue"/>
                  <w:vAlign w:val="center"/>
                </w:tcPr>
                <w:p w14:paraId="1FAACDF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3402" w:type="pct"/>
                  <w:gridSpan w:val="6"/>
                  <w:shd w:val="clear" w:color="auto" w:fill="auto"/>
                  <w:vAlign w:val="center"/>
                </w:tcPr>
                <w:p w14:paraId="1F204B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合计</w:t>
                  </w:r>
                </w:p>
              </w:tc>
              <w:tc>
                <w:tcPr>
                  <w:tcW w:w="663" w:type="pct"/>
                  <w:shd w:val="clear" w:color="auto" w:fill="auto"/>
                  <w:vAlign w:val="center"/>
                </w:tcPr>
                <w:p w14:paraId="30CCC5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约7423人</w:t>
                  </w:r>
                </w:p>
              </w:tc>
              <w:tc>
                <w:tcPr>
                  <w:tcW w:w="628" w:type="pct"/>
                  <w:vMerge w:val="continue"/>
                  <w:vAlign w:val="center"/>
                </w:tcPr>
                <w:p w14:paraId="41AF78C5">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bl>
          <w:p w14:paraId="35DB3941">
            <w:pPr>
              <w:ind w:firstLine="480"/>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（2）外环境相容性分析</w:t>
            </w:r>
          </w:p>
          <w:p w14:paraId="09D663B0">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本项目位于四川省巴中市平昌县星光工业园施迈路</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号厂房、2号厂房、</w:t>
            </w:r>
            <w:r>
              <w:rPr>
                <w:rFonts w:hint="default" w:ascii="Times New Roman" w:hAnsi="Times New Roman" w:eastAsia="TimesNewRomanPSMT" w:cs="Times New Roman"/>
                <w:color w:val="000000" w:themeColor="text1"/>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号厂房及</w:t>
            </w:r>
            <w:r>
              <w:rPr>
                <w:rFonts w:hint="default" w:ascii="Times New Roman" w:hAnsi="Times New Roman" w:cs="Times New Roman"/>
                <w:color w:val="000000" w:themeColor="text1"/>
                <w:lang w:val="en-US" w:eastAsia="zh-CN"/>
                <w14:textFill>
                  <w14:solidFill>
                    <w14:schemeClr w14:val="tx1"/>
                  </w14:solidFill>
                </w14:textFill>
              </w:rPr>
              <w:t>办公楼、宿舍</w:t>
            </w:r>
            <w:r>
              <w:rPr>
                <w:rFonts w:hint="default" w:ascii="Times New Roman" w:hAnsi="Times New Roman" w:cs="Times New Roman"/>
                <w:color w:val="000000" w:themeColor="text1"/>
                <w14:textFill>
                  <w14:solidFill>
                    <w14:schemeClr w14:val="tx1"/>
                  </w14:solidFill>
                </w14:textFill>
              </w:rPr>
              <w:t>）。</w:t>
            </w:r>
          </w:p>
          <w:p w14:paraId="1A38BB92">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经调查，项目所排园区污水处理厂排口下游10km范围内无集中式饮用水源取水点；同时项目所在区域也无集中式饮用水水源地、特殊地下水资源保护区以及分散式居民饮用水水源等环境敏感区。同时，</w:t>
            </w:r>
            <w:r>
              <w:rPr>
                <w:rFonts w:hint="eastAsia" w:cs="Times New Roman"/>
                <w:color w:val="000000" w:themeColor="text1"/>
                <w:lang w:val="en-US" w:eastAsia="zh-CN"/>
                <w14:textFill>
                  <w14:solidFill>
                    <w14:schemeClr w14:val="tx1"/>
                  </w14:solidFill>
                </w14:textFill>
              </w:rPr>
              <w:t>距离本项目最近的自然保护区为四川镇龙山国家森林公园，位于本项目西北侧4.89km处，不在本</w:t>
            </w:r>
            <w:r>
              <w:rPr>
                <w:rFonts w:cs="Times New Roman"/>
                <w:color w:val="000000" w:themeColor="text1"/>
                <w14:textFill>
                  <w14:solidFill>
                    <w14:schemeClr w14:val="tx1"/>
                  </w14:solidFill>
                </w14:textFill>
              </w:rPr>
              <w:t>项目</w:t>
            </w:r>
            <w:r>
              <w:rPr>
                <w:rFonts w:hint="eastAsia" w:cs="Times New Roman"/>
                <w:color w:val="000000" w:themeColor="text1"/>
                <w:lang w:val="en-US" w:eastAsia="zh-CN"/>
                <w14:textFill>
                  <w14:solidFill>
                    <w14:schemeClr w14:val="tx1"/>
                  </w14:solidFill>
                </w14:textFill>
              </w:rPr>
              <w:t>2.5km大气环境影响</w:t>
            </w:r>
            <w:r>
              <w:rPr>
                <w:rFonts w:cs="Times New Roman"/>
                <w:color w:val="000000" w:themeColor="text1"/>
                <w14:textFill>
                  <w14:solidFill>
                    <w14:schemeClr w14:val="tx1"/>
                  </w14:solidFill>
                </w14:textFill>
              </w:rPr>
              <w:t>评价范围内</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且评价范围内</w:t>
            </w:r>
            <w:r>
              <w:rPr>
                <w:rFonts w:cs="Times New Roman"/>
                <w:color w:val="000000" w:themeColor="text1"/>
                <w14:textFill>
                  <w14:solidFill>
                    <w14:schemeClr w14:val="tx1"/>
                  </w14:solidFill>
                </w14:textFill>
              </w:rPr>
              <w:t>无</w:t>
            </w:r>
            <w:r>
              <w:rPr>
                <w:rFonts w:hint="eastAsia" w:cs="Times New Roman"/>
                <w:color w:val="000000" w:themeColor="text1"/>
                <w:lang w:val="en-US" w:eastAsia="zh-CN"/>
                <w14:textFill>
                  <w14:solidFill>
                    <w14:schemeClr w14:val="tx1"/>
                  </w14:solidFill>
                </w14:textFill>
              </w:rPr>
              <w:t>其他</w:t>
            </w:r>
            <w:r>
              <w:rPr>
                <w:rFonts w:cs="Times New Roman"/>
                <w:color w:val="000000" w:themeColor="text1"/>
                <w14:textFill>
                  <w14:solidFill>
                    <w14:schemeClr w14:val="tx1"/>
                  </w14:solidFill>
                </w14:textFill>
              </w:rPr>
              <w:t>自然保护区、风景名胜区、文物保护单位等特殊环境敏感区，无重大制约因素。</w:t>
            </w:r>
          </w:p>
          <w:p w14:paraId="435EE514">
            <w:pPr>
              <w:ind w:firstLine="48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距离本项目最近的敏感点为居民点4#，位于本项目西北侧150-260m处，位于侧风向。</w:t>
            </w:r>
            <w:r>
              <w:rPr>
                <w:rFonts w:cs="Times New Roman"/>
                <w:color w:val="000000" w:themeColor="text1"/>
                <w14:textFill>
                  <w14:solidFill>
                    <w14:schemeClr w14:val="tx1"/>
                  </w14:solidFill>
                </w14:textFill>
              </w:rPr>
              <w:t>根据工程分析，项目废气、废水经对应治理措施处理后做到达标排放；项目噪声经隔声、减振等综合降噪措施处理后达标排放，固体废物处置合理，去向明确。项目在满足各项污染物达标排放的前提下，不会对周边敏感保护目标造成明显影响，对外环境影响较小。同时本项目</w:t>
            </w:r>
            <w:r>
              <w:rPr>
                <w:rFonts w:hint="eastAsia" w:cs="Times New Roman"/>
                <w:color w:val="000000" w:themeColor="text1"/>
                <w14:textFill>
                  <w14:solidFill>
                    <w14:schemeClr w14:val="tx1"/>
                  </w14:solidFill>
                </w14:textFill>
              </w:rPr>
              <w:t>周边企业主</w:t>
            </w:r>
            <w:r>
              <w:rPr>
                <w:rFonts w:cs="Times New Roman"/>
                <w:color w:val="000000" w:themeColor="text1"/>
                <w14:textFill>
                  <w14:solidFill>
                    <w14:schemeClr w14:val="tx1"/>
                  </w14:solidFill>
                </w14:textFill>
              </w:rPr>
              <w:t>对外环境无特殊要求，</w:t>
            </w:r>
            <w:r>
              <w:rPr>
                <w:rFonts w:hint="eastAsia" w:cs="Times New Roman"/>
                <w:color w:val="000000" w:themeColor="text1"/>
                <w14:textFill>
                  <w14:solidFill>
                    <w14:schemeClr w14:val="tx1"/>
                  </w14:solidFill>
                </w14:textFill>
              </w:rPr>
              <w:t>本项目对外环境无特殊要求，</w:t>
            </w:r>
            <w:r>
              <w:rPr>
                <w:rFonts w:cs="Times New Roman"/>
                <w:color w:val="000000" w:themeColor="text1"/>
                <w14:textFill>
                  <w14:solidFill>
                    <w14:schemeClr w14:val="tx1"/>
                  </w14:solidFill>
                </w14:textFill>
              </w:rPr>
              <w:t>本项目与周边外环境相容。</w:t>
            </w:r>
          </w:p>
          <w:p w14:paraId="790A860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项目周边基础设施配套完善，供水、供电均能得到保障，周边交通便捷，能够满足项目运行需要。</w:t>
            </w:r>
          </w:p>
          <w:p w14:paraId="08FE61A7">
            <w:pPr>
              <w:ind w:firstLine="48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综上，本项目的建设无环境限制性因素；项目通过采取措施后排污较</w:t>
            </w:r>
            <w:r>
              <w:rPr>
                <w:rFonts w:hint="eastAsia" w:cs="Times New Roman"/>
                <w:color w:val="000000" w:themeColor="text1"/>
                <w:lang w:eastAsia="zh-CN"/>
                <w14:textFill>
                  <w14:solidFill>
                    <w14:schemeClr w14:val="tx1"/>
                  </w14:solidFill>
                </w14:textFill>
              </w:rPr>
              <w:t>少</w:t>
            </w:r>
            <w:r>
              <w:rPr>
                <w:rFonts w:cs="Times New Roman"/>
                <w:color w:val="000000" w:themeColor="text1"/>
                <w14:textFill>
                  <w14:solidFill>
                    <w14:schemeClr w14:val="tx1"/>
                  </w14:solidFill>
                </w14:textFill>
              </w:rPr>
              <w:t>，严格落实本环评提出的措施后，与周边环境相容；项目所在区域基础设施条件良好，可支撑本项目的实施，因此，本项目选址合理可行。</w:t>
            </w:r>
          </w:p>
          <w:p w14:paraId="12D6F665">
            <w:pPr>
              <w:ind w:left="0" w:leftChars="0" w:firstLine="0" w:firstLineChars="0"/>
              <w:rPr>
                <w:rFonts w:hint="eastAsia" w:eastAsia="宋体" w:cs="Times New Roman"/>
                <w:color w:val="000000" w:themeColor="text1"/>
                <w:lang w:eastAsia="zh-CN"/>
                <w14:textFill>
                  <w14:solidFill>
                    <w14:schemeClr w14:val="tx1"/>
                  </w14:solidFill>
                </w14:textFill>
              </w:rPr>
            </w:pPr>
          </w:p>
          <w:p w14:paraId="4E587980">
            <w:pPr>
              <w:ind w:left="0" w:leftChars="0" w:firstLine="0" w:firstLineChars="0"/>
              <w:rPr>
                <w:rFonts w:hint="eastAsia" w:eastAsia="宋体" w:cs="Times New Roman"/>
                <w:color w:val="000000" w:themeColor="text1"/>
                <w:lang w:eastAsia="zh-CN"/>
                <w14:textFill>
                  <w14:solidFill>
                    <w14:schemeClr w14:val="tx1"/>
                  </w14:solidFill>
                </w14:textFill>
              </w:rPr>
            </w:pPr>
          </w:p>
          <w:p w14:paraId="26BDF382">
            <w:pPr>
              <w:ind w:left="0" w:leftChars="0" w:firstLine="0" w:firstLineChars="0"/>
              <w:rPr>
                <w:rFonts w:hint="eastAsia" w:eastAsia="宋体" w:cs="Times New Roman"/>
                <w:color w:val="000000" w:themeColor="text1"/>
                <w:lang w:eastAsia="zh-CN"/>
                <w14:textFill>
                  <w14:solidFill>
                    <w14:schemeClr w14:val="tx1"/>
                  </w14:solidFill>
                </w14:textFill>
              </w:rPr>
            </w:pPr>
          </w:p>
          <w:p w14:paraId="1A7F9C07">
            <w:pPr>
              <w:ind w:left="0" w:leftChars="0" w:firstLine="0" w:firstLineChars="0"/>
              <w:rPr>
                <w:rFonts w:hint="eastAsia" w:eastAsia="宋体" w:cs="Times New Roman"/>
                <w:color w:val="000000" w:themeColor="text1"/>
                <w:lang w:eastAsia="zh-CN"/>
                <w14:textFill>
                  <w14:solidFill>
                    <w14:schemeClr w14:val="tx1"/>
                  </w14:solidFill>
                </w14:textFill>
              </w:rPr>
            </w:pPr>
          </w:p>
          <w:p w14:paraId="3E3A9AFE">
            <w:pPr>
              <w:ind w:left="0" w:leftChars="0" w:firstLine="0" w:firstLineChars="0"/>
              <w:rPr>
                <w:rFonts w:hint="eastAsia" w:eastAsia="宋体" w:cs="Times New Roman"/>
                <w:color w:val="000000" w:themeColor="text1"/>
                <w:lang w:eastAsia="zh-CN"/>
                <w14:textFill>
                  <w14:solidFill>
                    <w14:schemeClr w14:val="tx1"/>
                  </w14:solidFill>
                </w14:textFill>
              </w:rPr>
            </w:pPr>
          </w:p>
          <w:p w14:paraId="1E4BED6A">
            <w:pPr>
              <w:ind w:left="0" w:leftChars="0" w:firstLine="0" w:firstLineChars="0"/>
              <w:rPr>
                <w:rFonts w:hint="eastAsia" w:eastAsia="宋体" w:cs="Times New Roman"/>
                <w:color w:val="000000" w:themeColor="text1"/>
                <w:lang w:eastAsia="zh-CN"/>
                <w14:textFill>
                  <w14:solidFill>
                    <w14:schemeClr w14:val="tx1"/>
                  </w14:solidFill>
                </w14:textFill>
              </w:rPr>
            </w:pPr>
          </w:p>
          <w:p w14:paraId="63B5402E">
            <w:pPr>
              <w:pStyle w:val="2"/>
              <w:rPr>
                <w:rFonts w:hint="eastAsia" w:eastAsia="宋体" w:cs="Times New Roman"/>
                <w:color w:val="000000" w:themeColor="text1"/>
                <w:lang w:eastAsia="zh-CN"/>
                <w14:textFill>
                  <w14:solidFill>
                    <w14:schemeClr w14:val="tx1"/>
                  </w14:solidFill>
                </w14:textFill>
              </w:rPr>
            </w:pPr>
          </w:p>
          <w:p w14:paraId="5677982A">
            <w:pPr>
              <w:pStyle w:val="2"/>
              <w:rPr>
                <w:rFonts w:hint="eastAsia" w:eastAsia="宋体" w:cs="Times New Roman"/>
                <w:color w:val="000000" w:themeColor="text1"/>
                <w:lang w:eastAsia="zh-CN"/>
                <w14:textFill>
                  <w14:solidFill>
                    <w14:schemeClr w14:val="tx1"/>
                  </w14:solidFill>
                </w14:textFill>
              </w:rPr>
            </w:pPr>
          </w:p>
          <w:p w14:paraId="0A70DD94">
            <w:pPr>
              <w:pStyle w:val="2"/>
              <w:rPr>
                <w:rFonts w:hint="eastAsia" w:eastAsia="宋体" w:cs="Times New Roman"/>
                <w:color w:val="000000" w:themeColor="text1"/>
                <w:lang w:eastAsia="zh-CN"/>
                <w14:textFill>
                  <w14:solidFill>
                    <w14:schemeClr w14:val="tx1"/>
                  </w14:solidFill>
                </w14:textFill>
              </w:rPr>
            </w:pPr>
          </w:p>
          <w:p w14:paraId="00ECD824">
            <w:pPr>
              <w:pStyle w:val="2"/>
              <w:rPr>
                <w:rFonts w:hint="eastAsia" w:eastAsia="宋体" w:cs="Times New Roman"/>
                <w:color w:val="000000" w:themeColor="text1"/>
                <w:lang w:eastAsia="zh-CN"/>
                <w14:textFill>
                  <w14:solidFill>
                    <w14:schemeClr w14:val="tx1"/>
                  </w14:solidFill>
                </w14:textFill>
              </w:rPr>
            </w:pPr>
          </w:p>
          <w:p w14:paraId="017D9E39">
            <w:pPr>
              <w:pStyle w:val="2"/>
              <w:rPr>
                <w:rFonts w:hint="eastAsia" w:eastAsia="宋体" w:cs="Times New Roman"/>
                <w:color w:val="000000" w:themeColor="text1"/>
                <w:lang w:eastAsia="zh-CN"/>
                <w14:textFill>
                  <w14:solidFill>
                    <w14:schemeClr w14:val="tx1"/>
                  </w14:solidFill>
                </w14:textFill>
              </w:rPr>
            </w:pPr>
          </w:p>
          <w:p w14:paraId="63DF87FC">
            <w:pPr>
              <w:pStyle w:val="2"/>
              <w:rPr>
                <w:rFonts w:hint="eastAsia" w:eastAsia="宋体" w:cs="Times New Roman"/>
                <w:color w:val="000000" w:themeColor="text1"/>
                <w:lang w:eastAsia="zh-CN"/>
                <w14:textFill>
                  <w14:solidFill>
                    <w14:schemeClr w14:val="tx1"/>
                  </w14:solidFill>
                </w14:textFill>
              </w:rPr>
            </w:pPr>
          </w:p>
          <w:p w14:paraId="4A119666">
            <w:pPr>
              <w:pStyle w:val="2"/>
              <w:rPr>
                <w:rFonts w:hint="eastAsia" w:eastAsia="宋体" w:cs="Times New Roman"/>
                <w:color w:val="000000" w:themeColor="text1"/>
                <w:lang w:eastAsia="zh-CN"/>
                <w14:textFill>
                  <w14:solidFill>
                    <w14:schemeClr w14:val="tx1"/>
                  </w14:solidFill>
                </w14:textFill>
              </w:rPr>
            </w:pPr>
          </w:p>
          <w:p w14:paraId="55A845E2">
            <w:pPr>
              <w:pStyle w:val="2"/>
              <w:rPr>
                <w:rFonts w:hint="eastAsia" w:eastAsia="宋体" w:cs="Times New Roman"/>
                <w:color w:val="000000" w:themeColor="text1"/>
                <w:lang w:eastAsia="zh-CN"/>
                <w14:textFill>
                  <w14:solidFill>
                    <w14:schemeClr w14:val="tx1"/>
                  </w14:solidFill>
                </w14:textFill>
              </w:rPr>
            </w:pPr>
          </w:p>
          <w:p w14:paraId="5D586AA6">
            <w:pPr>
              <w:pStyle w:val="2"/>
              <w:rPr>
                <w:rFonts w:hint="eastAsia" w:eastAsia="宋体" w:cs="Times New Roman"/>
                <w:color w:val="000000" w:themeColor="text1"/>
                <w:lang w:eastAsia="zh-CN"/>
                <w14:textFill>
                  <w14:solidFill>
                    <w14:schemeClr w14:val="tx1"/>
                  </w14:solidFill>
                </w14:textFill>
              </w:rPr>
            </w:pPr>
          </w:p>
          <w:p w14:paraId="28D4C0D4">
            <w:pPr>
              <w:pStyle w:val="2"/>
              <w:rPr>
                <w:rFonts w:hint="eastAsia" w:eastAsia="宋体" w:cs="Times New Roman"/>
                <w:color w:val="000000" w:themeColor="text1"/>
                <w:lang w:eastAsia="zh-CN"/>
                <w14:textFill>
                  <w14:solidFill>
                    <w14:schemeClr w14:val="tx1"/>
                  </w14:solidFill>
                </w14:textFill>
              </w:rPr>
            </w:pPr>
          </w:p>
          <w:p w14:paraId="374F1109">
            <w:pPr>
              <w:pStyle w:val="2"/>
              <w:rPr>
                <w:rFonts w:hint="eastAsia" w:eastAsia="宋体" w:cs="Times New Roman"/>
                <w:color w:val="000000" w:themeColor="text1"/>
                <w:lang w:eastAsia="zh-CN"/>
                <w14:textFill>
                  <w14:solidFill>
                    <w14:schemeClr w14:val="tx1"/>
                  </w14:solidFill>
                </w14:textFill>
              </w:rPr>
            </w:pPr>
          </w:p>
          <w:p w14:paraId="6F5C309A">
            <w:pPr>
              <w:pStyle w:val="2"/>
              <w:rPr>
                <w:rFonts w:hint="eastAsia" w:eastAsia="宋体" w:cs="Times New Roman"/>
                <w:color w:val="000000" w:themeColor="text1"/>
                <w:lang w:eastAsia="zh-CN"/>
                <w14:textFill>
                  <w14:solidFill>
                    <w14:schemeClr w14:val="tx1"/>
                  </w14:solidFill>
                </w14:textFill>
              </w:rPr>
            </w:pPr>
          </w:p>
          <w:p w14:paraId="08FFD929">
            <w:pPr>
              <w:pStyle w:val="2"/>
              <w:rPr>
                <w:rFonts w:hint="eastAsia" w:eastAsia="宋体" w:cs="Times New Roman"/>
                <w:color w:val="000000" w:themeColor="text1"/>
                <w:lang w:eastAsia="zh-CN"/>
                <w14:textFill>
                  <w14:solidFill>
                    <w14:schemeClr w14:val="tx1"/>
                  </w14:solidFill>
                </w14:textFill>
              </w:rPr>
            </w:pPr>
          </w:p>
          <w:p w14:paraId="4E92A5C8">
            <w:pPr>
              <w:pStyle w:val="2"/>
              <w:rPr>
                <w:rFonts w:hint="eastAsia" w:eastAsia="宋体" w:cs="Times New Roman"/>
                <w:color w:val="000000" w:themeColor="text1"/>
                <w:lang w:eastAsia="zh-CN"/>
                <w14:textFill>
                  <w14:solidFill>
                    <w14:schemeClr w14:val="tx1"/>
                  </w14:solidFill>
                </w14:textFill>
              </w:rPr>
            </w:pPr>
          </w:p>
          <w:p w14:paraId="7EC4F258">
            <w:pPr>
              <w:pStyle w:val="2"/>
              <w:rPr>
                <w:rFonts w:hint="eastAsia" w:eastAsia="宋体" w:cs="Times New Roman"/>
                <w:color w:val="000000" w:themeColor="text1"/>
                <w:lang w:eastAsia="zh-CN"/>
                <w14:textFill>
                  <w14:solidFill>
                    <w14:schemeClr w14:val="tx1"/>
                  </w14:solidFill>
                </w14:textFill>
              </w:rPr>
            </w:pPr>
          </w:p>
          <w:p w14:paraId="17AC78AD">
            <w:pPr>
              <w:pStyle w:val="2"/>
              <w:ind w:left="0" w:leftChars="0" w:firstLine="0" w:firstLineChars="0"/>
              <w:rPr>
                <w:rFonts w:hint="eastAsia" w:eastAsia="宋体" w:cs="Times New Roman"/>
                <w:color w:val="000000" w:themeColor="text1"/>
                <w:lang w:eastAsia="zh-CN"/>
                <w14:textFill>
                  <w14:solidFill>
                    <w14:schemeClr w14:val="tx1"/>
                  </w14:solidFill>
                </w14:textFill>
              </w:rPr>
            </w:pPr>
          </w:p>
        </w:tc>
      </w:tr>
    </w:tbl>
    <w:p w14:paraId="0DEDFCB9">
      <w:pPr>
        <w:ind w:firstLine="0" w:firstLineChars="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7E0500C6">
      <w:pPr>
        <w:pStyle w:val="3"/>
        <w:rPr>
          <w:rFonts w:ascii="Times New Roman" w:hAnsi="Times New Roman"/>
          <w:color w:val="000000" w:themeColor="text1"/>
          <w14:textFill>
            <w14:solidFill>
              <w14:schemeClr w14:val="tx1"/>
            </w14:solidFill>
          </w14:textFill>
        </w:rPr>
      </w:pPr>
      <w:bookmarkStart w:id="31" w:name="_Toc6038"/>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SEQ seq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t>建设项目工程分析</w:t>
      </w:r>
      <w:bookmarkEnd w:id="31"/>
    </w:p>
    <w:tbl>
      <w:tblPr>
        <w:tblStyle w:val="29"/>
        <w:tblW w:w="502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418"/>
        <w:gridCol w:w="9347"/>
      </w:tblGrid>
      <w:tr w14:paraId="3F036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13" w:type="pct"/>
            <w:tcMar>
              <w:top w:w="16" w:type="dxa"/>
              <w:left w:w="16" w:type="dxa"/>
              <w:right w:w="16" w:type="dxa"/>
            </w:tcMar>
            <w:vAlign w:val="center"/>
          </w:tcPr>
          <w:p w14:paraId="20FB9548">
            <w:pPr>
              <w:pStyle w:val="27"/>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建设内容</w:t>
            </w:r>
          </w:p>
        </w:tc>
        <w:tc>
          <w:tcPr>
            <w:tcW w:w="4786" w:type="pct"/>
            <w:vAlign w:val="center"/>
          </w:tcPr>
          <w:p w14:paraId="3C03C435">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1、项目由来</w:t>
            </w:r>
          </w:p>
          <w:p w14:paraId="6E21648A">
            <w:pPr>
              <w:keepNext w:val="0"/>
              <w:keepLines w:val="0"/>
              <w:widowControl/>
              <w:suppressLineNumbers w:val="0"/>
              <w:ind w:firstLine="480" w:firstLineChars="20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近年来随着四川地区气田勘探开发规模的不断发展，产生了大量的钻井岩屑，在此背景下，巴中瑞成环保科技有限公司拟投资</w:t>
            </w:r>
            <w:r>
              <w:rPr>
                <w:rFonts w:hint="eastAsia" w:cs="Times New Roman"/>
                <w:color w:val="000000" w:themeColor="text1"/>
                <w:kern w:val="0"/>
                <w:sz w:val="24"/>
                <w:szCs w:val="24"/>
                <w:lang w:val="en-US" w:eastAsia="zh-CN" w:bidi="ar"/>
                <w14:textFill>
                  <w14:solidFill>
                    <w14:schemeClr w14:val="tx1"/>
                  </w14:solidFill>
                </w14:textFill>
              </w:rPr>
              <w:t>3000</w:t>
            </w:r>
            <w:r>
              <w:rPr>
                <w:rFonts w:hint="eastAsia" w:ascii="宋体" w:hAnsi="宋体" w:eastAsia="宋体" w:cs="宋体"/>
                <w:color w:val="000000" w:themeColor="text1"/>
                <w:kern w:val="0"/>
                <w:sz w:val="24"/>
                <w:szCs w:val="24"/>
                <w:lang w:val="en-US" w:eastAsia="zh-CN" w:bidi="ar"/>
                <w14:textFill>
                  <w14:solidFill>
                    <w14:schemeClr w14:val="tx1"/>
                  </w14:solidFill>
                </w14:textFill>
              </w:rPr>
              <w:t>万元，</w:t>
            </w:r>
            <w:r>
              <w:rPr>
                <w:rFonts w:hint="eastAsia" w:ascii="宋体" w:hAnsi="宋体" w:cs="宋体"/>
                <w:color w:val="000000" w:themeColor="text1"/>
                <w:kern w:val="0"/>
                <w:sz w:val="24"/>
                <w:szCs w:val="24"/>
                <w:lang w:val="en-US" w:eastAsia="zh-CN" w:bidi="ar"/>
                <w14:textFill>
                  <w14:solidFill>
                    <w14:schemeClr w14:val="tx1"/>
                  </w14:solidFill>
                </w14:textFill>
              </w:rPr>
              <w:t>在</w:t>
            </w:r>
            <w:r>
              <w:rPr>
                <w:rFonts w:hint="eastAsia" w:ascii="宋体" w:hAnsi="宋体" w:eastAsia="宋体" w:cs="宋体"/>
                <w:color w:val="000000" w:themeColor="text1"/>
                <w:kern w:val="0"/>
                <w:sz w:val="24"/>
                <w:szCs w:val="24"/>
                <w:lang w:val="en-US" w:eastAsia="zh-CN" w:bidi="ar"/>
                <w14:textFill>
                  <w14:solidFill>
                    <w14:schemeClr w14:val="tx1"/>
                  </w14:solidFill>
                </w14:textFill>
              </w:rPr>
              <w:t>四川省巴中市平昌县星光工业园施迈路</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号（</w:t>
            </w:r>
            <w:r>
              <w:rPr>
                <w:rFonts w:hint="eastAsia" w:ascii="宋体" w:hAnsi="宋体" w:cs="宋体"/>
                <w:color w:val="000000" w:themeColor="text1"/>
                <w:kern w:val="0"/>
                <w:sz w:val="24"/>
                <w:szCs w:val="24"/>
                <w:lang w:val="en-US" w:eastAsia="zh-CN" w:bidi="ar"/>
                <w14:textFill>
                  <w14:solidFill>
                    <w14:schemeClr w14:val="tx1"/>
                  </w14:solidFill>
                </w14:textFill>
              </w:rPr>
              <w:t>租用</w:t>
            </w:r>
            <w:r>
              <w:rPr>
                <w:rFonts w:hint="eastAsia" w:ascii="宋体" w:hAnsi="宋体" w:eastAsia="宋体" w:cs="宋体"/>
                <w:color w:val="000000" w:themeColor="text1"/>
                <w:kern w:val="0"/>
                <w:sz w:val="24"/>
                <w:szCs w:val="24"/>
                <w:lang w:val="en-US" w:eastAsia="zh-CN" w:bidi="ar"/>
                <w14:textFill>
                  <w14:solidFill>
                    <w14:schemeClr w14:val="tx1"/>
                  </w14:solidFill>
                </w14:textFill>
              </w:rPr>
              <w:t>四川金联玉合电气有限公司已建厂区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内</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1号、3号</w:t>
            </w:r>
            <w:r>
              <w:rPr>
                <w:rFonts w:hint="eastAsia" w:ascii="宋体" w:hAnsi="宋体" w:cs="宋体"/>
                <w:color w:val="000000" w:themeColor="text1"/>
                <w:kern w:val="0"/>
                <w:sz w:val="24"/>
                <w:szCs w:val="24"/>
                <w:lang w:val="en-US" w:eastAsia="zh-CN" w:bidi="ar"/>
                <w14:textFill>
                  <w14:solidFill>
                    <w14:schemeClr w14:val="tx1"/>
                  </w14:solidFill>
                </w14:textFill>
              </w:rPr>
              <w:t>厂房</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建设</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巴中瑞成环保科技有限公司</w:t>
            </w:r>
            <w:r>
              <w:rPr>
                <w:rFonts w:hint="eastAsia" w:ascii="宋体" w:hAnsi="宋体" w:eastAsia="宋体" w:cs="宋体"/>
                <w:color w:val="000000" w:themeColor="text1"/>
                <w:kern w:val="0"/>
                <w:sz w:val="24"/>
                <w:szCs w:val="24"/>
                <w:lang w:val="en-US" w:eastAsia="zh-CN" w:bidi="ar"/>
                <w14:textFill>
                  <w14:solidFill>
                    <w14:schemeClr w14:val="tx1"/>
                  </w14:solidFill>
                </w14:textFill>
              </w:rPr>
              <w:t>水基岩屑综合利用及处理项目”。</w:t>
            </w:r>
            <w:r>
              <w:rPr>
                <w:rFonts w:hint="eastAsia" w:ascii="宋体" w:hAnsi="宋体" w:cs="宋体"/>
                <w:color w:val="000000" w:themeColor="text1"/>
                <w:kern w:val="0"/>
                <w:sz w:val="24"/>
                <w:szCs w:val="24"/>
                <w:lang w:val="en-US" w:eastAsia="zh-CN" w:bidi="ar"/>
                <w14:textFill>
                  <w14:solidFill>
                    <w14:schemeClr w14:val="tx1"/>
                  </w14:solidFill>
                </w14:textFill>
              </w:rPr>
              <w:t>该</w:t>
            </w:r>
            <w:r>
              <w:rPr>
                <w:rFonts w:hint="eastAsia" w:ascii="宋体" w:hAnsi="宋体" w:eastAsia="宋体" w:cs="宋体"/>
                <w:color w:val="000000" w:themeColor="text1"/>
                <w:kern w:val="0"/>
                <w:sz w:val="24"/>
                <w:szCs w:val="24"/>
                <w:lang w:val="en-US" w:eastAsia="zh-CN" w:bidi="ar"/>
                <w14:textFill>
                  <w14:solidFill>
                    <w14:schemeClr w14:val="tx1"/>
                  </w14:solidFill>
                </w14:textFill>
              </w:rPr>
              <w:t>项目主要处理合作单位四川省顺祥油气工程有限公司运输过来的四川境内水基岩屑，满足合作单位供给</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后，还可接收处理平昌及周边水基岩屑。项目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于2024年编制环境影响评价报告表并于2025年1月6日取得了巴中市平昌县生态环境局出具的《关于巴中瑞成环保科技有限公司</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水基岩屑综合利用及处理项目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环境影响报告表批复的函》（巴环境平昌审</w:t>
            </w:r>
            <w:r>
              <w:rPr>
                <w:rFonts w:hint="eastAsia" w:cs="Times New Roman"/>
                <w:color w:val="000000" w:themeColor="text1"/>
                <w:kern w:val="0"/>
                <w:sz w:val="24"/>
                <w:szCs w:val="24"/>
                <w:lang w:val="en-US" w:eastAsia="zh-CN" w:bidi="ar"/>
                <w14:textFill>
                  <w14:solidFill>
                    <w14:schemeClr w14:val="tx1"/>
                  </w14:solidFill>
                </w14:textFill>
              </w:rPr>
              <w:t>〔2025〕2号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6739F841">
            <w:pPr>
              <w:keepNext w:val="0"/>
              <w:keepLines w:val="0"/>
              <w:widowControl/>
              <w:suppressLineNumbers w:val="0"/>
              <w:ind w:firstLine="480" w:firstLineChars="20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由于水基岩屑中含有石油烃、钻井聚合物、重金属等，原采用300</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的烘干工艺对水基岩屑进行烘干处理，仅去除水基岩屑中的水分及少量有机物质，其中含有的有机物无法得到有效去除，且重金属处于游离状态，容易被淋溶浸出从而污染环境，导致免烧砌块产品无法满足产品质量要求。因此，本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对工艺进行</w:t>
            </w:r>
            <w:r>
              <w:rPr>
                <w:rFonts w:hint="eastAsia" w:cs="Times New Roman"/>
                <w:color w:val="000000" w:themeColor="text1"/>
                <w:kern w:val="0"/>
                <w:sz w:val="24"/>
                <w:szCs w:val="24"/>
                <w:lang w:val="en-US" w:eastAsia="zh-CN" w:bidi="ar"/>
                <w14:textFill>
                  <w14:solidFill>
                    <w14:schemeClr w14:val="tx1"/>
                  </w14:solidFill>
                </w14:textFill>
              </w:rPr>
              <w:t>了</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大幅调整</w:t>
            </w:r>
            <w:r>
              <w:rPr>
                <w:rFonts w:hint="eastAsia" w:cs="Times New Roman"/>
                <w:color w:val="000000" w:themeColor="text1"/>
                <w:kern w:val="0"/>
                <w:sz w:val="24"/>
                <w:szCs w:val="24"/>
                <w:lang w:val="en-US" w:eastAsia="zh-CN" w:bidi="ar"/>
                <w14:textFill>
                  <w14:solidFill>
                    <w14:schemeClr w14:val="tx1"/>
                  </w14:solidFill>
                </w14:textFill>
              </w:rPr>
              <w:t>，将水基岩屑先进行干燥、预热处理，将水基岩屑中的有机物蒸发脱附出来，再</w:t>
            </w:r>
            <w:r>
              <w:rPr>
                <w:rFonts w:hint="eastAsia"/>
                <w:color w:val="000000" w:themeColor="text1"/>
                <w:lang w:eastAsia="zh-CN"/>
                <w14:textFill>
                  <w14:solidFill>
                    <w14:schemeClr w14:val="tx1"/>
                  </w14:solidFill>
                </w14:textFill>
              </w:rPr>
              <w:t>通过煅烧改变水基岩屑的结构，使其烧结固化，增加强度，并将重金属晶格固化，大幅减少其浸出量，减少二次污染</w:t>
            </w:r>
            <w:r>
              <w:rPr>
                <w:rFonts w:hint="eastAsia" w:cs="Times New Roman"/>
                <w:color w:val="000000" w:themeColor="text1"/>
                <w:kern w:val="0"/>
                <w:sz w:val="24"/>
                <w:szCs w:val="24"/>
                <w:lang w:val="en-US" w:eastAsia="zh-CN" w:bidi="ar"/>
                <w14:textFill>
                  <w14:solidFill>
                    <w14:schemeClr w14:val="tx1"/>
                  </w14:solidFill>
                </w14:textFill>
              </w:rPr>
              <w:t>。将水基岩屑煅烧预处理后，再配以水泥、砂石、固化剂、水等综合利用生产免烧砌块，变废为宝</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5CA69862">
            <w:pPr>
              <w:pStyle w:val="16"/>
              <w:rPr>
                <w:rFonts w:hint="eastAsia" w:ascii="宋体" w:hAnsi="宋体" w:cs="宋体"/>
                <w:color w:val="000000" w:themeColor="text1"/>
                <w:kern w:val="0"/>
                <w:sz w:val="24"/>
                <w:szCs w:val="24"/>
                <w:lang w:val="en-US" w:eastAsia="zh-CN" w:bidi="ar"/>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简要说明项目建设内容较原环评变化情况如下。</w:t>
            </w:r>
          </w:p>
          <w:p w14:paraId="646C4953">
            <w:pPr>
              <w:pStyle w:val="12"/>
              <w:keepNext/>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w:t>
            </w:r>
            <w:r>
              <w:rPr>
                <w:rFonts w:hint="eastAsia" w:cs="Times New Roman"/>
                <w:color w:val="000000" w:themeColor="text1"/>
                <w:lang w:val="en-US" w:eastAsia="zh-CN"/>
                <w14:textFill>
                  <w14:solidFill>
                    <w14:schemeClr w14:val="tx1"/>
                  </w14:solidFill>
                </w14:textFill>
              </w:rPr>
              <w:t>项目建设内容变化情况一览表</w:t>
            </w:r>
          </w:p>
          <w:tbl>
            <w:tblPr>
              <w:tblStyle w:val="3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3028"/>
              <w:gridCol w:w="3507"/>
              <w:gridCol w:w="1938"/>
            </w:tblGrid>
            <w:tr w14:paraId="02BC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Align w:val="center"/>
                </w:tcPr>
                <w:p w14:paraId="40FCF3A5">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Theme="minorEastAsia"/>
                      <w:b/>
                      <w:bCs/>
                      <w:sz w:val="21"/>
                      <w:szCs w:val="21"/>
                      <w:vertAlign w:val="baseline"/>
                      <w:lang w:val="en-US" w:eastAsia="zh-CN"/>
                    </w:rPr>
                  </w:pPr>
                  <w:r>
                    <w:rPr>
                      <w:rFonts w:hint="eastAsia"/>
                      <w:b/>
                      <w:bCs/>
                      <w:sz w:val="21"/>
                      <w:szCs w:val="21"/>
                      <w:vertAlign w:val="baseline"/>
                      <w:lang w:val="en-US" w:eastAsia="zh-CN"/>
                    </w:rPr>
                    <w:t>项目</w:t>
                  </w:r>
                </w:p>
              </w:tc>
              <w:tc>
                <w:tcPr>
                  <w:tcW w:w="1642" w:type="pct"/>
                  <w:vAlign w:val="center"/>
                </w:tcPr>
                <w:p w14:paraId="518C4A26">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原环评设计建设内容</w:t>
                  </w:r>
                </w:p>
              </w:tc>
              <w:tc>
                <w:tcPr>
                  <w:tcW w:w="1902" w:type="pct"/>
                  <w:vAlign w:val="center"/>
                </w:tcPr>
                <w:p w14:paraId="2F1DC35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本次变更后建设内容</w:t>
                  </w:r>
                </w:p>
              </w:tc>
              <w:tc>
                <w:tcPr>
                  <w:tcW w:w="1051" w:type="pct"/>
                  <w:vAlign w:val="center"/>
                </w:tcPr>
                <w:p w14:paraId="62BFBA8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变化情况简述</w:t>
                  </w:r>
                </w:p>
              </w:tc>
            </w:tr>
            <w:tr w14:paraId="609B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51136FA4">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产品方案</w:t>
                  </w:r>
                </w:p>
              </w:tc>
              <w:tc>
                <w:tcPr>
                  <w:tcW w:w="1642" w:type="pct"/>
                  <w:shd w:val="clear" w:color="auto" w:fill="auto"/>
                  <w:vAlign w:val="center"/>
                </w:tcPr>
                <w:p w14:paraId="25C85BB6">
                  <w:pPr>
                    <w:pStyle w:val="13"/>
                    <w:keepNext w:val="0"/>
                    <w:keepLines w:val="0"/>
                    <w:pageBreakBefore w:val="0"/>
                    <w:kinsoku/>
                    <w:wordWrap/>
                    <w:overflowPunct/>
                    <w:topLinePunct w:val="0"/>
                    <w:autoSpaceDE/>
                    <w:autoSpaceDN/>
                    <w:bidi w:val="0"/>
                    <w:ind w:firstLine="0" w:firstLineChars="0"/>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综合利用水基岩屑</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30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t/a</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，年产</w:t>
                  </w:r>
                  <w:r>
                    <w:rPr>
                      <w:rFonts w:hint="eastAsia" w:cs="Times New Roman"/>
                      <w:color w:val="000000" w:themeColor="text1"/>
                      <w:sz w:val="21"/>
                      <w:szCs w:val="21"/>
                      <w:lang w:val="en-US" w:eastAsia="zh-CN"/>
                      <w14:textFill>
                        <w14:solidFill>
                          <w14:schemeClr w14:val="tx1"/>
                        </w14:solidFill>
                      </w14:textFill>
                    </w:rPr>
                    <w:t>水稳层原料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，年产免烧建筑基材约</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27606.9278t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，年产水泥掺和料约</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26762.3628t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902" w:type="pct"/>
                  <w:shd w:val="clear" w:color="auto" w:fill="auto"/>
                  <w:vAlign w:val="center"/>
                </w:tcPr>
                <w:p w14:paraId="25E5BE17">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综合利用水基岩屑</w:t>
                  </w:r>
                  <w:r>
                    <w:rPr>
                      <w:rFonts w:hint="eastAsia" w:cs="Times New Roman"/>
                      <w:color w:val="000000" w:themeColor="text1"/>
                      <w:sz w:val="21"/>
                      <w:szCs w:val="21"/>
                      <w:lang w:val="en-US" w:eastAsia="zh-CN"/>
                      <w14:textFill>
                        <w14:solidFill>
                          <w14:schemeClr w14:val="tx1"/>
                        </w14:solidFill>
                      </w14:textFill>
                    </w:rPr>
                    <w:t>20万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t/a</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干燥、预热和煅烧水基岩屑后，再配以水泥、砂石、固化剂、水等生产免烧砌块，年产免烧砌块</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约2</w:t>
                  </w:r>
                  <w:r>
                    <w:rPr>
                      <w:rFonts w:hint="eastAsia" w:cs="Times New Roman"/>
                      <w:color w:val="000000" w:themeColor="text1"/>
                      <w:sz w:val="21"/>
                      <w:szCs w:val="21"/>
                      <w:lang w:val="en-US" w:eastAsia="zh-CN"/>
                      <w14:textFill>
                        <w14:solidFill>
                          <w14:schemeClr w14:val="tx1"/>
                        </w14:solidFill>
                      </w14:textFill>
                    </w:rPr>
                    <w:t>2万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051" w:type="pct"/>
                  <w:shd w:val="clear" w:color="auto" w:fill="auto"/>
                  <w:vAlign w:val="center"/>
                </w:tcPr>
                <w:p w14:paraId="2DB0A4A1">
                  <w:pPr>
                    <w:pStyle w:val="13"/>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①水基岩屑处理能力减小；</w:t>
                  </w:r>
                </w:p>
                <w:p w14:paraId="24567386">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②产品方案调整；</w:t>
                  </w:r>
                </w:p>
              </w:tc>
            </w:tr>
            <w:tr w14:paraId="38FC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643EF735">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生产厂房</w:t>
                  </w:r>
                </w:p>
              </w:tc>
              <w:tc>
                <w:tcPr>
                  <w:tcW w:w="1642" w:type="pct"/>
                  <w:shd w:val="clear" w:color="auto" w:fill="auto"/>
                  <w:vAlign w:val="center"/>
                </w:tcPr>
                <w:p w14:paraId="61A3A662">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租</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用四川金联玉合电气有限公司已建厂区内1号厂房和3号厂房及配套设施建设，厂房面积总计7589.62m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p>
              </w:tc>
              <w:tc>
                <w:tcPr>
                  <w:tcW w:w="1902" w:type="pct"/>
                  <w:shd w:val="clear" w:color="auto" w:fill="auto"/>
                  <w:vAlign w:val="center"/>
                </w:tcPr>
                <w:p w14:paraId="712413B3">
                  <w:pPr>
                    <w:pStyle w:val="13"/>
                    <w:keepNext w:val="0"/>
                    <w:keepLines w:val="0"/>
                    <w:pageBreakBefore w:val="0"/>
                    <w:kinsoku/>
                    <w:wordWrap/>
                    <w:overflowPunct/>
                    <w:topLinePunct w:val="0"/>
                    <w:autoSpaceDE/>
                    <w:autoSpaceDN/>
                    <w:bidi w:val="0"/>
                    <w:ind w:firstLine="0" w:firstLineChars="0"/>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租</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用四川金联玉合电气有限公司已建厂区内1号厂房、2号厂房、3号厂房及配套设施建设，厂房面积总</w:t>
                  </w:r>
                  <w:r>
                    <w:rPr>
                      <w:rFonts w:hint="eastAsia" w:cs="Times New Roman"/>
                      <w:color w:val="000000" w:themeColor="text1"/>
                      <w:sz w:val="21"/>
                      <w:szCs w:val="21"/>
                      <w:lang w:val="en-US" w:eastAsia="zh-CN"/>
                      <w14:textFill>
                        <w14:solidFill>
                          <w14:schemeClr w14:val="tx1"/>
                        </w14:solidFill>
                      </w14:textFill>
                    </w:rPr>
                    <w:t>约1万</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p>
              </w:tc>
              <w:tc>
                <w:tcPr>
                  <w:tcW w:w="1051" w:type="pct"/>
                  <w:shd w:val="clear" w:color="auto" w:fill="auto"/>
                  <w:vAlign w:val="center"/>
                </w:tcPr>
                <w:p w14:paraId="5C4DDDAA">
                  <w:pPr>
                    <w:pStyle w:val="13"/>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①新增1栋厂房</w:t>
                  </w:r>
                </w:p>
                <w:p w14:paraId="5D563249">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②总体平面布置大幅调整。</w:t>
                  </w:r>
                </w:p>
              </w:tc>
            </w:tr>
            <w:tr w14:paraId="1CEC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3686B995">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生产工艺</w:t>
                  </w:r>
                </w:p>
              </w:tc>
              <w:tc>
                <w:tcPr>
                  <w:tcW w:w="1642" w:type="pct"/>
                  <w:shd w:val="clear" w:color="auto" w:fill="auto"/>
                  <w:vAlign w:val="center"/>
                </w:tcPr>
                <w:p w14:paraId="25C40D57">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水稳层原料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及水泥掺和料生产：采用预处理（投加粉煤灰降低含水率）+烘干工艺；</w:t>
                  </w:r>
                </w:p>
                <w:p w14:paraId="4246EFB4">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免烧建筑基材：以烘干后物料为主要原料，采用</w:t>
                  </w:r>
                  <w:r>
                    <w:rPr>
                      <w:rFonts w:hint="eastAsia" w:cs="Times New Roman"/>
                      <w:color w:val="000000" w:themeColor="text1"/>
                      <w:sz w:val="21"/>
                      <w:szCs w:val="21"/>
                      <w:lang w:val="en-US" w:eastAsia="zh-CN"/>
                      <w14:textFill>
                        <w14:solidFill>
                          <w14:schemeClr w14:val="tx1"/>
                        </w14:solidFill>
                      </w14:textFill>
                    </w:rPr>
                    <w:t>球磨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+配料+搅拌+压制成型+码垛养护工艺</w:t>
                  </w:r>
                </w:p>
              </w:tc>
              <w:tc>
                <w:tcPr>
                  <w:tcW w:w="1902" w:type="pct"/>
                  <w:shd w:val="clear" w:color="auto" w:fill="auto"/>
                  <w:vAlign w:val="center"/>
                </w:tcPr>
                <w:p w14:paraId="115EDDEE">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煅烧料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生产：采用预处理（投加絮凝剂+压滤脱水）+</w:t>
                  </w:r>
                  <w:r>
                    <w:rPr>
                      <w:rFonts w:hint="eastAsia" w:cs="Times New Roman"/>
                      <w:color w:val="000000" w:themeColor="text1"/>
                      <w:sz w:val="21"/>
                      <w:szCs w:val="21"/>
                      <w:lang w:val="en-US" w:eastAsia="zh-CN"/>
                      <w14:textFill>
                        <w14:solidFill>
                          <w14:schemeClr w14:val="tx1"/>
                        </w14:solidFill>
                      </w14:textFill>
                    </w:rPr>
                    <w:t>干燥+预热+</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煅烧工艺；</w:t>
                  </w:r>
                </w:p>
                <w:p w14:paraId="5CBE190D">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免烧砌块</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将水基岩屑预处理料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配以碎石、水泥、固化剂、水，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采用配料+</w:t>
                  </w:r>
                  <w:r>
                    <w:rPr>
                      <w:rFonts w:hint="eastAsia" w:cs="Times New Roman"/>
                      <w:color w:val="000000" w:themeColor="text1"/>
                      <w:sz w:val="21"/>
                      <w:szCs w:val="21"/>
                      <w:lang w:val="en-US" w:eastAsia="zh-CN"/>
                      <w14:textFill>
                        <w14:solidFill>
                          <w14:schemeClr w14:val="tx1"/>
                        </w14:solidFill>
                      </w14:textFill>
                    </w:rPr>
                    <w:t>轮辊混合+</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搅拌+压制成型+</w:t>
                  </w:r>
                  <w:r>
                    <w:rPr>
                      <w:rFonts w:hint="eastAsia" w:cs="Times New Roman"/>
                      <w:color w:val="000000" w:themeColor="text1"/>
                      <w:sz w:val="21"/>
                      <w:szCs w:val="21"/>
                      <w:lang w:val="en-US" w:eastAsia="zh-CN"/>
                      <w14:textFill>
                        <w14:solidFill>
                          <w14:schemeClr w14:val="tx1"/>
                        </w14:solidFill>
                      </w14:textFill>
                    </w:rPr>
                    <w:t>蒸汽</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养护工艺</w:t>
                  </w:r>
                </w:p>
              </w:tc>
              <w:tc>
                <w:tcPr>
                  <w:tcW w:w="1051" w:type="pct"/>
                  <w:shd w:val="clear" w:color="auto" w:fill="auto"/>
                  <w:vAlign w:val="center"/>
                </w:tcPr>
                <w:p w14:paraId="2743BBE3">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①生产工艺调整，调整降低含水率的预处理方式</w:t>
                  </w:r>
                  <w:r>
                    <w:rPr>
                      <w:rFonts w:hint="eastAsia" w:cs="Times New Roman"/>
                      <w:color w:val="000000" w:themeColor="text1"/>
                      <w:sz w:val="21"/>
                      <w:szCs w:val="21"/>
                      <w:lang w:val="en-US" w:eastAsia="zh-CN"/>
                      <w14:textFill>
                        <w14:solidFill>
                          <w14:schemeClr w14:val="tx1"/>
                        </w14:solidFill>
                      </w14:textFill>
                    </w:rPr>
                    <w:t>；②</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新增煅烧工艺</w:t>
                  </w:r>
                </w:p>
              </w:tc>
            </w:tr>
            <w:tr w14:paraId="3B2F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02DDD0E7">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生产线</w:t>
                  </w:r>
                </w:p>
              </w:tc>
              <w:tc>
                <w:tcPr>
                  <w:tcW w:w="1642" w:type="pct"/>
                  <w:shd w:val="clear" w:color="auto" w:fill="auto"/>
                  <w:vAlign w:val="center"/>
                </w:tcPr>
                <w:p w14:paraId="489F5095">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建设3条水基岩屑烘干生产线、1条免烧建筑基材生产线。</w:t>
                  </w:r>
                </w:p>
              </w:tc>
              <w:tc>
                <w:tcPr>
                  <w:tcW w:w="1902" w:type="pct"/>
                  <w:shd w:val="clear" w:color="auto" w:fill="auto"/>
                  <w:vAlign w:val="center"/>
                </w:tcPr>
                <w:p w14:paraId="1C7E0DDD">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建设1条煅烧生产线、1条免烧建筑基材生产线</w:t>
                  </w:r>
                </w:p>
              </w:tc>
              <w:tc>
                <w:tcPr>
                  <w:tcW w:w="1051" w:type="pct"/>
                  <w:shd w:val="clear" w:color="auto" w:fill="auto"/>
                  <w:vAlign w:val="center"/>
                </w:tcPr>
                <w:p w14:paraId="644429BD">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①随工艺调整，生产线数量减少；②生产线平面布置、设备大幅调整。</w:t>
                  </w:r>
                </w:p>
              </w:tc>
            </w:tr>
            <w:tr w14:paraId="755D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06138D8F">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主要原辅料</w:t>
                  </w:r>
                </w:p>
              </w:tc>
              <w:tc>
                <w:tcPr>
                  <w:tcW w:w="1642" w:type="pct"/>
                  <w:shd w:val="clear" w:color="auto" w:fill="auto"/>
                  <w:vAlign w:val="center"/>
                </w:tcPr>
                <w:p w14:paraId="2DA0EF5C">
                  <w:pPr>
                    <w:pStyle w:val="13"/>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水基岩屑30万t/a（40%含水率20万t/a、80%含水率10万t/a）；</w:t>
                  </w:r>
                </w:p>
                <w:p w14:paraId="5CA0D693">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粉煤灰100595t/a</w:t>
                  </w:r>
                  <w:r>
                    <w:rPr>
                      <w:rFonts w:hint="eastAsia" w:cs="Times New Roman"/>
                      <w:color w:val="000000" w:themeColor="text1"/>
                      <w:sz w:val="21"/>
                      <w:szCs w:val="21"/>
                      <w:lang w:val="en-US" w:eastAsia="zh-CN"/>
                      <w14:textFill>
                        <w14:solidFill>
                          <w14:schemeClr w14:val="tx1"/>
                        </w14:solidFill>
                      </w14:textFill>
                    </w:rPr>
                    <w:t>；</w:t>
                  </w:r>
                </w:p>
                <w:p w14:paraId="2ED175F0">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水泥5200t/a</w:t>
                  </w:r>
                  <w:r>
                    <w:rPr>
                      <w:rFonts w:hint="eastAsia" w:cs="Times New Roman"/>
                      <w:color w:val="000000" w:themeColor="text1"/>
                      <w:sz w:val="21"/>
                      <w:szCs w:val="21"/>
                      <w:lang w:val="en-US" w:eastAsia="zh-CN"/>
                      <w14:textFill>
                        <w14:solidFill>
                          <w14:schemeClr w14:val="tx1"/>
                        </w14:solidFill>
                      </w14:textFill>
                    </w:rPr>
                    <w:t>；</w:t>
                  </w:r>
                </w:p>
                <w:p w14:paraId="1D1E932C">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砂石1500t/a</w:t>
                  </w:r>
                  <w:r>
                    <w:rPr>
                      <w:rFonts w:hint="eastAsia" w:cs="Times New Roman"/>
                      <w:color w:val="000000" w:themeColor="text1"/>
                      <w:sz w:val="21"/>
                      <w:szCs w:val="21"/>
                      <w:lang w:val="en-US" w:eastAsia="zh-CN"/>
                      <w14:textFill>
                        <w14:solidFill>
                          <w14:schemeClr w14:val="tx1"/>
                        </w14:solidFill>
                      </w14:textFill>
                    </w:rPr>
                    <w:t>；</w:t>
                  </w:r>
                </w:p>
              </w:tc>
              <w:tc>
                <w:tcPr>
                  <w:tcW w:w="1902" w:type="pct"/>
                  <w:shd w:val="clear" w:color="auto" w:fill="auto"/>
                  <w:vAlign w:val="center"/>
                </w:tcPr>
                <w:p w14:paraId="1EF550CB">
                  <w:pPr>
                    <w:pStyle w:val="13"/>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水基岩屑20万t/a（</w:t>
                  </w:r>
                  <w:r>
                    <w:rPr>
                      <w:rFonts w:hint="default" w:ascii="Times New Roman" w:hAnsi="Times New Roman"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70%含水率）；</w:t>
                  </w:r>
                </w:p>
                <w:p w14:paraId="4074BE27">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絮凝剂（氧化钙、硫酸亚铁）</w:t>
                  </w:r>
                  <w:r>
                    <w:rPr>
                      <w:rFonts w:hint="eastAsia" w:cs="Times New Roman"/>
                      <w:color w:val="000000" w:themeColor="text1"/>
                      <w:sz w:val="21"/>
                      <w:szCs w:val="21"/>
                      <w:lang w:val="en-US" w:eastAsia="zh-CN"/>
                      <w14:textFill>
                        <w14:solidFill>
                          <w14:schemeClr w14:val="tx1"/>
                        </w14:solidFill>
                      </w14:textFill>
                    </w:rPr>
                    <w:t>1579</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t/a</w:t>
                  </w:r>
                  <w:r>
                    <w:rPr>
                      <w:rFonts w:hint="eastAsia" w:cs="Times New Roman"/>
                      <w:color w:val="000000" w:themeColor="text1"/>
                      <w:sz w:val="21"/>
                      <w:szCs w:val="21"/>
                      <w:lang w:val="en-US" w:eastAsia="zh-CN"/>
                      <w14:textFill>
                        <w14:solidFill>
                          <w14:schemeClr w14:val="tx1"/>
                        </w14:solidFill>
                      </w14:textFill>
                    </w:rPr>
                    <w:t>；</w:t>
                  </w:r>
                </w:p>
                <w:p w14:paraId="62351A43">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w:t>
                  </w:r>
                  <w:r>
                    <w:rPr>
                      <w:rFonts w:hint="eastAsia" w:cs="Times New Roman"/>
                      <w:color w:val="000000" w:themeColor="text1"/>
                      <w:sz w:val="21"/>
                      <w:szCs w:val="21"/>
                      <w:lang w:val="en-US" w:eastAsia="zh-CN"/>
                      <w14:textFill>
                        <w14:solidFill>
                          <w14:schemeClr w14:val="tx1"/>
                        </w14:solidFill>
                      </w14:textFill>
                    </w:rPr>
                    <w:t>40000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t/a</w:t>
                  </w:r>
                  <w:r>
                    <w:rPr>
                      <w:rFonts w:hint="eastAsia" w:cs="Times New Roman"/>
                      <w:color w:val="000000" w:themeColor="text1"/>
                      <w:sz w:val="21"/>
                      <w:szCs w:val="21"/>
                      <w:lang w:val="en-US" w:eastAsia="zh-CN"/>
                      <w14:textFill>
                        <w14:solidFill>
                          <w14:schemeClr w14:val="tx1"/>
                        </w14:solidFill>
                      </w14:textFill>
                    </w:rPr>
                    <w:t>；</w:t>
                  </w:r>
                </w:p>
                <w:p w14:paraId="7BD2F517">
                  <w:pPr>
                    <w:pStyle w:val="13"/>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砂石</w:t>
                  </w:r>
                  <w:r>
                    <w:rPr>
                      <w:rFonts w:hint="eastAsia" w:cs="Times New Roman"/>
                      <w:color w:val="000000" w:themeColor="text1"/>
                      <w:sz w:val="21"/>
                      <w:szCs w:val="21"/>
                      <w:lang w:val="en-US" w:eastAsia="zh-CN"/>
                      <w14:textFill>
                        <w14:solidFill>
                          <w14:schemeClr w14:val="tx1"/>
                        </w14:solidFill>
                      </w14:textFill>
                    </w:rPr>
                    <w:t>12000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0t/a</w:t>
                  </w:r>
                  <w:r>
                    <w:rPr>
                      <w:rFonts w:hint="eastAsia" w:cs="Times New Roman"/>
                      <w:color w:val="000000" w:themeColor="text1"/>
                      <w:sz w:val="21"/>
                      <w:szCs w:val="21"/>
                      <w:lang w:val="en-US" w:eastAsia="zh-CN"/>
                      <w14:textFill>
                        <w14:solidFill>
                          <w14:schemeClr w14:val="tx1"/>
                        </w14:solidFill>
                      </w14:textFill>
                    </w:rPr>
                    <w:t>；</w:t>
                  </w:r>
                </w:p>
                <w:p w14:paraId="43FA3F90">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固化剂80t/a；</w:t>
                  </w:r>
                </w:p>
              </w:tc>
              <w:tc>
                <w:tcPr>
                  <w:tcW w:w="1051" w:type="pct"/>
                  <w:shd w:val="clear" w:color="auto" w:fill="auto"/>
                  <w:vAlign w:val="center"/>
                </w:tcPr>
                <w:p w14:paraId="792AE9E9">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①根据实际情况调整原料比例及含水率；②随工艺调整，新增使用絮凝剂、固化剂，取消粉煤灰，调整辅料用量</w:t>
                  </w:r>
                </w:p>
              </w:tc>
            </w:tr>
            <w:tr w14:paraId="2AE4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36DD32EF">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储运工程</w:t>
                  </w:r>
                </w:p>
              </w:tc>
              <w:tc>
                <w:tcPr>
                  <w:tcW w:w="1642" w:type="pct"/>
                  <w:shd w:val="clear" w:color="auto" w:fill="auto"/>
                  <w:vAlign w:val="center"/>
                </w:tcPr>
                <w:p w14:paraId="11CB0551">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建设1座</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水基岩屑储存池（</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7000m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w:t>
                  </w:r>
                </w:p>
                <w:p w14:paraId="38CD885F">
                  <w:pPr>
                    <w:pStyle w:val="13"/>
                    <w:keepNext w:val="0"/>
                    <w:keepLines w:val="0"/>
                    <w:pageBreakBefore w:val="0"/>
                    <w:kinsoku/>
                    <w:wordWrap/>
                    <w:overflowPunct/>
                    <w:topLinePunct w:val="0"/>
                    <w:autoSpaceDE/>
                    <w:autoSpaceDN/>
                    <w:bidi w:val="0"/>
                    <w:ind w:firstLine="0" w:firstLineChars="0"/>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设2个水泥筒仓（单个200t）；</w:t>
                  </w:r>
                </w:p>
                <w:p w14:paraId="62071E9B">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设3个烘干物料筒仓（单个200t）；</w:t>
                  </w:r>
                </w:p>
                <w:p w14:paraId="14C696D0">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w:t>
                  </w:r>
                  <w:r>
                    <w:rPr>
                      <w:rFonts w:hint="eastAsia"/>
                      <w:color w:val="000000" w:themeColor="text1"/>
                      <w:sz w:val="21"/>
                      <w:szCs w:val="21"/>
                      <w:lang w:val="en-US" w:eastAsia="zh-CN"/>
                      <w14:textFill>
                        <w14:solidFill>
                          <w14:schemeClr w14:val="tx1"/>
                        </w14:solidFill>
                      </w14:textFill>
                    </w:rPr>
                    <w:t>水基岩屑</w:t>
                  </w:r>
                  <w:r>
                    <w:rPr>
                      <w:rFonts w:hint="eastAsia" w:ascii="Times New Roman" w:hAnsi="Times New Roman" w:eastAsia="宋体"/>
                      <w:color w:val="000000" w:themeColor="text1"/>
                      <w:sz w:val="21"/>
                      <w:szCs w:val="21"/>
                      <w:lang w:val="en-US" w:eastAsia="zh-CN"/>
                      <w14:textFill>
                        <w14:solidFill>
                          <w14:schemeClr w14:val="tx1"/>
                        </w14:solidFill>
                      </w14:textFill>
                    </w:rPr>
                    <w:t>（40%含水）堆放区；</w:t>
                  </w:r>
                </w:p>
                <w:p w14:paraId="113BC9AF">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设1个烘干物料堆放区；</w:t>
                  </w:r>
                </w:p>
                <w:p w14:paraId="73E3D008">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设1个砂石堆场；</w:t>
                  </w:r>
                </w:p>
                <w:p w14:paraId="6C60BBEE">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设1个成品堆场；</w:t>
                  </w:r>
                </w:p>
                <w:p w14:paraId="5D781B8E">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设1个粉煤灰堆放区。</w:t>
                  </w:r>
                </w:p>
              </w:tc>
              <w:tc>
                <w:tcPr>
                  <w:tcW w:w="1902" w:type="pct"/>
                  <w:shd w:val="clear" w:color="auto" w:fill="auto"/>
                  <w:vAlign w:val="center"/>
                </w:tcPr>
                <w:p w14:paraId="769B3578">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建设1座</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水基岩屑储存池（</w:t>
                  </w:r>
                  <w:r>
                    <w:rPr>
                      <w:rFonts w:hint="eastAsia" w:cs="Times New Roman"/>
                      <w:color w:val="000000" w:themeColor="text1"/>
                      <w:sz w:val="21"/>
                      <w:szCs w:val="21"/>
                      <w:lang w:val="en-US" w:eastAsia="zh-CN"/>
                      <w14:textFill>
                        <w14:solidFill>
                          <w14:schemeClr w14:val="tx1"/>
                        </w14:solidFill>
                      </w14:textFill>
                    </w:rPr>
                    <w:t>48</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）；建设1座滤液池（</w:t>
                  </w:r>
                  <w:r>
                    <w:rPr>
                      <w:rFonts w:hint="eastAsia" w:cs="Times New Roman"/>
                      <w:color w:val="000000" w:themeColor="text1"/>
                      <w:sz w:val="21"/>
                      <w:szCs w:val="21"/>
                      <w:vertAlign w:val="baseline"/>
                      <w:lang w:val="en-US" w:eastAsia="zh-CN"/>
                      <w14:textFill>
                        <w14:solidFill>
                          <w14:schemeClr w14:val="tx1"/>
                        </w14:solidFill>
                      </w14:textFill>
                    </w:rPr>
                    <w:t>1100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w:t>
                  </w:r>
                </w:p>
                <w:p w14:paraId="73D3A5D7">
                  <w:pPr>
                    <w:pStyle w:val="13"/>
                    <w:keepNext w:val="0"/>
                    <w:keepLines w:val="0"/>
                    <w:pageBreakBefore w:val="0"/>
                    <w:kinsoku/>
                    <w:wordWrap/>
                    <w:overflowPunct/>
                    <w:topLinePunct w:val="0"/>
                    <w:autoSpaceDE/>
                    <w:autoSpaceDN/>
                    <w:bidi w:val="0"/>
                    <w:ind w:firstLine="0" w:firstLineChars="0"/>
                    <w:textAlignment w:val="auto"/>
                    <w:rPr>
                      <w:rFonts w:hint="eastAsia"/>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设</w:t>
                  </w:r>
                  <w:r>
                    <w:rPr>
                      <w:rFonts w:hint="eastAsia" w:cs="Times New Roman"/>
                      <w:color w:val="000000" w:themeColor="text1"/>
                      <w:sz w:val="21"/>
                      <w:szCs w:val="21"/>
                      <w:vertAlign w:val="baseline"/>
                      <w:lang w:val="en-US" w:eastAsia="zh-CN"/>
                      <w14:textFill>
                        <w14:solidFill>
                          <w14:schemeClr w14:val="tx1"/>
                        </w14:solidFill>
                      </w14:textFill>
                    </w:rPr>
                    <w:t>1个水泥筒仓（200t）；</w:t>
                  </w:r>
                </w:p>
                <w:p w14:paraId="6215DA56">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w:t>
                  </w:r>
                  <w:r>
                    <w:rPr>
                      <w:rFonts w:hint="eastAsia"/>
                      <w:color w:val="000000" w:themeColor="text1"/>
                      <w:sz w:val="21"/>
                      <w:szCs w:val="21"/>
                      <w:lang w:val="en-US" w:eastAsia="zh-CN"/>
                      <w14:textFill>
                        <w14:solidFill>
                          <w14:schemeClr w14:val="tx1"/>
                        </w14:solidFill>
                      </w14:textFill>
                    </w:rPr>
                    <w:t>煅烧料仓</w:t>
                  </w:r>
                  <w:r>
                    <w:rPr>
                      <w:rFonts w:hint="eastAsia" w:ascii="Times New Roman" w:hAnsi="Times New Roman" w:eastAsia="宋体"/>
                      <w:color w:val="000000" w:themeColor="text1"/>
                      <w:sz w:val="21"/>
                      <w:szCs w:val="21"/>
                      <w:lang w:val="en-US" w:eastAsia="zh-CN"/>
                      <w14:textFill>
                        <w14:solidFill>
                          <w14:schemeClr w14:val="tx1"/>
                        </w14:solidFill>
                      </w14:textFill>
                    </w:rPr>
                    <w:t>；</w:t>
                  </w:r>
                </w:p>
                <w:p w14:paraId="63B62BA7">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w:t>
                  </w:r>
                  <w:r>
                    <w:rPr>
                      <w:rFonts w:hint="eastAsia"/>
                      <w:color w:val="000000" w:themeColor="text1"/>
                      <w:sz w:val="21"/>
                      <w:szCs w:val="21"/>
                      <w:lang w:val="en-US" w:eastAsia="zh-CN"/>
                      <w14:textFill>
                        <w14:solidFill>
                          <w14:schemeClr w14:val="tx1"/>
                        </w14:solidFill>
                      </w14:textFill>
                    </w:rPr>
                    <w:t>水基岩屑</w:t>
                  </w:r>
                  <w:r>
                    <w:rPr>
                      <w:rFonts w:hint="eastAsia" w:ascii="Times New Roman" w:hAnsi="Times New Roman" w:eastAsia="宋体"/>
                      <w:color w:val="000000" w:themeColor="text1"/>
                      <w:sz w:val="21"/>
                      <w:szCs w:val="21"/>
                      <w:lang w:val="en-US"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35%</w:t>
                  </w:r>
                  <w:r>
                    <w:rPr>
                      <w:rFonts w:hint="eastAsia" w:ascii="Times New Roman" w:hAnsi="Times New Roman" w:eastAsia="宋体"/>
                      <w:color w:val="000000" w:themeColor="text1"/>
                      <w:sz w:val="21"/>
                      <w:szCs w:val="21"/>
                      <w:lang w:val="en-US" w:eastAsia="zh-CN"/>
                      <w14:textFill>
                        <w14:solidFill>
                          <w14:schemeClr w14:val="tx1"/>
                        </w14:solidFill>
                      </w14:textFill>
                    </w:rPr>
                    <w:t>含水）堆放区；</w:t>
                  </w:r>
                </w:p>
                <w:p w14:paraId="08D71E96">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设1个砂石</w:t>
                  </w:r>
                  <w:r>
                    <w:rPr>
                      <w:rFonts w:hint="eastAsia"/>
                      <w:color w:val="000000" w:themeColor="text1"/>
                      <w:sz w:val="21"/>
                      <w:szCs w:val="21"/>
                      <w:lang w:val="en-US" w:eastAsia="zh-CN"/>
                      <w14:textFill>
                        <w14:solidFill>
                          <w14:schemeClr w14:val="tx1"/>
                        </w14:solidFill>
                      </w14:textFill>
                    </w:rPr>
                    <w:t>堆存区</w:t>
                  </w:r>
                  <w:r>
                    <w:rPr>
                      <w:rFonts w:hint="eastAsia" w:ascii="Times New Roman" w:hAnsi="Times New Roman" w:eastAsia="宋体"/>
                      <w:color w:val="000000" w:themeColor="text1"/>
                      <w:sz w:val="21"/>
                      <w:szCs w:val="21"/>
                      <w:lang w:val="en-US" w:eastAsia="zh-CN"/>
                      <w14:textFill>
                        <w14:solidFill>
                          <w14:schemeClr w14:val="tx1"/>
                        </w14:solidFill>
                      </w14:textFill>
                    </w:rPr>
                    <w:t>；</w:t>
                  </w:r>
                </w:p>
                <w:p w14:paraId="7460CFC2">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设1个成品</w:t>
                  </w:r>
                  <w:r>
                    <w:rPr>
                      <w:rFonts w:hint="eastAsia"/>
                      <w:color w:val="000000" w:themeColor="text1"/>
                      <w:sz w:val="21"/>
                      <w:szCs w:val="21"/>
                      <w:lang w:val="en-US" w:eastAsia="zh-CN"/>
                      <w14:textFill>
                        <w14:solidFill>
                          <w14:schemeClr w14:val="tx1"/>
                        </w14:solidFill>
                      </w14:textFill>
                    </w:rPr>
                    <w:t>堆放区</w:t>
                  </w:r>
                  <w:r>
                    <w:rPr>
                      <w:rFonts w:hint="eastAsia" w:ascii="Times New Roman" w:hAnsi="Times New Roman" w:eastAsia="宋体"/>
                      <w:color w:val="000000" w:themeColor="text1"/>
                      <w:sz w:val="21"/>
                      <w:szCs w:val="21"/>
                      <w:lang w:val="en-US" w:eastAsia="zh-CN"/>
                      <w14:textFill>
                        <w14:solidFill>
                          <w14:schemeClr w14:val="tx1"/>
                        </w14:solidFill>
                      </w14:textFill>
                    </w:rPr>
                    <w:t>；</w:t>
                  </w:r>
                </w:p>
                <w:p w14:paraId="6EE1B4A9">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设1个药剂堆存区。</w:t>
                  </w:r>
                </w:p>
              </w:tc>
              <w:tc>
                <w:tcPr>
                  <w:tcW w:w="1051" w:type="pct"/>
                  <w:shd w:val="clear" w:color="auto" w:fill="auto"/>
                  <w:vAlign w:val="center"/>
                </w:tcPr>
                <w:p w14:paraId="0F411C6E">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①烘干物料暂存方式调整，不使用筒仓；②物料储存场所平面布置调整；③取消粉煤灰堆放区</w:t>
                  </w:r>
                </w:p>
              </w:tc>
            </w:tr>
            <w:tr w14:paraId="199F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20CB48A4">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废气</w:t>
                  </w:r>
                </w:p>
              </w:tc>
              <w:tc>
                <w:tcPr>
                  <w:tcW w:w="1642" w:type="pct"/>
                  <w:shd w:val="clear" w:color="auto" w:fill="auto"/>
                  <w:vAlign w:val="center"/>
                </w:tcPr>
                <w:p w14:paraId="09435E18">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烘干废气经布袋除尘处理后经1根15m高排气筒排放；</w:t>
                  </w:r>
                </w:p>
                <w:p w14:paraId="7C1C3C9C">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球磨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、搅拌粉尘经布袋除尘器处理后经1根15m高排气筒排放；</w:t>
                  </w:r>
                </w:p>
                <w:p w14:paraId="57B14345">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水泥筒仓粉尘</w:t>
                  </w:r>
                  <w:r>
                    <w:rPr>
                      <w:rFonts w:hint="eastAsia" w:cs="Times New Roman"/>
                      <w:color w:val="000000" w:themeColor="text1"/>
                      <w:sz w:val="21"/>
                      <w:szCs w:val="21"/>
                      <w:lang w:val="en-US" w:eastAsia="zh-CN"/>
                      <w14:textFill>
                        <w14:solidFill>
                          <w14:schemeClr w14:val="tx1"/>
                        </w14:solidFill>
                      </w14:textFill>
                    </w:rPr>
                    <w:t>经筒仓顶部自带布袋除尘器处理后于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厂房内无组织排放；</w:t>
                  </w:r>
                </w:p>
                <w:p w14:paraId="1FFF8A6C">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砂石卸料粉尘、堆场粉尘经喷雾降尘后无组织排放；</w:t>
                  </w:r>
                </w:p>
                <w:p w14:paraId="4594BC1F">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粉煤灰卸料、投料粉尘无组织排放</w:t>
                  </w:r>
                  <w:r>
                    <w:rPr>
                      <w:rFonts w:hint="eastAsia" w:cs="Times New Roman"/>
                      <w:color w:val="000000" w:themeColor="text1"/>
                      <w:sz w:val="21"/>
                      <w:szCs w:val="21"/>
                      <w:lang w:val="en-US" w:eastAsia="zh-CN"/>
                      <w14:textFill>
                        <w14:solidFill>
                          <w14:schemeClr w14:val="tx1"/>
                        </w14:solidFill>
                      </w14:textFill>
                    </w:rPr>
                    <w:t>。</w:t>
                  </w:r>
                </w:p>
              </w:tc>
              <w:tc>
                <w:tcPr>
                  <w:tcW w:w="1902" w:type="pct"/>
                  <w:shd w:val="clear" w:color="auto" w:fill="auto"/>
                  <w:vAlign w:val="center"/>
                </w:tcPr>
                <w:p w14:paraId="47590328">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煅烧</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废气经</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cs="Times New Roman"/>
                      <w:color w:val="000000" w:themeColor="text1"/>
                      <w:sz w:val="21"/>
                      <w:szCs w:val="21"/>
                      <w:lang w:val="en-US" w:eastAsia="zh-CN"/>
                      <w14:textFill>
                        <w14:solidFill>
                          <w14:schemeClr w14:val="tx1"/>
                        </w14:solidFill>
                      </w14:textFill>
                    </w:rPr>
                    <w:t>旋风除尘器+布袋除尘器1#+活性炭喷射+布袋除尘器2#+2座脱酸塔</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处理后经1根</w:t>
                  </w:r>
                  <w:r>
                    <w:rPr>
                      <w:rFonts w:hint="eastAsia" w:cs="Times New Roman"/>
                      <w:color w:val="000000" w:themeColor="text1"/>
                      <w:sz w:val="21"/>
                      <w:szCs w:val="21"/>
                      <w:lang w:val="en-US" w:eastAsia="zh-CN"/>
                      <w14:textFill>
                        <w14:solidFill>
                          <w14:schemeClr w14:val="tx1"/>
                        </w14:solidFill>
                      </w14:textFill>
                    </w:rPr>
                    <w:t>45m</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高排气筒排放；</w:t>
                  </w:r>
                </w:p>
                <w:p w14:paraId="65C1A463">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水泥筒仓粉尘</w:t>
                  </w:r>
                  <w:r>
                    <w:rPr>
                      <w:rFonts w:hint="eastAsia" w:cs="Times New Roman"/>
                      <w:color w:val="000000" w:themeColor="text1"/>
                      <w:sz w:val="21"/>
                      <w:szCs w:val="21"/>
                      <w:lang w:val="en-US" w:eastAsia="zh-CN"/>
                      <w14:textFill>
                        <w14:solidFill>
                          <w14:schemeClr w14:val="tx1"/>
                        </w14:solidFill>
                      </w14:textFill>
                    </w:rPr>
                    <w:t>经筒仓顶部自带布袋除尘器处理后于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厂房内无组织排放；</w:t>
                  </w:r>
                </w:p>
                <w:p w14:paraId="02F22ED1">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砂石卸料粉尘、堆场粉尘经喷雾降尘后无组织排放；</w:t>
                  </w:r>
                </w:p>
                <w:p w14:paraId="463358B5">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絮凝剂投料粉尘于投料口设置围挡，厂房内无组织排放；</w:t>
                  </w:r>
                </w:p>
                <w:p w14:paraId="1D7FEC9B">
                  <w:pPr>
                    <w:pStyle w:val="13"/>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水泥筒仓粉尘</w:t>
                  </w:r>
                  <w:r>
                    <w:rPr>
                      <w:rFonts w:hint="eastAsia" w:cs="Times New Roman"/>
                      <w:color w:val="000000" w:themeColor="text1"/>
                      <w:sz w:val="21"/>
                      <w:szCs w:val="21"/>
                      <w:lang w:val="en-US" w:eastAsia="zh-CN"/>
                      <w14:textFill>
                        <w14:solidFill>
                          <w14:schemeClr w14:val="tx1"/>
                        </w14:solidFill>
                      </w14:textFill>
                    </w:rPr>
                    <w:t>经筒仓顶部自带布袋除尘器处理后于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厂房内无组织排放</w:t>
                  </w:r>
                  <w:r>
                    <w:rPr>
                      <w:rFonts w:hint="eastAsia" w:cs="Times New Roman"/>
                      <w:color w:val="000000" w:themeColor="text1"/>
                      <w:sz w:val="21"/>
                      <w:szCs w:val="21"/>
                      <w:lang w:val="en-US" w:eastAsia="zh-CN"/>
                      <w14:textFill>
                        <w14:solidFill>
                          <w14:schemeClr w14:val="tx1"/>
                        </w14:solidFill>
                      </w14:textFill>
                    </w:rPr>
                    <w:t>；</w:t>
                  </w:r>
                </w:p>
                <w:p w14:paraId="2245B037">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投料粉尘设置侧吸集气罩+布袋除尘器+喷淋抑尘装置处理后于厂房内无组织排放。</w:t>
                  </w:r>
                </w:p>
              </w:tc>
              <w:tc>
                <w:tcPr>
                  <w:tcW w:w="1051" w:type="pct"/>
                  <w:shd w:val="clear" w:color="auto" w:fill="auto"/>
                  <w:vAlign w:val="center"/>
                </w:tcPr>
                <w:p w14:paraId="7C6AA165">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随工艺调整，调整废气治理措施</w:t>
                  </w:r>
                </w:p>
              </w:tc>
            </w:tr>
            <w:tr w14:paraId="3D3E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4914069A">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废水</w:t>
                  </w:r>
                </w:p>
              </w:tc>
              <w:tc>
                <w:tcPr>
                  <w:tcW w:w="1642" w:type="pct"/>
                  <w:shd w:val="clear" w:color="auto" w:fill="auto"/>
                  <w:vAlign w:val="center"/>
                </w:tcPr>
                <w:p w14:paraId="3DBE3A3C">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渗滤液：随</w:t>
                  </w: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一并进入烘干系统；</w:t>
                  </w:r>
                </w:p>
                <w:p w14:paraId="1408B3E9">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生活污水：预处理后排入园区管网，送至星光污水处理厂处理；</w:t>
                  </w:r>
                </w:p>
                <w:p w14:paraId="37952ED8">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地面冲洗水、车辆清洗废水：沉淀后回用。</w:t>
                  </w:r>
                </w:p>
              </w:tc>
              <w:tc>
                <w:tcPr>
                  <w:tcW w:w="1902" w:type="pct"/>
                  <w:shd w:val="clear" w:color="auto" w:fill="auto"/>
                  <w:vAlign w:val="center"/>
                </w:tcPr>
                <w:p w14:paraId="0E3F1EA6">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压滤废水：</w:t>
                  </w:r>
                  <w:r>
                    <w:rPr>
                      <w:rFonts w:hint="eastAsia" w:cs="Times New Roman"/>
                      <w:color w:val="000000" w:themeColor="text1"/>
                      <w:sz w:val="21"/>
                      <w:szCs w:val="21"/>
                      <w:lang w:val="en-US" w:eastAsia="zh-CN"/>
                      <w14:textFill>
                        <w14:solidFill>
                          <w14:schemeClr w14:val="tx1"/>
                        </w14:solidFill>
                      </w14:textFill>
                    </w:rPr>
                    <w:t>部分回用于生产，剩余部分委托有资质单位清运处理</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14:paraId="3596B959">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渗滤液：随</w:t>
                  </w: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一并进入</w:t>
                  </w:r>
                  <w:r>
                    <w:rPr>
                      <w:rFonts w:hint="eastAsia" w:cs="Times New Roman"/>
                      <w:color w:val="000000" w:themeColor="text1"/>
                      <w:sz w:val="21"/>
                      <w:szCs w:val="21"/>
                      <w:lang w:val="en-US" w:eastAsia="zh-CN"/>
                      <w14:textFill>
                        <w14:solidFill>
                          <w14:schemeClr w14:val="tx1"/>
                        </w14:solidFill>
                      </w14:textFill>
                    </w:rPr>
                    <w:t>煅烧</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系统；</w:t>
                  </w:r>
                </w:p>
                <w:p w14:paraId="39EED2C6">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生活污水：预处理后送至星光污水处理厂处理；</w:t>
                  </w:r>
                </w:p>
                <w:p w14:paraId="672D68F8">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地面冲洗水、车辆清洗废水：排入水基岩屑储存池，后续随</w:t>
                  </w: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预处理，计入</w:t>
                  </w: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压滤废水。</w:t>
                  </w:r>
                </w:p>
              </w:tc>
              <w:tc>
                <w:tcPr>
                  <w:tcW w:w="1051" w:type="pct"/>
                  <w:shd w:val="clear" w:color="auto" w:fill="auto"/>
                  <w:vAlign w:val="center"/>
                </w:tcPr>
                <w:p w14:paraId="6F41D493">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随工艺调整，调整废水治理措施</w:t>
                  </w:r>
                </w:p>
              </w:tc>
            </w:tr>
            <w:tr w14:paraId="1D28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61C6724B">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固废</w:t>
                  </w:r>
                </w:p>
              </w:tc>
              <w:tc>
                <w:tcPr>
                  <w:tcW w:w="1642" w:type="pct"/>
                  <w:shd w:val="clear" w:color="auto" w:fill="auto"/>
                  <w:vAlign w:val="center"/>
                </w:tcPr>
                <w:p w14:paraId="249B564B">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生活垃圾由环卫处置；不合格品返回搅拌阶段重新利用；废模具由厂界回收更换；布袋除尘器集尘作为原料利用；废布袋由废品回收站处置。</w:t>
                  </w:r>
                </w:p>
                <w:p w14:paraId="574E1ED4">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废液压油由厂家更换带走；废机油、废机油桶、沾油废</w:t>
                  </w:r>
                  <w:r>
                    <w:rPr>
                      <w:rFonts w:hint="eastAsia" w:cs="Times New Roman"/>
                      <w:color w:val="000000" w:themeColor="text1"/>
                      <w:sz w:val="21"/>
                      <w:szCs w:val="21"/>
                      <w:lang w:val="en-US" w:eastAsia="zh-CN"/>
                      <w14:textFill>
                        <w14:solidFill>
                          <w14:schemeClr w14:val="tx1"/>
                        </w14:solidFill>
                      </w14:textFill>
                    </w:rPr>
                    <w:t>物在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危废暂存间内暂存，委托资质单位清运处置。</w:t>
                  </w:r>
                </w:p>
              </w:tc>
              <w:tc>
                <w:tcPr>
                  <w:tcW w:w="1902" w:type="pct"/>
                  <w:shd w:val="clear" w:color="auto" w:fill="auto"/>
                  <w:vAlign w:val="center"/>
                </w:tcPr>
                <w:p w14:paraId="6E56147E">
                  <w:pPr>
                    <w:pStyle w:val="13"/>
                    <w:keepNext w:val="0"/>
                    <w:keepLines w:val="0"/>
                    <w:pageBreakBefore w:val="0"/>
                    <w:tabs>
                      <w:tab w:val="left" w:pos="1680"/>
                    </w:tabs>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生活垃圾由环卫处置；制砖阶段不合格品返回搅拌阶段重新利用；废模具由</w:t>
                  </w:r>
                  <w:r>
                    <w:rPr>
                      <w:rFonts w:hint="eastAsia" w:cs="Times New Roman"/>
                      <w:color w:val="000000" w:themeColor="text1"/>
                      <w:sz w:val="21"/>
                      <w:szCs w:val="21"/>
                      <w:lang w:val="en-US" w:eastAsia="zh-CN"/>
                      <w14:textFill>
                        <w14:solidFill>
                          <w14:schemeClr w14:val="tx1"/>
                        </w14:solidFill>
                      </w14:textFill>
                    </w:rPr>
                    <w:t>厂家</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回收更换；</w:t>
                  </w:r>
                  <w:r>
                    <w:rPr>
                      <w:rFonts w:hint="eastAsia" w:cs="Times New Roman"/>
                      <w:color w:val="000000" w:themeColor="text1"/>
                      <w:sz w:val="21"/>
                      <w:szCs w:val="21"/>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布袋除尘器</w:t>
                  </w:r>
                  <w:r>
                    <w:rPr>
                      <w:rFonts w:hint="eastAsia" w:cs="Times New Roman"/>
                      <w:color w:val="000000" w:themeColor="text1"/>
                      <w:sz w:val="21"/>
                      <w:szCs w:val="21"/>
                      <w:lang w:val="en-US" w:eastAsia="zh-CN"/>
                      <w14:textFill>
                        <w14:solidFill>
                          <w14:schemeClr w14:val="tx1"/>
                        </w14:solidFill>
                      </w14:textFill>
                    </w:rPr>
                    <w:t>及旋风除尘器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集尘作为原料利用；废布袋由废品回收站处置；</w:t>
                  </w:r>
                  <w:r>
                    <w:rPr>
                      <w:color w:val="000000" w:themeColor="text1"/>
                      <w:sz w:val="21"/>
                      <w:szCs w:val="21"/>
                      <w14:textFill>
                        <w14:solidFill>
                          <w14:schemeClr w14:val="tx1"/>
                        </w14:solidFill>
                      </w14:textFill>
                    </w:rPr>
                    <w:t>脱硫渣</w:t>
                  </w:r>
                  <w:r>
                    <w:rPr>
                      <w:rFonts w:hint="eastAsia"/>
                      <w:color w:val="000000" w:themeColor="text1"/>
                      <w:sz w:val="21"/>
                      <w:szCs w:val="21"/>
                      <w:lang w:val="en-US" w:eastAsia="zh-CN"/>
                      <w14:textFill>
                        <w14:solidFill>
                          <w14:schemeClr w14:val="tx1"/>
                        </w14:solidFill>
                      </w14:textFill>
                    </w:rPr>
                    <w:t>外售相关建材企业综合利用；氟化钙污泥</w:t>
                  </w:r>
                  <w:r>
                    <w:rPr>
                      <w:rFonts w:hint="eastAsia"/>
                      <w:b w:val="0"/>
                      <w:bCs/>
                      <w:color w:val="000000" w:themeColor="text1"/>
                      <w:sz w:val="21"/>
                      <w:szCs w:val="21"/>
                      <w:lang w:val="en-US" w:eastAsia="zh-CN"/>
                      <w14:textFill>
                        <w14:solidFill>
                          <w14:schemeClr w14:val="tx1"/>
                        </w14:solidFill>
                      </w14:textFill>
                    </w:rPr>
                    <w:t>通过鉴定确定危险性质，后按照相应的固废种类进行管理</w:t>
                  </w:r>
                  <w:r>
                    <w:rPr>
                      <w:rFonts w:hint="eastAsia"/>
                      <w:b w:val="0"/>
                      <w:color w:val="000000" w:themeColor="text1"/>
                      <w:sz w:val="21"/>
                      <w:szCs w:val="21"/>
                      <w14:textFill>
                        <w14:solidFill>
                          <w14:schemeClr w14:val="tx1"/>
                        </w14:solidFill>
                      </w14:textFill>
                    </w:rPr>
                    <w:t>。</w:t>
                  </w:r>
                  <w:r>
                    <w:rPr>
                      <w:rFonts w:hint="eastAsia"/>
                      <w:b w:val="0"/>
                      <w:color w:val="000000" w:themeColor="text1"/>
                      <w:sz w:val="21"/>
                      <w:szCs w:val="21"/>
                      <w:lang w:val="en-US" w:eastAsia="zh-CN"/>
                      <w14:textFill>
                        <w14:solidFill>
                          <w14:schemeClr w14:val="tx1"/>
                        </w14:solidFill>
                      </w14:textFill>
                    </w:rPr>
                    <w:t>在未鉴别确定其性质之前，按危废进行管理</w:t>
                  </w:r>
                  <w:r>
                    <w:rPr>
                      <w:rFonts w:hint="eastAsia"/>
                      <w:color w:val="000000" w:themeColor="text1"/>
                      <w:sz w:val="21"/>
                      <w:szCs w:val="21"/>
                      <w:lang w:val="en-US" w:eastAsia="zh-CN"/>
                      <w14:textFill>
                        <w14:solidFill>
                          <w14:schemeClr w14:val="tx1"/>
                        </w14:solidFill>
                      </w14:textFill>
                    </w:rPr>
                    <w:t>；废包装厂家回收/外售废品站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14:paraId="2FE63179">
                  <w:pPr>
                    <w:pStyle w:val="13"/>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废液压油</w:t>
                  </w:r>
                  <w:r>
                    <w:rPr>
                      <w:rFonts w:hint="eastAsia" w:cs="Times New Roman"/>
                      <w:color w:val="000000" w:themeColor="text1"/>
                      <w:sz w:val="21"/>
                      <w:szCs w:val="21"/>
                      <w:lang w:val="en-US" w:eastAsia="zh-CN"/>
                      <w14:textFill>
                        <w14:solidFill>
                          <w14:schemeClr w14:val="tx1"/>
                        </w14:solidFill>
                      </w14:textFill>
                    </w:rPr>
                    <w:t>、废活性炭（布袋除尘器2#集尘）、</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废机油、废机油桶、沾油废</w:t>
                  </w:r>
                  <w:r>
                    <w:rPr>
                      <w:rFonts w:hint="eastAsia" w:cs="Times New Roman"/>
                      <w:color w:val="000000" w:themeColor="text1"/>
                      <w:sz w:val="21"/>
                      <w:szCs w:val="21"/>
                      <w:lang w:val="en-US" w:eastAsia="zh-CN"/>
                      <w14:textFill>
                        <w14:solidFill>
                          <w14:schemeClr w14:val="tx1"/>
                        </w14:solidFill>
                      </w14:textFill>
                    </w:rPr>
                    <w:t>物在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危废暂存间内</w:t>
                  </w:r>
                  <w:r>
                    <w:rPr>
                      <w:rFonts w:hint="eastAsia" w:cs="Times New Roman"/>
                      <w:color w:val="000000" w:themeColor="text1"/>
                      <w:sz w:val="21"/>
                      <w:szCs w:val="21"/>
                      <w:lang w:val="en-US" w:eastAsia="zh-CN"/>
                      <w14:textFill>
                        <w14:solidFill>
                          <w14:schemeClr w14:val="tx1"/>
                        </w14:solidFill>
                      </w14:textFill>
                    </w:rPr>
                    <w:t>分类分区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暂存，委托资质单位清运处置。</w:t>
                  </w:r>
                </w:p>
              </w:tc>
              <w:tc>
                <w:tcPr>
                  <w:tcW w:w="1051" w:type="pct"/>
                  <w:shd w:val="clear" w:color="auto" w:fill="auto"/>
                  <w:vAlign w:val="center"/>
                </w:tcPr>
                <w:p w14:paraId="77648379">
                  <w:pPr>
                    <w:pStyle w:val="13"/>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随</w:t>
                  </w:r>
                  <w:r>
                    <w:rPr>
                      <w:rFonts w:hint="eastAsia" w:cs="Times New Roman"/>
                      <w:color w:val="000000" w:themeColor="text1"/>
                      <w:sz w:val="21"/>
                      <w:szCs w:val="21"/>
                      <w:lang w:val="en-US" w:eastAsia="zh-CN"/>
                      <w14:textFill>
                        <w14:solidFill>
                          <w14:schemeClr w14:val="tx1"/>
                        </w14:solidFill>
                      </w14:textFill>
                    </w:rPr>
                    <w:t>生产工艺及废水治理措施调整</w:t>
                  </w:r>
                </w:p>
              </w:tc>
            </w:tr>
          </w:tbl>
          <w:p w14:paraId="654B812D">
            <w:pPr>
              <w:adjustRightInd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根据《</w:t>
            </w:r>
            <w:r>
              <w:rPr>
                <w:rFonts w:hint="eastAsia" w:ascii="宋体" w:hAnsi="宋体" w:eastAsia="宋体" w:cs="宋体"/>
                <w:color w:val="000000" w:themeColor="text1"/>
                <w:kern w:val="0"/>
                <w:sz w:val="24"/>
                <w:szCs w:val="24"/>
                <w:lang w:val="en-US" w:eastAsia="zh-CN" w:bidi="ar"/>
                <w14:textFill>
                  <w14:solidFill>
                    <w14:schemeClr w14:val="tx1"/>
                  </w14:solidFill>
                </w14:textFill>
              </w:rPr>
              <w:t>中华人民共和国</w:t>
            </w:r>
            <w:r>
              <w:rPr>
                <w:rFonts w:hint="eastAsia" w:ascii="宋体" w:hAnsi="宋体" w:cs="宋体"/>
                <w:color w:val="000000" w:themeColor="text1"/>
                <w:kern w:val="0"/>
                <w:sz w:val="24"/>
                <w:szCs w:val="24"/>
                <w:lang w:val="en-US" w:eastAsia="zh-CN" w:bidi="ar"/>
                <w14:textFill>
                  <w14:solidFill>
                    <w14:schemeClr w14:val="tx1"/>
                  </w14:solidFill>
                </w14:textFill>
              </w:rPr>
              <w:t>生态环境法典</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eastAsia="zh-CN"/>
                <w14:textFill>
                  <w14:solidFill>
                    <w14:schemeClr w14:val="tx1"/>
                  </w14:solidFill>
                </w14:textFill>
              </w:rPr>
              <w:t>《建设项目环境保护管理条例》</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和</w:t>
            </w:r>
            <w:r>
              <w:rPr>
                <w:rFonts w:hint="default" w:ascii="Times New Roman" w:hAnsi="Times New Roman" w:eastAsia="宋体" w:cs="Times New Roman"/>
                <w:color w:val="000000" w:themeColor="text1"/>
                <w:sz w:val="24"/>
                <w:szCs w:val="24"/>
                <w:lang w:eastAsia="zh-CN"/>
                <w14:textFill>
                  <w14:solidFill>
                    <w14:schemeClr w14:val="tx1"/>
                  </w14:solidFill>
                </w14:textFill>
              </w:rPr>
              <w:t>《污染影响类建设项目重大变动清单（试行）》（环办环评函〔2020〕688号）有关规定</w:t>
            </w:r>
            <w:r>
              <w:rPr>
                <w:rFonts w:hint="eastAsia" w:eastAsia="宋体" w:cs="Times New Roman"/>
                <w:color w:val="000000" w:themeColor="text1"/>
                <w:sz w:val="24"/>
                <w:szCs w:val="24"/>
                <w:lang w:eastAsia="zh-CN"/>
                <w14:textFill>
                  <w14:solidFill>
                    <w14:schemeClr w14:val="tx1"/>
                  </w14:solidFill>
                </w14:textFill>
              </w:rPr>
              <w:t>，建设项目的性质、规模、地点、生产工艺和环境保护措施五个因素中的一项或一项以上发生重大变动，且可能导致环境影响显著变化（特别是不利环境影响加重）的，界定为重大变动。</w:t>
            </w:r>
            <w:r>
              <w:rPr>
                <w:rFonts w:hint="eastAsia" w:eastAsia="宋体" w:cs="Times New Roman"/>
                <w:color w:val="000000" w:themeColor="text1"/>
                <w:sz w:val="24"/>
                <w:szCs w:val="24"/>
                <w:lang w:val="en-US" w:eastAsia="zh-CN"/>
                <w14:textFill>
                  <w14:solidFill>
                    <w14:schemeClr w14:val="tx1"/>
                  </w14:solidFill>
                </w14:textFill>
              </w:rPr>
              <w:t>确定项目变动性质如下：</w:t>
            </w:r>
          </w:p>
          <w:p w14:paraId="54C41F9A">
            <w:pPr>
              <w:keepNext w:val="0"/>
              <w:keepLines w:val="0"/>
              <w:pageBreakBefore w:val="0"/>
              <w:widowControl/>
              <w:kinsoku/>
              <w:wordWrap/>
              <w:overflowPunct/>
              <w:topLinePunct w:val="0"/>
              <w:autoSpaceDE/>
              <w:autoSpaceDN/>
              <w:bidi w:val="0"/>
              <w:adjustRightInd w:val="0"/>
              <w:snapToGrid w:val="0"/>
              <w:spacing w:line="240" w:lineRule="auto"/>
              <w:ind w:firstLine="422" w:firstLineChars="200"/>
              <w:jc w:val="center"/>
              <w:textAlignment w:val="auto"/>
              <w:rPr>
                <w:rFonts w:hint="default" w:ascii="Times New Roman" w:hAnsi="Times New Roman"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表2-2  建设项目变动情况对照表</w:t>
            </w:r>
          </w:p>
          <w:tbl>
            <w:tblPr>
              <w:tblStyle w:val="30"/>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700"/>
              <w:gridCol w:w="2491"/>
              <w:gridCol w:w="1958"/>
              <w:gridCol w:w="2247"/>
              <w:gridCol w:w="1005"/>
              <w:gridCol w:w="817"/>
            </w:tblGrid>
            <w:tr w14:paraId="2028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0" w:type="pct"/>
                  <w:tcBorders>
                    <w:tl2br w:val="nil"/>
                    <w:tr2bl w:val="nil"/>
                  </w:tcBorders>
                  <w:noWrap w:val="0"/>
                  <w:vAlign w:val="center"/>
                </w:tcPr>
                <w:p w14:paraId="4529B017">
                  <w:pPr>
                    <w:pStyle w:val="51"/>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类别</w:t>
                  </w:r>
                </w:p>
              </w:tc>
              <w:tc>
                <w:tcPr>
                  <w:tcW w:w="1350" w:type="pct"/>
                  <w:tcBorders>
                    <w:tl2br w:val="nil"/>
                    <w:tr2bl w:val="nil"/>
                  </w:tcBorders>
                  <w:noWrap w:val="0"/>
                  <w:vAlign w:val="center"/>
                </w:tcPr>
                <w:p w14:paraId="7BF48B9C">
                  <w:pPr>
                    <w:pStyle w:val="51"/>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属于重大变动情况</w:t>
                  </w:r>
                </w:p>
              </w:tc>
              <w:tc>
                <w:tcPr>
                  <w:tcW w:w="1061" w:type="pct"/>
                  <w:tcBorders>
                    <w:tl2br w:val="nil"/>
                    <w:tr2bl w:val="nil"/>
                  </w:tcBorders>
                  <w:noWrap w:val="0"/>
                  <w:vAlign w:val="center"/>
                </w:tcPr>
                <w:p w14:paraId="3FAD4CC9">
                  <w:pPr>
                    <w:pStyle w:val="51"/>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变更前</w:t>
                  </w:r>
                </w:p>
              </w:tc>
              <w:tc>
                <w:tcPr>
                  <w:tcW w:w="1218" w:type="pct"/>
                  <w:tcBorders>
                    <w:tl2br w:val="nil"/>
                    <w:tr2bl w:val="nil"/>
                  </w:tcBorders>
                  <w:noWrap w:val="0"/>
                  <w:vAlign w:val="center"/>
                </w:tcPr>
                <w:p w14:paraId="4CDB3F62">
                  <w:pPr>
                    <w:pStyle w:val="51"/>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变更后</w:t>
                  </w:r>
                </w:p>
              </w:tc>
              <w:tc>
                <w:tcPr>
                  <w:tcW w:w="545" w:type="pct"/>
                  <w:tcBorders>
                    <w:tl2br w:val="nil"/>
                    <w:tr2bl w:val="nil"/>
                  </w:tcBorders>
                  <w:noWrap w:val="0"/>
                  <w:vAlign w:val="center"/>
                </w:tcPr>
                <w:p w14:paraId="7B5F61B5">
                  <w:pPr>
                    <w:pStyle w:val="51"/>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变动情况</w:t>
                  </w:r>
                </w:p>
              </w:tc>
              <w:tc>
                <w:tcPr>
                  <w:tcW w:w="443" w:type="pct"/>
                  <w:tcBorders>
                    <w:tl2br w:val="nil"/>
                    <w:tr2bl w:val="nil"/>
                  </w:tcBorders>
                  <w:noWrap w:val="0"/>
                  <w:vAlign w:val="center"/>
                </w:tcPr>
                <w:p w14:paraId="0AE23A6C">
                  <w:pPr>
                    <w:pStyle w:val="51"/>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是否属于重大变动</w:t>
                  </w:r>
                </w:p>
              </w:tc>
            </w:tr>
            <w:tr w14:paraId="1A60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0" w:type="pct"/>
                  <w:tcBorders>
                    <w:tl2br w:val="nil"/>
                    <w:tr2bl w:val="nil"/>
                  </w:tcBorders>
                  <w:noWrap w:val="0"/>
                  <w:vAlign w:val="center"/>
                </w:tcPr>
                <w:p w14:paraId="53A013D7">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性质</w:t>
                  </w:r>
                </w:p>
              </w:tc>
              <w:tc>
                <w:tcPr>
                  <w:tcW w:w="1350" w:type="pct"/>
                  <w:tcBorders>
                    <w:tl2br w:val="nil"/>
                    <w:tr2bl w:val="nil"/>
                  </w:tcBorders>
                  <w:noWrap w:val="0"/>
                  <w:vAlign w:val="center"/>
                </w:tcPr>
                <w:p w14:paraId="13AFEBAC">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建设项目开发、使用功能发生变化的</w:t>
                  </w:r>
                </w:p>
              </w:tc>
              <w:tc>
                <w:tcPr>
                  <w:tcW w:w="1061" w:type="pct"/>
                  <w:tcBorders>
                    <w:tl2br w:val="nil"/>
                    <w:tr2bl w:val="nil"/>
                  </w:tcBorders>
                  <w:shd w:val="clear" w:color="auto" w:fill="auto"/>
                  <w:noWrap w:val="0"/>
                  <w:vAlign w:val="center"/>
                </w:tcPr>
                <w:p w14:paraId="546260B9">
                  <w:pPr>
                    <w:pStyle w:val="13"/>
                    <w:bidi w:val="0"/>
                    <w:ind w:firstLine="0" w:firstLineChars="0"/>
                    <w:rPr>
                      <w:rFonts w:hint="default" w:ascii="Times New Roman" w:hAnsi="Times New Roman" w:eastAsia="宋体" w:cs="黑体"/>
                      <w:b w:val="0"/>
                      <w:bCs/>
                      <w:color w:val="000000" w:themeColor="text1"/>
                      <w:kern w:val="0"/>
                      <w:sz w:val="21"/>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水基岩屑</w:t>
                  </w:r>
                  <w:r>
                    <w:rPr>
                      <w:rFonts w:hint="eastAsia" w:ascii="Times New Roman" w:hAnsi="Times New Roman" w:eastAsia="宋体"/>
                      <w:color w:val="000000" w:themeColor="text1"/>
                      <w:lang w:val="en-US" w:eastAsia="zh-CN"/>
                      <w14:textFill>
                        <w14:solidFill>
                          <w14:schemeClr w14:val="tx1"/>
                        </w14:solidFill>
                      </w14:textFill>
                    </w:rPr>
                    <w:t>综合利用</w:t>
                  </w:r>
                  <w:r>
                    <w:rPr>
                      <w:rFonts w:hint="eastAsia"/>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年产</w:t>
                  </w:r>
                  <w:r>
                    <w:rPr>
                      <w:rFonts w:hint="eastAsia" w:cs="Times New Roman"/>
                      <w:color w:val="000000" w:themeColor="text1"/>
                      <w:lang w:val="en-US" w:eastAsia="zh-CN"/>
                      <w14:textFill>
                        <w14:solidFill>
                          <w14:schemeClr w14:val="tx1"/>
                        </w14:solidFill>
                      </w14:textFill>
                    </w:rPr>
                    <w:t>水稳层原料</w:t>
                  </w:r>
                  <w:r>
                    <w:rPr>
                      <w:rFonts w:hint="eastAsia" w:ascii="Times New Roman" w:hAnsi="Times New Roman" w:eastAsia="宋体" w:cs="Times New Roman"/>
                      <w:color w:val="000000" w:themeColor="text1"/>
                      <w:lang w:val="en-US" w:eastAsia="zh-CN"/>
                      <w14:textFill>
                        <w14:solidFill>
                          <w14:schemeClr w14:val="tx1"/>
                        </w14:solidFill>
                      </w14:textFill>
                    </w:rPr>
                    <w:t>约</w:t>
                  </w:r>
                  <w:r>
                    <w:rPr>
                      <w:rFonts w:hint="default" w:ascii="Times New Roman" w:hAnsi="Times New Roman" w:eastAsia="宋体" w:cs="Times New Roman"/>
                      <w:color w:val="000000" w:themeColor="text1"/>
                      <w:lang w:val="en-US" w:eastAsia="zh-CN"/>
                      <w14:textFill>
                        <w14:solidFill>
                          <w14:schemeClr w14:val="tx1"/>
                        </w14:solidFill>
                      </w14:textFill>
                    </w:rPr>
                    <w:t>22</w:t>
                  </w:r>
                  <w:r>
                    <w:rPr>
                      <w:rFonts w:hint="eastAsia" w:ascii="Times New Roman" w:hAnsi="Times New Roman" w:eastAsia="宋体" w:cs="Times New Roman"/>
                      <w:color w:val="000000" w:themeColor="text1"/>
                      <w:lang w:val="en-US" w:eastAsia="zh-CN"/>
                      <w14:textFill>
                        <w14:solidFill>
                          <w14:schemeClr w14:val="tx1"/>
                        </w14:solidFill>
                      </w14:textFill>
                    </w:rPr>
                    <w:t>万</w:t>
                  </w:r>
                  <w:r>
                    <w:rPr>
                      <w:rFonts w:hint="default" w:ascii="Times New Roman" w:hAnsi="Times New Roman" w:eastAsia="宋体" w:cs="Times New Roman"/>
                      <w:color w:val="000000" w:themeColor="text1"/>
                      <w:lang w:val="en-US" w:eastAsia="zh-CN"/>
                      <w14:textFill>
                        <w14:solidFill>
                          <w14:schemeClr w14:val="tx1"/>
                        </w14:solidFill>
                      </w14:textFill>
                    </w:rPr>
                    <w:t>t</w:t>
                  </w:r>
                  <w:r>
                    <w:rPr>
                      <w:rFonts w:hint="eastAsia" w:ascii="Times New Roman" w:hAnsi="Times New Roman" w:eastAsia="宋体" w:cs="Times New Roman"/>
                      <w:color w:val="000000" w:themeColor="text1"/>
                      <w:lang w:val="en-US" w:eastAsia="zh-CN"/>
                      <w14:textFill>
                        <w14:solidFill>
                          <w14:schemeClr w14:val="tx1"/>
                        </w14:solidFill>
                      </w14:textFill>
                    </w:rPr>
                    <w:t>，年产免烧建筑基材约</w:t>
                  </w:r>
                  <w:r>
                    <w:rPr>
                      <w:rFonts w:hint="default" w:ascii="Times New Roman" w:hAnsi="Times New Roman" w:eastAsia="宋体" w:cs="Times New Roman"/>
                      <w:color w:val="000000" w:themeColor="text1"/>
                      <w:lang w:val="en-US" w:eastAsia="zh-CN"/>
                      <w14:textFill>
                        <w14:solidFill>
                          <w14:schemeClr w14:val="tx1"/>
                        </w14:solidFill>
                      </w14:textFill>
                    </w:rPr>
                    <w:t>27606.9278t</w:t>
                  </w:r>
                  <w:r>
                    <w:rPr>
                      <w:rFonts w:hint="eastAsia" w:ascii="Times New Roman" w:hAnsi="Times New Roman" w:eastAsia="宋体" w:cs="Times New Roman"/>
                      <w:color w:val="000000" w:themeColor="text1"/>
                      <w:lang w:val="en-US" w:eastAsia="zh-CN"/>
                      <w14:textFill>
                        <w14:solidFill>
                          <w14:schemeClr w14:val="tx1"/>
                        </w14:solidFill>
                      </w14:textFill>
                    </w:rPr>
                    <w:t>，年产水泥掺和料约</w:t>
                  </w:r>
                  <w:r>
                    <w:rPr>
                      <w:rFonts w:hint="default" w:ascii="Times New Roman" w:hAnsi="Times New Roman" w:eastAsia="宋体" w:cs="Times New Roman"/>
                      <w:color w:val="000000" w:themeColor="text1"/>
                      <w:lang w:val="en-US" w:eastAsia="zh-CN"/>
                      <w14:textFill>
                        <w14:solidFill>
                          <w14:schemeClr w14:val="tx1"/>
                        </w14:solidFill>
                      </w14:textFill>
                    </w:rPr>
                    <w:t>26762.3628t</w:t>
                  </w:r>
                </w:p>
              </w:tc>
              <w:tc>
                <w:tcPr>
                  <w:tcW w:w="1218" w:type="pct"/>
                  <w:tcBorders>
                    <w:tl2br w:val="nil"/>
                    <w:tr2bl w:val="nil"/>
                  </w:tcBorders>
                  <w:shd w:val="clear" w:color="auto" w:fill="auto"/>
                  <w:noWrap w:val="0"/>
                  <w:vAlign w:val="center"/>
                </w:tcPr>
                <w:p w14:paraId="6DD0358F">
                  <w:pPr>
                    <w:pStyle w:val="13"/>
                    <w:bidi w:val="0"/>
                    <w:ind w:firstLine="0" w:firstLineChars="0"/>
                    <w:rPr>
                      <w:rFonts w:hint="default" w:ascii="Times New Roman" w:hAnsi="Times New Roman" w:eastAsia="宋体" w:cs="黑体"/>
                      <w:b w:val="0"/>
                      <w:bCs/>
                      <w:color w:val="000000" w:themeColor="text1"/>
                      <w:kern w:val="0"/>
                      <w:sz w:val="21"/>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水基岩屑综合利用，</w:t>
                  </w:r>
                  <w:r>
                    <w:rPr>
                      <w:rFonts w:hint="eastAsia" w:cs="Times New Roman"/>
                      <w:color w:val="000000" w:themeColor="text1"/>
                      <w:lang w:val="en-US" w:eastAsia="zh-CN"/>
                      <w14:textFill>
                        <w14:solidFill>
                          <w14:schemeClr w14:val="tx1"/>
                        </w14:solidFill>
                      </w14:textFill>
                    </w:rPr>
                    <w:t>年产免烧砌块</w:t>
                  </w:r>
                  <w:r>
                    <w:rPr>
                      <w:rFonts w:hint="eastAsia" w:ascii="Times New Roman" w:hAnsi="Times New Roman" w:eastAsia="宋体" w:cs="Times New Roman"/>
                      <w:color w:val="000000" w:themeColor="text1"/>
                      <w:lang w:val="en-US" w:eastAsia="zh-CN"/>
                      <w14:textFill>
                        <w14:solidFill>
                          <w14:schemeClr w14:val="tx1"/>
                        </w14:solidFill>
                      </w14:textFill>
                    </w:rPr>
                    <w:t>约</w:t>
                  </w:r>
                  <w:r>
                    <w:rPr>
                      <w:rFonts w:hint="eastAsia" w:cs="Times New Roman"/>
                      <w:color w:val="000000" w:themeColor="text1"/>
                      <w:lang w:val="en-US" w:eastAsia="zh-CN"/>
                      <w14:textFill>
                        <w14:solidFill>
                          <w14:schemeClr w14:val="tx1"/>
                        </w14:solidFill>
                      </w14:textFill>
                    </w:rPr>
                    <w:t>22万</w:t>
                  </w:r>
                  <w:r>
                    <w:rPr>
                      <w:rFonts w:hint="default" w:ascii="Times New Roman" w:hAnsi="Times New Roman" w:eastAsia="宋体" w:cs="Times New Roman"/>
                      <w:color w:val="000000" w:themeColor="text1"/>
                      <w:lang w:val="en-US" w:eastAsia="zh-CN"/>
                      <w14:textFill>
                        <w14:solidFill>
                          <w14:schemeClr w14:val="tx1"/>
                        </w14:solidFill>
                      </w14:textFill>
                    </w:rPr>
                    <w:t>t</w:t>
                  </w:r>
                </w:p>
              </w:tc>
              <w:tc>
                <w:tcPr>
                  <w:tcW w:w="545" w:type="pct"/>
                  <w:tcBorders>
                    <w:tl2br w:val="nil"/>
                    <w:tr2bl w:val="nil"/>
                  </w:tcBorders>
                  <w:noWrap w:val="0"/>
                  <w:vAlign w:val="center"/>
                </w:tcPr>
                <w:p w14:paraId="6A40E64D">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产品方案调整</w:t>
                  </w:r>
                </w:p>
              </w:tc>
              <w:tc>
                <w:tcPr>
                  <w:tcW w:w="443" w:type="pct"/>
                  <w:tcBorders>
                    <w:tl2br w:val="nil"/>
                    <w:tr2bl w:val="nil"/>
                  </w:tcBorders>
                  <w:noWrap w:val="0"/>
                  <w:vAlign w:val="center"/>
                </w:tcPr>
                <w:p w14:paraId="1DC768E0">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763C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0" w:type="pct"/>
                  <w:vMerge w:val="restart"/>
                  <w:tcBorders>
                    <w:tl2br w:val="nil"/>
                    <w:tr2bl w:val="nil"/>
                  </w:tcBorders>
                  <w:noWrap w:val="0"/>
                  <w:vAlign w:val="center"/>
                </w:tcPr>
                <w:p w14:paraId="16F2EC5D">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规模</w:t>
                  </w:r>
                </w:p>
              </w:tc>
              <w:tc>
                <w:tcPr>
                  <w:tcW w:w="1350" w:type="pct"/>
                  <w:tcBorders>
                    <w:tl2br w:val="nil"/>
                    <w:tr2bl w:val="nil"/>
                  </w:tcBorders>
                  <w:noWrap w:val="0"/>
                  <w:vAlign w:val="center"/>
                </w:tcPr>
                <w:p w14:paraId="282C4CF9">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生产、处置或储存能力增大30%及以上的</w:t>
                  </w:r>
                  <w:r>
                    <w:rPr>
                      <w:rFonts w:hint="eastAsia"/>
                      <w:color w:val="000000" w:themeColor="text1"/>
                      <w:lang w:val="en-US" w:eastAsia="zh-CN"/>
                      <w14:textFill>
                        <w14:solidFill>
                          <w14:schemeClr w14:val="tx1"/>
                        </w14:solidFill>
                      </w14:textFill>
                    </w:rPr>
                    <w:t>。</w:t>
                  </w:r>
                </w:p>
              </w:tc>
              <w:tc>
                <w:tcPr>
                  <w:tcW w:w="1061" w:type="pct"/>
                  <w:tcBorders>
                    <w:tl2br w:val="nil"/>
                    <w:tr2bl w:val="nil"/>
                  </w:tcBorders>
                  <w:noWrap w:val="0"/>
                  <w:vAlign w:val="center"/>
                </w:tcPr>
                <w:p w14:paraId="4F3B6F56">
                  <w:pPr>
                    <w:pStyle w:val="13"/>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综合利用水基岩屑</w:t>
                  </w:r>
                  <w:r>
                    <w:rPr>
                      <w:rFonts w:hint="default" w:ascii="Times New Roman" w:hAnsi="Times New Roman" w:eastAsia="宋体" w:cs="Times New Roman"/>
                      <w:color w:val="000000" w:themeColor="text1"/>
                      <w:lang w:val="en-US" w:eastAsia="zh-CN"/>
                      <w14:textFill>
                        <w14:solidFill>
                          <w14:schemeClr w14:val="tx1"/>
                        </w14:solidFill>
                      </w14:textFill>
                    </w:rPr>
                    <w:t>30</w:t>
                  </w:r>
                  <w:r>
                    <w:rPr>
                      <w:rFonts w:hint="eastAsia" w:ascii="Times New Roman" w:hAnsi="Times New Roman" w:eastAsia="宋体" w:cs="Times New Roman"/>
                      <w:color w:val="000000" w:themeColor="text1"/>
                      <w:lang w:val="en-US" w:eastAsia="zh-CN"/>
                      <w14:textFill>
                        <w14:solidFill>
                          <w14:schemeClr w14:val="tx1"/>
                        </w14:solidFill>
                      </w14:textFill>
                    </w:rPr>
                    <w:t>万</w:t>
                  </w:r>
                  <w:r>
                    <w:rPr>
                      <w:rFonts w:hint="default" w:ascii="Times New Roman" w:hAnsi="Times New Roman" w:eastAsia="宋体" w:cs="Times New Roman"/>
                      <w:color w:val="000000" w:themeColor="text1"/>
                      <w:lang w:val="en-US" w:eastAsia="zh-CN"/>
                      <w14:textFill>
                        <w14:solidFill>
                          <w14:schemeClr w14:val="tx1"/>
                        </w14:solidFill>
                      </w14:textFill>
                    </w:rPr>
                    <w:t>t/a</w:t>
                  </w:r>
                  <w:r>
                    <w:rPr>
                      <w:rFonts w:hint="eastAsia" w:ascii="Times New Roman" w:hAnsi="Times New Roman" w:eastAsia="宋体" w:cs="Times New Roman"/>
                      <w:color w:val="000000" w:themeColor="text1"/>
                      <w:lang w:val="en-US" w:eastAsia="zh-CN"/>
                      <w14:textFill>
                        <w14:solidFill>
                          <w14:schemeClr w14:val="tx1"/>
                        </w14:solidFill>
                      </w14:textFill>
                    </w:rPr>
                    <w:t>，年产</w:t>
                  </w:r>
                  <w:r>
                    <w:rPr>
                      <w:rFonts w:hint="eastAsia" w:cs="Times New Roman"/>
                      <w:color w:val="000000" w:themeColor="text1"/>
                      <w:lang w:val="en-US" w:eastAsia="zh-CN"/>
                      <w14:textFill>
                        <w14:solidFill>
                          <w14:schemeClr w14:val="tx1"/>
                        </w14:solidFill>
                      </w14:textFill>
                    </w:rPr>
                    <w:t>水稳层原料</w:t>
                  </w:r>
                  <w:r>
                    <w:rPr>
                      <w:rFonts w:hint="eastAsia" w:ascii="Times New Roman" w:hAnsi="Times New Roman" w:eastAsia="宋体" w:cs="Times New Roman"/>
                      <w:color w:val="000000" w:themeColor="text1"/>
                      <w:lang w:val="en-US" w:eastAsia="zh-CN"/>
                      <w14:textFill>
                        <w14:solidFill>
                          <w14:schemeClr w14:val="tx1"/>
                        </w14:solidFill>
                      </w14:textFill>
                    </w:rPr>
                    <w:t>约</w:t>
                  </w:r>
                  <w:r>
                    <w:rPr>
                      <w:rFonts w:hint="default" w:ascii="Times New Roman" w:hAnsi="Times New Roman" w:eastAsia="宋体" w:cs="Times New Roman"/>
                      <w:color w:val="000000" w:themeColor="text1"/>
                      <w:lang w:val="en-US" w:eastAsia="zh-CN"/>
                      <w14:textFill>
                        <w14:solidFill>
                          <w14:schemeClr w14:val="tx1"/>
                        </w14:solidFill>
                      </w14:textFill>
                    </w:rPr>
                    <w:t>22</w:t>
                  </w:r>
                  <w:r>
                    <w:rPr>
                      <w:rFonts w:hint="eastAsia" w:ascii="Times New Roman" w:hAnsi="Times New Roman" w:eastAsia="宋体" w:cs="Times New Roman"/>
                      <w:color w:val="000000" w:themeColor="text1"/>
                      <w:lang w:val="en-US" w:eastAsia="zh-CN"/>
                      <w14:textFill>
                        <w14:solidFill>
                          <w14:schemeClr w14:val="tx1"/>
                        </w14:solidFill>
                      </w14:textFill>
                    </w:rPr>
                    <w:t>万</w:t>
                  </w:r>
                  <w:r>
                    <w:rPr>
                      <w:rFonts w:hint="default" w:ascii="Times New Roman" w:hAnsi="Times New Roman" w:eastAsia="宋体" w:cs="Times New Roman"/>
                      <w:color w:val="000000" w:themeColor="text1"/>
                      <w:lang w:val="en-US" w:eastAsia="zh-CN"/>
                      <w14:textFill>
                        <w14:solidFill>
                          <w14:schemeClr w14:val="tx1"/>
                        </w14:solidFill>
                      </w14:textFill>
                    </w:rPr>
                    <w:t>t</w:t>
                  </w:r>
                  <w:r>
                    <w:rPr>
                      <w:rFonts w:hint="eastAsia" w:ascii="Times New Roman" w:hAnsi="Times New Roman" w:eastAsia="宋体" w:cs="Times New Roman"/>
                      <w:color w:val="000000" w:themeColor="text1"/>
                      <w:lang w:val="en-US" w:eastAsia="zh-CN"/>
                      <w14:textFill>
                        <w14:solidFill>
                          <w14:schemeClr w14:val="tx1"/>
                        </w14:solidFill>
                      </w14:textFill>
                    </w:rPr>
                    <w:t>，年产免烧建筑基材约</w:t>
                  </w:r>
                  <w:r>
                    <w:rPr>
                      <w:rFonts w:hint="default" w:ascii="Times New Roman" w:hAnsi="Times New Roman" w:eastAsia="宋体" w:cs="Times New Roman"/>
                      <w:color w:val="000000" w:themeColor="text1"/>
                      <w:lang w:val="en-US" w:eastAsia="zh-CN"/>
                      <w14:textFill>
                        <w14:solidFill>
                          <w14:schemeClr w14:val="tx1"/>
                        </w14:solidFill>
                      </w14:textFill>
                    </w:rPr>
                    <w:t>27606.9278t</w:t>
                  </w:r>
                  <w:r>
                    <w:rPr>
                      <w:rFonts w:hint="eastAsia" w:ascii="Times New Roman" w:hAnsi="Times New Roman" w:eastAsia="宋体" w:cs="Times New Roman"/>
                      <w:color w:val="000000" w:themeColor="text1"/>
                      <w:lang w:val="en-US" w:eastAsia="zh-CN"/>
                      <w14:textFill>
                        <w14:solidFill>
                          <w14:schemeClr w14:val="tx1"/>
                        </w14:solidFill>
                      </w14:textFill>
                    </w:rPr>
                    <w:t>，年产水泥掺和料约</w:t>
                  </w:r>
                  <w:r>
                    <w:rPr>
                      <w:rFonts w:hint="default" w:ascii="Times New Roman" w:hAnsi="Times New Roman" w:eastAsia="宋体" w:cs="Times New Roman"/>
                      <w:color w:val="000000" w:themeColor="text1"/>
                      <w:lang w:val="en-US" w:eastAsia="zh-CN"/>
                      <w14:textFill>
                        <w14:solidFill>
                          <w14:schemeClr w14:val="tx1"/>
                        </w14:solidFill>
                      </w14:textFill>
                    </w:rPr>
                    <w:t>26762.3628t</w:t>
                  </w: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1218" w:type="pct"/>
                  <w:tcBorders>
                    <w:tl2br w:val="nil"/>
                    <w:tr2bl w:val="nil"/>
                  </w:tcBorders>
                  <w:noWrap w:val="0"/>
                  <w:vAlign w:val="center"/>
                </w:tcPr>
                <w:p w14:paraId="2326D393">
                  <w:pPr>
                    <w:pStyle w:val="13"/>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综合利用水基岩屑</w:t>
                  </w:r>
                  <w:r>
                    <w:rPr>
                      <w:rFonts w:hint="eastAsia" w:cs="Times New Roman"/>
                      <w:color w:val="000000" w:themeColor="text1"/>
                      <w:lang w:val="en-US" w:eastAsia="zh-CN"/>
                      <w14:textFill>
                        <w14:solidFill>
                          <w14:schemeClr w14:val="tx1"/>
                        </w14:solidFill>
                      </w14:textFill>
                    </w:rPr>
                    <w:t>20万</w:t>
                  </w:r>
                  <w:r>
                    <w:rPr>
                      <w:rFonts w:hint="default" w:ascii="Times New Roman" w:hAnsi="Times New Roman" w:eastAsia="宋体" w:cs="Times New Roman"/>
                      <w:color w:val="000000" w:themeColor="text1"/>
                      <w:lang w:val="en-US" w:eastAsia="zh-CN"/>
                      <w14:textFill>
                        <w14:solidFill>
                          <w14:schemeClr w14:val="tx1"/>
                        </w14:solidFill>
                      </w14:textFill>
                    </w:rPr>
                    <w:t>t/a</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年产免烧砌块</w:t>
                  </w:r>
                  <w:r>
                    <w:rPr>
                      <w:rFonts w:hint="eastAsia" w:ascii="Times New Roman" w:hAnsi="Times New Roman" w:eastAsia="宋体" w:cs="Times New Roman"/>
                      <w:color w:val="000000" w:themeColor="text1"/>
                      <w:lang w:val="en-US" w:eastAsia="zh-CN"/>
                      <w14:textFill>
                        <w14:solidFill>
                          <w14:schemeClr w14:val="tx1"/>
                        </w14:solidFill>
                      </w14:textFill>
                    </w:rPr>
                    <w:t>约</w:t>
                  </w:r>
                  <w:r>
                    <w:rPr>
                      <w:rFonts w:hint="eastAsia" w:cs="Times New Roman"/>
                      <w:color w:val="000000" w:themeColor="text1"/>
                      <w:lang w:val="en-US" w:eastAsia="zh-CN"/>
                      <w14:textFill>
                        <w14:solidFill>
                          <w14:schemeClr w14:val="tx1"/>
                        </w14:solidFill>
                      </w14:textFill>
                    </w:rPr>
                    <w:t>22万</w:t>
                  </w:r>
                  <w:r>
                    <w:rPr>
                      <w:rFonts w:hint="default" w:ascii="Times New Roman" w:hAnsi="Times New Roman" w:eastAsia="宋体" w:cs="Times New Roman"/>
                      <w:color w:val="000000" w:themeColor="text1"/>
                      <w:lang w:val="en-US" w:eastAsia="zh-CN"/>
                      <w14:textFill>
                        <w14:solidFill>
                          <w14:schemeClr w14:val="tx1"/>
                        </w14:solidFill>
                      </w14:textFill>
                    </w:rPr>
                    <w:t>t</w:t>
                  </w: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545" w:type="pct"/>
                  <w:tcBorders>
                    <w:tl2br w:val="nil"/>
                    <w:tr2bl w:val="nil"/>
                  </w:tcBorders>
                  <w:noWrap w:val="0"/>
                  <w:vAlign w:val="center"/>
                </w:tcPr>
                <w:p w14:paraId="5E79ED1A">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水基岩屑综合利用量减少，</w:t>
                  </w:r>
                  <w:r>
                    <w:rPr>
                      <w:rFonts w:hint="eastAsia" w:ascii="Times New Roman" w:hAnsi="Times New Roman" w:eastAsia="宋体" w:cs="Times New Roman"/>
                      <w:color w:val="000000" w:themeColor="text1"/>
                      <w:lang w:val="en-US" w:eastAsia="zh-CN"/>
                      <w14:textFill>
                        <w14:solidFill>
                          <w14:schemeClr w14:val="tx1"/>
                        </w14:solidFill>
                      </w14:textFill>
                    </w:rPr>
                    <w:t>免烧建筑基材</w:t>
                  </w:r>
                  <w:r>
                    <w:rPr>
                      <w:rFonts w:hint="eastAsia" w:cs="Times New Roman"/>
                      <w:color w:val="000000" w:themeColor="text1"/>
                      <w:lang w:val="en-US" w:eastAsia="zh-CN"/>
                      <w14:textFill>
                        <w14:solidFill>
                          <w14:schemeClr w14:val="tx1"/>
                        </w14:solidFill>
                      </w14:textFill>
                    </w:rPr>
                    <w:t>产能增加。</w:t>
                  </w:r>
                </w:p>
              </w:tc>
              <w:tc>
                <w:tcPr>
                  <w:tcW w:w="443" w:type="pct"/>
                  <w:tcBorders>
                    <w:tl2br w:val="nil"/>
                    <w:tr2bl w:val="nil"/>
                  </w:tcBorders>
                  <w:noWrap w:val="0"/>
                  <w:vAlign w:val="center"/>
                </w:tcPr>
                <w:p w14:paraId="465557C7">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290F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0" w:type="pct"/>
                  <w:vMerge w:val="continue"/>
                  <w:tcBorders>
                    <w:tl2br w:val="nil"/>
                    <w:tr2bl w:val="nil"/>
                  </w:tcBorders>
                  <w:noWrap w:val="0"/>
                  <w:vAlign w:val="center"/>
                </w:tcPr>
                <w:p w14:paraId="0C5D0B3F">
                  <w:pPr>
                    <w:pStyle w:val="13"/>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2AE944AE">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生产、处置或储存能力增大，导致废水第一类污染物排放量增加的。</w:t>
                  </w:r>
                </w:p>
              </w:tc>
              <w:tc>
                <w:tcPr>
                  <w:tcW w:w="1061" w:type="pct"/>
                  <w:tcBorders>
                    <w:tl2br w:val="nil"/>
                    <w:tr2bl w:val="nil"/>
                  </w:tcBorders>
                  <w:noWrap w:val="0"/>
                  <w:vAlign w:val="center"/>
                </w:tcPr>
                <w:p w14:paraId="576B7FA5">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lang w:val="en-US" w:eastAsia="zh-CN"/>
                      <w14:textFill>
                        <w14:solidFill>
                          <w14:schemeClr w14:val="tx1"/>
                        </w14:solidFill>
                      </w14:textFill>
                    </w:rPr>
                    <w:t>渗滤液：随</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一并进入烘干系统；</w:t>
                  </w:r>
                </w:p>
                <w:p w14:paraId="62222176">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生活污水：预处理后排入园区管网，送至星光污水处理厂处理；</w:t>
                  </w:r>
                </w:p>
                <w:p w14:paraId="73D0F3BE">
                  <w:pPr>
                    <w:pStyle w:val="13"/>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地面冲洗水、车辆清洗废水：沉淀后回用。</w:t>
                  </w:r>
                </w:p>
              </w:tc>
              <w:tc>
                <w:tcPr>
                  <w:tcW w:w="1218" w:type="pct"/>
                  <w:tcBorders>
                    <w:tl2br w:val="nil"/>
                    <w:tr2bl w:val="nil"/>
                  </w:tcBorders>
                  <w:noWrap w:val="0"/>
                  <w:vAlign w:val="center"/>
                </w:tcPr>
                <w:p w14:paraId="2D693400">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压滤废水：</w:t>
                  </w:r>
                  <w:r>
                    <w:rPr>
                      <w:rFonts w:hint="eastAsia" w:cs="Times New Roman"/>
                      <w:color w:val="000000" w:themeColor="text1"/>
                      <w:lang w:val="en-US" w:eastAsia="zh-CN"/>
                      <w14:textFill>
                        <w14:solidFill>
                          <w14:schemeClr w14:val="tx1"/>
                        </w14:solidFill>
                      </w14:textFill>
                    </w:rPr>
                    <w:t>部分回用于生产，剩余部分委托有资质单位处理</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118C3192">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lang w:val="en-US" w:eastAsia="zh-CN"/>
                      <w14:textFill>
                        <w14:solidFill>
                          <w14:schemeClr w14:val="tx1"/>
                        </w14:solidFill>
                      </w14:textFill>
                    </w:rPr>
                    <w:t>渗滤液：随</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一并进入</w:t>
                  </w:r>
                  <w:r>
                    <w:rPr>
                      <w:rFonts w:hint="eastAsia" w:cs="Times New Roman"/>
                      <w:color w:val="000000" w:themeColor="text1"/>
                      <w:lang w:val="en-US" w:eastAsia="zh-CN"/>
                      <w14:textFill>
                        <w14:solidFill>
                          <w14:schemeClr w14:val="tx1"/>
                        </w14:solidFill>
                      </w14:textFill>
                    </w:rPr>
                    <w:t>煅烧</w:t>
                  </w:r>
                  <w:r>
                    <w:rPr>
                      <w:rFonts w:hint="eastAsia" w:ascii="Times New Roman" w:hAnsi="Times New Roman" w:eastAsia="宋体" w:cs="Times New Roman"/>
                      <w:color w:val="000000" w:themeColor="text1"/>
                      <w:lang w:val="en-US" w:eastAsia="zh-CN"/>
                      <w14:textFill>
                        <w14:solidFill>
                          <w14:schemeClr w14:val="tx1"/>
                        </w14:solidFill>
                      </w14:textFill>
                    </w:rPr>
                    <w:t>系统；</w:t>
                  </w:r>
                </w:p>
                <w:p w14:paraId="4AB219AE">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生活污水：预处理后送至星光污水处理厂处理；</w:t>
                  </w:r>
                </w:p>
                <w:p w14:paraId="64931C96">
                  <w:pPr>
                    <w:pStyle w:val="13"/>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地面冲洗水、车辆清洗废水：排入水基岩屑储存池，后续随</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预处理，计入</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压滤废水。</w:t>
                  </w:r>
                </w:p>
              </w:tc>
              <w:tc>
                <w:tcPr>
                  <w:tcW w:w="545" w:type="pct"/>
                  <w:tcBorders>
                    <w:tl2br w:val="nil"/>
                    <w:tr2bl w:val="nil"/>
                  </w:tcBorders>
                  <w:noWrap w:val="0"/>
                  <w:vAlign w:val="center"/>
                </w:tcPr>
                <w:p w14:paraId="1D859DF0">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工艺调整，新增水基岩屑压滤废水，但委外处置，不外排</w:t>
                  </w:r>
                </w:p>
              </w:tc>
              <w:tc>
                <w:tcPr>
                  <w:tcW w:w="443" w:type="pct"/>
                  <w:tcBorders>
                    <w:tl2br w:val="nil"/>
                    <w:tr2bl w:val="nil"/>
                  </w:tcBorders>
                  <w:noWrap w:val="0"/>
                  <w:vAlign w:val="center"/>
                </w:tcPr>
                <w:p w14:paraId="06B09C11">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08D9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trPr>
              <w:tc>
                <w:tcPr>
                  <w:tcW w:w="380" w:type="pct"/>
                  <w:vMerge w:val="continue"/>
                  <w:tcBorders>
                    <w:tl2br w:val="nil"/>
                    <w:tr2bl w:val="nil"/>
                  </w:tcBorders>
                  <w:noWrap w:val="0"/>
                  <w:vAlign w:val="center"/>
                </w:tcPr>
                <w:p w14:paraId="5B96F377">
                  <w:pPr>
                    <w:pStyle w:val="13"/>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17BC517F">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位于环境质量不达标区的建设项目生产、处置或储存能力增大，导致相应污染物排放量增加的</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细颗粒物不达标区，相应污染物为二氧化硫、氮氧化物、可吸入颗粒物、挥发性有机物；臭氧不达标区，相应污染物为氮氧化物、挥发性有机物；其他大气、水污染物因子不达标区，相应污染物为超标污染因子</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位于达标区的建设项目生产、处置或储存能力增大，导致污染物排放量增加10%及以上的。</w:t>
                  </w:r>
                </w:p>
              </w:tc>
              <w:tc>
                <w:tcPr>
                  <w:tcW w:w="1061" w:type="pct"/>
                  <w:tcBorders>
                    <w:tl2br w:val="nil"/>
                    <w:tr2bl w:val="nil"/>
                  </w:tcBorders>
                  <w:noWrap w:val="0"/>
                  <w:vAlign w:val="center"/>
                </w:tcPr>
                <w:p w14:paraId="4791F5F0">
                  <w:pPr>
                    <w:pStyle w:val="13"/>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w:t>
                  </w:r>
                  <w:r>
                    <w:rPr>
                      <w:rFonts w:hint="default"/>
                      <w:color w:val="000000" w:themeColor="text1"/>
                      <w:lang w:val="en-US" w:eastAsia="zh-CN"/>
                      <w14:textFill>
                        <w14:solidFill>
                          <w14:schemeClr w14:val="tx1"/>
                        </w14:solidFill>
                      </w14:textFill>
                    </w:rPr>
                    <w:t>位于达标区</w:t>
                  </w:r>
                  <w:r>
                    <w:rPr>
                      <w:rFonts w:hint="eastAsia"/>
                      <w:color w:val="000000" w:themeColor="text1"/>
                      <w:lang w:val="en-US" w:eastAsia="zh-CN"/>
                      <w14:textFill>
                        <w14:solidFill>
                          <w14:schemeClr w14:val="tx1"/>
                        </w14:solidFill>
                      </w14:textFill>
                    </w:rPr>
                    <w:t>，废气妥善处置。</w:t>
                  </w:r>
                </w:p>
                <w:p w14:paraId="26A1BFC8">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颗粒物排放量为1.4045t/a，二氧化硫排放量为0.198t/a，氮氧化物排放量为1.57t/a。</w:t>
                  </w:r>
                </w:p>
              </w:tc>
              <w:tc>
                <w:tcPr>
                  <w:tcW w:w="1218" w:type="pct"/>
                  <w:tcBorders>
                    <w:tl2br w:val="nil"/>
                    <w:tr2bl w:val="nil"/>
                  </w:tcBorders>
                  <w:noWrap w:val="0"/>
                  <w:vAlign w:val="center"/>
                </w:tcPr>
                <w:p w14:paraId="49BD702F">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w:t>
                  </w:r>
                  <w:r>
                    <w:rPr>
                      <w:rFonts w:hint="default"/>
                      <w:color w:val="000000" w:themeColor="text1"/>
                      <w:lang w:val="en-US" w:eastAsia="zh-CN"/>
                      <w14:textFill>
                        <w14:solidFill>
                          <w14:schemeClr w14:val="tx1"/>
                        </w14:solidFill>
                      </w14:textFill>
                    </w:rPr>
                    <w:t>位于达标区</w:t>
                  </w:r>
                  <w:r>
                    <w:rPr>
                      <w:rFonts w:hint="eastAsia"/>
                      <w:color w:val="000000" w:themeColor="text1"/>
                      <w:lang w:val="en-US" w:eastAsia="zh-CN"/>
                      <w14:textFill>
                        <w14:solidFill>
                          <w14:schemeClr w14:val="tx1"/>
                        </w14:solidFill>
                      </w14:textFill>
                    </w:rPr>
                    <w:t>，因工艺调整，废气治理措施调整。调整后，颗粒物排放量为0.9491t/a，二氧化硫量为4.1216t/，氮氧化物排放量为8.9856t/a，氟化物排放量为0.0646t/a，氯化物排放量为0.7455t/a，二噁英排放量为1.15E-08t/a，VOCs排放量为3.3895t/a，汞排放量为1.02E-06t/a，铅排放量为9.48E-08，镉、铊及其化合物排放量为1.32E-08t/a，</w:t>
                  </w:r>
                  <w:r>
                    <w:rPr>
                      <w:rFonts w:hint="eastAsia" w:cs="Times New Roman"/>
                      <w:b w:val="0"/>
                      <w:bCs w:val="0"/>
                      <w:color w:val="000000" w:themeColor="text1"/>
                      <w:sz w:val="21"/>
                      <w:szCs w:val="21"/>
                      <w:lang w:val="en-US" w:eastAsia="zh-CN"/>
                      <w14:textFill>
                        <w14:solidFill>
                          <w14:schemeClr w14:val="tx1"/>
                        </w14:solidFill>
                      </w14:textFill>
                    </w:rPr>
                    <w:t>锑、砷、铅、铬、钴、铜、锰、镍</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r>
                    <w:rPr>
                      <w:rFonts w:hint="eastAsia" w:cs="Times New Roman"/>
                      <w:b w:val="0"/>
                      <w:bCs w:val="0"/>
                      <w:color w:val="000000" w:themeColor="text1"/>
                      <w:sz w:val="21"/>
                      <w:szCs w:val="21"/>
                      <w:lang w:val="en-US" w:eastAsia="zh-CN"/>
                      <w14:textFill>
                        <w14:solidFill>
                          <w14:schemeClr w14:val="tx1"/>
                        </w14:solidFill>
                      </w14:textFill>
                    </w:rPr>
                    <w:t>排放量为5.49E-07t/a。</w:t>
                  </w:r>
                </w:p>
              </w:tc>
              <w:tc>
                <w:tcPr>
                  <w:tcW w:w="545" w:type="pct"/>
                  <w:tcBorders>
                    <w:tl2br w:val="nil"/>
                    <w:tr2bl w:val="nil"/>
                  </w:tcBorders>
                  <w:noWrap w:val="0"/>
                  <w:vAlign w:val="center"/>
                </w:tcPr>
                <w:p w14:paraId="5513FF19">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废气污染物种类增加，颗粒物排放量减少，但二氧化硫、氮氧化物、氟化物、氯化物、二噁英、VOCs、重金属排放量增加10%以上。</w:t>
                  </w:r>
                </w:p>
              </w:tc>
              <w:tc>
                <w:tcPr>
                  <w:tcW w:w="443" w:type="pct"/>
                  <w:tcBorders>
                    <w:tl2br w:val="nil"/>
                    <w:tr2bl w:val="nil"/>
                  </w:tcBorders>
                  <w:noWrap w:val="0"/>
                  <w:vAlign w:val="center"/>
                </w:tcPr>
                <w:p w14:paraId="2407C691">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6E60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0" w:type="pct"/>
                  <w:tcBorders>
                    <w:tl2br w:val="nil"/>
                    <w:tr2bl w:val="nil"/>
                  </w:tcBorders>
                  <w:noWrap w:val="0"/>
                  <w:vAlign w:val="center"/>
                </w:tcPr>
                <w:p w14:paraId="522D78AC">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地点</w:t>
                  </w:r>
                </w:p>
              </w:tc>
              <w:tc>
                <w:tcPr>
                  <w:tcW w:w="1350" w:type="pct"/>
                  <w:tcBorders>
                    <w:tl2br w:val="nil"/>
                    <w:tr2bl w:val="nil"/>
                  </w:tcBorders>
                  <w:noWrap w:val="0"/>
                  <w:vAlign w:val="center"/>
                </w:tcPr>
                <w:p w14:paraId="6E6BF0C2">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重新选址；在原厂址附近调整</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包括总平面布置变化</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导致环境防护距离范围变化且新增敏感点的。</w:t>
                  </w:r>
                </w:p>
              </w:tc>
              <w:tc>
                <w:tcPr>
                  <w:tcW w:w="1061" w:type="pct"/>
                  <w:tcBorders>
                    <w:tl2br w:val="nil"/>
                    <w:tr2bl w:val="nil"/>
                  </w:tcBorders>
                  <w:noWrap w:val="0"/>
                  <w:vAlign w:val="center"/>
                </w:tcPr>
                <w:p w14:paraId="77E06F95">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租用1号、3号车间建设</w:t>
                  </w:r>
                </w:p>
              </w:tc>
              <w:tc>
                <w:tcPr>
                  <w:tcW w:w="1218" w:type="pct"/>
                  <w:tcBorders>
                    <w:tl2br w:val="nil"/>
                    <w:tr2bl w:val="nil"/>
                  </w:tcBorders>
                  <w:noWrap w:val="0"/>
                  <w:vAlign w:val="center"/>
                </w:tcPr>
                <w:p w14:paraId="5124C3E2">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租用1号、2号、3号车间建设</w:t>
                  </w:r>
                </w:p>
              </w:tc>
              <w:tc>
                <w:tcPr>
                  <w:tcW w:w="545" w:type="pct"/>
                  <w:tcBorders>
                    <w:tl2br w:val="nil"/>
                    <w:tr2bl w:val="nil"/>
                  </w:tcBorders>
                  <w:noWrap w:val="0"/>
                  <w:vAlign w:val="center"/>
                </w:tcPr>
                <w:p w14:paraId="2CE2709D">
                  <w:pPr>
                    <w:pStyle w:val="13"/>
                    <w:bidi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厂址调整，新增车间，属重新选址</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新增2号车间位于原1号和3号中间，因此环境防护距离未发生变化。</w:t>
                  </w:r>
                </w:p>
              </w:tc>
              <w:tc>
                <w:tcPr>
                  <w:tcW w:w="443" w:type="pct"/>
                  <w:tcBorders>
                    <w:tl2br w:val="nil"/>
                    <w:tr2bl w:val="nil"/>
                  </w:tcBorders>
                  <w:noWrap w:val="0"/>
                  <w:vAlign w:val="center"/>
                </w:tcPr>
                <w:p w14:paraId="63F6A133">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490B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0" w:type="pct"/>
                  <w:vMerge w:val="restart"/>
                  <w:tcBorders>
                    <w:tl2br w:val="nil"/>
                    <w:tr2bl w:val="nil"/>
                  </w:tcBorders>
                  <w:noWrap w:val="0"/>
                  <w:vAlign w:val="center"/>
                </w:tcPr>
                <w:p w14:paraId="3F730BEE">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生产工艺</w:t>
                  </w:r>
                </w:p>
              </w:tc>
              <w:tc>
                <w:tcPr>
                  <w:tcW w:w="1350" w:type="pct"/>
                  <w:tcBorders>
                    <w:tl2br w:val="nil"/>
                    <w:tr2bl w:val="nil"/>
                  </w:tcBorders>
                  <w:noWrap w:val="0"/>
                  <w:vAlign w:val="center"/>
                </w:tcPr>
                <w:p w14:paraId="604A790B">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新增产品品种或生产工艺</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含主要生产装置、设备及配套设施</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、主要原辅材料、燃料变化，导致以下情形之一：</w:t>
                  </w:r>
                </w:p>
                <w:p w14:paraId="06B3BEDC">
                  <w:pPr>
                    <w:pStyle w:val="13"/>
                    <w:bidi w:val="0"/>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(1)新增排放污染物种类的(毒性、挥发性降低的除外)</w:t>
                  </w:r>
                  <w:r>
                    <w:rPr>
                      <w:rFonts w:hint="eastAsia"/>
                      <w:color w:val="000000" w:themeColor="text1"/>
                      <w:lang w:val="en-US" w:eastAsia="zh-CN"/>
                      <w14:textFill>
                        <w14:solidFill>
                          <w14:schemeClr w14:val="tx1"/>
                        </w14:solidFill>
                      </w14:textFill>
                    </w:rPr>
                    <w:t>；</w:t>
                  </w:r>
                </w:p>
                <w:p w14:paraId="0C16CCE3">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(2)位于环境质量不达标区的建设项目相应污染物排放量增加的；</w:t>
                  </w:r>
                </w:p>
                <w:p w14:paraId="29FF1ED0">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(3)废水第一类污染物排放量增加的；</w:t>
                  </w:r>
                </w:p>
                <w:p w14:paraId="56523673">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(4)其他污染物排放量增加10%及以上的。</w:t>
                  </w:r>
                </w:p>
              </w:tc>
              <w:tc>
                <w:tcPr>
                  <w:tcW w:w="1061" w:type="pct"/>
                  <w:tcBorders>
                    <w:tl2br w:val="nil"/>
                    <w:tr2bl w:val="nil"/>
                  </w:tcBorders>
                  <w:noWrap w:val="0"/>
                  <w:vAlign w:val="center"/>
                </w:tcPr>
                <w:p w14:paraId="4D44BC81">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水稳层原料</w:t>
                  </w:r>
                  <w:r>
                    <w:rPr>
                      <w:rFonts w:hint="eastAsia" w:ascii="Times New Roman" w:hAnsi="Times New Roman" w:eastAsia="宋体" w:cs="Times New Roman"/>
                      <w:color w:val="000000" w:themeColor="text1"/>
                      <w:lang w:val="en-US" w:eastAsia="zh-CN"/>
                      <w14:textFill>
                        <w14:solidFill>
                          <w14:schemeClr w14:val="tx1"/>
                        </w14:solidFill>
                      </w14:textFill>
                    </w:rPr>
                    <w:t>及水泥掺和料生产：采用预处理（投加粉煤灰降低含水率）+烘干工艺；</w:t>
                  </w:r>
                </w:p>
                <w:p w14:paraId="44CE5A22">
                  <w:pPr>
                    <w:pStyle w:val="13"/>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免烧建筑基材：以烘干后物料为主要原料，采用</w:t>
                  </w:r>
                  <w:r>
                    <w:rPr>
                      <w:rFonts w:hint="eastAsia" w:cs="Times New Roman"/>
                      <w:color w:val="000000" w:themeColor="text1"/>
                      <w:lang w:val="en-US" w:eastAsia="zh-CN"/>
                      <w14:textFill>
                        <w14:solidFill>
                          <w14:schemeClr w14:val="tx1"/>
                        </w14:solidFill>
                      </w14:textFill>
                    </w:rPr>
                    <w:t>球磨</w:t>
                  </w:r>
                  <w:r>
                    <w:rPr>
                      <w:rFonts w:hint="eastAsia" w:ascii="Times New Roman" w:hAnsi="Times New Roman" w:eastAsia="宋体" w:cs="Times New Roman"/>
                      <w:color w:val="000000" w:themeColor="text1"/>
                      <w:lang w:val="en-US" w:eastAsia="zh-CN"/>
                      <w14:textFill>
                        <w14:solidFill>
                          <w14:schemeClr w14:val="tx1"/>
                        </w14:solidFill>
                      </w14:textFill>
                    </w:rPr>
                    <w:t>+配料+搅拌+压制成型+码垛养护工艺</w:t>
                  </w:r>
                </w:p>
              </w:tc>
              <w:tc>
                <w:tcPr>
                  <w:tcW w:w="1218" w:type="pct"/>
                  <w:tcBorders>
                    <w:tl2br w:val="nil"/>
                    <w:tr2bl w:val="nil"/>
                  </w:tcBorders>
                  <w:noWrap w:val="0"/>
                  <w:vAlign w:val="center"/>
                </w:tcPr>
                <w:p w14:paraId="786A1872">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采用预处理（投加絮凝剂+压滤脱水）+煅烧工艺；</w:t>
                  </w:r>
                </w:p>
                <w:p w14:paraId="14AB2A3D">
                  <w:pPr>
                    <w:pStyle w:val="13"/>
                    <w:bidi w:val="0"/>
                    <w:rPr>
                      <w:rFonts w:hint="default"/>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免烧砌块</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将水基岩屑</w:t>
                  </w:r>
                  <w:r>
                    <w:rPr>
                      <w:rFonts w:hint="eastAsia" w:cs="Times New Roman"/>
                      <w:color w:val="000000" w:themeColor="text1"/>
                      <w:sz w:val="21"/>
                      <w:szCs w:val="21"/>
                      <w:lang w:val="en-US" w:eastAsia="zh-CN"/>
                      <w14:textFill>
                        <w14:solidFill>
                          <w14:schemeClr w14:val="tx1"/>
                        </w14:solidFill>
                      </w14:textFill>
                    </w:rPr>
                    <w:t>干燥、预热和</w:t>
                  </w:r>
                  <w:r>
                    <w:rPr>
                      <w:rFonts w:hint="eastAsia" w:cs="Times New Roman"/>
                      <w:color w:val="000000" w:themeColor="text1"/>
                      <w:lang w:val="en-US" w:eastAsia="zh-CN"/>
                      <w14:textFill>
                        <w14:solidFill>
                          <w14:schemeClr w14:val="tx1"/>
                        </w14:solidFill>
                      </w14:textFill>
                    </w:rPr>
                    <w:t>煅烧预处理后，再配以水泥、砂石、固化剂、水等</w:t>
                  </w:r>
                  <w:r>
                    <w:rPr>
                      <w:rFonts w:hint="eastAsia" w:ascii="Times New Roman" w:hAnsi="Times New Roman" w:eastAsia="宋体" w:cs="Times New Roman"/>
                      <w:color w:val="000000" w:themeColor="text1"/>
                      <w:lang w:val="en-US" w:eastAsia="zh-CN"/>
                      <w14:textFill>
                        <w14:solidFill>
                          <w14:schemeClr w14:val="tx1"/>
                        </w14:solidFill>
                      </w14:textFill>
                    </w:rPr>
                    <w:t>，采用配料+</w:t>
                  </w:r>
                  <w:r>
                    <w:rPr>
                      <w:rFonts w:hint="eastAsia" w:cs="Times New Roman"/>
                      <w:color w:val="000000" w:themeColor="text1"/>
                      <w:lang w:val="en-US" w:eastAsia="zh-CN"/>
                      <w14:textFill>
                        <w14:solidFill>
                          <w14:schemeClr w14:val="tx1"/>
                        </w14:solidFill>
                      </w14:textFill>
                    </w:rPr>
                    <w:t>轮辊混合+</w:t>
                  </w:r>
                  <w:r>
                    <w:rPr>
                      <w:rFonts w:hint="eastAsia" w:ascii="Times New Roman" w:hAnsi="Times New Roman" w:eastAsia="宋体" w:cs="Times New Roman"/>
                      <w:color w:val="000000" w:themeColor="text1"/>
                      <w:lang w:val="en-US" w:eastAsia="zh-CN"/>
                      <w14:textFill>
                        <w14:solidFill>
                          <w14:schemeClr w14:val="tx1"/>
                        </w14:solidFill>
                      </w14:textFill>
                    </w:rPr>
                    <w:t>搅拌+压制成型+</w:t>
                  </w:r>
                  <w:r>
                    <w:rPr>
                      <w:rFonts w:hint="eastAsia" w:cs="Times New Roman"/>
                      <w:color w:val="000000" w:themeColor="text1"/>
                      <w:lang w:val="en-US" w:eastAsia="zh-CN"/>
                      <w14:textFill>
                        <w14:solidFill>
                          <w14:schemeClr w14:val="tx1"/>
                        </w14:solidFill>
                      </w14:textFill>
                    </w:rPr>
                    <w:t>蒸汽</w:t>
                  </w:r>
                  <w:r>
                    <w:rPr>
                      <w:rFonts w:hint="eastAsia" w:ascii="Times New Roman" w:hAnsi="Times New Roman" w:eastAsia="宋体" w:cs="Times New Roman"/>
                      <w:color w:val="000000" w:themeColor="text1"/>
                      <w:lang w:val="en-US" w:eastAsia="zh-CN"/>
                      <w14:textFill>
                        <w14:solidFill>
                          <w14:schemeClr w14:val="tx1"/>
                        </w14:solidFill>
                      </w14:textFill>
                    </w:rPr>
                    <w:t>养护工艺</w:t>
                  </w:r>
                  <w:r>
                    <w:rPr>
                      <w:rFonts w:hint="eastAsia" w:cs="Times New Roman"/>
                      <w:color w:val="000000" w:themeColor="text1"/>
                      <w:lang w:val="en-US" w:eastAsia="zh-CN"/>
                      <w14:textFill>
                        <w14:solidFill>
                          <w14:schemeClr w14:val="tx1"/>
                        </w14:solidFill>
                      </w14:textFill>
                    </w:rPr>
                    <w:t>；仅排放生活污水，生产废水回用于生产，不可回用部分委托资质单位处理。</w:t>
                  </w:r>
                </w:p>
              </w:tc>
              <w:tc>
                <w:tcPr>
                  <w:tcW w:w="545" w:type="pct"/>
                  <w:tcBorders>
                    <w:tl2br w:val="nil"/>
                    <w:tr2bl w:val="nil"/>
                  </w:tcBorders>
                  <w:noWrap w:val="0"/>
                  <w:vAlign w:val="center"/>
                </w:tcPr>
                <w:p w14:paraId="0A3F81C0">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工艺调整，新增污染物排放种类（二噁英、氟化物、氯化物、重金属等）。</w:t>
                  </w:r>
                </w:p>
              </w:tc>
              <w:tc>
                <w:tcPr>
                  <w:tcW w:w="443" w:type="pct"/>
                  <w:tcBorders>
                    <w:tl2br w:val="nil"/>
                    <w:tr2bl w:val="nil"/>
                  </w:tcBorders>
                  <w:noWrap w:val="0"/>
                  <w:vAlign w:val="center"/>
                </w:tcPr>
                <w:p w14:paraId="109A58E6">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6BE4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0" w:type="pct"/>
                  <w:vMerge w:val="continue"/>
                  <w:tcBorders>
                    <w:tl2br w:val="nil"/>
                    <w:tr2bl w:val="nil"/>
                  </w:tcBorders>
                  <w:noWrap w:val="0"/>
                  <w:vAlign w:val="center"/>
                </w:tcPr>
                <w:p w14:paraId="4F57F162">
                  <w:pPr>
                    <w:pStyle w:val="13"/>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0BC4A55F">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7</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物料运输、装卸、贮存方式变化，导致大气污染物无组织排放量增加10%及以上的。</w:t>
                  </w:r>
                </w:p>
              </w:tc>
              <w:tc>
                <w:tcPr>
                  <w:tcW w:w="1061" w:type="pct"/>
                  <w:tcBorders>
                    <w:tl2br w:val="nil"/>
                    <w:tr2bl w:val="nil"/>
                  </w:tcBorders>
                  <w:noWrap w:val="0"/>
                  <w:vAlign w:val="center"/>
                </w:tcPr>
                <w:p w14:paraId="73849CF9">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烘干后物料、水泥筒仓粉尘厂房内无组织排放；</w:t>
                  </w:r>
                </w:p>
                <w:p w14:paraId="3439AB9A">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砂石卸料粉尘、堆场粉尘经喷雾降尘后无组织排放；</w:t>
                  </w:r>
                </w:p>
                <w:p w14:paraId="79D6FB9F">
                  <w:pPr>
                    <w:pStyle w:val="13"/>
                    <w:bidi w:val="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粉煤灰卸料、投料粉尘无组织排放；</w:t>
                  </w:r>
                </w:p>
                <w:p w14:paraId="6F7879B3">
                  <w:pPr>
                    <w:pStyle w:val="13"/>
                    <w:bidi w:val="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废气无组织排放量为0.6793t/a</w:t>
                  </w:r>
                </w:p>
              </w:tc>
              <w:tc>
                <w:tcPr>
                  <w:tcW w:w="1218" w:type="pct"/>
                  <w:tcBorders>
                    <w:tl2br w:val="nil"/>
                    <w:tr2bl w:val="nil"/>
                  </w:tcBorders>
                  <w:noWrap w:val="0"/>
                  <w:vAlign w:val="center"/>
                </w:tcPr>
                <w:p w14:paraId="6D56D7F3">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水泥筒仓</w:t>
                  </w:r>
                  <w:r>
                    <w:rPr>
                      <w:rFonts w:hint="eastAsia" w:cs="Times New Roman"/>
                      <w:color w:val="000000" w:themeColor="text1"/>
                      <w:lang w:val="en-US" w:eastAsia="zh-CN"/>
                      <w14:textFill>
                        <w14:solidFill>
                          <w14:schemeClr w14:val="tx1"/>
                        </w14:solidFill>
                      </w14:textFill>
                    </w:rPr>
                    <w:t>、煅烧料仓</w:t>
                  </w:r>
                  <w:r>
                    <w:rPr>
                      <w:rFonts w:hint="eastAsia" w:ascii="Times New Roman" w:hAnsi="Times New Roman" w:eastAsia="宋体" w:cs="Times New Roman"/>
                      <w:color w:val="000000" w:themeColor="text1"/>
                      <w:lang w:val="en-US" w:eastAsia="zh-CN"/>
                      <w14:textFill>
                        <w14:solidFill>
                          <w14:schemeClr w14:val="tx1"/>
                        </w14:solidFill>
                      </w14:textFill>
                    </w:rPr>
                    <w:t>粉尘</w:t>
                  </w:r>
                  <w:r>
                    <w:rPr>
                      <w:rFonts w:hint="eastAsia" w:cs="Times New Roman"/>
                      <w:color w:val="000000" w:themeColor="text1"/>
                      <w:lang w:val="en-US" w:eastAsia="zh-CN"/>
                      <w14:textFill>
                        <w14:solidFill>
                          <w14:schemeClr w14:val="tx1"/>
                        </w14:solidFill>
                      </w14:textFill>
                    </w:rPr>
                    <w:t>经筒仓顶部自带布袋除尘器处理后于</w:t>
                  </w:r>
                  <w:r>
                    <w:rPr>
                      <w:rFonts w:hint="eastAsia" w:ascii="Times New Roman" w:hAnsi="Times New Roman" w:eastAsia="宋体" w:cs="Times New Roman"/>
                      <w:color w:val="000000" w:themeColor="text1"/>
                      <w:lang w:val="en-US" w:eastAsia="zh-CN"/>
                      <w14:textFill>
                        <w14:solidFill>
                          <w14:schemeClr w14:val="tx1"/>
                        </w14:solidFill>
                      </w14:textFill>
                    </w:rPr>
                    <w:t>厂房内无组织排放；</w:t>
                  </w:r>
                </w:p>
                <w:p w14:paraId="01B15015">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砂石卸料粉尘经喷雾降尘后无组织排放；</w:t>
                  </w:r>
                </w:p>
                <w:p w14:paraId="16C2F9CB">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絮凝剂投料粉尘于投料口设置围挡，厂房内无组织排放；</w:t>
                  </w:r>
                </w:p>
                <w:p w14:paraId="1AB2E053">
                  <w:pPr>
                    <w:pStyle w:val="13"/>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投料粉尘设置</w:t>
                  </w:r>
                  <w:r>
                    <w:rPr>
                      <w:rFonts w:hint="eastAsia" w:cs="Times New Roman"/>
                      <w:color w:val="000000" w:themeColor="text1"/>
                      <w:sz w:val="21"/>
                      <w:szCs w:val="21"/>
                      <w:lang w:val="en-US" w:eastAsia="zh-CN"/>
                      <w14:textFill>
                        <w14:solidFill>
                          <w14:schemeClr w14:val="tx1"/>
                        </w14:solidFill>
                      </w14:textFill>
                    </w:rPr>
                    <w:t>侧吸集气罩+布袋除尘器+喷淋抑尘装置处理后于厂房内无组织排放</w:t>
                  </w:r>
                  <w:r>
                    <w:rPr>
                      <w:rFonts w:hint="eastAsia" w:cs="Times New Roman"/>
                      <w:color w:val="000000" w:themeColor="text1"/>
                      <w:lang w:val="en-US" w:eastAsia="zh-CN"/>
                      <w14:textFill>
                        <w14:solidFill>
                          <w14:schemeClr w14:val="tx1"/>
                        </w14:solidFill>
                      </w14:textFill>
                    </w:rPr>
                    <w:t>。</w:t>
                  </w:r>
                </w:p>
                <w:p w14:paraId="442E49AE">
                  <w:pPr>
                    <w:pStyle w:val="13"/>
                    <w:bidi w:val="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本次评价全厂废气无组织排放量为0.7893t/a</w:t>
                  </w:r>
                </w:p>
              </w:tc>
              <w:tc>
                <w:tcPr>
                  <w:tcW w:w="545" w:type="pct"/>
                  <w:tcBorders>
                    <w:tl2br w:val="nil"/>
                    <w:tr2bl w:val="nil"/>
                  </w:tcBorders>
                  <w:noWrap w:val="0"/>
                  <w:vAlign w:val="center"/>
                </w:tcPr>
                <w:p w14:paraId="05A8BFEA">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取消粉煤灰使用，水泥贮存方式变化。无组织排放量总体增加量为（0.7893-0.6793）</w:t>
                  </w:r>
                  <w:r>
                    <w:rPr>
                      <w:rFonts w:hint="default" w:ascii="Arial" w:hAnsi="Arial" w:cs="Arial"/>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0.7893*100=13.94%，增加10%以上。</w:t>
                  </w:r>
                </w:p>
              </w:tc>
              <w:tc>
                <w:tcPr>
                  <w:tcW w:w="443" w:type="pct"/>
                  <w:tcBorders>
                    <w:tl2br w:val="nil"/>
                    <w:tr2bl w:val="nil"/>
                  </w:tcBorders>
                  <w:noWrap w:val="0"/>
                  <w:vAlign w:val="center"/>
                </w:tcPr>
                <w:p w14:paraId="7EA2CF3A">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073D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0" w:type="pct"/>
                  <w:vMerge w:val="restart"/>
                  <w:tcBorders>
                    <w:tl2br w:val="nil"/>
                    <w:tr2bl w:val="nil"/>
                  </w:tcBorders>
                  <w:noWrap w:val="0"/>
                  <w:vAlign w:val="center"/>
                </w:tcPr>
                <w:p w14:paraId="2CD58DB1">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环境保护措施</w:t>
                  </w:r>
                </w:p>
              </w:tc>
              <w:tc>
                <w:tcPr>
                  <w:tcW w:w="1350" w:type="pct"/>
                  <w:tcBorders>
                    <w:tl2br w:val="nil"/>
                    <w:tr2bl w:val="nil"/>
                  </w:tcBorders>
                  <w:noWrap w:val="0"/>
                  <w:vAlign w:val="center"/>
                </w:tcPr>
                <w:p w14:paraId="227A5E4D">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8</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废气、废水污染防治措施变化，导致第6条中所列情形之一(废气无组织排放改为有组织排放、污染防治措施强化或改进的除外)或大气污染物无组织排放量增加10%及以上的。</w:t>
                  </w:r>
                </w:p>
              </w:tc>
              <w:tc>
                <w:tcPr>
                  <w:tcW w:w="1061" w:type="pct"/>
                  <w:tcBorders>
                    <w:tl2br w:val="nil"/>
                    <w:tr2bl w:val="nil"/>
                  </w:tcBorders>
                  <w:noWrap w:val="0"/>
                  <w:vAlign w:val="center"/>
                </w:tcPr>
                <w:p w14:paraId="5328F0BF">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详见表2-1</w:t>
                  </w:r>
                </w:p>
              </w:tc>
              <w:tc>
                <w:tcPr>
                  <w:tcW w:w="1218" w:type="pct"/>
                  <w:tcBorders>
                    <w:tl2br w:val="nil"/>
                    <w:tr2bl w:val="nil"/>
                  </w:tcBorders>
                  <w:noWrap w:val="0"/>
                  <w:vAlign w:val="center"/>
                </w:tcPr>
                <w:p w14:paraId="524D49F4">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废气治理措施随工艺调整。</w:t>
                  </w:r>
                </w:p>
              </w:tc>
              <w:tc>
                <w:tcPr>
                  <w:tcW w:w="545" w:type="pct"/>
                  <w:tcBorders>
                    <w:tl2br w:val="nil"/>
                    <w:tr2bl w:val="nil"/>
                  </w:tcBorders>
                  <w:noWrap w:val="0"/>
                  <w:vAlign w:val="center"/>
                </w:tcPr>
                <w:p w14:paraId="48A47DB1">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工艺调整，新增污染物排放种类（二噁英、氟化物、氯化物、重金属等）。</w:t>
                  </w:r>
                </w:p>
              </w:tc>
              <w:tc>
                <w:tcPr>
                  <w:tcW w:w="443" w:type="pct"/>
                  <w:tcBorders>
                    <w:tl2br w:val="nil"/>
                    <w:tr2bl w:val="nil"/>
                  </w:tcBorders>
                  <w:noWrap w:val="0"/>
                  <w:vAlign w:val="center"/>
                </w:tcPr>
                <w:p w14:paraId="589BC020">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50B9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0" w:type="pct"/>
                  <w:vMerge w:val="continue"/>
                  <w:tcBorders>
                    <w:tl2br w:val="nil"/>
                    <w:tr2bl w:val="nil"/>
                  </w:tcBorders>
                  <w:noWrap w:val="0"/>
                  <w:vAlign w:val="center"/>
                </w:tcPr>
                <w:p w14:paraId="2AE119B5">
                  <w:pPr>
                    <w:pStyle w:val="13"/>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727D3720">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新增废水直接排放口；废水由间接排放改为直接排放；废水直接排放口位置变化，导致不利环境影响加重的。</w:t>
                  </w:r>
                </w:p>
              </w:tc>
              <w:tc>
                <w:tcPr>
                  <w:tcW w:w="1061" w:type="pct"/>
                  <w:tcBorders>
                    <w:tl2br w:val="nil"/>
                    <w:tr2bl w:val="nil"/>
                  </w:tcBorders>
                  <w:noWrap w:val="0"/>
                  <w:vAlign w:val="center"/>
                </w:tcPr>
                <w:p w14:paraId="56994F2B">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设置1个废水总排口，仅排放生活污水</w:t>
                  </w:r>
                </w:p>
              </w:tc>
              <w:tc>
                <w:tcPr>
                  <w:tcW w:w="1218" w:type="pct"/>
                  <w:tcBorders>
                    <w:tl2br w:val="nil"/>
                    <w:tr2bl w:val="nil"/>
                  </w:tcBorders>
                  <w:noWrap w:val="0"/>
                  <w:vAlign w:val="center"/>
                </w:tcPr>
                <w:p w14:paraId="2A6E8238">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设置1个废水总排口，仅排放生活污水</w:t>
                  </w:r>
                </w:p>
              </w:tc>
              <w:tc>
                <w:tcPr>
                  <w:tcW w:w="545" w:type="pct"/>
                  <w:tcBorders>
                    <w:tl2br w:val="nil"/>
                    <w:tr2bl w:val="nil"/>
                  </w:tcBorders>
                  <w:noWrap w:val="0"/>
                  <w:vAlign w:val="center"/>
                </w:tcPr>
                <w:p w14:paraId="02DC8765">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无新增排口，排口位置不变</w:t>
                  </w:r>
                </w:p>
              </w:tc>
              <w:tc>
                <w:tcPr>
                  <w:tcW w:w="443" w:type="pct"/>
                  <w:tcBorders>
                    <w:tl2br w:val="nil"/>
                    <w:tr2bl w:val="nil"/>
                  </w:tcBorders>
                  <w:noWrap w:val="0"/>
                  <w:vAlign w:val="center"/>
                </w:tcPr>
                <w:p w14:paraId="2BC79BD7">
                  <w:pPr>
                    <w:pStyle w:val="13"/>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2793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0" w:type="pct"/>
                  <w:vMerge w:val="continue"/>
                  <w:tcBorders>
                    <w:tl2br w:val="nil"/>
                    <w:tr2bl w:val="nil"/>
                  </w:tcBorders>
                  <w:noWrap w:val="0"/>
                  <w:vAlign w:val="center"/>
                </w:tcPr>
                <w:p w14:paraId="2E01E879">
                  <w:pPr>
                    <w:pStyle w:val="13"/>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14CF279C">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10</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新增废气主要排放口</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废气无组织排放改为有组织排放的除外</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主要排放口排气筒高度降低10%及以上的。</w:t>
                  </w:r>
                </w:p>
              </w:tc>
              <w:tc>
                <w:tcPr>
                  <w:tcW w:w="1061" w:type="pct"/>
                  <w:tcBorders>
                    <w:tl2br w:val="nil"/>
                    <w:tr2bl w:val="nil"/>
                  </w:tcBorders>
                  <w:noWrap w:val="0"/>
                  <w:vAlign w:val="center"/>
                </w:tcPr>
                <w:p w14:paraId="2565880F">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设置2根15m高排气筒</w:t>
                  </w:r>
                </w:p>
              </w:tc>
              <w:tc>
                <w:tcPr>
                  <w:tcW w:w="1218" w:type="pct"/>
                  <w:tcBorders>
                    <w:tl2br w:val="nil"/>
                    <w:tr2bl w:val="nil"/>
                  </w:tcBorders>
                  <w:noWrap w:val="0"/>
                  <w:vAlign w:val="center"/>
                </w:tcPr>
                <w:p w14:paraId="72332C2E">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设置1根45m高排气筒</w:t>
                  </w:r>
                </w:p>
              </w:tc>
              <w:tc>
                <w:tcPr>
                  <w:tcW w:w="545" w:type="pct"/>
                  <w:tcBorders>
                    <w:tl2br w:val="nil"/>
                    <w:tr2bl w:val="nil"/>
                  </w:tcBorders>
                  <w:noWrap w:val="0"/>
                  <w:vAlign w:val="center"/>
                </w:tcPr>
                <w:p w14:paraId="24B684F2">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排气筒位置、高度调整；数量减少</w:t>
                  </w:r>
                </w:p>
              </w:tc>
              <w:tc>
                <w:tcPr>
                  <w:tcW w:w="443" w:type="pct"/>
                  <w:tcBorders>
                    <w:tl2br w:val="nil"/>
                    <w:tr2bl w:val="nil"/>
                  </w:tcBorders>
                  <w:noWrap w:val="0"/>
                  <w:vAlign w:val="center"/>
                </w:tcPr>
                <w:p w14:paraId="7E0AFE15">
                  <w:pPr>
                    <w:pStyle w:val="13"/>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637E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0" w:type="pct"/>
                  <w:vMerge w:val="continue"/>
                  <w:tcBorders>
                    <w:tl2br w:val="nil"/>
                    <w:tr2bl w:val="nil"/>
                  </w:tcBorders>
                  <w:noWrap w:val="0"/>
                  <w:vAlign w:val="center"/>
                </w:tcPr>
                <w:p w14:paraId="518AA566">
                  <w:pPr>
                    <w:pStyle w:val="13"/>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3C44710D">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噪声、土壤或地下水污染防治措施变化，导致不利环境影响加重的。</w:t>
                  </w:r>
                </w:p>
              </w:tc>
              <w:tc>
                <w:tcPr>
                  <w:tcW w:w="1061" w:type="pct"/>
                  <w:tcBorders>
                    <w:tl2br w:val="nil"/>
                    <w:tr2bl w:val="nil"/>
                  </w:tcBorders>
                  <w:noWrap w:val="0"/>
                  <w:vAlign w:val="center"/>
                </w:tcPr>
                <w:p w14:paraId="4DB67D5F">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低噪设备、距离衰减、合理布局、定期维护设备；分区防渗。</w:t>
                  </w:r>
                </w:p>
              </w:tc>
              <w:tc>
                <w:tcPr>
                  <w:tcW w:w="1218" w:type="pct"/>
                  <w:tcBorders>
                    <w:tl2br w:val="nil"/>
                    <w:tr2bl w:val="nil"/>
                  </w:tcBorders>
                  <w:noWrap w:val="0"/>
                  <w:vAlign w:val="center"/>
                </w:tcPr>
                <w:p w14:paraId="4E9B151F">
                  <w:pPr>
                    <w:pStyle w:val="13"/>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低噪设备、距离衰减、合理布局、定期维护设备；分区防渗。</w:t>
                  </w:r>
                </w:p>
              </w:tc>
              <w:tc>
                <w:tcPr>
                  <w:tcW w:w="545" w:type="pct"/>
                  <w:tcBorders>
                    <w:tl2br w:val="nil"/>
                    <w:tr2bl w:val="nil"/>
                  </w:tcBorders>
                  <w:noWrap w:val="0"/>
                  <w:vAlign w:val="center"/>
                </w:tcPr>
                <w:p w14:paraId="7AC4A719">
                  <w:pPr>
                    <w:pStyle w:val="13"/>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无变动</w:t>
                  </w:r>
                </w:p>
              </w:tc>
              <w:tc>
                <w:tcPr>
                  <w:tcW w:w="443" w:type="pct"/>
                  <w:tcBorders>
                    <w:tl2br w:val="nil"/>
                    <w:tr2bl w:val="nil"/>
                  </w:tcBorders>
                  <w:noWrap w:val="0"/>
                  <w:vAlign w:val="center"/>
                </w:tcPr>
                <w:p w14:paraId="324A2A1E">
                  <w:pPr>
                    <w:pStyle w:val="13"/>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6CA8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0" w:type="pct"/>
                  <w:vMerge w:val="continue"/>
                  <w:tcBorders>
                    <w:tl2br w:val="nil"/>
                    <w:tr2bl w:val="nil"/>
                  </w:tcBorders>
                  <w:noWrap w:val="0"/>
                  <w:vAlign w:val="center"/>
                </w:tcPr>
                <w:p w14:paraId="1CAB4E7D">
                  <w:pPr>
                    <w:pStyle w:val="13"/>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488C4C6A">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固体废物利用处置方式由委托外单位利用处置改为自行利用处置的</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自行利用处置设施单独开展环境影响评价的除外</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固体废物自行处置方式变化，导致不利环境影响加重的。</w:t>
                  </w:r>
                </w:p>
              </w:tc>
              <w:tc>
                <w:tcPr>
                  <w:tcW w:w="1061" w:type="pct"/>
                  <w:tcBorders>
                    <w:tl2br w:val="nil"/>
                    <w:tr2bl w:val="nil"/>
                  </w:tcBorders>
                  <w:noWrap w:val="0"/>
                  <w:vAlign w:val="center"/>
                </w:tcPr>
                <w:p w14:paraId="1A53FC6A">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生活垃圾由环卫处置；不合格品返回搅拌阶段重新利用；废模具由厂界回收更换；布袋除尘器集尘作为原料利用；废布袋由废品回收站处置。</w:t>
                  </w:r>
                </w:p>
                <w:p w14:paraId="3A28A457">
                  <w:pPr>
                    <w:pStyle w:val="13"/>
                    <w:ind w:firstLine="0" w:firstLineChars="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废液压油由厂家更换带走；废机油、废机油桶、沾油废</w:t>
                  </w:r>
                  <w:r>
                    <w:rPr>
                      <w:rFonts w:hint="eastAsia" w:cs="Times New Roman"/>
                      <w:color w:val="000000" w:themeColor="text1"/>
                      <w:lang w:val="en-US" w:eastAsia="zh-CN"/>
                      <w14:textFill>
                        <w14:solidFill>
                          <w14:schemeClr w14:val="tx1"/>
                        </w14:solidFill>
                      </w14:textFill>
                    </w:rPr>
                    <w:t>物在</w:t>
                  </w:r>
                  <w:r>
                    <w:rPr>
                      <w:rFonts w:hint="eastAsia" w:ascii="Times New Roman" w:hAnsi="Times New Roman" w:eastAsia="宋体" w:cs="Times New Roman"/>
                      <w:color w:val="000000" w:themeColor="text1"/>
                      <w:lang w:val="en-US" w:eastAsia="zh-CN"/>
                      <w14:textFill>
                        <w14:solidFill>
                          <w14:schemeClr w14:val="tx1"/>
                        </w14:solidFill>
                      </w14:textFill>
                    </w:rPr>
                    <w:t>危废暂存间内暂存，委托资质单位清运处置。</w:t>
                  </w:r>
                </w:p>
              </w:tc>
              <w:tc>
                <w:tcPr>
                  <w:tcW w:w="1218" w:type="pct"/>
                  <w:tcBorders>
                    <w:tl2br w:val="nil"/>
                    <w:tr2bl w:val="nil"/>
                  </w:tcBorders>
                  <w:noWrap w:val="0"/>
                  <w:vAlign w:val="center"/>
                </w:tcPr>
                <w:p w14:paraId="63D59465">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生活垃圾由环卫处置；制砖阶段不合格品返回搅拌阶段重新利用；废模具由厂界回收更换；布袋除尘器</w:t>
                  </w:r>
                  <w:r>
                    <w:rPr>
                      <w:rFonts w:hint="eastAsia" w:cs="Times New Roman"/>
                      <w:color w:val="000000" w:themeColor="text1"/>
                      <w:lang w:val="en-US" w:eastAsia="zh-CN"/>
                      <w14:textFill>
                        <w14:solidFill>
                          <w14:schemeClr w14:val="tx1"/>
                        </w14:solidFill>
                      </w14:textFill>
                    </w:rPr>
                    <w:t>及旋风除尘器</w:t>
                  </w:r>
                  <w:r>
                    <w:rPr>
                      <w:rFonts w:hint="eastAsia" w:ascii="Times New Roman" w:hAnsi="Times New Roman" w:eastAsia="宋体" w:cs="Times New Roman"/>
                      <w:color w:val="000000" w:themeColor="text1"/>
                      <w:lang w:val="en-US" w:eastAsia="zh-CN"/>
                      <w14:textFill>
                        <w14:solidFill>
                          <w14:schemeClr w14:val="tx1"/>
                        </w14:solidFill>
                      </w14:textFill>
                    </w:rPr>
                    <w:t>集尘作为原料利用；废布袋由废品回收站处置；</w:t>
                  </w:r>
                  <w:r>
                    <w:rPr>
                      <w:color w:val="000000" w:themeColor="text1"/>
                      <w14:textFill>
                        <w14:solidFill>
                          <w14:schemeClr w14:val="tx1"/>
                        </w14:solidFill>
                      </w14:textFill>
                    </w:rPr>
                    <w:t>脱硫渣</w:t>
                  </w:r>
                  <w:r>
                    <w:rPr>
                      <w:rFonts w:hint="eastAsia"/>
                      <w:color w:val="000000" w:themeColor="text1"/>
                      <w:lang w:val="en-US" w:eastAsia="zh-CN"/>
                      <w14:textFill>
                        <w14:solidFill>
                          <w14:schemeClr w14:val="tx1"/>
                        </w14:solidFill>
                      </w14:textFill>
                    </w:rPr>
                    <w:t>外售相关建材企业综合利用；氟化钙污泥</w:t>
                  </w:r>
                  <w:r>
                    <w:rPr>
                      <w:rFonts w:hint="eastAsia"/>
                      <w:b w:val="0"/>
                      <w:bCs/>
                      <w:color w:val="000000" w:themeColor="text1"/>
                      <w:sz w:val="21"/>
                      <w:szCs w:val="21"/>
                      <w:lang w:val="en-US" w:eastAsia="zh-CN"/>
                      <w14:textFill>
                        <w14:solidFill>
                          <w14:schemeClr w14:val="tx1"/>
                        </w14:solidFill>
                      </w14:textFill>
                    </w:rPr>
                    <w:t>通过鉴定确定危险性质，后按照相应的固废种类进行管理</w:t>
                  </w:r>
                  <w:r>
                    <w:rPr>
                      <w:rFonts w:hint="eastAsia"/>
                      <w:b w:val="0"/>
                      <w:color w:val="000000" w:themeColor="text1"/>
                      <w:sz w:val="21"/>
                      <w:szCs w:val="24"/>
                      <w14:textFill>
                        <w14:solidFill>
                          <w14:schemeClr w14:val="tx1"/>
                        </w14:solidFill>
                      </w14:textFill>
                    </w:rPr>
                    <w:t>。</w:t>
                  </w:r>
                  <w:r>
                    <w:rPr>
                      <w:rFonts w:hint="eastAsia"/>
                      <w:b w:val="0"/>
                      <w:color w:val="000000" w:themeColor="text1"/>
                      <w:sz w:val="21"/>
                      <w:szCs w:val="24"/>
                      <w:lang w:val="en-US" w:eastAsia="zh-CN"/>
                      <w14:textFill>
                        <w14:solidFill>
                          <w14:schemeClr w14:val="tx1"/>
                        </w14:solidFill>
                      </w14:textFill>
                    </w:rPr>
                    <w:t>在未鉴别确定其性质之前，按危废进行管理</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4BDB297C">
                  <w:pPr>
                    <w:pStyle w:val="13"/>
                    <w:ind w:firstLine="0" w:firstLineChars="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废液压油</w:t>
                  </w:r>
                  <w:r>
                    <w:rPr>
                      <w:rFonts w:hint="eastAsia" w:cs="Times New Roman"/>
                      <w:color w:val="000000" w:themeColor="text1"/>
                      <w:lang w:val="en-US" w:eastAsia="zh-CN"/>
                      <w14:textFill>
                        <w14:solidFill>
                          <w14:schemeClr w14:val="tx1"/>
                        </w14:solidFill>
                      </w14:textFill>
                    </w:rPr>
                    <w:t>、循环水池浮油、</w:t>
                  </w:r>
                  <w:r>
                    <w:rPr>
                      <w:rFonts w:hint="eastAsia" w:ascii="Times New Roman" w:hAnsi="Times New Roman" w:eastAsia="宋体" w:cs="Times New Roman"/>
                      <w:color w:val="000000" w:themeColor="text1"/>
                      <w:lang w:val="en-US" w:eastAsia="zh-CN"/>
                      <w14:textFill>
                        <w14:solidFill>
                          <w14:schemeClr w14:val="tx1"/>
                        </w14:solidFill>
                      </w14:textFill>
                    </w:rPr>
                    <w:t>废机油、废机油桶、</w:t>
                  </w:r>
                  <w:r>
                    <w:rPr>
                      <w:rFonts w:hint="eastAsia" w:cs="Times New Roman"/>
                      <w:color w:val="000000" w:themeColor="text1"/>
                      <w:lang w:val="en-US" w:eastAsia="zh-CN"/>
                      <w14:textFill>
                        <w14:solidFill>
                          <w14:schemeClr w14:val="tx1"/>
                        </w14:solidFill>
                      </w14:textFill>
                    </w:rPr>
                    <w:t>废活性炭、</w:t>
                  </w:r>
                  <w:r>
                    <w:rPr>
                      <w:rFonts w:hint="eastAsia" w:ascii="Times New Roman" w:hAnsi="Times New Roman" w:eastAsia="宋体" w:cs="Times New Roman"/>
                      <w:color w:val="000000" w:themeColor="text1"/>
                      <w:lang w:val="en-US" w:eastAsia="zh-CN"/>
                      <w14:textFill>
                        <w14:solidFill>
                          <w14:schemeClr w14:val="tx1"/>
                        </w14:solidFill>
                      </w14:textFill>
                    </w:rPr>
                    <w:t>沾油废</w:t>
                  </w:r>
                  <w:r>
                    <w:rPr>
                      <w:rFonts w:hint="eastAsia" w:cs="Times New Roman"/>
                      <w:color w:val="000000" w:themeColor="text1"/>
                      <w:lang w:val="en-US" w:eastAsia="zh-CN"/>
                      <w14:textFill>
                        <w14:solidFill>
                          <w14:schemeClr w14:val="tx1"/>
                        </w14:solidFill>
                      </w14:textFill>
                    </w:rPr>
                    <w:t>物在</w:t>
                  </w:r>
                  <w:r>
                    <w:rPr>
                      <w:rFonts w:hint="eastAsia" w:ascii="Times New Roman" w:hAnsi="Times New Roman" w:eastAsia="宋体" w:cs="Times New Roman"/>
                      <w:color w:val="000000" w:themeColor="text1"/>
                      <w:lang w:val="en-US" w:eastAsia="zh-CN"/>
                      <w14:textFill>
                        <w14:solidFill>
                          <w14:schemeClr w14:val="tx1"/>
                        </w14:solidFill>
                      </w14:textFill>
                    </w:rPr>
                    <w:t>危废暂存间内暂存，委托资质单位清运处置。</w:t>
                  </w:r>
                </w:p>
              </w:tc>
              <w:tc>
                <w:tcPr>
                  <w:tcW w:w="545" w:type="pct"/>
                  <w:tcBorders>
                    <w:tl2br w:val="nil"/>
                    <w:tr2bl w:val="nil"/>
                  </w:tcBorders>
                  <w:noWrap w:val="0"/>
                  <w:vAlign w:val="center"/>
                </w:tcPr>
                <w:p w14:paraId="39021BCF">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新增</w:t>
                  </w:r>
                  <w:r>
                    <w:rPr>
                      <w:rFonts w:hint="eastAsia" w:ascii="Times New Roman" w:hAnsi="Times New Roman" w:eastAsia="宋体" w:cs="Times New Roman"/>
                      <w:color w:val="000000" w:themeColor="text1"/>
                      <w:lang w:val="en-US" w:eastAsia="zh-CN"/>
                      <w14:textFill>
                        <w14:solidFill>
                          <w14:schemeClr w14:val="tx1"/>
                        </w14:solidFill>
                      </w14:textFill>
                    </w:rPr>
                    <w:t>处理后废物料，但固废均合理处置</w:t>
                  </w:r>
                </w:p>
              </w:tc>
              <w:tc>
                <w:tcPr>
                  <w:tcW w:w="443" w:type="pct"/>
                  <w:tcBorders>
                    <w:tl2br w:val="nil"/>
                    <w:tr2bl w:val="nil"/>
                  </w:tcBorders>
                  <w:noWrap w:val="0"/>
                  <w:vAlign w:val="center"/>
                </w:tcPr>
                <w:p w14:paraId="4F8C787D">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否，合理处置</w:t>
                  </w:r>
                </w:p>
              </w:tc>
            </w:tr>
            <w:tr w14:paraId="73B2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0" w:type="pct"/>
                  <w:vMerge w:val="continue"/>
                  <w:tcBorders>
                    <w:tl2br w:val="nil"/>
                    <w:tr2bl w:val="nil"/>
                  </w:tcBorders>
                  <w:noWrap w:val="0"/>
                  <w:vAlign w:val="center"/>
                </w:tcPr>
                <w:p w14:paraId="29A0E0CE">
                  <w:pPr>
                    <w:pStyle w:val="13"/>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577257BA">
                  <w:pPr>
                    <w:pStyle w:val="13"/>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事故废水暂存能力或拦截设施变化，导致环境风险防范能力弱化或降低的。</w:t>
                  </w:r>
                </w:p>
              </w:tc>
              <w:tc>
                <w:tcPr>
                  <w:tcW w:w="1061" w:type="pct"/>
                  <w:tcBorders>
                    <w:tl2br w:val="nil"/>
                    <w:tr2bl w:val="nil"/>
                  </w:tcBorders>
                  <w:noWrap w:val="0"/>
                  <w:vAlign w:val="center"/>
                </w:tcPr>
                <w:p w14:paraId="0E9E1FF9">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w:t>
                  </w:r>
                </w:p>
              </w:tc>
              <w:tc>
                <w:tcPr>
                  <w:tcW w:w="1218" w:type="pct"/>
                  <w:tcBorders>
                    <w:tl2br w:val="nil"/>
                    <w:tr2bl w:val="nil"/>
                  </w:tcBorders>
                  <w:noWrap w:val="0"/>
                  <w:vAlign w:val="center"/>
                </w:tcPr>
                <w:p w14:paraId="3CB88775">
                  <w:pPr>
                    <w:pStyle w:val="13"/>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w:t>
                  </w:r>
                </w:p>
              </w:tc>
              <w:tc>
                <w:tcPr>
                  <w:tcW w:w="545" w:type="pct"/>
                  <w:tcBorders>
                    <w:tl2br w:val="nil"/>
                    <w:tr2bl w:val="nil"/>
                  </w:tcBorders>
                  <w:noWrap w:val="0"/>
                  <w:vAlign w:val="center"/>
                </w:tcPr>
                <w:p w14:paraId="1274A20B">
                  <w:pPr>
                    <w:pStyle w:val="13"/>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无变动</w:t>
                  </w:r>
                </w:p>
              </w:tc>
              <w:tc>
                <w:tcPr>
                  <w:tcW w:w="443" w:type="pct"/>
                  <w:tcBorders>
                    <w:tl2br w:val="nil"/>
                    <w:tr2bl w:val="nil"/>
                  </w:tcBorders>
                  <w:noWrap w:val="0"/>
                  <w:vAlign w:val="center"/>
                </w:tcPr>
                <w:p w14:paraId="7AF23DEF">
                  <w:pPr>
                    <w:pStyle w:val="13"/>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bl>
          <w:p w14:paraId="5520BD75">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根据《中华人民共和国</w:t>
            </w:r>
            <w:r>
              <w:rPr>
                <w:rFonts w:hint="eastAsia" w:ascii="宋体" w:hAnsi="宋体" w:cs="宋体"/>
                <w:color w:val="000000" w:themeColor="text1"/>
                <w:kern w:val="0"/>
                <w:sz w:val="24"/>
                <w:szCs w:val="24"/>
                <w:lang w:val="en-US" w:eastAsia="zh-CN" w:bidi="ar"/>
                <w14:textFill>
                  <w14:solidFill>
                    <w14:schemeClr w14:val="tx1"/>
                  </w14:solidFill>
                </w14:textFill>
              </w:rPr>
              <w:t>生态环境法典</w:t>
            </w:r>
            <w:r>
              <w:rPr>
                <w:rFonts w:hint="eastAsia" w:ascii="宋体" w:hAnsi="宋体" w:eastAsia="宋体" w:cs="宋体"/>
                <w:color w:val="000000" w:themeColor="text1"/>
                <w:kern w:val="0"/>
                <w:sz w:val="24"/>
                <w:szCs w:val="24"/>
                <w:lang w:val="en-US" w:eastAsia="zh-CN" w:bidi="ar"/>
                <w14:textFill>
                  <w14:solidFill>
                    <w14:schemeClr w14:val="tx1"/>
                  </w14:solidFill>
                </w14:textFill>
              </w:rPr>
              <w:t>》中“第</w:t>
            </w:r>
            <w:r>
              <w:rPr>
                <w:rFonts w:hint="eastAsia" w:ascii="宋体" w:hAnsi="宋体" w:cs="宋体"/>
                <w:color w:val="000000" w:themeColor="text1"/>
                <w:kern w:val="0"/>
                <w:sz w:val="24"/>
                <w:szCs w:val="24"/>
                <w:lang w:val="en-US" w:eastAsia="zh-CN" w:bidi="ar"/>
                <w14:textFill>
                  <w14:solidFill>
                    <w14:schemeClr w14:val="tx1"/>
                  </w14:solidFill>
                </w14:textFill>
              </w:rPr>
              <w:t>一百零六</w:t>
            </w:r>
            <w:r>
              <w:rPr>
                <w:rFonts w:hint="eastAsia" w:ascii="宋体" w:hAnsi="宋体" w:eastAsia="宋体" w:cs="宋体"/>
                <w:color w:val="000000" w:themeColor="text1"/>
                <w:kern w:val="0"/>
                <w:sz w:val="24"/>
                <w:szCs w:val="24"/>
                <w:lang w:val="en-US" w:eastAsia="zh-CN" w:bidi="ar"/>
                <w14:textFill>
                  <w14:solidFill>
                    <w14:schemeClr w14:val="tx1"/>
                  </w14:solidFill>
                </w14:textFill>
              </w:rPr>
              <w:t>条、</w:t>
            </w:r>
            <w:r>
              <w:rPr>
                <w:rFonts w:hint="eastAsia" w:ascii="宋体" w:hAnsi="宋体" w:cs="宋体"/>
                <w:color w:val="000000" w:themeColor="text1"/>
                <w:kern w:val="0"/>
                <w:szCs w:val="24"/>
                <w:lang w:bidi="ar"/>
                <w14:textFill>
                  <w14:solidFill>
                    <w14:schemeClr w14:val="tx1"/>
                  </w14:solidFill>
                </w14:textFill>
              </w:rPr>
              <w:t>建设项目的生态环境影响报告书、生态环境影响报告表经批准后，建设项目的性质、规模、地点、采用的生产工艺或者防治污染、防止生态破坏的措施发生重大变动的，建设单位应当重新报批建设项目的生态环境影响报告书、生态环境影响报告表</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根据上表可知，本项目</w:t>
            </w:r>
            <w:r>
              <w:rPr>
                <w:rFonts w:hint="eastAsia" w:cs="Times New Roman"/>
                <w:color w:val="000000" w:themeColor="text1"/>
                <w:sz w:val="24"/>
                <w:lang w:val="en-US" w:eastAsia="zh-CN"/>
                <w14:textFill>
                  <w14:solidFill>
                    <w14:schemeClr w14:val="tx1"/>
                  </w14:solidFill>
                </w14:textFill>
              </w:rPr>
              <w:t>生产性质、</w:t>
            </w:r>
            <w:r>
              <w:rPr>
                <w:rFonts w:hint="eastAsia" w:ascii="Times New Roman" w:hAnsi="Times New Roman" w:eastAsia="宋体" w:cs="Times New Roman"/>
                <w:color w:val="000000" w:themeColor="text1"/>
                <w:sz w:val="24"/>
                <w:lang w:val="en-US" w:eastAsia="zh-CN"/>
                <w14:textFill>
                  <w14:solidFill>
                    <w14:schemeClr w14:val="tx1"/>
                  </w14:solidFill>
                </w14:textFill>
              </w:rPr>
              <w:t>生产规模、地点、生产工艺、环保措施均发生重大变动</w:t>
            </w:r>
            <w:r>
              <w:rPr>
                <w:rFonts w:hint="eastAsia" w:ascii="宋体" w:hAnsi="宋体" w:cs="宋体"/>
                <w:color w:val="000000" w:themeColor="text1"/>
                <w:kern w:val="0"/>
                <w:sz w:val="24"/>
                <w:szCs w:val="24"/>
                <w:lang w:val="en-US" w:eastAsia="zh-CN" w:bidi="ar"/>
                <w14:textFill>
                  <w14:solidFill>
                    <w14:schemeClr w14:val="tx1"/>
                  </w14:solidFill>
                </w14:textFill>
              </w:rPr>
              <w:t>，因此本项目属于重新报批范畴，本次评价申报情形为重大变动重新报批项目</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14:paraId="0CC0C2C1">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综上，</w:t>
            </w:r>
            <w:r>
              <w:rPr>
                <w:rFonts w:cs="Times New Roman"/>
                <w:color w:val="000000" w:themeColor="text1"/>
                <w14:textFill>
                  <w14:solidFill>
                    <w14:schemeClr w14:val="tx1"/>
                  </w14:solidFill>
                </w14:textFill>
              </w:rPr>
              <w:t>根据《国民经济行业分类》（GB/T4754-2017）及第1号修改单，</w:t>
            </w:r>
            <w:r>
              <w:rPr>
                <w:rFonts w:hint="eastAsia" w:cs="Times New Roman"/>
                <w:color w:val="000000" w:themeColor="text1"/>
                <w:lang w:val="en-US" w:eastAsia="zh-CN"/>
                <w14:textFill>
                  <w14:solidFill>
                    <w14:schemeClr w14:val="tx1"/>
                  </w14:solidFill>
                </w14:textFill>
              </w:rPr>
              <w:t>本</w:t>
            </w:r>
            <w:r>
              <w:rPr>
                <w:rFonts w:cs="Times New Roman"/>
                <w:color w:val="000000" w:themeColor="text1"/>
                <w14:textFill>
                  <w14:solidFill>
                    <w14:schemeClr w14:val="tx1"/>
                  </w14:solidFill>
                </w14:textFill>
              </w:rPr>
              <w:t>项目属于</w:t>
            </w:r>
            <w:r>
              <w:rPr>
                <w:rFonts w:hint="eastAsia" w:ascii="宋体" w:hAnsi="宋体" w:eastAsia="宋体" w:cs="宋体"/>
                <w:color w:val="000000" w:themeColor="text1"/>
                <w14:textFill>
                  <w14:solidFill>
                    <w14:schemeClr w14:val="tx1"/>
                  </w14:solidFill>
                </w14:textFill>
              </w:rPr>
              <w:t>“</w:t>
            </w:r>
            <w:r>
              <w:rPr>
                <w:rFonts w:hint="eastAsia"/>
                <w:color w:val="000000" w:themeColor="text1"/>
                <w14:textFill>
                  <w14:solidFill>
                    <w14:schemeClr w14:val="tx1"/>
                  </w14:solidFill>
                </w14:textFill>
              </w:rPr>
              <w:t>N</w:t>
            </w:r>
            <w:r>
              <w:rPr>
                <w:color w:val="000000" w:themeColor="text1"/>
                <w14:textFill>
                  <w14:solidFill>
                    <w14:schemeClr w14:val="tx1"/>
                  </w14:solidFill>
                </w14:textFill>
              </w:rPr>
              <w:t>7723</w:t>
            </w:r>
            <w:r>
              <w:rPr>
                <w:rFonts w:hint="eastAsia"/>
                <w:color w:val="000000" w:themeColor="text1"/>
                <w14:textFill>
                  <w14:solidFill>
                    <w14:schemeClr w14:val="tx1"/>
                  </w14:solidFill>
                </w14:textFill>
              </w:rPr>
              <w:t>固体废物治理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C</w:t>
            </w:r>
            <w:r>
              <w:rPr>
                <w:color w:val="000000" w:themeColor="text1"/>
                <w14:textFill>
                  <w14:solidFill>
                    <w14:schemeClr w14:val="tx1"/>
                  </w14:solidFill>
                </w14:textFill>
              </w:rPr>
              <w:t>3039</w:t>
            </w:r>
            <w:r>
              <w:rPr>
                <w:rFonts w:hint="eastAsia"/>
                <w:color w:val="000000" w:themeColor="text1"/>
                <w14:textFill>
                  <w14:solidFill>
                    <w14:schemeClr w14:val="tx1"/>
                  </w14:solidFill>
                </w14:textFill>
              </w:rPr>
              <w:t>其他建筑材料制造</w:t>
            </w:r>
            <w:r>
              <w:rPr>
                <w:rFonts w:hint="eastAsia" w:ascii="宋体" w:hAnsi="宋体" w:eastAsia="宋体" w:cs="宋体"/>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依据《建设项目环境影响评价分类管理名录（2021年版）》（生态环境部令第16号），</w:t>
            </w:r>
            <w:r>
              <w:rPr>
                <w:rFonts w:hint="eastAsia" w:cs="Times New Roman"/>
                <w:color w:val="000000" w:themeColor="text1"/>
                <w:lang w:val="en-US" w:eastAsia="zh-CN"/>
                <w14:textFill>
                  <w14:solidFill>
                    <w14:schemeClr w14:val="tx1"/>
                  </w14:solidFill>
                </w14:textFill>
              </w:rPr>
              <w:t>本项目所属类别如下。</w:t>
            </w:r>
          </w:p>
          <w:p w14:paraId="432AEBA8">
            <w:pPr>
              <w:keepNext w:val="0"/>
              <w:keepLines w:val="0"/>
              <w:pageBreakBefore w:val="0"/>
              <w:widowControl/>
              <w:kinsoku/>
              <w:wordWrap/>
              <w:overflowPunct/>
              <w:topLinePunct w:val="0"/>
              <w:autoSpaceDE/>
              <w:autoSpaceDN/>
              <w:bidi w:val="0"/>
              <w:adjustRightInd w:val="0"/>
              <w:snapToGrid w:val="0"/>
              <w:spacing w:line="240" w:lineRule="auto"/>
              <w:ind w:firstLine="422" w:firstLineChars="200"/>
              <w:jc w:val="center"/>
              <w:textAlignment w:val="auto"/>
              <w:rPr>
                <w:rFonts w:hint="eastAsia" w:ascii="Times New Roman" w:hAnsi="Times New Roman"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表2-</w:t>
            </w:r>
            <w:r>
              <w:rPr>
                <w:rFonts w:hint="eastAsia" w:cs="Times New Roman"/>
                <w:b/>
                <w:bCs/>
                <w:color w:val="000000" w:themeColor="text1"/>
                <w:kern w:val="0"/>
                <w:sz w:val="21"/>
                <w:szCs w:val="21"/>
                <w:lang w:val="en-US" w:eastAsia="zh-CN"/>
                <w14:textFill>
                  <w14:solidFill>
                    <w14:schemeClr w14:val="tx1"/>
                  </w14:solidFill>
                </w14:textFill>
              </w:rPr>
              <w:t>3</w:t>
            </w: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 xml:space="preserve">  建设项目环境影响评价分类名录（节选）</w:t>
            </w:r>
          </w:p>
          <w:tbl>
            <w:tblPr>
              <w:tblStyle w:val="5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1540"/>
              <w:gridCol w:w="2341"/>
              <w:gridCol w:w="2612"/>
              <w:gridCol w:w="870"/>
              <w:gridCol w:w="1229"/>
            </w:tblGrid>
            <w:tr w14:paraId="4999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1174" w:type="pct"/>
                  <w:gridSpan w:val="2"/>
                  <w:vAlign w:val="center"/>
                </w:tcPr>
                <w:p w14:paraId="6DEF4D45">
                  <w:pPr>
                    <w:pStyle w:val="51"/>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项目类别</w:t>
                  </w:r>
                </w:p>
              </w:tc>
              <w:tc>
                <w:tcPr>
                  <w:tcW w:w="1270" w:type="pct"/>
                  <w:vAlign w:val="center"/>
                </w:tcPr>
                <w:p w14:paraId="1A8859CC">
                  <w:pPr>
                    <w:pStyle w:val="51"/>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报告书</w:t>
                  </w:r>
                </w:p>
              </w:tc>
              <w:tc>
                <w:tcPr>
                  <w:tcW w:w="1417" w:type="pct"/>
                  <w:vAlign w:val="center"/>
                </w:tcPr>
                <w:p w14:paraId="1CA5CC3C">
                  <w:pPr>
                    <w:pStyle w:val="51"/>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报告表</w:t>
                  </w:r>
                </w:p>
              </w:tc>
              <w:tc>
                <w:tcPr>
                  <w:tcW w:w="470" w:type="pct"/>
                  <w:vAlign w:val="center"/>
                </w:tcPr>
                <w:p w14:paraId="5B6F8C8D">
                  <w:pPr>
                    <w:pStyle w:val="51"/>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登记表</w:t>
                  </w:r>
                </w:p>
              </w:tc>
              <w:tc>
                <w:tcPr>
                  <w:tcW w:w="666" w:type="pct"/>
                  <w:vAlign w:val="center"/>
                </w:tcPr>
                <w:p w14:paraId="29B7EB45">
                  <w:pPr>
                    <w:pStyle w:val="51"/>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本栏目环境敏感区含义</w:t>
                  </w:r>
                </w:p>
              </w:tc>
            </w:tr>
            <w:tr w14:paraId="3A44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4333" w:type="pct"/>
                  <w:gridSpan w:val="5"/>
                  <w:vAlign w:val="center"/>
                </w:tcPr>
                <w:p w14:paraId="015774B2">
                  <w:pPr>
                    <w:pStyle w:val="13"/>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二十七、非金属矿物制品业 30</w:t>
                  </w:r>
                </w:p>
              </w:tc>
              <w:tc>
                <w:tcPr>
                  <w:tcW w:w="666" w:type="pct"/>
                  <w:vAlign w:val="center"/>
                </w:tcPr>
                <w:p w14:paraId="79C4BEF1">
                  <w:pPr>
                    <w:pStyle w:val="13"/>
                    <w:rPr>
                      <w:rFonts w:hint="eastAsia"/>
                      <w:color w:val="000000" w:themeColor="text1"/>
                      <w:lang w:val="en-US" w:eastAsia="zh-CN"/>
                      <w14:textFill>
                        <w14:solidFill>
                          <w14:schemeClr w14:val="tx1"/>
                        </w14:solidFill>
                      </w14:textFill>
                    </w:rPr>
                  </w:pPr>
                </w:p>
              </w:tc>
            </w:tr>
            <w:tr w14:paraId="395E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38" w:type="pct"/>
                  <w:vAlign w:val="center"/>
                </w:tcPr>
                <w:p w14:paraId="27F991BA">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303</w:t>
                  </w:r>
                </w:p>
              </w:tc>
              <w:tc>
                <w:tcPr>
                  <w:tcW w:w="836" w:type="pct"/>
                  <w:vAlign w:val="center"/>
                </w:tcPr>
                <w:p w14:paraId="64955669">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砖瓦、石材等建筑材料制造</w:t>
                  </w:r>
                </w:p>
              </w:tc>
              <w:tc>
                <w:tcPr>
                  <w:tcW w:w="1270" w:type="pct"/>
                  <w:vAlign w:val="center"/>
                </w:tcPr>
                <w:p w14:paraId="435211AD">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417" w:type="pct"/>
                  <w:vAlign w:val="center"/>
                </w:tcPr>
                <w:p w14:paraId="3047C681">
                  <w:pPr>
                    <w:pStyle w:val="13"/>
                    <w:ind w:firstLine="0" w:firstLineChars="0"/>
                    <w:rPr>
                      <w:rFonts w:hint="default"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粘土砖瓦及建筑砌块制造</w:t>
                  </w:r>
                </w:p>
              </w:tc>
              <w:tc>
                <w:tcPr>
                  <w:tcW w:w="470" w:type="pct"/>
                  <w:vAlign w:val="center"/>
                </w:tcPr>
                <w:p w14:paraId="69FCDCAC">
                  <w:pPr>
                    <w:pStyle w:val="13"/>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666" w:type="pct"/>
                  <w:vAlign w:val="center"/>
                </w:tcPr>
                <w:p w14:paraId="5CB6FE3E">
                  <w:pPr>
                    <w:pStyle w:val="13"/>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r>
            <w:tr w14:paraId="3B55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5000" w:type="pct"/>
                  <w:gridSpan w:val="6"/>
                  <w:vAlign w:val="center"/>
                </w:tcPr>
                <w:p w14:paraId="49C44554">
                  <w:pPr>
                    <w:pStyle w:val="13"/>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四十七、生态保护和环境治理业</w:t>
                  </w:r>
                </w:p>
              </w:tc>
            </w:tr>
            <w:tr w14:paraId="3E86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38" w:type="pct"/>
                  <w:vAlign w:val="center"/>
                </w:tcPr>
                <w:p w14:paraId="35E3FD4D">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103</w:t>
                  </w:r>
                </w:p>
              </w:tc>
              <w:tc>
                <w:tcPr>
                  <w:tcW w:w="836" w:type="pct"/>
                  <w:vAlign w:val="center"/>
                </w:tcPr>
                <w:p w14:paraId="7130BF94">
                  <w:pPr>
                    <w:pStyle w:val="13"/>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一般工业固体废物（含污水处理污泥）、建筑施工废弃物处置及综合利用</w:t>
                  </w:r>
                </w:p>
              </w:tc>
              <w:tc>
                <w:tcPr>
                  <w:tcW w:w="1270" w:type="pct"/>
                  <w:vAlign w:val="center"/>
                </w:tcPr>
                <w:p w14:paraId="32882C54">
                  <w:pPr>
                    <w:pStyle w:val="13"/>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一般工业固体废物（含污水处理污泥）采取填埋、焚烧（水泥窑协同处置的改造项目除外）方式的</w:t>
                  </w:r>
                </w:p>
              </w:tc>
              <w:tc>
                <w:tcPr>
                  <w:tcW w:w="1417" w:type="pct"/>
                  <w:vAlign w:val="center"/>
                </w:tcPr>
                <w:p w14:paraId="0908C525">
                  <w:pPr>
                    <w:pStyle w:val="13"/>
                    <w:rPr>
                      <w:rFonts w:hint="default" w:cs="Times New Roman"/>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其他</w:t>
                  </w:r>
                </w:p>
              </w:tc>
              <w:tc>
                <w:tcPr>
                  <w:tcW w:w="470" w:type="pct"/>
                  <w:vAlign w:val="center"/>
                </w:tcPr>
                <w:p w14:paraId="28AB5432">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666" w:type="pct"/>
                  <w:vAlign w:val="center"/>
                </w:tcPr>
                <w:p w14:paraId="5A5E4528">
                  <w:pPr>
                    <w:pStyle w:val="13"/>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r>
          </w:tbl>
          <w:p w14:paraId="01D6636E">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根据《建设项目环境影响评价分类管理名录》（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2021</w:t>
            </w:r>
            <w:r>
              <w:rPr>
                <w:rFonts w:hint="eastAsia" w:ascii="宋体" w:hAnsi="宋体" w:eastAsia="宋体" w:cs="宋体"/>
                <w:color w:val="000000" w:themeColor="text1"/>
                <w:kern w:val="0"/>
                <w:sz w:val="24"/>
                <w:szCs w:val="24"/>
                <w:lang w:val="en-US" w:eastAsia="zh-CN" w:bidi="ar"/>
                <w14:textFill>
                  <w14:solidFill>
                    <w14:schemeClr w14:val="tx1"/>
                  </w14:solidFill>
                </w14:textFill>
              </w:rPr>
              <w:t>年版），建设内容涉及本名录中两个及以上项目类别的建设项目，其环境影响评价类别按照其中单项等级最高的确定，上述类别均为报告表，则应编制环境影响报告表。</w:t>
            </w:r>
            <w:r>
              <w:rPr>
                <w:rFonts w:hint="eastAsia" w:ascii="宋体" w:hAnsi="宋体" w:cs="宋体"/>
                <w:color w:val="000000" w:themeColor="text1"/>
                <w:kern w:val="0"/>
                <w:sz w:val="24"/>
                <w:szCs w:val="24"/>
                <w:lang w:val="en-US" w:eastAsia="zh-CN" w:bidi="ar"/>
                <w14:textFill>
                  <w14:solidFill>
                    <w14:schemeClr w14:val="tx1"/>
                  </w14:solidFill>
                </w14:textFill>
              </w:rPr>
              <w:t>综上，</w:t>
            </w:r>
            <w:r>
              <w:rPr>
                <w:rFonts w:hint="eastAsia" w:ascii="宋体" w:hAnsi="宋体" w:eastAsia="宋体" w:cs="宋体"/>
                <w:color w:val="000000" w:themeColor="text1"/>
                <w:kern w:val="0"/>
                <w:sz w:val="24"/>
                <w:szCs w:val="24"/>
                <w:lang w:val="en-US" w:eastAsia="zh-CN" w:bidi="ar"/>
                <w14:textFill>
                  <w14:solidFill>
                    <w14:schemeClr w14:val="tx1"/>
                  </w14:solidFill>
                </w14:textFill>
              </w:rPr>
              <w:t>巴中瑞成环保科技有限公司委托四川</w:t>
            </w:r>
            <w:r>
              <w:rPr>
                <w:rFonts w:hint="eastAsia" w:ascii="宋体" w:hAnsi="宋体" w:cs="宋体"/>
                <w:color w:val="000000" w:themeColor="text1"/>
                <w:kern w:val="0"/>
                <w:sz w:val="24"/>
                <w:szCs w:val="24"/>
                <w:lang w:val="en-US" w:eastAsia="zh-CN" w:bidi="ar"/>
                <w14:textFill>
                  <w14:solidFill>
                    <w14:schemeClr w14:val="tx1"/>
                  </w14:solidFill>
                </w14:textFill>
              </w:rPr>
              <w:t>启创环保科技</w:t>
            </w:r>
            <w:r>
              <w:rPr>
                <w:rFonts w:hint="eastAsia" w:ascii="宋体" w:hAnsi="宋体" w:eastAsia="宋体" w:cs="宋体"/>
                <w:color w:val="000000" w:themeColor="text1"/>
                <w:kern w:val="0"/>
                <w:sz w:val="24"/>
                <w:szCs w:val="24"/>
                <w:lang w:val="en-US" w:eastAsia="zh-CN" w:bidi="ar"/>
                <w14:textFill>
                  <w14:solidFill>
                    <w14:schemeClr w14:val="tx1"/>
                  </w14:solidFill>
                </w14:textFill>
              </w:rPr>
              <w:t>有限公司承担该项目环境影响报告表的编制工作，</w:t>
            </w:r>
            <w:r>
              <w:rPr>
                <w:rFonts w:hint="eastAsia" w:ascii="宋体" w:hAnsi="宋体" w:cs="宋体"/>
                <w:color w:val="000000" w:themeColor="text1"/>
                <w:kern w:val="0"/>
                <w:sz w:val="24"/>
                <w:szCs w:val="24"/>
                <w:lang w:val="en-US" w:eastAsia="zh-CN" w:bidi="ar"/>
                <w14:textFill>
                  <w14:solidFill>
                    <w14:schemeClr w14:val="tx1"/>
                  </w14:solidFill>
                </w14:textFill>
              </w:rPr>
              <w:t>四川启创环保科技有限公司</w:t>
            </w:r>
            <w:r>
              <w:rPr>
                <w:rFonts w:hint="eastAsia" w:ascii="宋体" w:hAnsi="宋体" w:eastAsia="宋体" w:cs="宋体"/>
                <w:color w:val="000000" w:themeColor="text1"/>
                <w:kern w:val="0"/>
                <w:sz w:val="24"/>
                <w:szCs w:val="24"/>
                <w:lang w:val="en-US" w:eastAsia="zh-CN" w:bidi="ar"/>
                <w14:textFill>
                  <w14:solidFill>
                    <w14:schemeClr w14:val="tx1"/>
                  </w14:solidFill>
                </w14:textFill>
              </w:rPr>
              <w:t>接受委托后，对项目进行了现场踏勘和资料收集工作，在充分掌握项目资料的基础上，依据国家相关环保法律法规及有关技术规范的规定和要求，编制完成了该项目的环境影响报告表。</w:t>
            </w:r>
          </w:p>
          <w:p w14:paraId="324701E6">
            <w:pPr>
              <w:pStyle w:val="4"/>
              <w:keepNext w:val="0"/>
              <w:keepLines w:val="0"/>
              <w:pageBreakBefore w:val="0"/>
              <w:kinsoku/>
              <w:wordWrap/>
              <w:overflowPunct/>
              <w:topLinePunct w:val="0"/>
              <w:autoSpaceDE/>
              <w:autoSpaceDN/>
              <w:bidi w:val="0"/>
              <w:adjustRightInd/>
              <w:snapToGrid/>
              <w:spacing w:before="0" w:beforeLines="0"/>
              <w:textAlignment w:val="auto"/>
              <w:rPr>
                <w:color w:val="000000" w:themeColor="text1"/>
                <w14:textFill>
                  <w14:solidFill>
                    <w14:schemeClr w14:val="tx1"/>
                  </w14:solidFill>
                </w14:textFill>
              </w:rPr>
            </w:pPr>
            <w:r>
              <w:rPr>
                <w:color w:val="000000" w:themeColor="text1"/>
                <w14:textFill>
                  <w14:solidFill>
                    <w14:schemeClr w14:val="tx1"/>
                  </w14:solidFill>
                </w14:textFill>
              </w:rPr>
              <w:t>2、项目概括</w:t>
            </w:r>
          </w:p>
          <w:p w14:paraId="2192F64F">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（1）项目名称：</w:t>
            </w:r>
            <w:r>
              <w:rPr>
                <w:rFonts w:hint="eastAsia" w:ascii="宋体" w:hAnsi="宋体" w:cs="宋体"/>
                <w:color w:val="000000" w:themeColor="text1"/>
                <w:kern w:val="0"/>
                <w:sz w:val="24"/>
                <w:szCs w:val="24"/>
                <w:lang w:val="en-US" w:eastAsia="zh-CN" w:bidi="ar"/>
                <w14:textFill>
                  <w14:solidFill>
                    <w14:schemeClr w14:val="tx1"/>
                  </w14:solidFill>
                </w14:textFill>
              </w:rPr>
              <w:t>巴中瑞成环保科技有限公司水基岩屑综合利用及处理项目（重新报批）</w:t>
            </w:r>
          </w:p>
          <w:p w14:paraId="5F6A60B1">
            <w:pPr>
              <w:keepNext w:val="0"/>
              <w:keepLines w:val="0"/>
              <w:pageBreakBefore w:val="0"/>
              <w:kinsoku/>
              <w:wordWrap/>
              <w:overflowPunct/>
              <w:topLinePunct w:val="0"/>
              <w:autoSpaceDE/>
              <w:autoSpaceDN/>
              <w:bidi w:val="0"/>
              <w:adjustRightInd/>
              <w:snapToGrid/>
              <w:ind w:firstLine="480"/>
              <w:textAlignment w:val="auto"/>
              <w:rPr>
                <w:rFonts w:hint="default"/>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（2）项目代码：</w:t>
            </w:r>
            <w:r>
              <w:rPr>
                <w:rFonts w:hint="eastAsia"/>
                <w:color w:val="000000" w:themeColor="text1"/>
                <w:lang w:val="en-US" w:eastAsia="zh-CN"/>
                <w14:textFill>
                  <w14:solidFill>
                    <w14:schemeClr w14:val="tx1"/>
                  </w14:solidFill>
                </w14:textFill>
              </w:rPr>
              <w:t>2407-511923-04-01-943048</w:t>
            </w:r>
          </w:p>
          <w:p w14:paraId="1DFFFD02">
            <w:pPr>
              <w:keepNext w:val="0"/>
              <w:keepLines w:val="0"/>
              <w:pageBreakBefore w:val="0"/>
              <w:kinsoku/>
              <w:wordWrap/>
              <w:overflowPunct/>
              <w:topLinePunct w:val="0"/>
              <w:autoSpaceDE/>
              <w:autoSpaceDN/>
              <w:bidi w:val="0"/>
              <w:adjustRightInd/>
              <w:snapToGrid/>
              <w:ind w:firstLine="480"/>
              <w:textAlignment w:val="auto"/>
              <w:rPr>
                <w:rFonts w:hint="eastAsia" w:eastAsia="宋体" w:cs="Times New Roman"/>
                <w:color w:val="000000" w:themeColor="text1"/>
                <w:lang w:eastAsia="zh-CN"/>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w:t>
            </w:r>
            <w:r>
              <w:rPr>
                <w:rFonts w:cs="Times New Roman"/>
                <w:color w:val="000000" w:themeColor="text1"/>
                <w14:textFill>
                  <w14:solidFill>
                    <w14:schemeClr w14:val="tx1"/>
                  </w14:solidFill>
                </w14:textFill>
              </w:rPr>
              <w:t>）建设性质：新建</w:t>
            </w:r>
          </w:p>
          <w:p w14:paraId="0099F412">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w:t>
            </w:r>
            <w:r>
              <w:rPr>
                <w:rFonts w:cs="Times New Roman"/>
                <w:color w:val="000000" w:themeColor="text1"/>
                <w14:textFill>
                  <w14:solidFill>
                    <w14:schemeClr w14:val="tx1"/>
                  </w14:solidFill>
                </w14:textFill>
              </w:rPr>
              <w:t>）建设单位：</w:t>
            </w:r>
            <w:r>
              <w:rPr>
                <w:rFonts w:hint="eastAsia" w:ascii="宋体" w:hAnsi="宋体" w:eastAsia="宋体" w:cs="宋体"/>
                <w:color w:val="000000" w:themeColor="text1"/>
                <w:kern w:val="0"/>
                <w:sz w:val="24"/>
                <w:szCs w:val="24"/>
                <w:lang w:val="en-US" w:eastAsia="zh-CN" w:bidi="ar"/>
                <w14:textFill>
                  <w14:solidFill>
                    <w14:schemeClr w14:val="tx1"/>
                  </w14:solidFill>
                </w14:textFill>
              </w:rPr>
              <w:t>巴中瑞成环保科技有限公司</w:t>
            </w:r>
          </w:p>
          <w:p w14:paraId="2D350ED0">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cs="Times New Roman"/>
                <w:color w:val="000000" w:themeColor="text1"/>
                <w14:textFill>
                  <w14:solidFill>
                    <w14:schemeClr w14:val="tx1"/>
                  </w14:solidFill>
                </w14:textFill>
              </w:rPr>
              <w:t>）建设地点：</w:t>
            </w:r>
            <w:r>
              <w:rPr>
                <w:rFonts w:hint="eastAsia"/>
                <w:color w:val="000000" w:themeColor="text1"/>
                <w14:textFill>
                  <w14:solidFill>
                    <w14:schemeClr w14:val="tx1"/>
                  </w14:solidFill>
                </w14:textFill>
              </w:rPr>
              <w:t>四川省平昌县星光工业园施迈路</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号</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1号厂房、2号厂房、3号厂房</w:t>
            </w:r>
            <w:r>
              <w:rPr>
                <w:rFonts w:hint="eastAsia"/>
                <w:color w:val="000000" w:themeColor="text1"/>
                <w:sz w:val="24"/>
                <w:szCs w:val="24"/>
                <w:lang w:eastAsia="zh-CN"/>
                <w14:textFill>
                  <w14:solidFill>
                    <w14:schemeClr w14:val="tx1"/>
                  </w14:solidFill>
                </w14:textFill>
              </w:rPr>
              <w:t>）</w:t>
            </w:r>
          </w:p>
          <w:p w14:paraId="678604D9">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6</w:t>
            </w:r>
            <w:r>
              <w:rPr>
                <w:rFonts w:cs="Times New Roman"/>
                <w:color w:val="000000" w:themeColor="text1"/>
                <w14:textFill>
                  <w14:solidFill>
                    <w14:schemeClr w14:val="tx1"/>
                  </w14:solidFill>
                </w14:textFill>
              </w:rPr>
              <w:t>）占地面积：</w:t>
            </w:r>
            <w:r>
              <w:rPr>
                <w:rFonts w:hint="eastAsia" w:cs="Times New Roman"/>
                <w:color w:val="000000" w:themeColor="text1"/>
                <w:lang w:val="en-US" w:eastAsia="zh-CN"/>
                <w14:textFill>
                  <w14:solidFill>
                    <w14:schemeClr w14:val="tx1"/>
                  </w14:solidFill>
                </w14:textFill>
              </w:rPr>
              <w:t>约10000</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2</w:t>
            </w:r>
          </w:p>
          <w:p w14:paraId="1B74E285">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7</w:t>
            </w:r>
            <w:r>
              <w:rPr>
                <w:rFonts w:cs="Times New Roman"/>
                <w:color w:val="000000" w:themeColor="text1"/>
                <w14:textFill>
                  <w14:solidFill>
                    <w14:schemeClr w14:val="tx1"/>
                  </w14:solidFill>
                </w14:textFill>
              </w:rPr>
              <w:t>）总投资及资金来源：</w:t>
            </w:r>
            <w:r>
              <w:rPr>
                <w:rFonts w:hint="eastAsia" w:cs="Times New Roman"/>
                <w:color w:val="000000" w:themeColor="text1"/>
                <w:lang w:val="en-US" w:eastAsia="zh-CN"/>
                <w14:textFill>
                  <w14:solidFill>
                    <w14:schemeClr w14:val="tx1"/>
                  </w14:solidFill>
                </w14:textFill>
              </w:rPr>
              <w:t>3000</w:t>
            </w:r>
            <w:r>
              <w:rPr>
                <w:rFonts w:cs="Times New Roman"/>
                <w:color w:val="000000" w:themeColor="text1"/>
                <w14:textFill>
                  <w14:solidFill>
                    <w14:schemeClr w14:val="tx1"/>
                  </w14:solidFill>
                </w14:textFill>
              </w:rPr>
              <w:t>万元，自筹</w:t>
            </w:r>
          </w:p>
          <w:p w14:paraId="754C93CC">
            <w:pPr>
              <w:keepNext w:val="0"/>
              <w:keepLines w:val="0"/>
              <w:pageBreakBefore w:val="0"/>
              <w:kinsoku/>
              <w:wordWrap/>
              <w:overflowPunct/>
              <w:topLinePunct w:val="0"/>
              <w:autoSpaceDE/>
              <w:autoSpaceDN/>
              <w:bidi w:val="0"/>
              <w:adjustRightInd/>
              <w:snapToGrid/>
              <w:ind w:firstLine="48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8</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现状情况：租用厂房（1号厂房、2号厂房、3号厂房）现状空置</w:t>
            </w:r>
          </w:p>
          <w:p w14:paraId="0CA87016">
            <w:pPr>
              <w:keepNext w:val="0"/>
              <w:keepLines w:val="0"/>
              <w:pageBreakBefore w:val="0"/>
              <w:kinsoku/>
              <w:wordWrap/>
              <w:overflowPunct/>
              <w:topLinePunct w:val="0"/>
              <w:autoSpaceDE/>
              <w:autoSpaceDN/>
              <w:bidi w:val="0"/>
              <w:adjustRightInd/>
              <w:snapToGrid/>
              <w:ind w:firstLine="480"/>
              <w:textAlignment w:val="auto"/>
              <w:rPr>
                <w:rFonts w:hint="eastAsia"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（9）建设内容简述：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租用四川金联玉合电气有限公司已建厂区内已建厂房（1号、2号、3号厂房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，总计占地约1万m</w:t>
            </w:r>
            <w:r>
              <w:rPr>
                <w:rFonts w:hint="default" w:ascii="Times New Roman" w:hAnsi="Times New Roman" w:cs="Times New Roman"/>
                <w:color w:val="000000" w:themeColor="text1"/>
                <w:kern w:val="0"/>
                <w:sz w:val="24"/>
                <w:szCs w:val="24"/>
                <w:vertAlign w:val="superscript"/>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），进行适应性改造，建设水基岩屑综合利用</w:t>
            </w:r>
            <w:r>
              <w:rPr>
                <w:rFonts w:hint="eastAsia" w:cs="Times New Roman"/>
                <w:color w:val="000000" w:themeColor="text1"/>
                <w:kern w:val="0"/>
                <w:sz w:val="24"/>
                <w:szCs w:val="24"/>
                <w:lang w:val="en-US" w:eastAsia="zh-CN" w:bidi="ar"/>
                <w14:textFill>
                  <w14:solidFill>
                    <w14:schemeClr w14:val="tx1"/>
                  </w14:solidFill>
                </w14:textFill>
              </w:rPr>
              <w:t>及处理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w:t>
            </w:r>
            <w:r>
              <w:rPr>
                <w:rFonts w:hint="eastAsia" w:cs="Times New Roman"/>
                <w:color w:val="000000" w:themeColor="text1"/>
                <w:kern w:val="0"/>
                <w:sz w:val="24"/>
                <w:szCs w:val="24"/>
                <w:lang w:val="en-US" w:eastAsia="zh-CN" w:bidi="ar"/>
                <w14:textFill>
                  <w14:solidFill>
                    <w14:schemeClr w14:val="tx1"/>
                  </w14:solidFill>
                </w14:textFill>
              </w:rPr>
              <w:t>。项目将含水率</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70%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水基岩屑</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预处理压滤脱水</w:t>
            </w:r>
            <w:r>
              <w:rPr>
                <w:rFonts w:hint="eastAsia" w:cs="Times New Roman"/>
                <w:color w:val="000000" w:themeColor="text1"/>
                <w:kern w:val="0"/>
                <w:sz w:val="24"/>
                <w:szCs w:val="24"/>
                <w:lang w:val="en-US" w:eastAsia="zh-CN" w:bidi="ar"/>
                <w14:textFill>
                  <w14:solidFill>
                    <w14:schemeClr w14:val="tx1"/>
                  </w14:solidFill>
                </w14:textFill>
              </w:rPr>
              <w:t>后</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再经</w:t>
            </w:r>
            <w:r>
              <w:rPr>
                <w:rFonts w:hint="eastAsia" w:cs="Times New Roman"/>
                <w:color w:val="000000" w:themeColor="text1"/>
                <w:sz w:val="24"/>
                <w:szCs w:val="24"/>
                <w:lang w:val="en-US" w:eastAsia="zh-CN"/>
                <w14:textFill>
                  <w14:solidFill>
                    <w14:schemeClr w14:val="tx1"/>
                  </w14:solidFill>
                </w14:textFill>
              </w:rPr>
              <w:t>干燥、预热和</w:t>
            </w:r>
            <w:r>
              <w:rPr>
                <w:rFonts w:hint="eastAsia" w:cs="Times New Roman"/>
                <w:color w:val="000000" w:themeColor="text1"/>
                <w:kern w:val="0"/>
                <w:sz w:val="24"/>
                <w:szCs w:val="24"/>
                <w:lang w:val="en-US" w:eastAsia="zh-CN" w:bidi="ar"/>
                <w14:textFill>
                  <w14:solidFill>
                    <w14:schemeClr w14:val="tx1"/>
                  </w14:solidFill>
                </w14:textFill>
              </w:rPr>
              <w:t>煅烧预处理后，</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添加碎石、水泥</w:t>
            </w:r>
            <w:r>
              <w:rPr>
                <w:rFonts w:hint="eastAsia" w:cs="Times New Roman"/>
                <w:color w:val="000000" w:themeColor="text1"/>
                <w:kern w:val="0"/>
                <w:sz w:val="24"/>
                <w:szCs w:val="24"/>
                <w:lang w:val="en-US" w:eastAsia="zh-CN" w:bidi="ar"/>
                <w14:textFill>
                  <w14:solidFill>
                    <w14:schemeClr w14:val="tx1"/>
                  </w14:solidFill>
                </w14:textFill>
              </w:rPr>
              <w:t>、固化剂、水</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等生产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项目建设完成后，可综合利用水基岩屑</w:t>
            </w:r>
            <w:r>
              <w:rPr>
                <w:rFonts w:hint="eastAsia" w:cs="Times New Roman"/>
                <w:color w:val="000000" w:themeColor="text1"/>
                <w:kern w:val="0"/>
                <w:sz w:val="24"/>
                <w:szCs w:val="24"/>
                <w:lang w:val="en-US" w:eastAsia="zh-CN" w:bidi="ar"/>
                <w14:textFill>
                  <w14:solidFill>
                    <w14:schemeClr w14:val="tx1"/>
                  </w14:solidFill>
                </w14:textFill>
              </w:rPr>
              <w:t>20万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约</w:t>
            </w:r>
            <w:r>
              <w:rPr>
                <w:rFonts w:hint="eastAsia" w:cs="Times New Roman"/>
                <w:color w:val="000000" w:themeColor="text1"/>
                <w:kern w:val="0"/>
                <w:sz w:val="24"/>
                <w:szCs w:val="24"/>
                <w:lang w:val="en-US" w:eastAsia="zh-CN" w:bidi="ar"/>
                <w14:textFill>
                  <w14:solidFill>
                    <w14:schemeClr w14:val="tx1"/>
                  </w14:solidFill>
                </w14:textFill>
              </w:rPr>
              <w:t>22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万t/a</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22ECBC7D">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本项目不涉及水基岩屑</w:t>
            </w:r>
            <w:r>
              <w:rPr>
                <w:rFonts w:hint="eastAsia" w:cs="Times New Roman"/>
                <w:color w:val="000000" w:themeColor="text1"/>
                <w:kern w:val="0"/>
                <w:sz w:val="24"/>
                <w:szCs w:val="24"/>
                <w:lang w:val="en-US" w:eastAsia="zh-CN" w:bidi="ar"/>
                <w14:textFill>
                  <w14:solidFill>
                    <w14:schemeClr w14:val="tx1"/>
                  </w14:solidFill>
                </w14:textFill>
              </w:rPr>
              <w:t>的</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收集、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运输，只接收和处理水基岩屑，由合作</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的水基岩屑产</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生单位或第三方运输单位运输至项目厂区内。</w:t>
            </w:r>
          </w:p>
          <w:p w14:paraId="1DA6995C">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10</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）人员及工作制度：工作人员20人，厂区内</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设置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食宿。年工作天数330日，24小时3班轮班制，单班工作时间</w:t>
            </w:r>
            <w:r>
              <w:rPr>
                <w:rFonts w:hint="eastAsia" w:cs="Times New Roman"/>
                <w:color w:val="000000" w:themeColor="text1"/>
                <w:kern w:val="0"/>
                <w:sz w:val="24"/>
                <w:szCs w:val="24"/>
                <w:lang w:val="en-US" w:eastAsia="zh-CN" w:bidi="ar"/>
                <w14:textFill>
                  <w14:solidFill>
                    <w14:schemeClr w14:val="tx1"/>
                  </w14:solidFill>
                </w14:textFill>
              </w:rPr>
              <w:t>8</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h。</w:t>
            </w:r>
          </w:p>
          <w:p w14:paraId="0508405B">
            <w:pPr>
              <w:pStyle w:val="4"/>
              <w:keepNext w:val="0"/>
              <w:keepLines w:val="0"/>
              <w:pageBreakBefore w:val="0"/>
              <w:kinsoku/>
              <w:wordWrap/>
              <w:overflowPunct/>
              <w:topLinePunct w:val="0"/>
              <w:autoSpaceDE/>
              <w:autoSpaceDN/>
              <w:bidi w:val="0"/>
              <w:adjustRightInd/>
              <w:snapToGrid/>
              <w:spacing w:before="0" w:beforeLines="0"/>
              <w:textAlignment w:val="auto"/>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一般固废综合利用</w:t>
            </w:r>
            <w:r>
              <w:rPr>
                <w:color w:val="000000" w:themeColor="text1"/>
                <w14:textFill>
                  <w14:solidFill>
                    <w14:schemeClr w14:val="tx1"/>
                  </w14:solidFill>
                </w14:textFill>
              </w:rPr>
              <w:t>方案</w:t>
            </w:r>
          </w:p>
          <w:p w14:paraId="50243CA4">
            <w:pPr>
              <w:keepNext w:val="0"/>
              <w:keepLines w:val="0"/>
              <w:pageBreakBefore w:val="0"/>
              <w:kinsoku/>
              <w:wordWrap/>
              <w:overflowPunct/>
              <w:topLinePunct w:val="0"/>
              <w:autoSpaceDE/>
              <w:autoSpaceDN/>
              <w:bidi w:val="0"/>
              <w:adjustRightInd/>
              <w:snapToGrid/>
              <w:textAlignment w:val="auto"/>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（1）水基岩屑的综合利用方案</w:t>
            </w:r>
          </w:p>
          <w:p w14:paraId="4150A3E8">
            <w:pPr>
              <w:keepNext w:val="0"/>
              <w:keepLines w:val="0"/>
              <w:pageBreakBefore w:val="0"/>
              <w:kinsoku/>
              <w:wordWrap/>
              <w:overflowPunct/>
              <w:topLinePunct w:val="0"/>
              <w:autoSpaceDE/>
              <w:autoSpaceDN/>
              <w:bidi w:val="0"/>
              <w:adjustRightInd/>
              <w:snapToGrid/>
              <w:textAlignment w:val="auto"/>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1）本项目水基岩屑综合利用情况</w:t>
            </w:r>
          </w:p>
          <w:p w14:paraId="1C264FB6">
            <w:pPr>
              <w:ind w:firstLine="480"/>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本项目主要</w:t>
            </w:r>
            <w:r>
              <w:rPr>
                <w:rFonts w:hint="eastAsia" w:ascii="宋体" w:hAnsi="宋体" w:cs="宋体"/>
                <w:color w:val="000000" w:themeColor="text1"/>
                <w:kern w:val="0"/>
                <w:sz w:val="24"/>
                <w:szCs w:val="24"/>
                <w:lang w:val="en-US" w:eastAsia="zh-CN" w:bidi="ar"/>
                <w14:textFill>
                  <w14:solidFill>
                    <w14:schemeClr w14:val="tx1"/>
                  </w14:solidFill>
                </w14:textFill>
              </w:rPr>
              <w:t>综合利用</w:t>
            </w:r>
            <w:r>
              <w:rPr>
                <w:rFonts w:hint="eastAsia" w:cs="Times New Roman"/>
                <w:color w:val="000000" w:themeColor="text1"/>
                <w:lang w:val="en-US" w:eastAsia="zh-CN"/>
                <w14:textFill>
                  <w14:solidFill>
                    <w14:schemeClr w14:val="tx1"/>
                  </w14:solidFill>
                </w14:textFill>
              </w:rPr>
              <w:t>合作</w:t>
            </w:r>
            <w:r>
              <w:rPr>
                <w:rFonts w:hint="eastAsia" w:ascii="宋体" w:hAnsi="宋体" w:eastAsia="宋体" w:cs="宋体"/>
                <w:color w:val="000000" w:themeColor="text1"/>
                <w:kern w:val="0"/>
                <w:sz w:val="24"/>
                <w:szCs w:val="24"/>
                <w:lang w:val="en-US" w:eastAsia="zh-CN" w:bidi="ar"/>
                <w14:textFill>
                  <w14:solidFill>
                    <w14:schemeClr w14:val="tx1"/>
                  </w14:solidFill>
                </w14:textFill>
              </w:rPr>
              <w:t>单位四川省顺祥油气工程有限公司运输过来的四川境内水基岩屑，由合作单位或第三方运输单位专用罐装运输车运输至本项目进行资源化利用。</w:t>
            </w:r>
          </w:p>
          <w:p w14:paraId="05E3B5C4">
            <w:pPr>
              <w:ind w:firstLine="48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根据《陆上石油天然气钻井环境保护技术规范》（SYT7298-2024）中“7.1.3钻井施工使用水基钻井液时，宜对水基钻井固体废物收集后集中处置。采用随钻处理时配备板框压滤机等固液分离设备，水基钻井固体废物脱液后含水率（质量分数）应不超过70%”，因此，</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本项目设计最大年综合利用水基岩屑</w:t>
            </w:r>
            <w:r>
              <w:rPr>
                <w:rFonts w:hint="eastAsia" w:cs="Times New Roman"/>
                <w:color w:val="000000" w:themeColor="text1"/>
                <w:kern w:val="0"/>
                <w:sz w:val="24"/>
                <w:szCs w:val="24"/>
                <w:lang w:val="en-US" w:eastAsia="zh-CN" w:bidi="ar"/>
                <w14:textFill>
                  <w14:solidFill>
                    <w14:schemeClr w14:val="tx1"/>
                  </w14:solidFill>
                </w14:textFill>
              </w:rPr>
              <w:t>20万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，含水率≤</w:t>
            </w:r>
            <w:r>
              <w:rPr>
                <w:rFonts w:hint="eastAsia" w:cs="Times New Roman"/>
                <w:color w:val="000000" w:themeColor="text1"/>
                <w:kern w:val="0"/>
                <w:sz w:val="24"/>
                <w:szCs w:val="24"/>
                <w:lang w:val="en-US" w:eastAsia="zh-CN" w:bidi="ar"/>
                <w14:textFill>
                  <w14:solidFill>
                    <w14:schemeClr w14:val="tx1"/>
                  </w14:solidFill>
                </w14:textFill>
              </w:rPr>
              <w:t>70</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34959A40">
            <w:pPr>
              <w:keepNext w:val="0"/>
              <w:keepLines w:val="0"/>
              <w:widowControl/>
              <w:suppressLineNumbers w:val="0"/>
              <w:jc w:val="left"/>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2）水基岩屑理化性质及综合利用可行性分析</w:t>
            </w:r>
          </w:p>
          <w:p w14:paraId="5D5D7BD6">
            <w:pPr>
              <w:keepNext w:val="0"/>
              <w:keepLines w:val="0"/>
              <w:widowControl/>
              <w:suppressLineNumbers w:val="0"/>
              <w:jc w:val="left"/>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cs="Times New Roman"/>
                <w:b/>
                <w:bCs/>
                <w:color w:val="000000" w:themeColor="text1"/>
                <w:kern w:val="0"/>
                <w:sz w:val="24"/>
                <w:szCs w:val="24"/>
                <w:lang w:val="en-US" w:eastAsia="zh-CN" w:bidi="ar"/>
                <w14:textFill>
                  <w14:solidFill>
                    <w14:schemeClr w14:val="tx1"/>
                  </w14:solidFill>
                </w14:textFill>
              </w:rPr>
              <w:t>①水基岩屑的理化性质</w:t>
            </w:r>
          </w:p>
          <w:p w14:paraId="0D858144">
            <w:pPr>
              <w:pStyle w:val="16"/>
              <w:spacing w:after="0"/>
              <w:ind w:firstLine="482" w:firstLineChars="200"/>
              <w:rPr>
                <w:rFonts w:hint="default"/>
                <w:b/>
                <w:bCs/>
                <w:i/>
                <w:iCs/>
                <w:color w:val="000000" w:themeColor="text1"/>
                <w:lang w:val="en-US" w:eastAsia="zh-CN"/>
                <w14:textFill>
                  <w14:solidFill>
                    <w14:schemeClr w14:val="tx1"/>
                  </w14:solidFill>
                </w14:textFill>
              </w:rPr>
            </w:pPr>
            <w:r>
              <w:rPr>
                <w:rFonts w:hint="eastAsia"/>
                <w:b/>
                <w:bCs/>
                <w:i/>
                <w:iCs/>
                <w:color w:val="000000" w:themeColor="text1"/>
                <w:lang w:val="en-US" w:eastAsia="zh-CN"/>
                <w14:textFill>
                  <w14:solidFill>
                    <w14:schemeClr w14:val="tx1"/>
                  </w14:solidFill>
                </w14:textFill>
              </w:rPr>
              <w:t>该内容涉密，不予公开。</w:t>
            </w:r>
          </w:p>
          <w:p w14:paraId="50898410">
            <w:pPr>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②水基岩屑作为原料可行性分析</w:t>
            </w:r>
          </w:p>
          <w:p w14:paraId="6FD0B536">
            <w:pPr>
              <w:spacing w:line="360" w:lineRule="auto"/>
              <w:ind w:firstLine="480" w:firstLineChars="200"/>
              <w:rPr>
                <w:rFonts w:hint="eastAsia" w:ascii="Times New Roman" w:hAnsi="Times New Roman" w:eastAsia="宋体"/>
                <w:bCs/>
                <w:color w:val="000000" w:themeColor="text1"/>
                <w:sz w:val="24"/>
                <w:lang w:val="en-US" w:eastAsia="zh-CN"/>
                <w14:textFill>
                  <w14:solidFill>
                    <w14:schemeClr w14:val="tx1"/>
                  </w14:solidFill>
                </w14:textFill>
              </w:rPr>
            </w:pPr>
            <w:r>
              <w:rPr>
                <w:rFonts w:hint="eastAsia" w:ascii="Times New Roman" w:hAnsi="Times New Roman" w:eastAsia="宋体"/>
                <w:bCs/>
                <w:color w:val="000000" w:themeColor="text1"/>
                <w:sz w:val="24"/>
                <w:lang w:val="en-US" w:eastAsia="zh-CN"/>
                <w14:textFill>
                  <w14:solidFill>
                    <w14:schemeClr w14:val="tx1"/>
                  </w14:solidFill>
                </w14:textFill>
              </w:rPr>
              <w:t>a、</w:t>
            </w:r>
            <w:r>
              <w:rPr>
                <w:color w:val="000000" w:themeColor="text1"/>
                <w:sz w:val="24"/>
                <w14:textFill>
                  <w14:solidFill>
                    <w14:schemeClr w14:val="tx1"/>
                  </w14:solidFill>
                </w14:textFill>
              </w:rPr>
              <w:t>水基岩屑</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干基部分</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中</w:t>
            </w:r>
            <w:r>
              <w:rPr>
                <w:rFonts w:hint="eastAsia"/>
                <w:color w:val="000000" w:themeColor="text1"/>
                <w:sz w:val="24"/>
                <w14:textFill>
                  <w14:solidFill>
                    <w14:schemeClr w14:val="tx1"/>
                  </w14:solidFill>
                </w14:textFill>
              </w:rPr>
              <w:t>的主要成分为</w:t>
            </w:r>
            <w:r>
              <w:rPr>
                <w:color w:val="000000" w:themeColor="text1"/>
                <w:sz w:val="24"/>
                <w14:textFill>
                  <w14:solidFill>
                    <w14:schemeClr w14:val="tx1"/>
                  </w14:solidFill>
                </w14:textFill>
              </w:rPr>
              <w:t>二氧化硅、</w:t>
            </w:r>
            <w:r>
              <w:rPr>
                <w:rFonts w:hint="eastAsia"/>
                <w:color w:val="000000" w:themeColor="text1"/>
                <w:sz w:val="24"/>
                <w:lang w:val="en-US" w:eastAsia="zh-CN"/>
                <w14:textFill>
                  <w14:solidFill>
                    <w14:schemeClr w14:val="tx1"/>
                  </w14:solidFill>
                </w14:textFill>
              </w:rPr>
              <w:t>硅酸铝钾</w:t>
            </w: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碳酸钙、</w:t>
            </w:r>
            <w:r>
              <w:rPr>
                <w:rFonts w:hint="eastAsia"/>
                <w:color w:val="000000" w:themeColor="text1"/>
                <w:sz w:val="24"/>
                <w14:textFill>
                  <w14:solidFill>
                    <w14:schemeClr w14:val="tx1"/>
                  </w14:solidFill>
                </w14:textFill>
              </w:rPr>
              <w:t>氧化钙、</w:t>
            </w:r>
            <w:r>
              <w:rPr>
                <w:rFonts w:hint="eastAsia"/>
                <w:color w:val="000000" w:themeColor="text1"/>
                <w:sz w:val="24"/>
                <w:lang w:val="en-US" w:eastAsia="zh-CN"/>
                <w14:textFill>
                  <w14:solidFill>
                    <w14:schemeClr w14:val="tx1"/>
                  </w14:solidFill>
                </w14:textFill>
              </w:rPr>
              <w:t>氧化铁</w:t>
            </w:r>
            <w:r>
              <w:rPr>
                <w:rFonts w:hint="eastAsia"/>
                <w:color w:val="000000" w:themeColor="text1"/>
                <w:sz w:val="24"/>
                <w14:textFill>
                  <w14:solidFill>
                    <w14:schemeClr w14:val="tx1"/>
                  </w14:solidFill>
                </w14:textFill>
              </w:rPr>
              <w:t>等；主要成分和页岩的主要成分</w:t>
            </w:r>
            <w:r>
              <w:rPr>
                <w:rFonts w:hint="eastAsia"/>
                <w:color w:val="000000" w:themeColor="text1"/>
                <w:sz w:val="24"/>
                <w:lang w:val="en-US" w:eastAsia="zh-CN"/>
                <w14:textFill>
                  <w14:solidFill>
                    <w14:schemeClr w14:val="tx1"/>
                  </w14:solidFill>
                </w14:textFill>
              </w:rPr>
              <w:t>类似</w:t>
            </w:r>
            <w:r>
              <w:rPr>
                <w:rFonts w:hint="eastAsia"/>
                <w:bCs/>
                <w:color w:val="000000" w:themeColor="text1"/>
                <w:sz w:val="24"/>
                <w:lang w:val="en-US" w:eastAsia="zh-CN"/>
                <w14:textFill>
                  <w14:solidFill>
                    <w14:schemeClr w14:val="tx1"/>
                  </w14:solidFill>
                </w14:textFill>
              </w:rPr>
              <w:t>，可用于生产建材</w:t>
            </w:r>
            <w:r>
              <w:rPr>
                <w:rFonts w:hint="eastAsia" w:ascii="Times New Roman" w:hAnsi="Times New Roman" w:eastAsia="宋体"/>
                <w:bCs/>
                <w:color w:val="000000" w:themeColor="text1"/>
                <w:sz w:val="24"/>
                <w:lang w:val="en-US" w:eastAsia="zh-CN"/>
                <w14:textFill>
                  <w14:solidFill>
                    <w14:schemeClr w14:val="tx1"/>
                  </w14:solidFill>
                </w14:textFill>
              </w:rPr>
              <w:t>。</w:t>
            </w:r>
          </w:p>
          <w:p w14:paraId="3CD07ABE">
            <w:pPr>
              <w:spacing w:line="360" w:lineRule="auto"/>
              <w:ind w:firstLine="480" w:firstLineChars="200"/>
              <w:rPr>
                <w:rFonts w:hint="default" w:eastAsia="宋体"/>
                <w:bCs/>
                <w:color w:val="000000" w:themeColor="text1"/>
                <w:sz w:val="24"/>
                <w:lang w:val="en-US" w:eastAsia="zh-CN"/>
                <w14:textFill>
                  <w14:solidFill>
                    <w14:schemeClr w14:val="tx1"/>
                  </w14:solidFill>
                </w14:textFill>
              </w:rPr>
            </w:pPr>
            <w:r>
              <w:rPr>
                <w:rFonts w:hint="eastAsia" w:ascii="Times New Roman" w:hAnsi="Times New Roman" w:eastAsia="宋体"/>
                <w:bCs/>
                <w:color w:val="000000" w:themeColor="text1"/>
                <w:sz w:val="24"/>
                <w:lang w:val="en-US" w:eastAsia="zh-CN"/>
                <w14:textFill>
                  <w14:solidFill>
                    <w14:schemeClr w14:val="tx1"/>
                  </w14:solidFill>
                </w14:textFill>
              </w:rPr>
              <w:t>b、本项目水基岩屑预处理后经</w:t>
            </w:r>
            <w:r>
              <w:rPr>
                <w:rFonts w:hint="eastAsia" w:cs="Times New Roman"/>
                <w:color w:val="000000" w:themeColor="text1"/>
                <w:sz w:val="24"/>
                <w:szCs w:val="24"/>
                <w:lang w:val="en-US" w:eastAsia="zh-CN"/>
                <w14:textFill>
                  <w14:solidFill>
                    <w14:schemeClr w14:val="tx1"/>
                  </w14:solidFill>
                </w14:textFill>
              </w:rPr>
              <w:t>干燥、预热和</w:t>
            </w:r>
            <w:r>
              <w:rPr>
                <w:rFonts w:hint="eastAsia" w:ascii="Times New Roman" w:hAnsi="Times New Roman" w:eastAsia="宋体"/>
                <w:bCs/>
                <w:color w:val="000000" w:themeColor="text1"/>
                <w:sz w:val="24"/>
                <w:lang w:val="en-US" w:eastAsia="zh-CN"/>
                <w14:textFill>
                  <w14:solidFill>
                    <w14:schemeClr w14:val="tx1"/>
                  </w14:solidFill>
                </w14:textFill>
              </w:rPr>
              <w:t>煅烧生产</w:t>
            </w:r>
            <w:r>
              <w:rPr>
                <w:rFonts w:hint="eastAsia"/>
                <w:bCs/>
                <w:color w:val="000000" w:themeColor="text1"/>
                <w:sz w:val="24"/>
                <w:lang w:val="en-US" w:eastAsia="zh-CN"/>
                <w14:textFill>
                  <w14:solidFill>
                    <w14:schemeClr w14:val="tx1"/>
                  </w14:solidFill>
                </w14:textFill>
              </w:rPr>
              <w:t>煅烧料</w:t>
            </w:r>
            <w:r>
              <w:rPr>
                <w:rFonts w:hint="eastAsia" w:ascii="Times New Roman" w:hAnsi="Times New Roman" w:eastAsia="宋体"/>
                <w:bCs/>
                <w:color w:val="000000" w:themeColor="text1"/>
                <w:sz w:val="24"/>
                <w:lang w:val="en-US" w:eastAsia="zh-CN"/>
                <w14:textFill>
                  <w14:solidFill>
                    <w14:schemeClr w14:val="tx1"/>
                  </w14:solidFill>
                </w14:textFill>
              </w:rPr>
              <w:t>，煅烧工艺过程与烧结砖类似。参考《水基钻屑制备烧结</w:t>
            </w:r>
            <w:r>
              <w:rPr>
                <w:rFonts w:hint="default" w:ascii="Times New Roman" w:hAnsi="Times New Roman" w:eastAsia="宋体" w:cs="Times New Roman"/>
                <w:bCs/>
                <w:color w:val="000000" w:themeColor="text1"/>
                <w:sz w:val="24"/>
                <w:lang w:val="en-US" w:eastAsia="zh-CN"/>
                <w14:textFill>
                  <w14:solidFill>
                    <w14:schemeClr w14:val="tx1"/>
                  </w14:solidFill>
                </w14:textFill>
              </w:rPr>
              <w:t>砖技术研究及应用》（油气田环境保护，2018年10月），水基岩屑含有石英、伊利石、长石等矿物，当温度在700~800℃时，高岭石、伊利石等矿物质脱水，晶体结构被破坏；当温度在800~900℃时，长石不断熔融，并熔解残渣中分解物和细石英；当温度在900~1000℃时，钙长石、赤铁矿及液态玻璃相生成越来越多，气孔间有较多的细小晶相和玻璃相物质填充，最终坯体达到最致密状态。参考《钻井岩屑烧制轻质高强陶粒的研究 》（非金属矿，2021年第一期），水基岩屑经高温煅烧可制备高强度陶粒，性能能够满足轻骨料要求，放射性及有害元素浸出量均满足国家标准要求。本项目</w:t>
            </w:r>
            <w:r>
              <w:rPr>
                <w:rFonts w:hint="default" w:ascii="Times New Roman" w:hAnsi="Times New Roman" w:cs="Times New Roman"/>
                <w:bCs/>
                <w:color w:val="000000" w:themeColor="text1"/>
                <w:sz w:val="24"/>
                <w:lang w:val="en-US" w:eastAsia="zh-CN"/>
                <w14:textFill>
                  <w14:solidFill>
                    <w14:schemeClr w14:val="tx1"/>
                  </w14:solidFill>
                </w14:textFill>
              </w:rPr>
              <w:t>水基岩屑通过煅烧后制备</w:t>
            </w:r>
            <w:r>
              <w:rPr>
                <w:rFonts w:hint="eastAsia" w:cs="Times New Roman"/>
                <w:bCs/>
                <w:color w:val="000000" w:themeColor="text1"/>
                <w:sz w:val="24"/>
                <w:lang w:val="en-US" w:eastAsia="zh-CN"/>
                <w14:textFill>
                  <w14:solidFill>
                    <w14:schemeClr w14:val="tx1"/>
                  </w14:solidFill>
                </w14:textFill>
              </w:rPr>
              <w:t>煅烧料</w:t>
            </w:r>
            <w:r>
              <w:rPr>
                <w:rFonts w:hint="default" w:ascii="Times New Roman" w:hAnsi="Times New Roman" w:cs="Times New Roman"/>
                <w:bCs/>
                <w:color w:val="000000" w:themeColor="text1"/>
                <w:sz w:val="24"/>
                <w:lang w:val="en-US" w:eastAsia="zh-CN"/>
                <w14:textFill>
                  <w14:solidFill>
                    <w14:schemeClr w14:val="tx1"/>
                  </w14:solidFill>
                </w14:textFill>
              </w:rPr>
              <w:t>，产物性质和陶粒、烧结砖体类似，工艺过程类似，参考相关文献和类似项目，采用水基岩屑作为</w:t>
            </w:r>
            <w:r>
              <w:rPr>
                <w:rFonts w:hint="eastAsia"/>
                <w:bCs/>
                <w:color w:val="000000" w:themeColor="text1"/>
                <w:sz w:val="24"/>
                <w:lang w:val="en-US" w:eastAsia="zh-CN"/>
                <w14:textFill>
                  <w14:solidFill>
                    <w14:schemeClr w14:val="tx1"/>
                  </w14:solidFill>
                </w14:textFill>
              </w:rPr>
              <w:t>原料是可行的。</w:t>
            </w:r>
          </w:p>
          <w:p w14:paraId="2B7D6B4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c、根据《陆上石油天然气开采水基钻井废弃物处理处置及资源化利用技术规范》（SY</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T7466-2020</w:t>
            </w:r>
            <w:r>
              <w:rPr>
                <w:rFonts w:hint="eastAsia" w:ascii="宋体" w:hAnsi="宋体" w:eastAsia="宋体" w:cs="宋体"/>
                <w:color w:val="000000" w:themeColor="text1"/>
                <w:kern w:val="0"/>
                <w:sz w:val="24"/>
                <w:szCs w:val="24"/>
                <w:lang w:val="en-US" w:eastAsia="zh-CN" w:bidi="ar"/>
                <w14:textFill>
                  <w14:solidFill>
                    <w14:schemeClr w14:val="tx1"/>
                  </w14:solidFill>
                </w14:textFill>
              </w:rPr>
              <w:t>）中</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6.2.1</w:t>
            </w:r>
            <w:r>
              <w:rPr>
                <w:rFonts w:hint="eastAsia" w:ascii="宋体" w:hAnsi="宋体" w:eastAsia="宋体" w:cs="宋体"/>
                <w:color w:val="000000" w:themeColor="text1"/>
                <w:kern w:val="0"/>
                <w:sz w:val="24"/>
                <w:szCs w:val="24"/>
                <w:lang w:val="en-US" w:eastAsia="zh-CN" w:bidi="ar"/>
                <w14:textFill>
                  <w14:solidFill>
                    <w14:schemeClr w14:val="tx1"/>
                  </w14:solidFill>
                </w14:textFill>
              </w:rPr>
              <w:t>条：清水钻井、空气钻或达到环保要求的水基钻井液产生的废弃物，宜物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理固液分离后制备铺路基土或作为免烧砖骨料等产品；聚合物钻井液废弃物的水基钻井废弃物，固液分离或无害化处理后宜制备免烧砖、免烧砌块、免烧陶粒、</w:t>
            </w: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烧结砖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等。</w:t>
            </w:r>
          </w:p>
          <w:p w14:paraId="5445DA1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采用的水基岩屑为聚合物</w:t>
            </w:r>
            <w:r>
              <w:rPr>
                <w:rFonts w:hint="eastAsia" w:cs="Times New Roman"/>
                <w:color w:val="000000" w:themeColor="text1"/>
                <w:kern w:val="0"/>
                <w:sz w:val="24"/>
                <w:szCs w:val="24"/>
                <w:lang w:val="en-US" w:eastAsia="zh-CN" w:bidi="ar"/>
                <w14:textFill>
                  <w14:solidFill>
                    <w14:schemeClr w14:val="tx1"/>
                  </w14:solidFill>
                </w14:textFill>
              </w:rPr>
              <w:t>、聚磺/磺化</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钻水基岩屑。水基岩屑经固液分离后再</w:t>
            </w:r>
            <w:r>
              <w:rPr>
                <w:rFonts w:hint="eastAsia" w:cs="Times New Roman"/>
                <w:color w:val="000000" w:themeColor="text1"/>
                <w:kern w:val="0"/>
                <w:sz w:val="24"/>
                <w:szCs w:val="24"/>
                <w:lang w:val="en-US" w:eastAsia="zh-CN" w:bidi="ar"/>
                <w14:textFill>
                  <w14:solidFill>
                    <w14:schemeClr w14:val="tx1"/>
                  </w14:solidFill>
                </w14:textFill>
              </w:rPr>
              <w:t>经</w:t>
            </w:r>
            <w:r>
              <w:rPr>
                <w:rFonts w:hint="eastAsia" w:cs="Times New Roman"/>
                <w:color w:val="000000" w:themeColor="text1"/>
                <w:sz w:val="24"/>
                <w:szCs w:val="24"/>
                <w:lang w:val="en-US" w:eastAsia="zh-CN"/>
                <w14:textFill>
                  <w14:solidFill>
                    <w14:schemeClr w14:val="tx1"/>
                  </w14:solidFill>
                </w14:textFill>
              </w:rPr>
              <w:t>干燥、预热和</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煅烧</w:t>
            </w:r>
            <w:r>
              <w:rPr>
                <w:rFonts w:hint="eastAsia" w:cs="Times New Roman"/>
                <w:color w:val="000000" w:themeColor="text1"/>
                <w:kern w:val="0"/>
                <w:sz w:val="24"/>
                <w:szCs w:val="24"/>
                <w:lang w:val="en-US" w:eastAsia="zh-CN" w:bidi="ar"/>
                <w14:textFill>
                  <w14:solidFill>
                    <w14:schemeClr w14:val="tx1"/>
                  </w14:solidFill>
                </w14:textFill>
              </w:rPr>
              <w:t>属无害化处理，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后可通过添加水泥、砂石</w:t>
            </w:r>
            <w:r>
              <w:rPr>
                <w:rFonts w:hint="eastAsia" w:cs="Times New Roman"/>
                <w:color w:val="000000" w:themeColor="text1"/>
                <w:kern w:val="0"/>
                <w:sz w:val="24"/>
                <w:szCs w:val="24"/>
                <w:lang w:val="en-US" w:eastAsia="zh-CN" w:bidi="ar"/>
                <w14:textFill>
                  <w14:solidFill>
                    <w14:schemeClr w14:val="tx1"/>
                  </w14:solidFill>
                </w14:textFill>
              </w:rPr>
              <w:t>、固化剂、水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等生产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，服务于各种道路、场地铺垫等，符合《陆上石油天然气开采水基钻井废弃物处理处置及资源化利用技术规范》（SY</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T7466-2020）中相关要求。</w:t>
            </w:r>
          </w:p>
          <w:p w14:paraId="1C7414A3">
            <w:pPr>
              <w:pStyle w:val="16"/>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d、根据《石油天然气开采固体废物污染物控制技术规范》（HJ1461-2026）：</w:t>
            </w:r>
          </w:p>
          <w:p w14:paraId="5B69A435">
            <w:pPr>
              <w:pStyle w:val="16"/>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6.1.2制备烧结砖、陶粒。水基岩屑制备烧结砖、陶粒时，满足以下要求：a)窑炉烟气设置气体收集处理设施，废气排放满足GB29620、GB25464等国家或地方大气污染物排放标准的要求。其中，使用磺化钻井岩屑的，采用活性炭喷射或其他适宜的方法减少二噁英类的产生，废气中二噁英类的排放满足GB18484的要求。</w:t>
            </w:r>
          </w:p>
          <w:p w14:paraId="46DFFB2F">
            <w:pPr>
              <w:pStyle w:val="16"/>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6.1.3用于混凝土骨料。水基岩屑用于混凝土骨料时，满足HJ1091中固体废物建材化利用污染防治技术要求，其中磺化钻井岩屑只能用于油气开采生产作业区内使用的混凝土骨料，造斜井段和目的层井段等特殊工段及非正常工况下产生的聚合物钻井岩屑不宜用于混凝土骨料。</w:t>
            </w:r>
            <w:r>
              <w:rPr>
                <w:rFonts w:hint="eastAsia" w:ascii="宋体" w:hAnsi="宋体" w:eastAsia="宋体" w:cs="宋体"/>
                <w:color w:val="000000" w:themeColor="text1"/>
                <w:lang w:val="en-US" w:eastAsia="zh-CN"/>
                <w14:textFill>
                  <w14:solidFill>
                    <w14:schemeClr w14:val="tx1"/>
                  </w14:solidFill>
                </w14:textFill>
              </w:rPr>
              <w:t>”</w:t>
            </w:r>
          </w:p>
          <w:p w14:paraId="3E7D304C">
            <w:pPr>
              <w:pStyle w:val="16"/>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免烧砌块制作过程中是以碎石为骨料，</w:t>
            </w:r>
            <w:r>
              <w:rPr>
                <w:rFonts w:hint="default" w:ascii="Times New Roman" w:hAnsi="Times New Roman" w:cs="Times New Roman"/>
                <w:color w:val="000000" w:themeColor="text1"/>
                <w:lang w:val="en-US" w:eastAsia="zh-CN"/>
                <w14:textFill>
                  <w14:solidFill>
                    <w14:schemeClr w14:val="tx1"/>
                  </w14:solidFill>
                </w14:textFill>
              </w:rPr>
              <w:t>本项目煅烧</w:t>
            </w:r>
            <w:r>
              <w:rPr>
                <w:rFonts w:hint="eastAsia" w:cs="Times New Roman"/>
                <w:color w:val="000000" w:themeColor="text1"/>
                <w:lang w:val="en-US" w:eastAsia="zh-CN"/>
                <w14:textFill>
                  <w14:solidFill>
                    <w14:schemeClr w14:val="tx1"/>
                  </w14:solidFill>
                </w14:textFill>
              </w:rPr>
              <w:t>水基岩屑产生煅烧料仅作为其中的添加料</w:t>
            </w:r>
            <w:r>
              <w:rPr>
                <w:rFonts w:hint="default" w:ascii="Times New Roman" w:hAnsi="Times New Roman" w:cs="Times New Roman"/>
                <w:color w:val="000000" w:themeColor="text1"/>
                <w:lang w:val="en-US" w:eastAsia="zh-CN"/>
                <w14:textFill>
                  <w14:solidFill>
                    <w14:schemeClr w14:val="tx1"/>
                  </w14:solidFill>
                </w14:textFill>
              </w:rPr>
              <w:t>，从用途而言</w:t>
            </w:r>
            <w:r>
              <w:rPr>
                <w:rFonts w:hint="eastAsia" w:cs="Times New Roman"/>
                <w:color w:val="000000" w:themeColor="text1"/>
                <w:lang w:val="en-US" w:eastAsia="zh-CN"/>
                <w14:textFill>
                  <w14:solidFill>
                    <w14:schemeClr w14:val="tx1"/>
                  </w14:solidFill>
                </w14:textFill>
              </w:rPr>
              <w:t>并未用于</w:t>
            </w:r>
            <w:r>
              <w:rPr>
                <w:rFonts w:hint="default" w:ascii="Times New Roman" w:hAnsi="Times New Roman" w:cs="Times New Roman"/>
                <w:color w:val="000000" w:themeColor="text1"/>
                <w:lang w:val="en-US" w:eastAsia="zh-CN"/>
                <w14:textFill>
                  <w14:solidFill>
                    <w14:schemeClr w14:val="tx1"/>
                  </w14:solidFill>
                </w14:textFill>
              </w:rPr>
              <w:t>混凝土骨料。本项目窑炉烟气配套收集设施，并设置布袋除尘、碱液喷淋塔等治理设施，排气筒严格执行国家或地方大气污染物排放标准。本项目废气采用活性炭喷射处理，减少二噁英的排放。</w:t>
            </w:r>
          </w:p>
          <w:p w14:paraId="2E9B00D4">
            <w:pPr>
              <w:pStyle w:val="16"/>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综上，</w:t>
            </w:r>
            <w:r>
              <w:rPr>
                <w:rFonts w:hint="eastAsia"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lang w:val="en-US" w:eastAsia="zh-CN"/>
                <w14:textFill>
                  <w14:solidFill>
                    <w14:schemeClr w14:val="tx1"/>
                  </w14:solidFill>
                </w14:textFill>
              </w:rPr>
              <w:t>综合利用水基岩屑符合规范要求</w:t>
            </w:r>
            <w:r>
              <w:rPr>
                <w:rFonts w:hint="eastAsia" w:cs="Times New Roman"/>
                <w:color w:val="000000" w:themeColor="text1"/>
                <w:lang w:val="en-US" w:eastAsia="zh-CN"/>
                <w14:textFill>
                  <w14:solidFill>
                    <w14:schemeClr w14:val="tx1"/>
                  </w14:solidFill>
                </w14:textFill>
              </w:rPr>
              <w:t>，可</w:t>
            </w:r>
            <w:r>
              <w:rPr>
                <w:rFonts w:hint="default" w:ascii="Times New Roman" w:hAnsi="Times New Roman" w:cs="Times New Roman"/>
                <w:color w:val="000000" w:themeColor="text1"/>
                <w:lang w:val="en-US" w:eastAsia="zh-CN"/>
                <w14:textFill>
                  <w14:solidFill>
                    <w14:schemeClr w14:val="tx1"/>
                  </w14:solidFill>
                </w14:textFill>
              </w:rPr>
              <w:t>用于制备</w:t>
            </w:r>
            <w:r>
              <w:rPr>
                <w:rFonts w:hint="eastAsia" w:cs="Times New Roman"/>
                <w:color w:val="000000" w:themeColor="text1"/>
                <w:lang w:val="en-US" w:eastAsia="zh-CN"/>
                <w14:textFill>
                  <w14:solidFill>
                    <w14:schemeClr w14:val="tx1"/>
                  </w14:solidFill>
                </w14:textFill>
              </w:rPr>
              <w:t>免烧砌块</w:t>
            </w:r>
            <w:r>
              <w:rPr>
                <w:rFonts w:hint="default" w:ascii="Times New Roman" w:hAnsi="Times New Roman" w:cs="Times New Roman"/>
                <w:color w:val="000000" w:themeColor="text1"/>
                <w:lang w:val="en-US" w:eastAsia="zh-CN"/>
                <w14:textFill>
                  <w14:solidFill>
                    <w14:schemeClr w14:val="tx1"/>
                  </w14:solidFill>
                </w14:textFill>
              </w:rPr>
              <w:t>。</w:t>
            </w:r>
          </w:p>
          <w:p w14:paraId="1A284E2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③水基岩屑原料要求</w:t>
            </w:r>
          </w:p>
          <w:p w14:paraId="1A41BD0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本项目不负责水基岩屑运输，由需处理单位</w:t>
            </w:r>
            <w:r>
              <w:rPr>
                <w:rFonts w:hint="eastAsia" w:cs="Times New Roman"/>
                <w:color w:val="000000" w:themeColor="text1"/>
                <w:kern w:val="0"/>
                <w:sz w:val="24"/>
                <w:szCs w:val="24"/>
                <w:lang w:val="en-US" w:eastAsia="zh-CN" w:bidi="ar"/>
                <w14:textFill>
                  <w14:solidFill>
                    <w14:schemeClr w14:val="tx1"/>
                  </w14:solidFill>
                </w14:textFill>
              </w:rPr>
              <w:t>委托第三方或自行</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运输至本项目厂房；本项目</w:t>
            </w:r>
            <w:r>
              <w:rPr>
                <w:rFonts w:hint="eastAsia" w:cs="Times New Roman"/>
                <w:color w:val="000000" w:themeColor="text1"/>
                <w:kern w:val="0"/>
                <w:sz w:val="24"/>
                <w:szCs w:val="24"/>
                <w:lang w:val="en-US" w:eastAsia="zh-CN" w:bidi="ar"/>
                <w14:textFill>
                  <w14:solidFill>
                    <w14:schemeClr w14:val="tx1"/>
                  </w14:solidFill>
                </w14:textFill>
              </w:rPr>
              <w:t>仅</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针对水基岩屑的</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综合利用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，不涉及油基岩屑的处理。</w:t>
            </w:r>
            <w:r>
              <w:rPr>
                <w:rFonts w:hint="eastAsia" w:cs="Times New Roman"/>
                <w:color w:val="000000" w:themeColor="text1"/>
                <w:kern w:val="0"/>
                <w:sz w:val="24"/>
                <w:szCs w:val="24"/>
                <w:lang w:val="en-US" w:eastAsia="zh-CN" w:bidi="ar"/>
                <w14:textFill>
                  <w14:solidFill>
                    <w14:schemeClr w14:val="tx1"/>
                  </w14:solidFill>
                </w14:textFill>
              </w:rPr>
              <w:t>本项目对入场水基岩屑采取如下管理措施</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p>
          <w:p w14:paraId="133B614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A、</w:t>
            </w:r>
            <w:r>
              <w:rPr>
                <w:rFonts w:hint="eastAsia" w:cs="Times New Roman"/>
                <w:color w:val="000000" w:themeColor="text1"/>
                <w:kern w:val="0"/>
                <w:sz w:val="24"/>
                <w:szCs w:val="24"/>
                <w:lang w:val="en-US" w:eastAsia="zh-CN" w:bidi="ar"/>
                <w14:textFill>
                  <w14:solidFill>
                    <w14:schemeClr w14:val="tx1"/>
                  </w14:solidFill>
                </w14:textFill>
              </w:rPr>
              <w:t>本项目只接收含水率</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70%的水基岩屑。</w:t>
            </w:r>
          </w:p>
          <w:p w14:paraId="7DBD99D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eastAsia" w:cs="Times New Roman"/>
                <w:color w:val="000000" w:themeColor="text1"/>
                <w:sz w:val="24"/>
                <w:szCs w:val="32"/>
                <w:lang w:val="en-US" w:eastAsia="zh-CN"/>
                <w14:textFill>
                  <w14:solidFill>
                    <w14:schemeClr w14:val="tx1"/>
                  </w14:solidFill>
                </w14:textFill>
              </w:rPr>
              <w:t>B、</w:t>
            </w:r>
            <w:r>
              <w:rPr>
                <w:rFonts w:hint="default" w:ascii="Times New Roman" w:hAnsi="Times New Roman" w:cs="Times New Roman"/>
                <w:color w:val="000000" w:themeColor="text1"/>
                <w:sz w:val="24"/>
                <w:szCs w:val="32"/>
                <w14:textFill>
                  <w14:solidFill>
                    <w14:schemeClr w14:val="tx1"/>
                  </w14:solidFill>
                </w14:textFill>
              </w:rPr>
              <w:t>本项目只针对水基岩屑的处理，不涉及油基岩屑的处理。</w:t>
            </w:r>
          </w:p>
          <w:p w14:paraId="744A7DC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C</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、每</w:t>
            </w:r>
            <w:r>
              <w:rPr>
                <w:rFonts w:hint="eastAsia" w:cs="Times New Roman"/>
                <w:color w:val="000000" w:themeColor="text1"/>
                <w:kern w:val="0"/>
                <w:sz w:val="24"/>
                <w:szCs w:val="24"/>
                <w:lang w:val="en-US" w:eastAsia="zh-CN" w:bidi="ar"/>
                <w14:textFill>
                  <w14:solidFill>
                    <w14:schemeClr w14:val="tx1"/>
                  </w14:solidFill>
                </w14:textFill>
              </w:rPr>
              <w:t>批</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次运回岩屑时需要明确岩屑性质为水基岩屑，相关负责人签字确认</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450A16E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D</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、本项目来料单位需提供井场环保手续，明确钻井方式。</w:t>
            </w:r>
          </w:p>
          <w:p w14:paraId="32A103D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E</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、本项目建设单位需定期对不同来源的水基岩屑进行检测</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若经分析，其来料属危险废物或不适宜于本项目处理，应由来料单位回收，不得在本项目内进行处理。</w:t>
            </w:r>
          </w:p>
          <w:p w14:paraId="1EB9C56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F</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、钻井工程建设单位负责运输水基岩屑至本项目厂内，采用运输的车辆需为专用罐装运输车，选择运输路线短、对沿路影响小的路线，避免装卸、运输途中产生二次污染和可能发生的环境风险。</w:t>
            </w:r>
          </w:p>
          <w:p w14:paraId="3E03E3E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G、</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项目水基岩屑来源不得随意变更，若确需变更，应出具新来源单位对水基岩屑的检测报告，且项目接收的水基岩屑只能用于制备</w:t>
            </w:r>
            <w:r>
              <w:rPr>
                <w:rFonts w:hint="eastAsia" w:cs="Times New Roman"/>
                <w:color w:val="000000" w:themeColor="text1"/>
                <w:kern w:val="0"/>
                <w:sz w:val="24"/>
                <w:szCs w:val="24"/>
                <w:lang w:val="en-US" w:eastAsia="zh-CN" w:bidi="ar"/>
                <w14:textFill>
                  <w14:solidFill>
                    <w14:schemeClr w14:val="tx1"/>
                  </w14:solidFill>
                </w14:textFill>
              </w:rPr>
              <w:t>煅烧料</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，不得另作他用。</w:t>
            </w:r>
          </w:p>
          <w:p w14:paraId="1893BE47">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H、项目入厂的聚磺/磺化、聚合物钻井岩屑需分类堆存，严禁与其他原料混堆，地面采取重点防渗处理。</w:t>
            </w:r>
          </w:p>
          <w:p w14:paraId="2E15D46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I、建立水基岩屑管理台账制度，包括接收、贮存、运输、处置台账等，并对管理台账进行妥善保管，用于自查或接受监督检查。</w:t>
            </w:r>
          </w:p>
          <w:p w14:paraId="1AF95084">
            <w:pPr>
              <w:pStyle w:val="4"/>
              <w:keepNext w:val="0"/>
              <w:keepLines w:val="0"/>
              <w:pageBreakBefore w:val="0"/>
              <w:kinsoku/>
              <w:wordWrap/>
              <w:overflowPunct/>
              <w:topLinePunct w:val="0"/>
              <w:autoSpaceDE/>
              <w:autoSpaceDN/>
              <w:bidi w:val="0"/>
              <w:adjustRightInd/>
              <w:snapToGrid/>
              <w:spacing w:before="0" w:beforeLine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、产品方案</w:t>
            </w:r>
          </w:p>
          <w:p w14:paraId="53FAC0D1">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lang w:val="en-US" w:eastAsia="zh-CN"/>
                <w14:textFill>
                  <w14:solidFill>
                    <w14:schemeClr w14:val="tx1"/>
                  </w14:solidFill>
                </w14:textFill>
              </w:rPr>
              <w:t>1</w:t>
            </w:r>
            <w:r>
              <w:rPr>
                <w:rFonts w:hint="default"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lang w:val="en-US" w:eastAsia="zh-CN"/>
                <w14:textFill>
                  <w14:solidFill>
                    <w14:schemeClr w14:val="tx1"/>
                  </w14:solidFill>
                </w14:textFill>
              </w:rPr>
              <w:t>产品方案</w:t>
            </w:r>
          </w:p>
          <w:p w14:paraId="505B61F2">
            <w:pPr>
              <w:ind w:firstLine="480"/>
              <w:rPr>
                <w:rFonts w:hint="eastAsia" w:ascii="宋体" w:hAnsi="宋体" w:cs="宋体"/>
                <w:color w:val="000000" w:themeColor="text1"/>
                <w:kern w:val="0"/>
                <w:sz w:val="24"/>
                <w:szCs w:val="24"/>
                <w:lang w:val="en-US" w:eastAsia="zh-CN" w:bidi="ar"/>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对石油天然气钻井开采水基岩屑进行综合利用，</w:t>
            </w:r>
            <w:r>
              <w:rPr>
                <w:rFonts w:hint="eastAsia" w:ascii="宋体" w:hAnsi="宋体" w:eastAsia="宋体" w:cs="宋体"/>
                <w:color w:val="000000" w:themeColor="text1"/>
                <w:kern w:val="0"/>
                <w:sz w:val="24"/>
                <w:szCs w:val="24"/>
                <w:lang w:val="en-US" w:eastAsia="zh-CN" w:bidi="ar"/>
                <w14:textFill>
                  <w14:solidFill>
                    <w14:schemeClr w14:val="tx1"/>
                  </w14:solidFill>
                </w14:textFill>
              </w:rPr>
              <w:t>主要处理合作单位四川省顺祥油气工程有限公司运输过来的四川境内水基岩屑，满足合作单位供给后，还可接收处理平昌及周边水基岩屑</w:t>
            </w:r>
            <w:r>
              <w:rPr>
                <w:rFonts w:hint="eastAsia" w:ascii="宋体" w:hAnsi="宋体" w:cs="宋体"/>
                <w:color w:val="000000" w:themeColor="text1"/>
                <w:kern w:val="0"/>
                <w:sz w:val="24"/>
                <w:szCs w:val="24"/>
                <w:lang w:val="en-US" w:eastAsia="zh-CN" w:bidi="ar"/>
                <w14:textFill>
                  <w14:solidFill>
                    <w14:schemeClr w14:val="tx1"/>
                  </w14:solidFill>
                </w14:textFill>
              </w:rPr>
              <w:t>。</w:t>
            </w:r>
          </w:p>
          <w:p w14:paraId="5603B961">
            <w:pPr>
              <w:ind w:firstLine="480"/>
              <w:rPr>
                <w:rFonts w:cs="Times New Roman"/>
                <w:color w:val="000000" w:themeColor="text1"/>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水基岩屑经</w:t>
            </w:r>
            <w:r>
              <w:rPr>
                <w:rFonts w:hint="eastAsia" w:cs="Times New Roman"/>
                <w:color w:val="000000" w:themeColor="text1"/>
                <w:sz w:val="24"/>
                <w:szCs w:val="24"/>
                <w:lang w:val="en-US" w:eastAsia="zh-CN"/>
                <w14:textFill>
                  <w14:solidFill>
                    <w14:schemeClr w14:val="tx1"/>
                  </w14:solidFill>
                </w14:textFill>
              </w:rPr>
              <w:t>干燥、预热和</w:t>
            </w:r>
            <w:r>
              <w:rPr>
                <w:rFonts w:hint="eastAsia" w:cs="Times New Roman"/>
                <w:color w:val="000000" w:themeColor="text1"/>
                <w:lang w:val="en-US" w:eastAsia="zh-CN"/>
                <w14:textFill>
                  <w14:solidFill>
                    <w14:schemeClr w14:val="tx1"/>
                  </w14:solidFill>
                </w14:textFill>
              </w:rPr>
              <w:t>煅烧预处理后，再配以水泥、砂石、固化剂、水等生产免烧砌块作为最终产品。具体</w:t>
            </w:r>
            <w:r>
              <w:rPr>
                <w:rFonts w:cs="Times New Roman"/>
                <w:color w:val="000000" w:themeColor="text1"/>
                <w14:textFill>
                  <w14:solidFill>
                    <w14:schemeClr w14:val="tx1"/>
                  </w14:solidFill>
                </w14:textFill>
              </w:rPr>
              <w:t>产品方案如下：</w:t>
            </w:r>
          </w:p>
          <w:p w14:paraId="48F3AA5D">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 xml:space="preserve">2-7 </w:t>
            </w:r>
            <w:r>
              <w:rPr>
                <w:rFonts w:cs="Times New Roman"/>
                <w:color w:val="000000" w:themeColor="text1"/>
                <w14:textFill>
                  <w14:solidFill>
                    <w14:schemeClr w14:val="tx1"/>
                  </w14:solidFill>
                </w14:textFill>
              </w:rPr>
              <w:t>产品方案表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293"/>
              <w:gridCol w:w="1307"/>
              <w:gridCol w:w="2194"/>
              <w:gridCol w:w="3734"/>
            </w:tblGrid>
            <w:tr w14:paraId="082F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7" w:type="pct"/>
                  <w:vAlign w:val="center"/>
                </w:tcPr>
                <w:p w14:paraId="797EA06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产品名称</w:t>
                  </w:r>
                </w:p>
              </w:tc>
              <w:tc>
                <w:tcPr>
                  <w:tcW w:w="701" w:type="pct"/>
                  <w:vAlign w:val="center"/>
                </w:tcPr>
                <w:p w14:paraId="1C083C7F">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规格</w:t>
                  </w:r>
                </w:p>
              </w:tc>
              <w:tc>
                <w:tcPr>
                  <w:tcW w:w="709" w:type="pct"/>
                  <w:vAlign w:val="center"/>
                </w:tcPr>
                <w:p w14:paraId="7F464692">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年产量(</w:t>
                  </w:r>
                  <w:r>
                    <w:rPr>
                      <w:rFonts w:hint="eastAsia" w:cs="Times New Roman"/>
                      <w:color w:val="000000" w:themeColor="text1"/>
                      <w:lang w:val="en-US" w:eastAsia="zh-CN"/>
                      <w14:textFill>
                        <w14:solidFill>
                          <w14:schemeClr w14:val="tx1"/>
                        </w14:solidFill>
                      </w14:textFill>
                    </w:rPr>
                    <w:t>t</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a</w:t>
                  </w:r>
                  <w:r>
                    <w:rPr>
                      <w:rFonts w:cs="Times New Roman"/>
                      <w:color w:val="000000" w:themeColor="text1"/>
                      <w14:textFill>
                        <w14:solidFill>
                          <w14:schemeClr w14:val="tx1"/>
                        </w14:solidFill>
                      </w14:textFill>
                    </w:rPr>
                    <w:t>)</w:t>
                  </w:r>
                </w:p>
              </w:tc>
              <w:tc>
                <w:tcPr>
                  <w:tcW w:w="1189" w:type="pct"/>
                  <w:vAlign w:val="center"/>
                </w:tcPr>
                <w:p w14:paraId="34A71510">
                  <w:pPr>
                    <w:pStyle w:val="51"/>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产品质量标准</w:t>
                  </w:r>
                </w:p>
              </w:tc>
              <w:tc>
                <w:tcPr>
                  <w:tcW w:w="2021" w:type="pct"/>
                  <w:vAlign w:val="center"/>
                </w:tcPr>
                <w:p w14:paraId="604865FE">
                  <w:pPr>
                    <w:pStyle w:val="51"/>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代表性产品照片</w:t>
                  </w:r>
                </w:p>
              </w:tc>
            </w:tr>
            <w:tr w14:paraId="1CC4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7" w:type="pct"/>
                  <w:vAlign w:val="center"/>
                </w:tcPr>
                <w:p w14:paraId="68D7FED3">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免烧砌块</w:t>
                  </w:r>
                </w:p>
              </w:tc>
              <w:tc>
                <w:tcPr>
                  <w:tcW w:w="701" w:type="pct"/>
                  <w:vAlign w:val="center"/>
                </w:tcPr>
                <w:p w14:paraId="38333265">
                  <w:pPr>
                    <w:pStyle w:val="13"/>
                    <w:rPr>
                      <w:rFonts w:hint="default" w:eastAsia="宋体" w:cs="Times New Roman"/>
                      <w:color w:val="000000" w:themeColor="text1"/>
                      <w:vertAlign w:val="baseline"/>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单块重量1~2.5kg，密度约1.8t/m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，含水率2%</w:t>
                  </w:r>
                </w:p>
              </w:tc>
              <w:tc>
                <w:tcPr>
                  <w:tcW w:w="709" w:type="pct"/>
                  <w:vAlign w:val="center"/>
                </w:tcPr>
                <w:p w14:paraId="178C7E5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i w:val="0"/>
                      <w:iCs w:val="0"/>
                      <w:color w:val="000000" w:themeColor="text1"/>
                      <w:kern w:val="2"/>
                      <w:sz w:val="21"/>
                      <w:szCs w:val="21"/>
                      <w:u w:val="none"/>
                      <w:lang w:val="en-US" w:eastAsia="zh-CN" w:bidi="ar-SA"/>
                      <w14:textFill>
                        <w14:solidFill>
                          <w14:schemeClr w14:val="tx1"/>
                        </w14:solidFill>
                      </w14:textFill>
                    </w:rPr>
                    <w:t>218405.0416</w:t>
                  </w:r>
                </w:p>
              </w:tc>
              <w:tc>
                <w:tcPr>
                  <w:tcW w:w="1189" w:type="pct"/>
                  <w:vAlign w:val="center"/>
                </w:tcPr>
                <w:p w14:paraId="1C4B7125">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《非烧结垃圾尾矿砖》（JC/T422-2025）、《陆上石油天然气开采水基钻井废弃物处理处置及资源化利用技术规范》（SY/T7466-2020）、《陆上石油天然气钻井环境保护技术规范》（SY/T7298-2024）</w:t>
                  </w:r>
                </w:p>
              </w:tc>
              <w:tc>
                <w:tcPr>
                  <w:tcW w:w="2021" w:type="pct"/>
                  <w:vAlign w:val="center"/>
                </w:tcPr>
                <w:p w14:paraId="4D47CC42">
                  <w:pPr>
                    <w:pStyle w:val="13"/>
                    <w:rPr>
                      <w:rFonts w:hint="eastAsia"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drawing>
                      <wp:inline distT="0" distB="0" distL="114300" distR="114300">
                        <wp:extent cx="2236470" cy="1677035"/>
                        <wp:effectExtent l="0" t="0" r="11430" b="18415"/>
                        <wp:docPr id="7" name="图片 7" descr="54449be9d56da73b7dfccbcf2856cb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4449be9d56da73b7dfccbcf2856cb04"/>
                                <pic:cNvPicPr>
                                  <a:picLocks noChangeAspect="1"/>
                                </pic:cNvPicPr>
                              </pic:nvPicPr>
                              <pic:blipFill>
                                <a:blip r:embed="rId22"/>
                                <a:stretch>
                                  <a:fillRect/>
                                </a:stretch>
                              </pic:blipFill>
                              <pic:spPr>
                                <a:xfrm>
                                  <a:off x="0" y="0"/>
                                  <a:ext cx="2236470" cy="1677035"/>
                                </a:xfrm>
                                <a:prstGeom prst="rect">
                                  <a:avLst/>
                                </a:prstGeom>
                              </pic:spPr>
                            </pic:pic>
                          </a:graphicData>
                        </a:graphic>
                      </wp:inline>
                    </w:drawing>
                  </w:r>
                  <w:r>
                    <w:rPr>
                      <w:rFonts w:hint="eastAsia" w:eastAsia="宋体" w:cs="Times New Roman"/>
                      <w:color w:val="000000" w:themeColor="text1"/>
                      <w:lang w:val="en-US" w:eastAsia="zh-CN"/>
                      <w14:textFill>
                        <w14:solidFill>
                          <w14:schemeClr w14:val="tx1"/>
                        </w14:solidFill>
                      </w14:textFill>
                    </w:rPr>
                    <w:drawing>
                      <wp:inline distT="0" distB="0" distL="114300" distR="114300">
                        <wp:extent cx="2218690" cy="1487805"/>
                        <wp:effectExtent l="0" t="0" r="10160" b="17145"/>
                        <wp:docPr id="16" name="图片 16" descr="ade823408344771374746c1c19b188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de823408344771374746c1c19b1881d"/>
                                <pic:cNvPicPr>
                                  <a:picLocks noChangeAspect="1"/>
                                </pic:cNvPicPr>
                              </pic:nvPicPr>
                              <pic:blipFill>
                                <a:blip r:embed="rId23"/>
                                <a:srcRect l="17959" t="26322" r="10355" b="9590"/>
                                <a:stretch>
                                  <a:fillRect/>
                                </a:stretch>
                              </pic:blipFill>
                              <pic:spPr>
                                <a:xfrm>
                                  <a:off x="0" y="0"/>
                                  <a:ext cx="2218690" cy="1487805"/>
                                </a:xfrm>
                                <a:prstGeom prst="rect">
                                  <a:avLst/>
                                </a:prstGeom>
                              </pic:spPr>
                            </pic:pic>
                          </a:graphicData>
                        </a:graphic>
                      </wp:inline>
                    </w:drawing>
                  </w:r>
                </w:p>
              </w:tc>
            </w:tr>
            <w:tr w14:paraId="1E37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14:paraId="07480A20">
                  <w:pPr>
                    <w:pStyle w:val="13"/>
                    <w:jc w:val="both"/>
                    <w:rPr>
                      <w:rFonts w:hint="eastAsia" w:cs="Times New Roman"/>
                      <w:color w:val="000000" w:themeColor="text1"/>
                      <w:sz w:val="20"/>
                      <w:szCs w:val="22"/>
                      <w:lang w:val="en-US" w:eastAsia="zh-CN"/>
                      <w14:textFill>
                        <w14:solidFill>
                          <w14:schemeClr w14:val="tx1"/>
                        </w14:solidFill>
                      </w14:textFill>
                    </w:rPr>
                  </w:pPr>
                  <w:r>
                    <w:rPr>
                      <w:rFonts w:hint="eastAsia" w:cs="Times New Roman"/>
                      <w:color w:val="000000" w:themeColor="text1"/>
                      <w:sz w:val="20"/>
                      <w:szCs w:val="22"/>
                      <w:lang w:val="en-US" w:eastAsia="zh-CN"/>
                      <w14:textFill>
                        <w14:solidFill>
                          <w14:schemeClr w14:val="tx1"/>
                        </w14:solidFill>
                      </w14:textFill>
                    </w:rPr>
                    <w:t>注：1、本项目产品产量根据市场需求确定，且随原料含水率存在一定浮动，表格内以最大产能取整计。</w:t>
                  </w:r>
                </w:p>
                <w:p w14:paraId="7B9A7ED3">
                  <w:pPr>
                    <w:pStyle w:val="13"/>
                    <w:jc w:val="both"/>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sz w:val="20"/>
                      <w:szCs w:val="22"/>
                      <w:lang w:val="en-US" w:eastAsia="zh-CN"/>
                      <w14:textFill>
                        <w14:solidFill>
                          <w14:schemeClr w14:val="tx1"/>
                        </w14:solidFill>
                      </w14:textFill>
                    </w:rPr>
                    <w:t>2、本项目产品尺寸规格根据产品需求确定。</w:t>
                  </w:r>
                  <w:r>
                    <w:rPr>
                      <w:rFonts w:hint="eastAsia" w:cs="Times New Roman"/>
                      <w:color w:val="000000" w:themeColor="text1"/>
                      <w:sz w:val="20"/>
                      <w:szCs w:val="22"/>
                      <w:lang w:val="en-US" w:eastAsia="zh-CN"/>
                      <w14:textFill>
                        <w14:solidFill>
                          <w14:schemeClr w14:val="tx1"/>
                        </w14:solidFill>
                      </w14:textFill>
                    </w:rPr>
                    <w:br w:type="textWrapping"/>
                  </w:r>
                  <w:r>
                    <w:rPr>
                      <w:rFonts w:hint="eastAsia" w:cs="Times New Roman"/>
                      <w:color w:val="000000" w:themeColor="text1"/>
                      <w:sz w:val="20"/>
                      <w:szCs w:val="22"/>
                      <w:lang w:val="en-US" w:eastAsia="zh-CN"/>
                      <w14:textFill>
                        <w14:solidFill>
                          <w14:schemeClr w14:val="tx1"/>
                        </w14:solidFill>
                      </w14:textFill>
                    </w:rPr>
                    <w:t>3、免烧砌块的配比方案：</w:t>
                  </w:r>
                  <w:r>
                    <w:rPr>
                      <w:rFonts w:hint="eastAsia" w:cs="Times New Roman"/>
                      <w:color w:val="000000" w:themeColor="text1"/>
                      <w:sz w:val="20"/>
                      <w:szCs w:val="22"/>
                      <w14:textFill>
                        <w14:solidFill>
                          <w14:schemeClr w14:val="tx1"/>
                        </w14:solidFill>
                      </w14:textFill>
                    </w:rPr>
                    <w:t>具体投料比例随产品要求调整，</w:t>
                  </w:r>
                  <w:r>
                    <w:rPr>
                      <w:rFonts w:hint="eastAsia" w:cs="Times New Roman"/>
                      <w:color w:val="000000" w:themeColor="text1"/>
                      <w:sz w:val="20"/>
                      <w:szCs w:val="22"/>
                      <w:lang w:eastAsia="zh-CN"/>
                      <w14:textFill>
                        <w14:solidFill>
                          <w14:schemeClr w14:val="tx1"/>
                        </w14:solidFill>
                      </w14:textFill>
                    </w:rPr>
                    <w:t>煅烧料</w:t>
                  </w:r>
                  <w:r>
                    <w:rPr>
                      <w:rFonts w:hint="eastAsia" w:cs="Times New Roman"/>
                      <w:color w:val="000000" w:themeColor="text1"/>
                      <w:sz w:val="20"/>
                      <w:szCs w:val="22"/>
                      <w14:textFill>
                        <w14:solidFill>
                          <w14:schemeClr w14:val="tx1"/>
                        </w14:solidFill>
                      </w14:textFill>
                    </w:rPr>
                    <w:t>：水泥：砂：碎石：固化剂：水的大致比例为</w:t>
                  </w:r>
                  <w:r>
                    <w:rPr>
                      <w:rFonts w:hint="eastAsia" w:cs="Times New Roman"/>
                      <w:color w:val="000000" w:themeColor="text1"/>
                      <w:sz w:val="20"/>
                      <w:szCs w:val="22"/>
                      <w:lang w:val="en-US" w:eastAsia="zh-CN"/>
                      <w14:textFill>
                        <w14:solidFill>
                          <w14:schemeClr w14:val="tx1"/>
                        </w14:solidFill>
                      </w14:textFill>
                    </w:rPr>
                    <w:t>650</w:t>
                  </w:r>
                  <w:r>
                    <w:rPr>
                      <w:rFonts w:hint="eastAsia" w:cs="Times New Roman"/>
                      <w:color w:val="000000" w:themeColor="text1"/>
                      <w:sz w:val="20"/>
                      <w:szCs w:val="22"/>
                      <w14:textFill>
                        <w14:solidFill>
                          <w14:schemeClr w14:val="tx1"/>
                        </w14:solidFill>
                      </w14:textFill>
                    </w:rPr>
                    <w:t>：</w:t>
                  </w:r>
                  <w:r>
                    <w:rPr>
                      <w:rFonts w:hint="eastAsia" w:cs="Times New Roman"/>
                      <w:color w:val="000000" w:themeColor="text1"/>
                      <w:sz w:val="20"/>
                      <w:szCs w:val="22"/>
                      <w:lang w:val="en-US" w:eastAsia="zh-CN"/>
                      <w14:textFill>
                        <w14:solidFill>
                          <w14:schemeClr w14:val="tx1"/>
                        </w14:solidFill>
                      </w14:textFill>
                    </w:rPr>
                    <w:t>3</w:t>
                  </w:r>
                  <w:r>
                    <w:rPr>
                      <w:rFonts w:hint="eastAsia" w:cs="Times New Roman"/>
                      <w:color w:val="000000" w:themeColor="text1"/>
                      <w:sz w:val="20"/>
                      <w:szCs w:val="22"/>
                      <w14:textFill>
                        <w14:solidFill>
                          <w14:schemeClr w14:val="tx1"/>
                        </w14:solidFill>
                      </w14:textFill>
                    </w:rPr>
                    <w:t>00：</w:t>
                  </w:r>
                  <w:r>
                    <w:rPr>
                      <w:rFonts w:hint="eastAsia" w:cs="Times New Roman"/>
                      <w:color w:val="000000" w:themeColor="text1"/>
                      <w:sz w:val="20"/>
                      <w:szCs w:val="22"/>
                      <w:lang w:val="en-US" w:eastAsia="zh-CN"/>
                      <w14:textFill>
                        <w14:solidFill>
                          <w14:schemeClr w14:val="tx1"/>
                        </w14:solidFill>
                      </w14:textFill>
                    </w:rPr>
                    <w:t>93</w:t>
                  </w:r>
                  <w:r>
                    <w:rPr>
                      <w:rFonts w:hint="eastAsia" w:cs="Times New Roman"/>
                      <w:color w:val="000000" w:themeColor="text1"/>
                      <w:sz w:val="20"/>
                      <w:szCs w:val="22"/>
                      <w14:textFill>
                        <w14:solidFill>
                          <w14:schemeClr w14:val="tx1"/>
                        </w14:solidFill>
                      </w14:textFill>
                    </w:rPr>
                    <w:t>0：2</w:t>
                  </w:r>
                  <w:r>
                    <w:rPr>
                      <w:rFonts w:hint="eastAsia" w:cs="Times New Roman"/>
                      <w:color w:val="000000" w:themeColor="text1"/>
                      <w:sz w:val="20"/>
                      <w:szCs w:val="22"/>
                      <w:lang w:val="en-US" w:eastAsia="zh-CN"/>
                      <w14:textFill>
                        <w14:solidFill>
                          <w14:schemeClr w14:val="tx1"/>
                        </w14:solidFill>
                      </w14:textFill>
                    </w:rPr>
                    <w:t>5</w:t>
                  </w:r>
                  <w:r>
                    <w:rPr>
                      <w:rFonts w:hint="eastAsia" w:cs="Times New Roman"/>
                      <w:color w:val="000000" w:themeColor="text1"/>
                      <w:sz w:val="20"/>
                      <w:szCs w:val="22"/>
                      <w14:textFill>
                        <w14:solidFill>
                          <w14:schemeClr w14:val="tx1"/>
                        </w14:solidFill>
                      </w14:textFill>
                    </w:rPr>
                    <w:t>0：1：</w:t>
                  </w:r>
                  <w:r>
                    <w:rPr>
                      <w:rFonts w:hint="eastAsia" w:cs="Times New Roman"/>
                      <w:color w:val="000000" w:themeColor="text1"/>
                      <w:sz w:val="20"/>
                      <w:szCs w:val="22"/>
                      <w:lang w:val="en-US" w:eastAsia="zh-CN"/>
                      <w14:textFill>
                        <w14:solidFill>
                          <w14:schemeClr w14:val="tx1"/>
                        </w14:solidFill>
                      </w14:textFill>
                    </w:rPr>
                    <w:t>64</w:t>
                  </w:r>
                  <w:r>
                    <w:rPr>
                      <w:rFonts w:hint="eastAsia" w:cs="Times New Roman"/>
                      <w:color w:val="000000" w:themeColor="text1"/>
                      <w:sz w:val="20"/>
                      <w:szCs w:val="22"/>
                      <w14:textFill>
                        <w14:solidFill>
                          <w14:schemeClr w14:val="tx1"/>
                        </w14:solidFill>
                      </w14:textFill>
                    </w:rPr>
                    <w:t>。</w:t>
                  </w:r>
                </w:p>
              </w:tc>
            </w:tr>
          </w:tbl>
          <w:p w14:paraId="1C062F07">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rFonts w:hint="default"/>
                <w:color w:val="000000" w:themeColor="text1"/>
                <w:lang w:val="en-US" w:eastAsia="zh-CN"/>
                <w14:textFill>
                  <w14:solidFill>
                    <w14:schemeClr w14:val="tx1"/>
                  </w14:solidFill>
                </w14:textFill>
              </w:rPr>
            </w:pPr>
            <w:r>
              <w:rPr>
                <w:rFonts w:hint="eastAsia" w:ascii="Times New Roman" w:hAnsi="Times New Roman" w:eastAsia="宋体" w:cstheme="minorBidi"/>
                <w:color w:val="000000" w:themeColor="text1"/>
                <w:kern w:val="2"/>
                <w:sz w:val="24"/>
                <w:szCs w:val="22"/>
                <w:lang w:val="en-US" w:eastAsia="zh-CN" w:bidi="ar-SA"/>
                <w14:textFill>
                  <w14:solidFill>
                    <w14:schemeClr w14:val="tx1"/>
                  </w14:solidFill>
                </w14:textFill>
              </w:rPr>
              <w:t>1）</w:t>
            </w:r>
            <w:r>
              <w:rPr>
                <w:rFonts w:hint="eastAsia"/>
                <w:color w:val="000000" w:themeColor="text1"/>
                <w:lang w:val="en-US" w:eastAsia="zh-CN"/>
                <w14:textFill>
                  <w14:solidFill>
                    <w14:schemeClr w14:val="tx1"/>
                  </w14:solidFill>
                </w14:textFill>
              </w:rPr>
              <w:t>免烧砌块：本项目的产品为免烧砌块，是以水泥为胶凝材料，与骨料（机制砂、碎石）、煅烧料、固化剂、水混合，经压实成型，再通过水泥的水化反应在自然养护下获得强度的建筑材料，其规格多样，可制成砌块、砖等多种形态，常见的免烧砌块包括路缘石、护坡砖、透水砖等。</w:t>
            </w:r>
          </w:p>
          <w:p w14:paraId="4DC6D6B9">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本项目生产的免烧砌块为基材素坯，不涉及颜料、面料、釉料等的使用，仅采用压制成型+蒸汽养护工艺，除固化剂外不涉及其他添加剂。</w:t>
            </w:r>
          </w:p>
          <w:p w14:paraId="21DF2CB6">
            <w:pPr>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2"/>
                <w:lang w:val="en-US" w:eastAsia="zh-CN" w:bidi="ar-SA"/>
                <w14:textFill>
                  <w14:solidFill>
                    <w14:schemeClr w14:val="tx1"/>
                  </w14:solidFill>
                </w14:textFill>
              </w:rPr>
              <w:t>（2）</w:t>
            </w:r>
            <w:r>
              <w:rPr>
                <w:rFonts w:hint="eastAsia" w:cs="Times New Roman"/>
                <w:b/>
                <w:bCs/>
                <w:color w:val="000000" w:themeColor="text1"/>
                <w:lang w:val="en-US" w:eastAsia="zh-CN"/>
                <w14:textFill>
                  <w14:solidFill>
                    <w14:schemeClr w14:val="tx1"/>
                  </w14:solidFill>
                </w14:textFill>
              </w:rPr>
              <w:t>产品质量标准</w:t>
            </w:r>
          </w:p>
          <w:p w14:paraId="3F68B975">
            <w:pPr>
              <w:keepNext w:val="0"/>
              <w:keepLines w:val="0"/>
              <w:pageBreakBefore w:val="0"/>
              <w:widowControl/>
              <w:suppressLineNumbers w:val="0"/>
              <w:kinsoku/>
              <w:wordWrap/>
              <w:overflowPunct/>
              <w:topLinePunct w:val="0"/>
              <w:autoSpaceDE/>
              <w:autoSpaceDN/>
              <w:bidi w:val="0"/>
              <w:spacing w:line="360" w:lineRule="auto"/>
              <w:ind w:firstLine="480" w:firstLineChars="200"/>
              <w:jc w:val="left"/>
              <w:textAlignment w:val="auto"/>
              <w:rPr>
                <w:rFonts w:hint="eastAsia"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1）免烧砌块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olor w:val="000000" w:themeColor="text1"/>
                <w:szCs w:val="24"/>
                <w:lang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《陆上石油天然气钻井环境保护技术规范》（SY/T7298-2024</w:t>
            </w:r>
            <w:r>
              <w:rPr>
                <w:rFonts w:hint="eastAsia" w:cs="Times New Roman"/>
                <w:color w:val="000000" w:themeColor="text1"/>
                <w:kern w:val="0"/>
                <w:sz w:val="24"/>
                <w:szCs w:val="24"/>
                <w:lang w:val="en-US" w:eastAsia="zh-CN" w:bidi="ar"/>
                <w14:textFill>
                  <w14:solidFill>
                    <w14:schemeClr w14:val="tx1"/>
                  </w14:solidFill>
                </w14:textFill>
              </w:rPr>
              <w:t>）中8.1.6，免烧砖需</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满足</w:t>
            </w:r>
            <w:r>
              <w:rPr>
                <w:rFonts w:hint="eastAsia" w:cs="Times New Roman"/>
                <w:color w:val="000000" w:themeColor="text1"/>
                <w:kern w:val="0"/>
                <w:sz w:val="24"/>
                <w:szCs w:val="24"/>
                <w:lang w:val="en-US" w:eastAsia="zh-CN" w:bidi="ar"/>
                <w14:textFill>
                  <w14:solidFill>
                    <w14:schemeClr w14:val="tx1"/>
                  </w14:solidFill>
                </w14:textFill>
              </w:rPr>
              <w:t>《非烧结垃圾尾矿砖》（JC/T422-2025）相关要求</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683ED98E">
            <w:pPr>
              <w:pStyle w:val="12"/>
              <w:keepNext/>
              <w:keepLines w:val="0"/>
              <w:pageBreakBefore w:val="0"/>
              <w:kinsoku/>
              <w:wordWrap/>
              <w:overflowPunct/>
              <w:topLinePunct w:val="0"/>
              <w:autoSpaceDE/>
              <w:autoSpaceDN/>
              <w:bidi w:val="0"/>
              <w:spacing w:after="0" w:line="360" w:lineRule="auto"/>
              <w:textAlignment w:val="auto"/>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2-8 本项目产品浸出液控制项目限值一览表 单位:mg/L</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9"/>
              <w:gridCol w:w="4610"/>
            </w:tblGrid>
            <w:tr w14:paraId="777B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0" w:type="pct"/>
                  <w:vAlign w:val="center"/>
                </w:tcPr>
                <w:p w14:paraId="06F2A972">
                  <w:pPr>
                    <w:pStyle w:val="51"/>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控制项目</w:t>
                  </w:r>
                </w:p>
              </w:tc>
              <w:tc>
                <w:tcPr>
                  <w:tcW w:w="2500" w:type="pct"/>
                  <w:vAlign w:val="center"/>
                </w:tcPr>
                <w:p w14:paraId="326B5D2C">
                  <w:pPr>
                    <w:pStyle w:val="51"/>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技术指标/限值</w:t>
                  </w:r>
                </w:p>
              </w:tc>
            </w:tr>
            <w:tr w14:paraId="77E0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500" w:type="pct"/>
                  <w:vAlign w:val="center"/>
                </w:tcPr>
                <w:p w14:paraId="20EC47B1">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汞</w:t>
                  </w:r>
                </w:p>
              </w:tc>
              <w:tc>
                <w:tcPr>
                  <w:tcW w:w="2500" w:type="pct"/>
                  <w:vAlign w:val="center"/>
                </w:tcPr>
                <w:p w14:paraId="22B00061">
                  <w:pPr>
                    <w:pStyle w:val="13"/>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≤0.02</w:t>
                  </w:r>
                </w:p>
              </w:tc>
            </w:tr>
            <w:tr w14:paraId="671E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500" w:type="pct"/>
                  <w:vAlign w:val="center"/>
                </w:tcPr>
                <w:p w14:paraId="0B2C4325">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铅</w:t>
                  </w:r>
                </w:p>
              </w:tc>
              <w:tc>
                <w:tcPr>
                  <w:tcW w:w="2500" w:type="pct"/>
                  <w:vAlign w:val="center"/>
                </w:tcPr>
                <w:p w14:paraId="2118E741">
                  <w:pPr>
                    <w:pStyle w:val="13"/>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w:t>
                  </w:r>
                </w:p>
              </w:tc>
            </w:tr>
            <w:tr w14:paraId="762A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0" w:type="pct"/>
                  <w:vAlign w:val="center"/>
                </w:tcPr>
                <w:p w14:paraId="7CF38C85">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砷</w:t>
                  </w:r>
                </w:p>
              </w:tc>
              <w:tc>
                <w:tcPr>
                  <w:tcW w:w="2500" w:type="pct"/>
                  <w:vAlign w:val="center"/>
                </w:tcPr>
                <w:p w14:paraId="0CDD2D60">
                  <w:pPr>
                    <w:pStyle w:val="13"/>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≤0.6</w:t>
                  </w:r>
                </w:p>
              </w:tc>
            </w:tr>
            <w:tr w14:paraId="23EC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0" w:type="pct"/>
                  <w:vAlign w:val="center"/>
                </w:tcPr>
                <w:p w14:paraId="0C0D069E">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镉</w:t>
                  </w:r>
                </w:p>
              </w:tc>
              <w:tc>
                <w:tcPr>
                  <w:tcW w:w="2500" w:type="pct"/>
                  <w:vAlign w:val="center"/>
                </w:tcPr>
                <w:p w14:paraId="05E3641B">
                  <w:pPr>
                    <w:pStyle w:val="13"/>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≤0.1</w:t>
                  </w:r>
                </w:p>
              </w:tc>
            </w:tr>
            <w:tr w14:paraId="392E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0" w:type="pct"/>
                  <w:vAlign w:val="center"/>
                </w:tcPr>
                <w:p w14:paraId="2E13A11D">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铬</w:t>
                  </w:r>
                </w:p>
              </w:tc>
              <w:tc>
                <w:tcPr>
                  <w:tcW w:w="2500" w:type="pct"/>
                  <w:vAlign w:val="center"/>
                </w:tcPr>
                <w:p w14:paraId="633370E8">
                  <w:pPr>
                    <w:pStyle w:val="13"/>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≤1.5</w:t>
                  </w:r>
                </w:p>
              </w:tc>
            </w:tr>
          </w:tbl>
          <w:p w14:paraId="21C80B48">
            <w:pPr>
              <w:keepLines w:val="0"/>
              <w:pageBreakBefore w:val="0"/>
              <w:kinsoku/>
              <w:wordWrap/>
              <w:overflowPunct/>
              <w:topLinePunct w:val="0"/>
              <w:autoSpaceDE/>
              <w:autoSpaceDN/>
              <w:bidi w:val="0"/>
              <w:spacing w:line="360" w:lineRule="auto"/>
              <w:ind w:firstLine="480"/>
              <w:textAlignment w:val="auto"/>
              <w:rPr>
                <w:rFonts w:hint="eastAsia" w:cs="Times New Roman"/>
                <w:b/>
                <w:bCs/>
                <w:color w:val="000000" w:themeColor="text1"/>
                <w:lang w:val="en-US" w:eastAsia="zh-CN"/>
                <w14:textFill>
                  <w14:solidFill>
                    <w14:schemeClr w14:val="tx1"/>
                  </w14:solidFill>
                </w14:textFill>
              </w:rPr>
            </w:pPr>
            <w:r>
              <w:rPr>
                <w:rFonts w:cs="Times New Roman"/>
                <w:b/>
                <w:bCs/>
                <w:color w:val="000000" w:themeColor="text1"/>
                <w14:textFill>
                  <w14:solidFill>
                    <w14:schemeClr w14:val="tx1"/>
                  </w14:solidFill>
                </w14:textFill>
              </w:rPr>
              <w:t>（</w:t>
            </w:r>
            <w:r>
              <w:rPr>
                <w:rFonts w:hint="eastAsia" w:cs="Times New Roman"/>
                <w:b/>
                <w:bCs/>
                <w:color w:val="000000" w:themeColor="text1"/>
                <w:lang w:val="en-US" w:eastAsia="zh-CN"/>
                <w14:textFill>
                  <w14:solidFill>
                    <w14:schemeClr w14:val="tx1"/>
                  </w14:solidFill>
                </w14:textFill>
              </w:rPr>
              <w:t>3</w:t>
            </w:r>
            <w:r>
              <w:rPr>
                <w:rFonts w:cs="Times New Roman"/>
                <w:b/>
                <w:bCs/>
                <w:color w:val="000000" w:themeColor="text1"/>
                <w14:textFill>
                  <w14:solidFill>
                    <w14:schemeClr w14:val="tx1"/>
                  </w14:solidFill>
                </w14:textFill>
              </w:rPr>
              <w:t>）</w:t>
            </w:r>
            <w:r>
              <w:rPr>
                <w:rFonts w:hint="eastAsia" w:cs="Times New Roman"/>
                <w:b/>
                <w:bCs/>
                <w:color w:val="000000" w:themeColor="text1"/>
                <w:lang w:val="en-US" w:eastAsia="zh-CN"/>
                <w14:textFill>
                  <w14:solidFill>
                    <w14:schemeClr w14:val="tx1"/>
                  </w14:solidFill>
                </w14:textFill>
              </w:rPr>
              <w:t>其他要求</w:t>
            </w:r>
          </w:p>
          <w:p w14:paraId="19E5BAC0">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根据《陆上石油天然气开采水基钻井废弃物处理处置及资源化利用技术规范》（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SY/T7466-2020</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同时</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w:t>
            </w:r>
            <w:r>
              <w:rPr>
                <w:rFonts w:hint="eastAsia" w:ascii="宋体" w:hAnsi="宋体" w:cs="宋体"/>
                <w:color w:val="000000" w:themeColor="text1"/>
                <w:kern w:val="0"/>
                <w:szCs w:val="24"/>
                <w:lang w:bidi="ar"/>
                <w14:textFill>
                  <w14:solidFill>
                    <w14:schemeClr w14:val="tx1"/>
                  </w14:solidFill>
                </w14:textFill>
              </w:rPr>
              <w:t>《陆上石油天然气钻井环境保护技术规范》</w:t>
            </w:r>
            <w:r>
              <w:rPr>
                <w:rFonts w:hint="default" w:ascii="Times New Roman" w:hAnsi="Times New Roman" w:cs="Times New Roman"/>
                <w:color w:val="000000" w:themeColor="text1"/>
                <w:kern w:val="0"/>
                <w:szCs w:val="24"/>
                <w:lang w:bidi="ar"/>
                <w14:textFill>
                  <w14:solidFill>
                    <w14:schemeClr w14:val="tx1"/>
                  </w14:solidFill>
                </w14:textFill>
              </w:rPr>
              <w:t>（SY/T7298-2024）</w:t>
            </w:r>
            <w:r>
              <w:rPr>
                <w:rFonts w:hint="eastAsia" w:ascii="Times New Roman" w:hAnsi="Times New Roman" w:cs="Times New Roman"/>
                <w:color w:val="000000" w:themeColor="text1"/>
                <w:kern w:val="0"/>
                <w:szCs w:val="24"/>
                <w:lang w:eastAsia="zh-CN" w:bidi="ar"/>
                <w14:textFill>
                  <w14:solidFill>
                    <w14:schemeClr w14:val="tx1"/>
                  </w14:solidFill>
                </w14:textFill>
              </w:rPr>
              <w:t>“</w:t>
            </w:r>
            <w:r>
              <w:rPr>
                <w:rFonts w:hint="eastAsia" w:ascii="Times New Roman" w:hAnsi="Times New Roman" w:cs="Times New Roman"/>
                <w:color w:val="000000" w:themeColor="text1"/>
                <w:kern w:val="0"/>
                <w:szCs w:val="24"/>
                <w:lang w:val="en-US" w:eastAsia="zh-CN" w:bidi="ar"/>
                <w14:textFill>
                  <w14:solidFill>
                    <w14:schemeClr w14:val="tx1"/>
                  </w14:solidFill>
                </w14:textFill>
              </w:rPr>
              <w:t>8钻井固体废物污染控制要求</w:t>
            </w:r>
            <w:r>
              <w:rPr>
                <w:rFonts w:hint="eastAsia" w:ascii="Times New Roman" w:hAnsi="Times New Roman" w:cs="Times New Roman"/>
                <w:color w:val="000000" w:themeColor="text1"/>
                <w:kern w:val="0"/>
                <w:szCs w:val="24"/>
                <w:lang w:eastAsia="zh-CN" w:bidi="ar"/>
                <w14:textFill>
                  <w14:solidFill>
                    <w14:schemeClr w14:val="tx1"/>
                  </w14:solidFill>
                </w14:textFill>
              </w:rPr>
              <w:t>”</w:t>
            </w:r>
            <w:r>
              <w:rPr>
                <w:rFonts w:hint="eastAsia" w:ascii="Times New Roman" w:hAnsi="Times New Roman" w:cs="Times New Roman"/>
                <w:color w:val="000000" w:themeColor="text1"/>
                <w:kern w:val="0"/>
                <w:szCs w:val="24"/>
                <w:lang w:val="en-US" w:eastAsia="zh-CN" w:bidi="ar"/>
                <w14:textFill>
                  <w14:solidFill>
                    <w14:schemeClr w14:val="tx1"/>
                  </w14:solidFill>
                </w14:textFill>
              </w:rPr>
              <w:t>中“8.1.6</w:t>
            </w:r>
            <w:r>
              <w:rPr>
                <w:rFonts w:hint="eastAsia" w:ascii="Times New Roman" w:hAnsi="Times New Roman" w:cs="Times New Roman"/>
                <w:color w:val="000000" w:themeColor="text1"/>
                <w:kern w:val="0"/>
                <w:szCs w:val="24"/>
                <w:lang w:bidi="ar"/>
                <w14:textFill>
                  <w14:solidFill>
                    <w14:schemeClr w14:val="tx1"/>
                  </w14:solidFill>
                </w14:textFill>
              </w:rPr>
              <w:t>钻井一开产生的</w:t>
            </w:r>
            <w:r>
              <w:rPr>
                <w:rFonts w:hint="default" w:ascii="Times New Roman" w:hAnsi="Times New Roman" w:eastAsia="宋体" w:cs="Times New Roman"/>
                <w:color w:val="000000" w:themeColor="text1"/>
                <w:kern w:val="0"/>
                <w:szCs w:val="24"/>
                <w:lang w:bidi="ar"/>
                <w14:textFill>
                  <w14:solidFill>
                    <w14:schemeClr w14:val="tx1"/>
                  </w14:solidFill>
                </w14:textFill>
              </w:rPr>
              <w:t>Ⅰ</w:t>
            </w:r>
            <w:r>
              <w:rPr>
                <w:rFonts w:hint="eastAsia" w:ascii="Times New Roman" w:hAnsi="Times New Roman" w:cs="Times New Roman"/>
                <w:color w:val="000000" w:themeColor="text1"/>
                <w:kern w:val="0"/>
                <w:szCs w:val="24"/>
                <w:lang w:bidi="ar"/>
                <w14:textFill>
                  <w14:solidFill>
                    <w14:schemeClr w14:val="tx1"/>
                  </w14:solidFill>
                </w14:textFill>
              </w:rPr>
              <w:t>类一般钻井固体废物剩余固相，可直接用于服务油气开采生产的铺垫井场和井场道路，也可用于制备免烧砖。免烧砖质量应符合JC/T422的规定，浸出液中污染控制项目应符合表A.1规定的限值</w:t>
            </w:r>
            <w:r>
              <w:rPr>
                <w:rFonts w:hint="eastAsia" w:ascii="Times New Roman" w:hAnsi="Times New Roman" w:cs="Times New Roman"/>
                <w:color w:val="000000" w:themeColor="text1"/>
                <w:kern w:val="0"/>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14:paraId="3CE6E7A5">
            <w:pPr>
              <w:keepNext w:val="0"/>
              <w:keepLines w:val="0"/>
              <w:pageBreakBefore w:val="0"/>
              <w:widowControl/>
              <w:suppressLineNumbers w:val="0"/>
              <w:kinsoku/>
              <w:wordWrap/>
              <w:overflowPunct/>
              <w:topLinePunct w:val="0"/>
              <w:autoSpaceDE/>
              <w:autoSpaceDN/>
              <w:bidi w:val="0"/>
              <w:spacing w:line="360" w:lineRule="auto"/>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本项目利用水基岩屑制备的建材，应达到如下技术要求：</w:t>
            </w:r>
          </w:p>
          <w:p w14:paraId="48A1634C">
            <w:pPr>
              <w:widowControl/>
              <w:autoSpaceDE/>
              <w:autoSpaceDN/>
              <w:jc w:val="left"/>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a</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制备的铺路基地、免烧砖、免烧砌块、免烧陶粒、烧结砖，浸出液污染控制项目不超出表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规定的限值。</w:t>
            </w:r>
          </w:p>
          <w:p w14:paraId="7745FAC5">
            <w:pPr>
              <w:pStyle w:val="12"/>
              <w:keepNext/>
              <w:keepLines w:val="0"/>
              <w:pageBreakBefore w:val="0"/>
              <w:kinsoku/>
              <w:wordWrap/>
              <w:overflowPunct/>
              <w:topLinePunct w:val="0"/>
              <w:autoSpaceDE/>
              <w:autoSpaceDN/>
              <w:bidi w:val="0"/>
              <w:spacing w:after="0" w:line="360" w:lineRule="auto"/>
              <w:textAlignment w:val="auto"/>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2-9 本项目产品浸出液控制项目限值一览表 单位:mg/L</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4"/>
              <w:gridCol w:w="2304"/>
              <w:gridCol w:w="2304"/>
              <w:gridCol w:w="2307"/>
            </w:tblGrid>
            <w:tr w14:paraId="7C14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Align w:val="center"/>
                </w:tcPr>
                <w:p w14:paraId="06A3802F">
                  <w:pPr>
                    <w:pStyle w:val="51"/>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名称</w:t>
                  </w:r>
                </w:p>
              </w:tc>
              <w:tc>
                <w:tcPr>
                  <w:tcW w:w="1249" w:type="pct"/>
                  <w:vAlign w:val="center"/>
                </w:tcPr>
                <w:p w14:paraId="35F7E0C9">
                  <w:pPr>
                    <w:pStyle w:val="51"/>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控制项目</w:t>
                  </w:r>
                </w:p>
              </w:tc>
              <w:tc>
                <w:tcPr>
                  <w:tcW w:w="1249" w:type="pct"/>
                  <w:vAlign w:val="center"/>
                </w:tcPr>
                <w:p w14:paraId="5366BFAD">
                  <w:pPr>
                    <w:pStyle w:val="51"/>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技术指标/限值</w:t>
                  </w:r>
                </w:p>
              </w:tc>
              <w:tc>
                <w:tcPr>
                  <w:tcW w:w="1250" w:type="pct"/>
                  <w:vAlign w:val="center"/>
                </w:tcPr>
                <w:p w14:paraId="7FA7253E">
                  <w:pPr>
                    <w:pStyle w:val="51"/>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来源</w:t>
                  </w:r>
                </w:p>
              </w:tc>
            </w:tr>
            <w:tr w14:paraId="314E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restart"/>
                  <w:vAlign w:val="center"/>
                </w:tcPr>
                <w:p w14:paraId="3D73C574">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重金属含量限值</w:t>
                  </w:r>
                </w:p>
              </w:tc>
              <w:tc>
                <w:tcPr>
                  <w:tcW w:w="1249" w:type="pct"/>
                  <w:vAlign w:val="center"/>
                </w:tcPr>
                <w:p w14:paraId="25D99965">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pH</w:t>
                  </w:r>
                </w:p>
              </w:tc>
              <w:tc>
                <w:tcPr>
                  <w:tcW w:w="1249" w:type="pct"/>
                  <w:vAlign w:val="center"/>
                </w:tcPr>
                <w:p w14:paraId="6B4E613F">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6-9（无量纲）</w:t>
                  </w:r>
                </w:p>
              </w:tc>
              <w:tc>
                <w:tcPr>
                  <w:tcW w:w="1250" w:type="pct"/>
                  <w:vMerge w:val="restart"/>
                  <w:vAlign w:val="center"/>
                </w:tcPr>
                <w:p w14:paraId="3B8DE7F2">
                  <w:pPr>
                    <w:pStyle w:val="13"/>
                    <w:jc w:val="center"/>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《陆上石油天然气开采水基钻井废弃物处理处置及资源化利用技术规范》（</w:t>
                  </w:r>
                  <w:r>
                    <w:rPr>
                      <w:rFonts w:hint="default" w:cs="Times New Roman"/>
                      <w:color w:val="000000" w:themeColor="text1"/>
                      <w:lang w:val="en-US" w:eastAsia="zh-CN"/>
                      <w14:textFill>
                        <w14:solidFill>
                          <w14:schemeClr w14:val="tx1"/>
                        </w14:solidFill>
                      </w14:textFill>
                    </w:rPr>
                    <w:t>SY/T7466-2020</w:t>
                  </w:r>
                  <w:r>
                    <w:rPr>
                      <w:rFonts w:hint="eastAsia" w:cs="Times New Roman"/>
                      <w:color w:val="000000" w:themeColor="text1"/>
                      <w:lang w:val="en-US" w:eastAsia="zh-CN"/>
                      <w14:textFill>
                        <w14:solidFill>
                          <w14:schemeClr w14:val="tx1"/>
                        </w14:solidFill>
                      </w14:textFill>
                    </w:rPr>
                    <w:t>）</w:t>
                  </w:r>
                </w:p>
                <w:p w14:paraId="49A4C638">
                  <w:pPr>
                    <w:pStyle w:val="13"/>
                    <w:jc w:val="center"/>
                    <w:rPr>
                      <w:rFonts w:hint="default" w:cs="Times New Roman"/>
                      <w:color w:val="000000" w:themeColor="text1"/>
                      <w:lang w:val="en-US" w:eastAsia="zh-CN"/>
                      <w14:textFill>
                        <w14:solidFill>
                          <w14:schemeClr w14:val="tx1"/>
                        </w14:solidFill>
                      </w14:textFill>
                    </w:rPr>
                  </w:pPr>
                  <w:r>
                    <w:rPr>
                      <w:rFonts w:hint="eastAsia" w:ascii="宋体" w:hAnsi="宋体" w:cs="宋体"/>
                      <w:color w:val="000000" w:themeColor="text1"/>
                      <w:kern w:val="0"/>
                      <w:szCs w:val="24"/>
                      <w:lang w:bidi="ar"/>
                      <w14:textFill>
                        <w14:solidFill>
                          <w14:schemeClr w14:val="tx1"/>
                        </w14:solidFill>
                      </w14:textFill>
                    </w:rPr>
                    <w:t>《陆上石油天然气钻井环境保护技术规范》</w:t>
                  </w:r>
                  <w:r>
                    <w:rPr>
                      <w:rFonts w:hint="default" w:ascii="Times New Roman" w:hAnsi="Times New Roman" w:cs="Times New Roman"/>
                      <w:color w:val="000000" w:themeColor="text1"/>
                      <w:kern w:val="0"/>
                      <w:szCs w:val="24"/>
                      <w:lang w:bidi="ar"/>
                      <w14:textFill>
                        <w14:solidFill>
                          <w14:schemeClr w14:val="tx1"/>
                        </w14:solidFill>
                      </w14:textFill>
                    </w:rPr>
                    <w:t>（SY/T7298-2024）</w:t>
                  </w:r>
                </w:p>
              </w:tc>
            </w:tr>
            <w:tr w14:paraId="3F9F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2C9F6A90">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E8D65BE">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色度</w:t>
                  </w:r>
                </w:p>
              </w:tc>
              <w:tc>
                <w:tcPr>
                  <w:tcW w:w="1249" w:type="pct"/>
                  <w:vAlign w:val="center"/>
                </w:tcPr>
                <w:p w14:paraId="6A1D05C4">
                  <w:pPr>
                    <w:pStyle w:val="13"/>
                    <w:jc w:val="center"/>
                    <w:rPr>
                      <w:rFonts w:hint="default"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≤50</w:t>
                  </w:r>
                  <w:r>
                    <w:rPr>
                      <w:rFonts w:hint="eastAsia" w:cs="Times New Roman"/>
                      <w:color w:val="000000" w:themeColor="text1"/>
                      <w:lang w:val="en-US" w:eastAsia="zh-CN"/>
                      <w14:textFill>
                        <w14:solidFill>
                          <w14:schemeClr w14:val="tx1"/>
                        </w14:solidFill>
                      </w14:textFill>
                    </w:rPr>
                    <w:t>（倍）</w:t>
                  </w:r>
                </w:p>
              </w:tc>
              <w:tc>
                <w:tcPr>
                  <w:tcW w:w="1250" w:type="pct"/>
                  <w:vMerge w:val="continue"/>
                  <w:vAlign w:val="center"/>
                </w:tcPr>
                <w:p w14:paraId="1FC5B11D">
                  <w:pPr>
                    <w:pStyle w:val="13"/>
                    <w:jc w:val="center"/>
                    <w:rPr>
                      <w:rFonts w:hint="default" w:cs="Times New Roman"/>
                      <w:color w:val="000000" w:themeColor="text1"/>
                      <w:lang w:val="en-US" w:eastAsia="zh-CN"/>
                      <w14:textFill>
                        <w14:solidFill>
                          <w14:schemeClr w14:val="tx1"/>
                        </w14:solidFill>
                      </w14:textFill>
                    </w:rPr>
                  </w:pPr>
                </w:p>
              </w:tc>
            </w:tr>
            <w:tr w14:paraId="6650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711BA48F">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3194C11">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石油类</w:t>
                  </w:r>
                </w:p>
              </w:tc>
              <w:tc>
                <w:tcPr>
                  <w:tcW w:w="1249" w:type="pct"/>
                  <w:vAlign w:val="center"/>
                </w:tcPr>
                <w:p w14:paraId="761AF3E7">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1250" w:type="pct"/>
                  <w:vMerge w:val="continue"/>
                  <w:vAlign w:val="center"/>
                </w:tcPr>
                <w:p w14:paraId="6E5EDAE9">
                  <w:pPr>
                    <w:pStyle w:val="13"/>
                    <w:jc w:val="center"/>
                    <w:rPr>
                      <w:rFonts w:hint="default" w:cs="Times New Roman"/>
                      <w:color w:val="000000" w:themeColor="text1"/>
                      <w:lang w:val="en-US" w:eastAsia="zh-CN"/>
                      <w14:textFill>
                        <w14:solidFill>
                          <w14:schemeClr w14:val="tx1"/>
                        </w14:solidFill>
                      </w14:textFill>
                    </w:rPr>
                  </w:pPr>
                </w:p>
              </w:tc>
            </w:tr>
            <w:tr w14:paraId="52D7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2A1C9551">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FA6B155">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COD</w:t>
                  </w:r>
                </w:p>
              </w:tc>
              <w:tc>
                <w:tcPr>
                  <w:tcW w:w="1249" w:type="pct"/>
                  <w:vAlign w:val="center"/>
                </w:tcPr>
                <w:p w14:paraId="2176DA7F">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100</w:t>
                  </w:r>
                </w:p>
              </w:tc>
              <w:tc>
                <w:tcPr>
                  <w:tcW w:w="1250" w:type="pct"/>
                  <w:vMerge w:val="continue"/>
                  <w:vAlign w:val="center"/>
                </w:tcPr>
                <w:p w14:paraId="7DA58AF0">
                  <w:pPr>
                    <w:pStyle w:val="13"/>
                    <w:jc w:val="center"/>
                    <w:rPr>
                      <w:rFonts w:hint="default" w:cs="Times New Roman"/>
                      <w:color w:val="000000" w:themeColor="text1"/>
                      <w:lang w:val="en-US" w:eastAsia="zh-CN"/>
                      <w14:textFill>
                        <w14:solidFill>
                          <w14:schemeClr w14:val="tx1"/>
                        </w14:solidFill>
                      </w14:textFill>
                    </w:rPr>
                  </w:pPr>
                </w:p>
              </w:tc>
            </w:tr>
            <w:tr w14:paraId="6A55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56DFF023">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40049E4">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总砷</w:t>
                  </w:r>
                </w:p>
              </w:tc>
              <w:tc>
                <w:tcPr>
                  <w:tcW w:w="1249" w:type="pct"/>
                  <w:vAlign w:val="center"/>
                </w:tcPr>
                <w:p w14:paraId="63907183">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250" w:type="pct"/>
                  <w:vMerge w:val="continue"/>
                  <w:vAlign w:val="center"/>
                </w:tcPr>
                <w:p w14:paraId="0C674CFA">
                  <w:pPr>
                    <w:pStyle w:val="13"/>
                    <w:jc w:val="center"/>
                    <w:rPr>
                      <w:rFonts w:hint="default" w:cs="Times New Roman"/>
                      <w:color w:val="000000" w:themeColor="text1"/>
                      <w:lang w:val="en-US" w:eastAsia="zh-CN"/>
                      <w14:textFill>
                        <w14:solidFill>
                          <w14:schemeClr w14:val="tx1"/>
                        </w14:solidFill>
                      </w14:textFill>
                    </w:rPr>
                  </w:pPr>
                </w:p>
              </w:tc>
            </w:tr>
            <w:tr w14:paraId="1D2B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26EBF648">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3B746FDE">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总钡</w:t>
                  </w:r>
                </w:p>
              </w:tc>
              <w:tc>
                <w:tcPr>
                  <w:tcW w:w="1249" w:type="pct"/>
                  <w:vAlign w:val="center"/>
                </w:tcPr>
                <w:p w14:paraId="7A1F1570">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1250" w:type="pct"/>
                  <w:vMerge w:val="continue"/>
                  <w:vAlign w:val="center"/>
                </w:tcPr>
                <w:p w14:paraId="4D9400BF">
                  <w:pPr>
                    <w:pStyle w:val="13"/>
                    <w:jc w:val="center"/>
                    <w:rPr>
                      <w:rFonts w:hint="default" w:cs="Times New Roman"/>
                      <w:color w:val="000000" w:themeColor="text1"/>
                      <w:lang w:val="en-US" w:eastAsia="zh-CN"/>
                      <w14:textFill>
                        <w14:solidFill>
                          <w14:schemeClr w14:val="tx1"/>
                        </w14:solidFill>
                      </w14:textFill>
                    </w:rPr>
                  </w:pPr>
                </w:p>
              </w:tc>
            </w:tr>
            <w:tr w14:paraId="28FD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77C8F545">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5C0C1D63">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总镉</w:t>
                  </w:r>
                </w:p>
              </w:tc>
              <w:tc>
                <w:tcPr>
                  <w:tcW w:w="1249" w:type="pct"/>
                  <w:vAlign w:val="center"/>
                </w:tcPr>
                <w:p w14:paraId="59949AAA">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0.1</w:t>
                  </w:r>
                </w:p>
              </w:tc>
              <w:tc>
                <w:tcPr>
                  <w:tcW w:w="1250" w:type="pct"/>
                  <w:vMerge w:val="continue"/>
                  <w:vAlign w:val="center"/>
                </w:tcPr>
                <w:p w14:paraId="2FA91355">
                  <w:pPr>
                    <w:pStyle w:val="13"/>
                    <w:jc w:val="center"/>
                    <w:rPr>
                      <w:rFonts w:hint="default" w:cs="Times New Roman"/>
                      <w:color w:val="000000" w:themeColor="text1"/>
                      <w:lang w:val="en-US" w:eastAsia="zh-CN"/>
                      <w14:textFill>
                        <w14:solidFill>
                          <w14:schemeClr w14:val="tx1"/>
                        </w14:solidFill>
                      </w14:textFill>
                    </w:rPr>
                  </w:pPr>
                </w:p>
              </w:tc>
            </w:tr>
            <w:tr w14:paraId="3093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24164DD0">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624D3FA1">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总铬</w:t>
                  </w:r>
                </w:p>
              </w:tc>
              <w:tc>
                <w:tcPr>
                  <w:tcW w:w="1249" w:type="pct"/>
                  <w:vAlign w:val="center"/>
                </w:tcPr>
                <w:p w14:paraId="71B0CA8D">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250" w:type="pct"/>
                  <w:vMerge w:val="continue"/>
                  <w:vAlign w:val="center"/>
                </w:tcPr>
                <w:p w14:paraId="09373296">
                  <w:pPr>
                    <w:pStyle w:val="13"/>
                    <w:jc w:val="center"/>
                    <w:rPr>
                      <w:rFonts w:hint="default" w:cs="Times New Roman"/>
                      <w:color w:val="000000" w:themeColor="text1"/>
                      <w:lang w:val="en-US" w:eastAsia="zh-CN"/>
                      <w14:textFill>
                        <w14:solidFill>
                          <w14:schemeClr w14:val="tx1"/>
                        </w14:solidFill>
                      </w14:textFill>
                    </w:rPr>
                  </w:pPr>
                </w:p>
              </w:tc>
            </w:tr>
            <w:tr w14:paraId="16AC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1D0B627E">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6304EB19">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六价铬</w:t>
                  </w:r>
                </w:p>
              </w:tc>
              <w:tc>
                <w:tcPr>
                  <w:tcW w:w="1249" w:type="pct"/>
                  <w:vAlign w:val="center"/>
                </w:tcPr>
                <w:p w14:paraId="117D8B12">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250" w:type="pct"/>
                  <w:vMerge w:val="continue"/>
                  <w:vAlign w:val="center"/>
                </w:tcPr>
                <w:p w14:paraId="374F2DF7">
                  <w:pPr>
                    <w:pStyle w:val="13"/>
                    <w:jc w:val="center"/>
                    <w:rPr>
                      <w:rFonts w:hint="default" w:cs="Times New Roman"/>
                      <w:color w:val="000000" w:themeColor="text1"/>
                      <w:lang w:val="en-US" w:eastAsia="zh-CN"/>
                      <w14:textFill>
                        <w14:solidFill>
                          <w14:schemeClr w14:val="tx1"/>
                        </w14:solidFill>
                      </w14:textFill>
                    </w:rPr>
                  </w:pPr>
                </w:p>
              </w:tc>
            </w:tr>
            <w:tr w14:paraId="4A1C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13C27FA8">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412CA79B">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总铅</w:t>
                  </w:r>
                </w:p>
              </w:tc>
              <w:tc>
                <w:tcPr>
                  <w:tcW w:w="1249" w:type="pct"/>
                  <w:vAlign w:val="center"/>
                </w:tcPr>
                <w:p w14:paraId="3F75DE45">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1250" w:type="pct"/>
                  <w:vMerge w:val="continue"/>
                  <w:vAlign w:val="center"/>
                </w:tcPr>
                <w:p w14:paraId="298965E6">
                  <w:pPr>
                    <w:pStyle w:val="13"/>
                    <w:jc w:val="center"/>
                    <w:rPr>
                      <w:rFonts w:hint="default" w:cs="Times New Roman"/>
                      <w:color w:val="000000" w:themeColor="text1"/>
                      <w:lang w:val="en-US" w:eastAsia="zh-CN"/>
                      <w14:textFill>
                        <w14:solidFill>
                          <w14:schemeClr w14:val="tx1"/>
                        </w14:solidFill>
                      </w14:textFill>
                    </w:rPr>
                  </w:pPr>
                </w:p>
              </w:tc>
            </w:tr>
            <w:tr w14:paraId="6EA3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11C6A477">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4845F830">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总汞</w:t>
                  </w:r>
                </w:p>
              </w:tc>
              <w:tc>
                <w:tcPr>
                  <w:tcW w:w="1249" w:type="pct"/>
                  <w:vAlign w:val="center"/>
                </w:tcPr>
                <w:p w14:paraId="2D3F3EF3">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0.05</w:t>
                  </w:r>
                </w:p>
              </w:tc>
              <w:tc>
                <w:tcPr>
                  <w:tcW w:w="1250" w:type="pct"/>
                  <w:vMerge w:val="continue"/>
                  <w:vAlign w:val="center"/>
                </w:tcPr>
                <w:p w14:paraId="19B0BC67">
                  <w:pPr>
                    <w:pStyle w:val="13"/>
                    <w:jc w:val="center"/>
                    <w:rPr>
                      <w:rFonts w:hint="default" w:cs="Times New Roman"/>
                      <w:color w:val="000000" w:themeColor="text1"/>
                      <w:lang w:val="en-US" w:eastAsia="zh-CN"/>
                      <w14:textFill>
                        <w14:solidFill>
                          <w14:schemeClr w14:val="tx1"/>
                        </w14:solidFill>
                      </w14:textFill>
                    </w:rPr>
                  </w:pPr>
                </w:p>
              </w:tc>
            </w:tr>
            <w:tr w14:paraId="1363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4F4476C0">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3F1F0A19">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总硒</w:t>
                  </w:r>
                </w:p>
              </w:tc>
              <w:tc>
                <w:tcPr>
                  <w:tcW w:w="1249" w:type="pct"/>
                  <w:vAlign w:val="center"/>
                </w:tcPr>
                <w:p w14:paraId="607BADA3">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0.1</w:t>
                  </w:r>
                </w:p>
              </w:tc>
              <w:tc>
                <w:tcPr>
                  <w:tcW w:w="1250" w:type="pct"/>
                  <w:vMerge w:val="continue"/>
                  <w:vAlign w:val="center"/>
                </w:tcPr>
                <w:p w14:paraId="739D06D0">
                  <w:pPr>
                    <w:pStyle w:val="13"/>
                    <w:jc w:val="center"/>
                    <w:rPr>
                      <w:rFonts w:hint="default" w:cs="Times New Roman"/>
                      <w:color w:val="000000" w:themeColor="text1"/>
                      <w:lang w:val="en-US" w:eastAsia="zh-CN"/>
                      <w14:textFill>
                        <w14:solidFill>
                          <w14:schemeClr w14:val="tx1"/>
                        </w14:solidFill>
                      </w14:textFill>
                    </w:rPr>
                  </w:pPr>
                </w:p>
              </w:tc>
            </w:tr>
            <w:tr w14:paraId="3025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7690CEA5">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20AFD146">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总镍</w:t>
                  </w:r>
                </w:p>
              </w:tc>
              <w:tc>
                <w:tcPr>
                  <w:tcW w:w="1249" w:type="pct"/>
                  <w:vAlign w:val="center"/>
                </w:tcPr>
                <w:p w14:paraId="4D24EB85">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1250" w:type="pct"/>
                  <w:vMerge w:val="continue"/>
                  <w:vAlign w:val="center"/>
                </w:tcPr>
                <w:p w14:paraId="62E8393F">
                  <w:pPr>
                    <w:pStyle w:val="13"/>
                    <w:jc w:val="center"/>
                    <w:rPr>
                      <w:rFonts w:hint="default" w:cs="Times New Roman"/>
                      <w:color w:val="000000" w:themeColor="text1"/>
                      <w:lang w:val="en-US" w:eastAsia="zh-CN"/>
                      <w14:textFill>
                        <w14:solidFill>
                          <w14:schemeClr w14:val="tx1"/>
                        </w14:solidFill>
                      </w14:textFill>
                    </w:rPr>
                  </w:pPr>
                </w:p>
              </w:tc>
            </w:tr>
            <w:tr w14:paraId="44B5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35ED2D9E">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05A266C4">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总铜</w:t>
                  </w:r>
                </w:p>
              </w:tc>
              <w:tc>
                <w:tcPr>
                  <w:tcW w:w="1249" w:type="pct"/>
                  <w:vAlign w:val="center"/>
                </w:tcPr>
                <w:p w14:paraId="4D3A94C0">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250" w:type="pct"/>
                  <w:vMerge w:val="continue"/>
                  <w:vAlign w:val="center"/>
                </w:tcPr>
                <w:p w14:paraId="52D599FF">
                  <w:pPr>
                    <w:pStyle w:val="13"/>
                    <w:jc w:val="center"/>
                    <w:rPr>
                      <w:rFonts w:hint="default" w:cs="Times New Roman"/>
                      <w:color w:val="000000" w:themeColor="text1"/>
                      <w:lang w:val="en-US" w:eastAsia="zh-CN"/>
                      <w14:textFill>
                        <w14:solidFill>
                          <w14:schemeClr w14:val="tx1"/>
                        </w14:solidFill>
                      </w14:textFill>
                    </w:rPr>
                  </w:pPr>
                </w:p>
              </w:tc>
            </w:tr>
            <w:tr w14:paraId="266D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1F6CABCA">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5839899">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总银</w:t>
                  </w:r>
                </w:p>
              </w:tc>
              <w:tc>
                <w:tcPr>
                  <w:tcW w:w="1249" w:type="pct"/>
                  <w:vAlign w:val="center"/>
                </w:tcPr>
                <w:p w14:paraId="2960A296">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250" w:type="pct"/>
                  <w:vMerge w:val="continue"/>
                  <w:vAlign w:val="center"/>
                </w:tcPr>
                <w:p w14:paraId="7FCF99DC">
                  <w:pPr>
                    <w:pStyle w:val="13"/>
                    <w:jc w:val="center"/>
                    <w:rPr>
                      <w:rFonts w:hint="default" w:cs="Times New Roman"/>
                      <w:color w:val="000000" w:themeColor="text1"/>
                      <w:lang w:val="en-US" w:eastAsia="zh-CN"/>
                      <w14:textFill>
                        <w14:solidFill>
                          <w14:schemeClr w14:val="tx1"/>
                        </w14:solidFill>
                      </w14:textFill>
                    </w:rPr>
                  </w:pPr>
                </w:p>
              </w:tc>
            </w:tr>
            <w:tr w14:paraId="6410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72E8D862">
                  <w:pPr>
                    <w:pStyle w:val="13"/>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6840974C">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总锌</w:t>
                  </w:r>
                </w:p>
              </w:tc>
              <w:tc>
                <w:tcPr>
                  <w:tcW w:w="1249" w:type="pct"/>
                  <w:vAlign w:val="center"/>
                </w:tcPr>
                <w:p w14:paraId="2FEB395F">
                  <w:pPr>
                    <w:pStyle w:val="13"/>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c>
                <w:tcPr>
                  <w:tcW w:w="1250" w:type="pct"/>
                  <w:vMerge w:val="continue"/>
                  <w:vAlign w:val="center"/>
                </w:tcPr>
                <w:p w14:paraId="657C32A5">
                  <w:pPr>
                    <w:pStyle w:val="13"/>
                    <w:jc w:val="center"/>
                    <w:rPr>
                      <w:rFonts w:hint="default" w:cs="Times New Roman"/>
                      <w:color w:val="000000" w:themeColor="text1"/>
                      <w:lang w:val="en-US" w:eastAsia="zh-CN"/>
                      <w14:textFill>
                        <w14:solidFill>
                          <w14:schemeClr w14:val="tx1"/>
                        </w14:solidFill>
                      </w14:textFill>
                    </w:rPr>
                  </w:pPr>
                </w:p>
              </w:tc>
            </w:tr>
          </w:tbl>
          <w:p w14:paraId="18A92A01">
            <w:pPr>
              <w:keepNext w:val="0"/>
              <w:keepLines w:val="0"/>
              <w:widowControl/>
              <w:suppressLineNumbers w:val="0"/>
              <w:jc w:val="left"/>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b</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制备免烧砖、免烧砌块、免烧陶粒、烧结砖，抗压强度不小于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10MPa</w:t>
            </w:r>
            <w:r>
              <w:rPr>
                <w:rFonts w:hint="eastAsia" w:ascii="宋体" w:hAnsi="宋体" w:eastAsia="宋体" w:cs="宋体"/>
                <w:color w:val="000000" w:themeColor="text1"/>
                <w:kern w:val="0"/>
                <w:sz w:val="24"/>
                <w:szCs w:val="24"/>
                <w:lang w:val="en-US" w:eastAsia="zh-CN" w:bidi="ar"/>
                <w14:textFill>
                  <w14:solidFill>
                    <w14:schemeClr w14:val="tx1"/>
                  </w14:solidFill>
                </w14:textFill>
              </w:rPr>
              <w:t>，并且根据用途</w:t>
            </w:r>
            <w:r>
              <w:rPr>
                <w:rFonts w:hint="eastAsia" w:ascii="宋体" w:hAnsi="宋体" w:cs="宋体"/>
                <w:color w:val="000000" w:themeColor="text1"/>
                <w:kern w:val="0"/>
                <w:sz w:val="24"/>
                <w:szCs w:val="24"/>
                <w:lang w:val="en-US" w:eastAsia="zh-CN" w:bidi="ar"/>
                <w14:textFill>
                  <w14:solidFill>
                    <w14:schemeClr w14:val="tx1"/>
                  </w14:solidFill>
                </w14:textFill>
              </w:rPr>
              <w:t>满足</w:t>
            </w:r>
            <w:r>
              <w:rPr>
                <w:rFonts w:hint="eastAsia" w:ascii="宋体" w:hAnsi="宋体" w:eastAsia="宋体" w:cs="宋体"/>
                <w:color w:val="000000" w:themeColor="text1"/>
                <w:kern w:val="0"/>
                <w:sz w:val="24"/>
                <w:szCs w:val="24"/>
                <w:lang w:val="en-US" w:eastAsia="zh-CN" w:bidi="ar"/>
                <w14:textFill>
                  <w14:solidFill>
                    <w14:schemeClr w14:val="tx1"/>
                  </w14:solidFill>
                </w14:textFill>
              </w:rPr>
              <w:t>建材标准要求。</w:t>
            </w:r>
          </w:p>
          <w:p w14:paraId="632BEC0B">
            <w:pPr>
              <w:keepNext w:val="0"/>
              <w:keepLines w:val="0"/>
              <w:widowControl/>
              <w:suppressLineNumbers w:val="0"/>
              <w:jc w:val="left"/>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制备的建材产品，放射性满足</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GB6566</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的要求。 </w:t>
            </w:r>
          </w:p>
          <w:p w14:paraId="26BD6A7B">
            <w:pPr>
              <w:keepNext w:val="0"/>
              <w:keepLines w:val="0"/>
              <w:widowControl/>
              <w:suppressLineNumbers w:val="0"/>
              <w:jc w:val="left"/>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d</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制备的建材材料还应符合地方标准的要求。</w:t>
            </w:r>
          </w:p>
          <w:p w14:paraId="232A1D13">
            <w:pPr>
              <w:pStyle w:val="4"/>
              <w:keepNext w:val="0"/>
              <w:keepLines w:val="0"/>
              <w:pageBreakBefore w:val="0"/>
              <w:kinsoku/>
              <w:wordWrap/>
              <w:overflowPunct/>
              <w:topLinePunct w:val="0"/>
              <w:autoSpaceDE/>
              <w:autoSpaceDN/>
              <w:bidi w:val="0"/>
              <w:adjustRightInd/>
              <w:snapToGrid/>
              <w:spacing w:before="0" w:beforeLine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建设内容</w:t>
            </w:r>
          </w:p>
          <w:p w14:paraId="2F5E4A5B">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bookmarkStart w:id="32" w:name="OLE_LINK465"/>
            <w:bookmarkStart w:id="33" w:name="OLE_LINK466"/>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本项目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租用四川金联玉合电气有限公司已建厂区内已建厂房（1号、2号、3号厂房），进行适应性改造，</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新建</w:t>
            </w:r>
            <w:r>
              <w:rPr>
                <w:rFonts w:hint="eastAsia" w:cs="Times New Roman"/>
                <w:color w:val="000000" w:themeColor="text1"/>
                <w:kern w:val="0"/>
                <w:sz w:val="24"/>
                <w:szCs w:val="24"/>
                <w:lang w:val="en-US" w:eastAsia="zh-CN" w:bidi="ar"/>
                <w14:textFill>
                  <w14:solidFill>
                    <w14:schemeClr w14:val="tx1"/>
                  </w14:solidFill>
                </w14:textFill>
              </w:rPr>
              <w:t>水基岩屑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综合利用</w:t>
            </w:r>
            <w:r>
              <w:rPr>
                <w:rFonts w:hint="eastAsia" w:cs="Times New Roman"/>
                <w:color w:val="000000" w:themeColor="text1"/>
                <w:kern w:val="0"/>
                <w:sz w:val="24"/>
                <w:szCs w:val="24"/>
                <w:lang w:val="en-US" w:eastAsia="zh-CN" w:bidi="ar"/>
                <w14:textFill>
                  <w14:solidFill>
                    <w14:schemeClr w14:val="tx1"/>
                  </w14:solidFill>
                </w14:textFill>
              </w:rPr>
              <w:t>及处理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bookmarkEnd w:id="32"/>
            <w:bookmarkEnd w:id="33"/>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项目建设完成后，可综合利用水基岩屑</w:t>
            </w:r>
            <w:r>
              <w:rPr>
                <w:rFonts w:hint="eastAsia" w:cs="Times New Roman"/>
                <w:color w:val="000000" w:themeColor="text1"/>
                <w:kern w:val="0"/>
                <w:sz w:val="24"/>
                <w:szCs w:val="24"/>
                <w:lang w:val="en-US" w:eastAsia="zh-CN" w:bidi="ar"/>
                <w14:textFill>
                  <w14:solidFill>
                    <w14:schemeClr w14:val="tx1"/>
                  </w14:solidFill>
                </w14:textFill>
              </w:rPr>
              <w:t>20万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约2</w:t>
            </w:r>
            <w:r>
              <w:rPr>
                <w:rFonts w:hint="eastAsia"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万t/a</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。项目组成及主要环境问题列表如下。</w:t>
            </w:r>
          </w:p>
          <w:p w14:paraId="315FD494">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2-10</w:t>
            </w:r>
            <w:r>
              <w:rPr>
                <w:rFonts w:cs="Times New Roman"/>
                <w:color w:val="000000" w:themeColor="text1"/>
                <w14:textFill>
                  <w14:solidFill>
                    <w14:schemeClr w14:val="tx1"/>
                  </w14:solidFill>
                </w14:textFill>
              </w:rPr>
              <w:t xml:space="preserve"> 项目组成及主要环境问题一览表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696"/>
              <w:gridCol w:w="1097"/>
              <w:gridCol w:w="4276"/>
              <w:gridCol w:w="881"/>
              <w:gridCol w:w="849"/>
              <w:gridCol w:w="710"/>
            </w:tblGrid>
            <w:tr w14:paraId="54AA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restart"/>
                  <w:vAlign w:val="center"/>
                </w:tcPr>
                <w:p w14:paraId="5850DCF9">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工程分类</w:t>
                  </w:r>
                </w:p>
              </w:tc>
              <w:tc>
                <w:tcPr>
                  <w:tcW w:w="377" w:type="pct"/>
                  <w:vMerge w:val="restart"/>
                  <w:vAlign w:val="center"/>
                </w:tcPr>
                <w:p w14:paraId="3578873B">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名称</w:t>
                  </w:r>
                </w:p>
              </w:tc>
              <w:tc>
                <w:tcPr>
                  <w:tcW w:w="2912" w:type="pct"/>
                  <w:gridSpan w:val="2"/>
                  <w:vMerge w:val="restart"/>
                  <w:vAlign w:val="center"/>
                </w:tcPr>
                <w:p w14:paraId="32741B9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建设内容及规模</w:t>
                  </w:r>
                </w:p>
              </w:tc>
              <w:tc>
                <w:tcPr>
                  <w:tcW w:w="937" w:type="pct"/>
                  <w:gridSpan w:val="2"/>
                  <w:vAlign w:val="center"/>
                </w:tcPr>
                <w:p w14:paraId="7F36C0D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主要环境问题</w:t>
                  </w:r>
                </w:p>
              </w:tc>
              <w:tc>
                <w:tcPr>
                  <w:tcW w:w="384" w:type="pct"/>
                  <w:vMerge w:val="restart"/>
                  <w:vAlign w:val="center"/>
                </w:tcPr>
                <w:p w14:paraId="5B7D284F">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Theme="minorEastAsia"/>
                      <w:b/>
                      <w:bCs/>
                      <w:sz w:val="21"/>
                      <w:szCs w:val="21"/>
                      <w:vertAlign w:val="baseline"/>
                      <w:lang w:val="en-US" w:eastAsia="zh-CN"/>
                    </w:rPr>
                  </w:pPr>
                  <w:r>
                    <w:rPr>
                      <w:rFonts w:hint="eastAsia"/>
                      <w:b/>
                      <w:bCs/>
                      <w:sz w:val="21"/>
                      <w:szCs w:val="21"/>
                      <w:vertAlign w:val="baseline"/>
                      <w:lang w:val="en-US" w:eastAsia="zh-CN"/>
                    </w:rPr>
                    <w:t>备注</w:t>
                  </w:r>
                </w:p>
              </w:tc>
            </w:tr>
            <w:tr w14:paraId="07C7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181DFB6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rPr>
                  </w:pPr>
                </w:p>
              </w:tc>
              <w:tc>
                <w:tcPr>
                  <w:tcW w:w="377" w:type="pct"/>
                  <w:vMerge w:val="continue"/>
                  <w:vAlign w:val="center"/>
                </w:tcPr>
                <w:p w14:paraId="197F337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rPr>
                  </w:pPr>
                </w:p>
              </w:tc>
              <w:tc>
                <w:tcPr>
                  <w:tcW w:w="2912" w:type="pct"/>
                  <w:gridSpan w:val="2"/>
                  <w:vMerge w:val="continue"/>
                  <w:vAlign w:val="center"/>
                </w:tcPr>
                <w:p w14:paraId="57A8A20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rPr>
                  </w:pPr>
                </w:p>
              </w:tc>
              <w:tc>
                <w:tcPr>
                  <w:tcW w:w="477" w:type="pct"/>
                  <w:vAlign w:val="center"/>
                </w:tcPr>
                <w:p w14:paraId="3D147771">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Theme="minorEastAsia"/>
                      <w:b/>
                      <w:bCs/>
                      <w:sz w:val="21"/>
                      <w:szCs w:val="21"/>
                      <w:vertAlign w:val="baseline"/>
                      <w:lang w:val="en-US" w:eastAsia="zh-CN"/>
                    </w:rPr>
                  </w:pPr>
                  <w:r>
                    <w:rPr>
                      <w:rFonts w:hint="eastAsia"/>
                      <w:b/>
                      <w:bCs/>
                      <w:sz w:val="21"/>
                      <w:szCs w:val="21"/>
                      <w:vertAlign w:val="baseline"/>
                      <w:lang w:val="en-US" w:eastAsia="zh-CN"/>
                    </w:rPr>
                    <w:t>施工期</w:t>
                  </w:r>
                </w:p>
              </w:tc>
              <w:tc>
                <w:tcPr>
                  <w:tcW w:w="460" w:type="pct"/>
                  <w:vAlign w:val="center"/>
                </w:tcPr>
                <w:p w14:paraId="4BC5995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运营期</w:t>
                  </w:r>
                </w:p>
              </w:tc>
              <w:tc>
                <w:tcPr>
                  <w:tcW w:w="384" w:type="pct"/>
                  <w:vMerge w:val="continue"/>
                  <w:vAlign w:val="center"/>
                </w:tcPr>
                <w:p w14:paraId="3F61F9B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r>
            <w:tr w14:paraId="3854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restart"/>
                  <w:shd w:val="clear" w:color="auto" w:fill="auto"/>
                  <w:vAlign w:val="center"/>
                </w:tcPr>
                <w:p w14:paraId="6011E75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主体工程</w:t>
                  </w:r>
                </w:p>
              </w:tc>
              <w:tc>
                <w:tcPr>
                  <w:tcW w:w="377" w:type="pct"/>
                  <w:vMerge w:val="restart"/>
                  <w:shd w:val="clear" w:color="auto" w:fill="auto"/>
                  <w:vAlign w:val="center"/>
                </w:tcPr>
                <w:p w14:paraId="1A3331D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1号厂房</w:t>
                  </w:r>
                </w:p>
              </w:tc>
              <w:tc>
                <w:tcPr>
                  <w:tcW w:w="2912" w:type="pct"/>
                  <w:gridSpan w:val="2"/>
                  <w:shd w:val="clear" w:color="auto" w:fill="auto"/>
                  <w:vAlign w:val="center"/>
                </w:tcPr>
                <w:p w14:paraId="69A75492">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1栋，1F，建筑面积5767m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，租用已建成厂房进行适应性改造。厂房内不设置生产设备，内设干岩屑堆放区1处。</w:t>
                  </w:r>
                </w:p>
              </w:tc>
              <w:tc>
                <w:tcPr>
                  <w:tcW w:w="477" w:type="pct"/>
                  <w:vMerge w:val="restart"/>
                  <w:shd w:val="clear" w:color="auto" w:fill="auto"/>
                  <w:vAlign w:val="center"/>
                </w:tcPr>
                <w:p w14:paraId="555A4F9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施工扬尘、施工噪声、施工废水、建筑垃圾</w:t>
                  </w:r>
                </w:p>
              </w:tc>
              <w:tc>
                <w:tcPr>
                  <w:tcW w:w="460" w:type="pct"/>
                  <w:shd w:val="clear" w:color="auto" w:fill="auto"/>
                  <w:vAlign w:val="center"/>
                </w:tcPr>
                <w:p w14:paraId="6E99190F">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4" w:type="pct"/>
                  <w:shd w:val="clear" w:color="auto" w:fill="auto"/>
                  <w:vAlign w:val="center"/>
                </w:tcPr>
                <w:p w14:paraId="1F70B768">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4C1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050CC02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2FE8118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0F133804">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干水基岩屑堆存区：1处，占地面积约5000m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；三面设置0.5m高围堰+一面设置车辆卸料斜坡+栏板；堆放含水率为35%的干水基岩屑。</w:t>
                  </w:r>
                </w:p>
              </w:tc>
              <w:tc>
                <w:tcPr>
                  <w:tcW w:w="477" w:type="pct"/>
                  <w:vMerge w:val="continue"/>
                  <w:vAlign w:val="center"/>
                </w:tcPr>
                <w:p w14:paraId="6C513FE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6616B09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w:t>
                  </w:r>
                </w:p>
              </w:tc>
              <w:tc>
                <w:tcPr>
                  <w:tcW w:w="384" w:type="pct"/>
                  <w:shd w:val="clear" w:color="auto" w:fill="auto"/>
                  <w:vAlign w:val="center"/>
                </w:tcPr>
                <w:p w14:paraId="74EB350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630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21CB304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5C7A4095">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2号厂房</w:t>
                  </w:r>
                </w:p>
              </w:tc>
              <w:tc>
                <w:tcPr>
                  <w:tcW w:w="2912" w:type="pct"/>
                  <w:gridSpan w:val="2"/>
                  <w:shd w:val="clear" w:color="auto" w:fill="auto"/>
                  <w:vAlign w:val="center"/>
                </w:tcPr>
                <w:p w14:paraId="1C24BFF7">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1栋，1F，建筑面积3800m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，租用已建成厂房进行扩建及适应性改造，厂房内设置煅烧生产线1条、水基岩屑储存池1座（分4格，其中2格为滤液池）、水基岩屑预处理系统1套。</w:t>
                  </w:r>
                </w:p>
              </w:tc>
              <w:tc>
                <w:tcPr>
                  <w:tcW w:w="477" w:type="pct"/>
                  <w:vMerge w:val="continue"/>
                  <w:vAlign w:val="center"/>
                </w:tcPr>
                <w:p w14:paraId="16863D7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5E348BB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4" w:type="pct"/>
                  <w:shd w:val="clear" w:color="auto" w:fill="auto"/>
                  <w:vAlign w:val="center"/>
                </w:tcPr>
                <w:p w14:paraId="0D1EDE7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扩建</w:t>
                  </w:r>
                </w:p>
              </w:tc>
            </w:tr>
            <w:tr w14:paraId="312F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4D4064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4C9D001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450FD32F">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煅烧生产线：1条，位于厂房内东南侧，占地面积约550m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；设置1台煅烧回转窑及配套进料、环保设施，采用天然气为能源；干燥+预热+煅烧干水基岩屑。</w:t>
                  </w:r>
                </w:p>
              </w:tc>
              <w:tc>
                <w:tcPr>
                  <w:tcW w:w="477" w:type="pct"/>
                  <w:vMerge w:val="continue"/>
                  <w:vAlign w:val="center"/>
                </w:tcPr>
                <w:p w14:paraId="11983A3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5FE1388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臭气浓度、煅烧废气、固废、噪声</w:t>
                  </w:r>
                </w:p>
              </w:tc>
              <w:tc>
                <w:tcPr>
                  <w:tcW w:w="384" w:type="pct"/>
                  <w:shd w:val="clear" w:color="auto" w:fill="auto"/>
                  <w:vAlign w:val="center"/>
                </w:tcPr>
                <w:p w14:paraId="29E58F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asciiTheme="minorHAnsi" w:hAnsiTheme="minorHAnsi" w:eastAsiaTheme="minorEastAsia"/>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扩建</w:t>
                  </w:r>
                </w:p>
              </w:tc>
            </w:tr>
            <w:tr w14:paraId="5A56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02776CA2">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858015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7203B3B8">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w:t>
                  </w:r>
                  <w:r>
                    <w:rPr>
                      <w:rFonts w:hint="default" w:ascii="Times New Roman" w:hAnsi="Times New Roman" w:cs="Times New Roman"/>
                      <w:color w:val="000000" w:themeColor="text1"/>
                      <w:sz w:val="21"/>
                      <w:szCs w:val="21"/>
                      <w:lang w:val="en-US" w:eastAsia="zh-CN"/>
                      <w14:textFill>
                        <w14:solidFill>
                          <w14:schemeClr w14:val="tx1"/>
                        </w14:solidFill>
                      </w14:textFill>
                    </w:rPr>
                    <w:t>储存池：1座，4格，地埋式钢砼池体，位于厂房</w:t>
                  </w:r>
                  <w:r>
                    <w:rPr>
                      <w:rFonts w:hint="eastAsia" w:cs="Times New Roman"/>
                      <w:color w:val="000000" w:themeColor="text1"/>
                      <w:sz w:val="21"/>
                      <w:szCs w:val="21"/>
                      <w:lang w:val="en-US" w:eastAsia="zh-CN"/>
                      <w14:textFill>
                        <w14:solidFill>
                          <w14:schemeClr w14:val="tx1"/>
                        </w14:solidFill>
                      </w14:textFill>
                    </w:rPr>
                    <w:t>北</w:t>
                  </w:r>
                  <w:r>
                    <w:rPr>
                      <w:rFonts w:hint="default" w:ascii="Times New Roman" w:hAnsi="Times New Roman" w:cs="Times New Roman"/>
                      <w:color w:val="000000" w:themeColor="text1"/>
                      <w:sz w:val="21"/>
                      <w:szCs w:val="21"/>
                      <w:lang w:val="en-US" w:eastAsia="zh-CN"/>
                      <w14:textFill>
                        <w14:solidFill>
                          <w14:schemeClr w14:val="tx1"/>
                        </w14:solidFill>
                      </w14:textFill>
                    </w:rPr>
                    <w:t>侧，尺寸为：85.3×17.5×4m（长×宽×深），有效容积约5900m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w:t>
                  </w:r>
                </w:p>
                <w:p w14:paraId="4797DAD1">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池体共分为4格，其中2格用于储存平均含水率为</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70%</w:t>
                  </w:r>
                  <w:r>
                    <w:rPr>
                      <w:rFonts w:hint="default" w:ascii="Times New Roman" w:hAnsi="Times New Roman" w:cs="Times New Roman"/>
                      <w:color w:val="000000" w:themeColor="text1"/>
                      <w:sz w:val="21"/>
                      <w:szCs w:val="21"/>
                      <w:lang w:val="en-US" w:eastAsia="zh-CN"/>
                      <w14:textFill>
                        <w14:solidFill>
                          <w14:schemeClr w14:val="tx1"/>
                        </w14:solidFill>
                      </w14:textFill>
                    </w:rPr>
                    <w:t>的水基岩屑，这2格合计尺寸为69.3×17.5×4m（长×宽×深），有效容积约4800m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w:t>
                  </w:r>
                </w:p>
                <w:p w14:paraId="2BD1F671">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其余两格用于储存水基岩屑预处理压滤产生的压滤废水，这两格2格合计尺寸为16×17.5×4m（长×宽×深），有效容积</w:t>
                  </w:r>
                  <w:r>
                    <w:rPr>
                      <w:rFonts w:hint="eastAsia" w:cs="Times New Roman"/>
                      <w:color w:val="000000" w:themeColor="text1"/>
                      <w:sz w:val="21"/>
                      <w:szCs w:val="21"/>
                      <w:lang w:val="en-US" w:eastAsia="zh-CN"/>
                      <w14:textFill>
                        <w14:solidFill>
                          <w14:schemeClr w14:val="tx1"/>
                        </w14:solidFill>
                      </w14:textFill>
                    </w:rPr>
                    <w:t>约1100m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w:t>
                  </w:r>
                </w:p>
              </w:tc>
              <w:tc>
                <w:tcPr>
                  <w:tcW w:w="477" w:type="pct"/>
                  <w:vMerge w:val="continue"/>
                  <w:vAlign w:val="center"/>
                </w:tcPr>
                <w:p w14:paraId="7360D6F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65303F8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臭气浓度、废水、噪声</w:t>
                  </w:r>
                </w:p>
              </w:tc>
              <w:tc>
                <w:tcPr>
                  <w:tcW w:w="384" w:type="pct"/>
                  <w:shd w:val="clear" w:color="auto" w:fill="auto"/>
                  <w:vAlign w:val="center"/>
                </w:tcPr>
                <w:p w14:paraId="5CECD1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asciiTheme="minorHAnsi" w:hAnsiTheme="minorHAnsi" w:eastAsiaTheme="minorEastAsia"/>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扩建</w:t>
                  </w:r>
                </w:p>
              </w:tc>
            </w:tr>
            <w:tr w14:paraId="5B6F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7D315BF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8A1D67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65D10FC7">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水基岩屑预处理系统：1套，位于厂房内东北侧，占地面积约350m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；共设置1个搅拌罐、1台高压压滤机及配套设备（泵、管线等）；用于预处理含水率</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70%</w:t>
                  </w:r>
                  <w:r>
                    <w:rPr>
                      <w:rFonts w:hint="eastAsia" w:cs="Times New Roman"/>
                      <w:color w:val="000000" w:themeColor="text1"/>
                      <w:sz w:val="21"/>
                      <w:szCs w:val="21"/>
                      <w:lang w:val="en-US" w:eastAsia="zh-CN"/>
                      <w14:textFill>
                        <w14:solidFill>
                          <w14:schemeClr w14:val="tx1"/>
                        </w14:solidFill>
                      </w14:textFill>
                    </w:rPr>
                    <w:t>的湿水基岩屑，投加絮凝剂（氧化钙、硫酸亚铁），与水基岩屑搅拌混合后，通过高压压滤机将水基岩屑含水率降至35%以下；预处理能力800t/d。</w:t>
                  </w:r>
                </w:p>
              </w:tc>
              <w:tc>
                <w:tcPr>
                  <w:tcW w:w="477" w:type="pct"/>
                  <w:vMerge w:val="continue"/>
                  <w:vAlign w:val="center"/>
                </w:tcPr>
                <w:p w14:paraId="7086928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21DD974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臭气浓度、废水、固废、噪声</w:t>
                  </w:r>
                </w:p>
              </w:tc>
              <w:tc>
                <w:tcPr>
                  <w:tcW w:w="384" w:type="pct"/>
                  <w:shd w:val="clear" w:color="auto" w:fill="auto"/>
                  <w:vAlign w:val="center"/>
                </w:tcPr>
                <w:p w14:paraId="21DD72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asciiTheme="minorHAnsi" w:hAnsiTheme="minorHAnsi" w:eastAsiaTheme="minorEastAsia"/>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扩建</w:t>
                  </w:r>
                </w:p>
              </w:tc>
            </w:tr>
            <w:tr w14:paraId="0EA6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0ADCC0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7900728F">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3号厂房</w:t>
                  </w:r>
                </w:p>
              </w:tc>
              <w:tc>
                <w:tcPr>
                  <w:tcW w:w="2912" w:type="pct"/>
                  <w:gridSpan w:val="2"/>
                  <w:shd w:val="clear" w:color="auto" w:fill="auto"/>
                  <w:vAlign w:val="center"/>
                </w:tcPr>
                <w:p w14:paraId="2C29F942">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1栋，1F，建筑面积2197m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租用已建成厂房进行适应性改造。厂房内设置免烧建筑基材生产线1条（含蒸养区、1个水泥筒仓）、煅烧料仓1个、砂石堆放区1处、药剂堆存区1处。设置工具间、磅房等共2间。设置危废暂存间1间、一般固废暂存间1间。</w:t>
                  </w:r>
                </w:p>
              </w:tc>
              <w:tc>
                <w:tcPr>
                  <w:tcW w:w="477" w:type="pct"/>
                  <w:vMerge w:val="continue"/>
                  <w:vAlign w:val="center"/>
                </w:tcPr>
                <w:p w14:paraId="3A9E2D8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380534FF">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4" w:type="pct"/>
                  <w:shd w:val="clear" w:color="auto" w:fill="auto"/>
                  <w:vAlign w:val="center"/>
                </w:tcPr>
                <w:p w14:paraId="4D2BB058">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E36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A86B52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25BB613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12106598">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免烧建筑基材生产线：1条，设置于厂房内东部，占地面积约1500m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。设置配料仓、轮辊机、搅拌机、静压机、油冷机、出砖机、叠板机、蒸养箱、电加热蒸汽发生器等设备。采用煅烧料，添加水泥、砂、碎石、固化剂、水，制作免烧砌块，生产能力1200t/d。</w:t>
                  </w:r>
                </w:p>
                <w:p w14:paraId="0FE5F60E">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配套设有1个水泥筒仓，</w:t>
                  </w:r>
                  <w:r>
                    <w:rPr>
                      <w:rFonts w:hint="eastAsia" w:cs="Times New Roman"/>
                      <w:color w:val="000000" w:themeColor="text1"/>
                      <w:sz w:val="21"/>
                      <w:szCs w:val="21"/>
                      <w:lang w:val="en-US" w:eastAsia="zh-CN"/>
                      <w14:textFill>
                        <w14:solidFill>
                          <w14:schemeClr w14:val="tx1"/>
                        </w14:solidFill>
                      </w14:textFill>
                    </w:rPr>
                    <w:t>钢结构，单个容量200t，顶部自带布袋除尘设施；用于储存水泥原料；配套设置空压机及管线，用于水泥输送。</w:t>
                  </w:r>
                </w:p>
              </w:tc>
              <w:tc>
                <w:tcPr>
                  <w:tcW w:w="477" w:type="pct"/>
                  <w:vMerge w:val="continue"/>
                  <w:vAlign w:val="center"/>
                </w:tcPr>
                <w:p w14:paraId="0BB8D04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359F34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废气、固废、噪声</w:t>
                  </w:r>
                </w:p>
              </w:tc>
              <w:tc>
                <w:tcPr>
                  <w:tcW w:w="384" w:type="pct"/>
                  <w:shd w:val="clear" w:color="auto" w:fill="auto"/>
                  <w:vAlign w:val="center"/>
                </w:tcPr>
                <w:p w14:paraId="7827ED6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24D8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3092AC0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3DA26C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46F9CDF0">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煅烧料仓：1个，位于厂房西侧，钢制立式仓，有效容积约800m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；堆放暂存煅烧后的中间产物（煅烧料）。</w:t>
                  </w:r>
                </w:p>
              </w:tc>
              <w:tc>
                <w:tcPr>
                  <w:tcW w:w="477" w:type="pct"/>
                  <w:vMerge w:val="continue"/>
                  <w:vAlign w:val="center"/>
                </w:tcPr>
                <w:p w14:paraId="7AE0458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5F1BF350">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粉尘、噪声</w:t>
                  </w:r>
                </w:p>
              </w:tc>
              <w:tc>
                <w:tcPr>
                  <w:tcW w:w="384" w:type="pct"/>
                  <w:shd w:val="clear" w:color="auto" w:fill="auto"/>
                  <w:vAlign w:val="center"/>
                </w:tcPr>
                <w:p w14:paraId="51B24EA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84A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1D3702D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07788FD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750FBD57">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药剂堆存区：1处，占地约200m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，位于厂房西侧；堆放预处理所需的絮凝剂（氧化钙、硫酸亚铁）、废气处理所需药剂（活性炭、氢氧化钠）、免烧建筑基材生产所需的固化剂。</w:t>
                  </w:r>
                </w:p>
              </w:tc>
              <w:tc>
                <w:tcPr>
                  <w:tcW w:w="477" w:type="pct"/>
                  <w:vMerge w:val="continue"/>
                  <w:vAlign w:val="center"/>
                </w:tcPr>
                <w:p w14:paraId="77AC6EF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9A7135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噪声</w:t>
                  </w:r>
                </w:p>
              </w:tc>
              <w:tc>
                <w:tcPr>
                  <w:tcW w:w="384" w:type="pct"/>
                  <w:shd w:val="clear" w:color="auto" w:fill="auto"/>
                  <w:vAlign w:val="center"/>
                </w:tcPr>
                <w:p w14:paraId="7BCF6B0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B8A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0103DB2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6F29CA4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56B3C4D7">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砂石堆存区：1处，位于厂房西北侧，占地面积约400m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；堆放暂存砂、碎石原料。</w:t>
                  </w:r>
                </w:p>
              </w:tc>
              <w:tc>
                <w:tcPr>
                  <w:tcW w:w="477" w:type="pct"/>
                  <w:vMerge w:val="continue"/>
                  <w:vAlign w:val="center"/>
                </w:tcPr>
                <w:p w14:paraId="03CAA8A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1931AF5A">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粉尘</w:t>
                  </w:r>
                </w:p>
              </w:tc>
              <w:tc>
                <w:tcPr>
                  <w:tcW w:w="384" w:type="pct"/>
                  <w:shd w:val="clear" w:color="auto" w:fill="auto"/>
                  <w:vAlign w:val="center"/>
                </w:tcPr>
                <w:p w14:paraId="3D82618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7ED9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CBDCB0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47A453D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3ED7E6EE">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磅房、工具间：共2间房间，位于厂房西侧。</w:t>
                  </w:r>
                </w:p>
              </w:tc>
              <w:tc>
                <w:tcPr>
                  <w:tcW w:w="477" w:type="pct"/>
                  <w:vMerge w:val="continue"/>
                  <w:vAlign w:val="center"/>
                </w:tcPr>
                <w:p w14:paraId="0988BE8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114537DF">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b w:val="0"/>
                      <w:bCs/>
                      <w:color w:val="000000" w:themeColor="text1"/>
                      <w:kern w:val="0"/>
                      <w:sz w:val="21"/>
                      <w:szCs w:val="21"/>
                      <w:lang w:val="en-US" w:eastAsia="zh-CN" w:bidi="ar-SA"/>
                      <w14:textFill>
                        <w14:solidFill>
                          <w14:schemeClr w14:val="tx1"/>
                        </w14:solidFill>
                      </w14:textFill>
                    </w:rPr>
                    <w:t>/</w:t>
                  </w:r>
                </w:p>
              </w:tc>
              <w:tc>
                <w:tcPr>
                  <w:tcW w:w="384" w:type="pct"/>
                  <w:shd w:val="clear" w:color="auto" w:fill="auto"/>
                  <w:vAlign w:val="center"/>
                </w:tcPr>
                <w:p w14:paraId="4496331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661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596D7B6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7673261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1B60900E">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危废暂存间：1间，独立房间，占地约50m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，位于厂房西北侧；暂存危险废物。</w:t>
                  </w:r>
                </w:p>
              </w:tc>
              <w:tc>
                <w:tcPr>
                  <w:tcW w:w="477" w:type="pct"/>
                  <w:vMerge w:val="continue"/>
                  <w:vAlign w:val="center"/>
                </w:tcPr>
                <w:p w14:paraId="2C018B0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6952EAA">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危险废物</w:t>
                  </w:r>
                </w:p>
              </w:tc>
              <w:tc>
                <w:tcPr>
                  <w:tcW w:w="384" w:type="pct"/>
                  <w:shd w:val="clear" w:color="auto" w:fill="auto"/>
                  <w:vAlign w:val="center"/>
                </w:tcPr>
                <w:p w14:paraId="7CC0BC0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1F17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11CC555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080366F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1EDF62F5">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一般固废暂存间：1间，独立房间，占地约10m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，位于厂房西北侧；暂存一般固废。</w:t>
                  </w:r>
                </w:p>
              </w:tc>
              <w:tc>
                <w:tcPr>
                  <w:tcW w:w="477" w:type="pct"/>
                  <w:vMerge w:val="continue"/>
                  <w:vAlign w:val="center"/>
                </w:tcPr>
                <w:p w14:paraId="7FF5539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046BC40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一般固废</w:t>
                  </w:r>
                </w:p>
              </w:tc>
              <w:tc>
                <w:tcPr>
                  <w:tcW w:w="384" w:type="pct"/>
                  <w:shd w:val="clear" w:color="auto" w:fill="auto"/>
                  <w:vAlign w:val="center"/>
                </w:tcPr>
                <w:p w14:paraId="11BB633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482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shd w:val="clear" w:color="auto" w:fill="auto"/>
                  <w:vAlign w:val="center"/>
                </w:tcPr>
                <w:p w14:paraId="34B2C17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储运工程</w:t>
                  </w:r>
                </w:p>
              </w:tc>
              <w:tc>
                <w:tcPr>
                  <w:tcW w:w="377" w:type="pct"/>
                  <w:shd w:val="clear" w:color="auto" w:fill="auto"/>
                  <w:vAlign w:val="center"/>
                </w:tcPr>
                <w:p w14:paraId="66C0C10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成品堆放区</w:t>
                  </w:r>
                </w:p>
              </w:tc>
              <w:tc>
                <w:tcPr>
                  <w:tcW w:w="2912" w:type="pct"/>
                  <w:gridSpan w:val="2"/>
                  <w:shd w:val="clear" w:color="auto" w:fill="auto"/>
                  <w:vAlign w:val="center"/>
                </w:tcPr>
                <w:p w14:paraId="3DB3FFAB">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位于2号、3号厂房东南侧，用于暂存免烧砌块产品。</w:t>
                  </w:r>
                </w:p>
              </w:tc>
              <w:tc>
                <w:tcPr>
                  <w:tcW w:w="477" w:type="pct"/>
                  <w:vMerge w:val="continue"/>
                  <w:vAlign w:val="center"/>
                </w:tcPr>
                <w:p w14:paraId="021DA63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735752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4" w:type="pct"/>
                  <w:shd w:val="clear" w:color="auto" w:fill="auto"/>
                  <w:vAlign w:val="center"/>
                </w:tcPr>
                <w:p w14:paraId="7F64955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6CF4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restart"/>
                  <w:shd w:val="clear" w:color="auto" w:fill="auto"/>
                  <w:vAlign w:val="center"/>
                </w:tcPr>
                <w:p w14:paraId="7EA4CC8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辅助工程</w:t>
                  </w:r>
                </w:p>
              </w:tc>
              <w:tc>
                <w:tcPr>
                  <w:tcW w:w="377" w:type="pct"/>
                  <w:shd w:val="clear" w:color="auto" w:fill="auto"/>
                  <w:vAlign w:val="center"/>
                </w:tcPr>
                <w:p w14:paraId="5E9DBE4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风机房</w:t>
                  </w:r>
                </w:p>
              </w:tc>
              <w:tc>
                <w:tcPr>
                  <w:tcW w:w="2912" w:type="pct"/>
                  <w:gridSpan w:val="2"/>
                  <w:shd w:val="clear" w:color="auto" w:fill="auto"/>
                  <w:vAlign w:val="center"/>
                </w:tcPr>
                <w:p w14:paraId="71C7435A">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1间，占地约15m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，位于3号厂房内东南侧，放置布袋除尘器配套风机。</w:t>
                  </w:r>
                </w:p>
              </w:tc>
              <w:tc>
                <w:tcPr>
                  <w:tcW w:w="477" w:type="pct"/>
                  <w:vMerge w:val="continue"/>
                  <w:vAlign w:val="center"/>
                </w:tcPr>
                <w:p w14:paraId="677CA2B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63D667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噪声</w:t>
                  </w:r>
                </w:p>
              </w:tc>
              <w:tc>
                <w:tcPr>
                  <w:tcW w:w="384" w:type="pct"/>
                  <w:shd w:val="clear" w:color="auto" w:fill="auto"/>
                  <w:vAlign w:val="center"/>
                </w:tcPr>
                <w:p w14:paraId="2F6C539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7683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6B7168C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7C20654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洗车区</w:t>
                  </w:r>
                </w:p>
              </w:tc>
              <w:tc>
                <w:tcPr>
                  <w:tcW w:w="2912" w:type="pct"/>
                  <w:gridSpan w:val="2"/>
                  <w:shd w:val="clear" w:color="auto" w:fill="auto"/>
                  <w:vAlign w:val="center"/>
                </w:tcPr>
                <w:p w14:paraId="008FAE38">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1处，位于2号厂房外西北侧，露天设置，下沉式洗车槽，占地面积约30m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；用于车辆冲洗；设置管线将洗车废水送至水基岩屑储存池。</w:t>
                  </w:r>
                </w:p>
              </w:tc>
              <w:tc>
                <w:tcPr>
                  <w:tcW w:w="477" w:type="pct"/>
                  <w:vMerge w:val="continue"/>
                  <w:vAlign w:val="center"/>
                </w:tcPr>
                <w:p w14:paraId="254750C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7EEEA06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废水</w:t>
                  </w:r>
                </w:p>
              </w:tc>
              <w:tc>
                <w:tcPr>
                  <w:tcW w:w="384" w:type="pct"/>
                  <w:shd w:val="clear" w:color="auto" w:fill="auto"/>
                  <w:vAlign w:val="center"/>
                </w:tcPr>
                <w:p w14:paraId="47E05F6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1735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restart"/>
                  <w:shd w:val="clear" w:color="auto" w:fill="auto"/>
                  <w:vAlign w:val="center"/>
                </w:tcPr>
                <w:p w14:paraId="6098AD5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公用工程</w:t>
                  </w:r>
                </w:p>
              </w:tc>
              <w:tc>
                <w:tcPr>
                  <w:tcW w:w="377" w:type="pct"/>
                  <w:shd w:val="clear" w:color="auto" w:fill="auto"/>
                  <w:vAlign w:val="center"/>
                </w:tcPr>
                <w:p w14:paraId="214833D0">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供电</w:t>
                  </w:r>
                </w:p>
              </w:tc>
              <w:tc>
                <w:tcPr>
                  <w:tcW w:w="2912" w:type="pct"/>
                  <w:gridSpan w:val="2"/>
                  <w:shd w:val="clear" w:color="auto" w:fill="auto"/>
                  <w:vAlign w:val="center"/>
                </w:tcPr>
                <w:p w14:paraId="1158003B">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园区</w:t>
                  </w:r>
                  <w:r>
                    <w:rPr>
                      <w:rFonts w:cs="Times New Roman"/>
                      <w:color w:val="000000" w:themeColor="text1"/>
                      <w:sz w:val="21"/>
                      <w:szCs w:val="21"/>
                      <w14:textFill>
                        <w14:solidFill>
                          <w14:schemeClr w14:val="tx1"/>
                        </w14:solidFill>
                      </w14:textFill>
                    </w:rPr>
                    <w:t>电网供电。</w:t>
                  </w:r>
                </w:p>
              </w:tc>
              <w:tc>
                <w:tcPr>
                  <w:tcW w:w="477" w:type="pct"/>
                  <w:vMerge w:val="continue"/>
                  <w:vAlign w:val="center"/>
                </w:tcPr>
                <w:p w14:paraId="3AC1379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3A93FAF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w:t>
                  </w:r>
                </w:p>
              </w:tc>
              <w:tc>
                <w:tcPr>
                  <w:tcW w:w="384" w:type="pct"/>
                  <w:shd w:val="clear" w:color="auto" w:fill="auto"/>
                  <w:vAlign w:val="center"/>
                </w:tcPr>
                <w:p w14:paraId="5A6809E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5A63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17BB857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726D8EA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供水</w:t>
                  </w:r>
                </w:p>
              </w:tc>
              <w:tc>
                <w:tcPr>
                  <w:tcW w:w="2912" w:type="pct"/>
                  <w:gridSpan w:val="2"/>
                  <w:shd w:val="clear" w:color="auto" w:fill="auto"/>
                  <w:vAlign w:val="center"/>
                </w:tcPr>
                <w:p w14:paraId="6425BBDF">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园区</w:t>
                  </w:r>
                  <w:r>
                    <w:rPr>
                      <w:rFonts w:cs="Times New Roman"/>
                      <w:color w:val="000000" w:themeColor="text1"/>
                      <w:sz w:val="21"/>
                      <w:szCs w:val="21"/>
                      <w14:textFill>
                        <w14:solidFill>
                          <w14:schemeClr w14:val="tx1"/>
                        </w14:solidFill>
                      </w14:textFill>
                    </w:rPr>
                    <w:t>自来水管网供水。</w:t>
                  </w:r>
                </w:p>
              </w:tc>
              <w:tc>
                <w:tcPr>
                  <w:tcW w:w="477" w:type="pct"/>
                  <w:vMerge w:val="continue"/>
                  <w:vAlign w:val="center"/>
                </w:tcPr>
                <w:p w14:paraId="4ED8B52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779F807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w:t>
                  </w:r>
                </w:p>
              </w:tc>
              <w:tc>
                <w:tcPr>
                  <w:tcW w:w="384" w:type="pct"/>
                  <w:shd w:val="clear" w:color="auto" w:fill="auto"/>
                  <w:vAlign w:val="center"/>
                </w:tcPr>
                <w:p w14:paraId="59AC635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7278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6CEBF0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6696FA8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排水</w:t>
                  </w:r>
                </w:p>
              </w:tc>
              <w:tc>
                <w:tcPr>
                  <w:tcW w:w="2912" w:type="pct"/>
                  <w:gridSpan w:val="2"/>
                  <w:shd w:val="clear" w:color="auto" w:fill="auto"/>
                  <w:vAlign w:val="center"/>
                </w:tcPr>
                <w:p w14:paraId="573BD99D">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园区配套雨水、污水管网，雨污分流。</w:t>
                  </w:r>
                </w:p>
              </w:tc>
              <w:tc>
                <w:tcPr>
                  <w:tcW w:w="477" w:type="pct"/>
                  <w:vMerge w:val="continue"/>
                  <w:vAlign w:val="center"/>
                </w:tcPr>
                <w:p w14:paraId="606C25F8">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D303D3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废水</w:t>
                  </w:r>
                </w:p>
              </w:tc>
              <w:tc>
                <w:tcPr>
                  <w:tcW w:w="384" w:type="pct"/>
                  <w:shd w:val="clear" w:color="auto" w:fill="auto"/>
                  <w:vAlign w:val="center"/>
                </w:tcPr>
                <w:p w14:paraId="2D0FDBC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49F7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restart"/>
                  <w:shd w:val="clear" w:color="auto" w:fill="auto"/>
                  <w:vAlign w:val="center"/>
                </w:tcPr>
                <w:p w14:paraId="3C0014E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生活办公设施</w:t>
                  </w:r>
                </w:p>
              </w:tc>
              <w:tc>
                <w:tcPr>
                  <w:tcW w:w="377" w:type="pct"/>
                  <w:shd w:val="clear" w:color="auto" w:fill="auto"/>
                  <w:vAlign w:val="center"/>
                </w:tcPr>
                <w:p w14:paraId="1066259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办公</w:t>
                  </w:r>
                  <w:r>
                    <w:rPr>
                      <w:rFonts w:hint="eastAsia" w:cs="Times New Roman"/>
                      <w:color w:val="000000" w:themeColor="text1"/>
                      <w:sz w:val="21"/>
                      <w:szCs w:val="21"/>
                      <w:lang w:val="en-US" w:eastAsia="zh-CN"/>
                      <w14:textFill>
                        <w14:solidFill>
                          <w14:schemeClr w14:val="tx1"/>
                        </w14:solidFill>
                      </w14:textFill>
                    </w:rPr>
                    <w:t>楼</w:t>
                  </w:r>
                </w:p>
              </w:tc>
              <w:tc>
                <w:tcPr>
                  <w:tcW w:w="2912" w:type="pct"/>
                  <w:gridSpan w:val="2"/>
                  <w:shd w:val="clear" w:color="auto" w:fill="auto"/>
                  <w:vAlign w:val="center"/>
                </w:tcPr>
                <w:p w14:paraId="03218BD0">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租用已建成办公楼部分区域进行适应性改造后，用于人员办公。办公楼构筑物2F，位于1号厂房外南侧，本项目租用已建办公楼1F南侧区域，设置办公区、食堂，用于人员办公及用餐。</w:t>
                  </w:r>
                </w:p>
                <w:p w14:paraId="1BD73998">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食堂内设置隔油池（3m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）1座、油烟净化器1台及配套风管。</w:t>
                  </w:r>
                </w:p>
              </w:tc>
              <w:tc>
                <w:tcPr>
                  <w:tcW w:w="477" w:type="pct"/>
                  <w:vMerge w:val="continue"/>
                  <w:vAlign w:val="center"/>
                </w:tcPr>
                <w:p w14:paraId="7A22743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vMerge w:val="restart"/>
                  <w:shd w:val="clear" w:color="auto" w:fill="auto"/>
                  <w:vAlign w:val="center"/>
                </w:tcPr>
                <w:p w14:paraId="6CC2E53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生活污水、生活垃圾</w:t>
                  </w:r>
                </w:p>
              </w:tc>
              <w:tc>
                <w:tcPr>
                  <w:tcW w:w="384" w:type="pct"/>
                  <w:shd w:val="clear" w:color="auto" w:fill="auto"/>
                  <w:vAlign w:val="center"/>
                </w:tcPr>
                <w:p w14:paraId="18C70CC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5F69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387" w:type="pct"/>
                  <w:vMerge w:val="continue"/>
                  <w:vAlign w:val="center"/>
                </w:tcPr>
                <w:p w14:paraId="53753B4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698A4E9A">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宿舍楼</w:t>
                  </w:r>
                </w:p>
              </w:tc>
              <w:tc>
                <w:tcPr>
                  <w:tcW w:w="2912" w:type="pct"/>
                  <w:gridSpan w:val="2"/>
                  <w:shd w:val="clear" w:color="auto" w:fill="auto"/>
                  <w:vAlign w:val="center"/>
                </w:tcPr>
                <w:p w14:paraId="5321FCB4">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租用已建成宿舍部分区域，作为工作人员住宿场地。宿舍楼共3F，位于3号厂房东北侧，本项目租用其中部分房间，用于人员住宿。</w:t>
                  </w:r>
                </w:p>
              </w:tc>
              <w:tc>
                <w:tcPr>
                  <w:tcW w:w="477" w:type="pct"/>
                  <w:vMerge w:val="continue"/>
                  <w:vAlign w:val="center"/>
                </w:tcPr>
                <w:p w14:paraId="116ABFC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vMerge w:val="continue"/>
                  <w:vAlign w:val="center"/>
                </w:tcPr>
                <w:p w14:paraId="0B564E4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58CB0B35">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742B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restart"/>
                  <w:shd w:val="clear" w:color="auto" w:fill="auto"/>
                  <w:vAlign w:val="center"/>
                </w:tcPr>
                <w:p w14:paraId="5CE7BB6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环保工程</w:t>
                  </w:r>
                </w:p>
              </w:tc>
              <w:tc>
                <w:tcPr>
                  <w:tcW w:w="972" w:type="pct"/>
                  <w:gridSpan w:val="2"/>
                  <w:shd w:val="clear" w:color="auto" w:fill="auto"/>
                  <w:vAlign w:val="center"/>
                </w:tcPr>
                <w:p w14:paraId="441574A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成品堆存</w:t>
                  </w:r>
                </w:p>
              </w:tc>
              <w:tc>
                <w:tcPr>
                  <w:tcW w:w="2317" w:type="pct"/>
                  <w:shd w:val="clear" w:color="auto" w:fill="auto"/>
                  <w:vAlign w:val="center"/>
                </w:tcPr>
                <w:p w14:paraId="5B2C3B0D">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设置三面围挡+顶棚</w:t>
                  </w:r>
                </w:p>
              </w:tc>
              <w:tc>
                <w:tcPr>
                  <w:tcW w:w="477" w:type="pct"/>
                  <w:vMerge w:val="continue"/>
                  <w:shd w:val="clear" w:color="auto" w:fill="auto"/>
                  <w:vAlign w:val="center"/>
                </w:tcPr>
                <w:p w14:paraId="2004B5F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shd w:val="clear" w:color="auto" w:fill="auto"/>
                  <w:vAlign w:val="center"/>
                </w:tcPr>
                <w:p w14:paraId="5DE0890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4" w:type="pct"/>
                  <w:shd w:val="clear" w:color="auto" w:fill="auto"/>
                  <w:vAlign w:val="center"/>
                </w:tcPr>
                <w:p w14:paraId="2520B02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7A64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shd w:val="clear" w:color="auto" w:fill="auto"/>
                  <w:vAlign w:val="center"/>
                </w:tcPr>
                <w:p w14:paraId="5E99A0B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377" w:type="pct"/>
                  <w:vMerge w:val="restart"/>
                  <w:shd w:val="clear" w:color="auto" w:fill="auto"/>
                  <w:vAlign w:val="center"/>
                </w:tcPr>
                <w:p w14:paraId="284A3A4A">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废气治理</w:t>
                  </w:r>
                </w:p>
              </w:tc>
              <w:tc>
                <w:tcPr>
                  <w:tcW w:w="594" w:type="pct"/>
                  <w:shd w:val="clear" w:color="auto" w:fill="auto"/>
                  <w:vAlign w:val="center"/>
                </w:tcPr>
                <w:p w14:paraId="1D354EB8">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G1煅烧废气</w:t>
                  </w:r>
                </w:p>
              </w:tc>
              <w:tc>
                <w:tcPr>
                  <w:tcW w:w="2317" w:type="pct"/>
                  <w:shd w:val="clear" w:color="auto" w:fill="auto"/>
                  <w:vAlign w:val="center"/>
                </w:tcPr>
                <w:p w14:paraId="11994BB7">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处收集后经</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cs="Times New Roman"/>
                      <w:color w:val="000000" w:themeColor="text1"/>
                      <w:sz w:val="21"/>
                      <w:szCs w:val="21"/>
                      <w:lang w:val="en-US" w:eastAsia="zh-CN"/>
                      <w14:textFill>
                        <w14:solidFill>
                          <w14:schemeClr w14:val="tx1"/>
                        </w14:solidFill>
                      </w14:textFill>
                    </w:rPr>
                    <w:t>旋风除尘器+布袋除尘器1#+活性炭喷射+布袋除尘器2#+2座脱酸塔（设置pH在线监测）处理后，经1根45m高排气筒排放（DA001）</w:t>
                  </w:r>
                </w:p>
              </w:tc>
              <w:tc>
                <w:tcPr>
                  <w:tcW w:w="477" w:type="pct"/>
                  <w:vMerge w:val="continue"/>
                  <w:shd w:val="clear" w:color="auto" w:fill="auto"/>
                  <w:vAlign w:val="center"/>
                </w:tcPr>
                <w:p w14:paraId="33A44DE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restart"/>
                  <w:shd w:val="clear" w:color="auto" w:fill="auto"/>
                  <w:vAlign w:val="center"/>
                </w:tcPr>
                <w:p w14:paraId="524F0F0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废气、噪声、固废</w:t>
                  </w:r>
                </w:p>
              </w:tc>
              <w:tc>
                <w:tcPr>
                  <w:tcW w:w="384" w:type="pct"/>
                  <w:shd w:val="clear" w:color="auto" w:fill="auto"/>
                  <w:vAlign w:val="center"/>
                </w:tcPr>
                <w:p w14:paraId="382CE5E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35F7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1F49179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BBD7CE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1038FD8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G2 2号厂房异味</w:t>
                  </w:r>
                </w:p>
              </w:tc>
              <w:tc>
                <w:tcPr>
                  <w:tcW w:w="2317" w:type="pct"/>
                  <w:shd w:val="clear" w:color="auto" w:fill="auto"/>
                  <w:vAlign w:val="center"/>
                </w:tcPr>
                <w:p w14:paraId="16B1033A">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车间密闭+喷洒除臭剂</w:t>
                  </w:r>
                </w:p>
              </w:tc>
              <w:tc>
                <w:tcPr>
                  <w:tcW w:w="477" w:type="pct"/>
                  <w:vMerge w:val="continue"/>
                  <w:shd w:val="clear" w:color="auto" w:fill="auto"/>
                  <w:vAlign w:val="center"/>
                </w:tcPr>
                <w:p w14:paraId="6150410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5EA7E788">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16B1238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521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0F4F04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C9FF59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3237EE9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G3 1号厂房异味</w:t>
                  </w:r>
                </w:p>
              </w:tc>
              <w:tc>
                <w:tcPr>
                  <w:tcW w:w="2317" w:type="pct"/>
                  <w:shd w:val="clear" w:color="auto" w:fill="auto"/>
                  <w:vAlign w:val="center"/>
                </w:tcPr>
                <w:p w14:paraId="0CDA2BAB">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车间密闭+喷洒除臭剂</w:t>
                  </w:r>
                </w:p>
              </w:tc>
              <w:tc>
                <w:tcPr>
                  <w:tcW w:w="477" w:type="pct"/>
                  <w:vMerge w:val="continue"/>
                  <w:shd w:val="clear" w:color="auto" w:fill="auto"/>
                  <w:vAlign w:val="center"/>
                </w:tcPr>
                <w:p w14:paraId="0E927DB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3DF50B2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55999B90">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1A3D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2A3718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4ACFE8F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5A75A78A">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G4预处理药剂投加粉尘</w:t>
                  </w:r>
                </w:p>
              </w:tc>
              <w:tc>
                <w:tcPr>
                  <w:tcW w:w="2317" w:type="pct"/>
                  <w:shd w:val="clear" w:color="auto" w:fill="auto"/>
                  <w:vAlign w:val="center"/>
                </w:tcPr>
                <w:p w14:paraId="030DA99F">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投料口围挡+喷雾抑尘+厂房沉降</w:t>
                  </w:r>
                </w:p>
              </w:tc>
              <w:tc>
                <w:tcPr>
                  <w:tcW w:w="477" w:type="pct"/>
                  <w:vMerge w:val="continue"/>
                  <w:shd w:val="clear" w:color="auto" w:fill="auto"/>
                  <w:vAlign w:val="center"/>
                </w:tcPr>
                <w:p w14:paraId="1AFF70EF">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702C9E5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6568155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63FA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202586B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04634C9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4EEFBA0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G5水泥筒仓粉尘</w:t>
                  </w:r>
                </w:p>
              </w:tc>
              <w:tc>
                <w:tcPr>
                  <w:tcW w:w="2317" w:type="pct"/>
                  <w:shd w:val="clear" w:color="auto" w:fill="auto"/>
                  <w:vAlign w:val="center"/>
                </w:tcPr>
                <w:p w14:paraId="6EC3B084">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经筒仓顶部自带的布袋除尘处理设施处理后于厂房内部排放</w:t>
                  </w:r>
                </w:p>
              </w:tc>
              <w:tc>
                <w:tcPr>
                  <w:tcW w:w="477" w:type="pct"/>
                  <w:vMerge w:val="continue"/>
                  <w:shd w:val="clear" w:color="auto" w:fill="auto"/>
                  <w:vAlign w:val="center"/>
                </w:tcPr>
                <w:p w14:paraId="3499B4C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065A082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39691E9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2B9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2B7D697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25FB456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51A4D02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G6煅烧料仓粉尘</w:t>
                  </w:r>
                </w:p>
              </w:tc>
              <w:tc>
                <w:tcPr>
                  <w:tcW w:w="2317" w:type="pct"/>
                  <w:shd w:val="clear" w:color="auto" w:fill="auto"/>
                  <w:vAlign w:val="center"/>
                </w:tcPr>
                <w:p w14:paraId="2B6C55BB">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经料仓顶部自带的布袋除尘处理设施处理后于厂房内部排放</w:t>
                  </w:r>
                </w:p>
              </w:tc>
              <w:tc>
                <w:tcPr>
                  <w:tcW w:w="477" w:type="pct"/>
                  <w:vMerge w:val="continue"/>
                  <w:shd w:val="clear" w:color="auto" w:fill="auto"/>
                  <w:vAlign w:val="center"/>
                </w:tcPr>
                <w:p w14:paraId="0ECD93A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45C60E8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19F2B49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7AA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2407134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A6F80F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101D70D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G7砂石堆存区粉尘</w:t>
                  </w:r>
                </w:p>
              </w:tc>
              <w:tc>
                <w:tcPr>
                  <w:tcW w:w="2317" w:type="pct"/>
                  <w:shd w:val="clear" w:color="auto" w:fill="auto"/>
                  <w:vAlign w:val="center"/>
                </w:tcPr>
                <w:p w14:paraId="7207CD1D">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车间密闭+区域定期喷雾降尘+厂房沉降</w:t>
                  </w:r>
                </w:p>
              </w:tc>
              <w:tc>
                <w:tcPr>
                  <w:tcW w:w="477" w:type="pct"/>
                  <w:vMerge w:val="continue"/>
                  <w:shd w:val="clear" w:color="auto" w:fill="auto"/>
                  <w:vAlign w:val="center"/>
                </w:tcPr>
                <w:p w14:paraId="18645860">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0398F22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392FFE6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7A3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697DBC8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3948298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5BAD37A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G8投料粉尘</w:t>
                  </w:r>
                </w:p>
              </w:tc>
              <w:tc>
                <w:tcPr>
                  <w:tcW w:w="2317" w:type="pct"/>
                  <w:shd w:val="clear" w:color="auto" w:fill="auto"/>
                  <w:vAlign w:val="center"/>
                </w:tcPr>
                <w:p w14:paraId="4B7302C0">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经侧吸式集气罩收集后，由1套布袋除尘器+喷淋抑尘处理后于厂房内部排放</w:t>
                  </w:r>
                </w:p>
              </w:tc>
              <w:tc>
                <w:tcPr>
                  <w:tcW w:w="477" w:type="pct"/>
                  <w:vMerge w:val="continue"/>
                  <w:shd w:val="clear" w:color="auto" w:fill="auto"/>
                  <w:vAlign w:val="center"/>
                </w:tcPr>
                <w:p w14:paraId="6226BB2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p>
              </w:tc>
              <w:tc>
                <w:tcPr>
                  <w:tcW w:w="460" w:type="pct"/>
                  <w:vMerge w:val="continue"/>
                  <w:vAlign w:val="center"/>
                </w:tcPr>
                <w:p w14:paraId="063E8C0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1D7AE82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26AB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3FB4CEB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2920607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433A13A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食堂油烟</w:t>
                  </w:r>
                </w:p>
              </w:tc>
              <w:tc>
                <w:tcPr>
                  <w:tcW w:w="2317" w:type="pct"/>
                  <w:shd w:val="clear" w:color="auto" w:fill="auto"/>
                  <w:vAlign w:val="center"/>
                </w:tcPr>
                <w:p w14:paraId="4B381BD7">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油烟净化器处理后引至办公楼楼顶排放</w:t>
                  </w:r>
                </w:p>
              </w:tc>
              <w:tc>
                <w:tcPr>
                  <w:tcW w:w="477" w:type="pct"/>
                  <w:vMerge w:val="continue"/>
                  <w:shd w:val="clear" w:color="auto" w:fill="auto"/>
                  <w:vAlign w:val="center"/>
                </w:tcPr>
                <w:p w14:paraId="2D86F87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58475D1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7533CFF5">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6105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7BFE84B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13D8D88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废水治理</w:t>
                  </w:r>
                </w:p>
              </w:tc>
              <w:tc>
                <w:tcPr>
                  <w:tcW w:w="594" w:type="pct"/>
                  <w:shd w:val="clear" w:color="auto" w:fill="auto"/>
                  <w:vAlign w:val="center"/>
                </w:tcPr>
                <w:p w14:paraId="49F925B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废水</w:t>
                  </w:r>
                </w:p>
              </w:tc>
              <w:tc>
                <w:tcPr>
                  <w:tcW w:w="2317" w:type="pct"/>
                  <w:shd w:val="clear" w:color="auto" w:fill="auto"/>
                  <w:vAlign w:val="center"/>
                </w:tcPr>
                <w:p w14:paraId="6E13976A">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全厂实行雨污分流，设置1座150m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初期雨水池对初期雨水进行收集，位于1号厂房东南侧。初期雨水经收集沉淀后，回用于免烧砌块生产工序。</w:t>
                  </w:r>
                </w:p>
              </w:tc>
              <w:tc>
                <w:tcPr>
                  <w:tcW w:w="477" w:type="pct"/>
                  <w:vMerge w:val="continue"/>
                  <w:shd w:val="clear" w:color="auto" w:fill="auto"/>
                  <w:vAlign w:val="center"/>
                </w:tcPr>
                <w:p w14:paraId="22974DAA">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restart"/>
                  <w:shd w:val="clear" w:color="auto" w:fill="auto"/>
                  <w:vAlign w:val="center"/>
                </w:tcPr>
                <w:p w14:paraId="59815B2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废水、噪声、固废</w:t>
                  </w:r>
                </w:p>
              </w:tc>
              <w:tc>
                <w:tcPr>
                  <w:tcW w:w="384" w:type="pct"/>
                  <w:shd w:val="clear" w:color="auto" w:fill="auto"/>
                  <w:vAlign w:val="center"/>
                </w:tcPr>
                <w:p w14:paraId="4A7DF29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3AC0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7CB2BFA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543CDC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644DD5E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W1压滤废水</w:t>
                  </w:r>
                </w:p>
              </w:tc>
              <w:tc>
                <w:tcPr>
                  <w:tcW w:w="2317" w:type="pct"/>
                  <w:shd w:val="clear" w:color="auto" w:fill="auto"/>
                  <w:vAlign w:val="center"/>
                </w:tcPr>
                <w:p w14:paraId="1E5D5BC1">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压滤废水排入滤液池内，在滤液池内暂存，部分回用于生产、车辆清洗及地面清洗，剩余废水委托资质单位处理。</w:t>
                  </w:r>
                </w:p>
              </w:tc>
              <w:tc>
                <w:tcPr>
                  <w:tcW w:w="477" w:type="pct"/>
                  <w:vMerge w:val="continue"/>
                  <w:shd w:val="clear" w:color="auto" w:fill="auto"/>
                  <w:vAlign w:val="center"/>
                </w:tcPr>
                <w:p w14:paraId="04111DC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7D50ADB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4C861AC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74F8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37026C8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7B93176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75D82A6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W2水基岩屑堆存区渗滤液</w:t>
                  </w:r>
                </w:p>
              </w:tc>
              <w:tc>
                <w:tcPr>
                  <w:tcW w:w="2317" w:type="pct"/>
                  <w:shd w:val="clear" w:color="auto" w:fill="auto"/>
                  <w:vAlign w:val="center"/>
                </w:tcPr>
                <w:p w14:paraId="0AAE3C5B">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不间断产生且产生量较少，产生的少量渗滤液汇同水基岩屑一起进入煅烧生产线。</w:t>
                  </w:r>
                </w:p>
              </w:tc>
              <w:tc>
                <w:tcPr>
                  <w:tcW w:w="477" w:type="pct"/>
                  <w:vMerge w:val="continue"/>
                  <w:shd w:val="clear" w:color="auto" w:fill="auto"/>
                  <w:vAlign w:val="center"/>
                </w:tcPr>
                <w:p w14:paraId="0CB2B31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6A6C2EB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34CF0BF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6C54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3D1973E8">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305203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5A46DCF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W3地面冲洗废水</w:t>
                  </w:r>
                </w:p>
              </w:tc>
              <w:tc>
                <w:tcPr>
                  <w:tcW w:w="2317" w:type="pct"/>
                  <w:vMerge w:val="restart"/>
                  <w:shd w:val="clear" w:color="auto" w:fill="auto"/>
                  <w:vAlign w:val="center"/>
                </w:tcPr>
                <w:p w14:paraId="5D569F36">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进入水基岩屑储存池内，随水基岩屑一同预处理，计入压滤废水。</w:t>
                  </w:r>
                </w:p>
              </w:tc>
              <w:tc>
                <w:tcPr>
                  <w:tcW w:w="477" w:type="pct"/>
                  <w:vMerge w:val="continue"/>
                  <w:shd w:val="clear" w:color="auto" w:fill="auto"/>
                  <w:vAlign w:val="center"/>
                </w:tcPr>
                <w:p w14:paraId="2D432E2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30EC2DB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7EF7F98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469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3E9180C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41545AC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4E5CD64A">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W4车辆冲洗废水</w:t>
                  </w:r>
                </w:p>
              </w:tc>
              <w:tc>
                <w:tcPr>
                  <w:tcW w:w="2317" w:type="pct"/>
                  <w:vMerge w:val="continue"/>
                  <w:shd w:val="clear" w:color="auto" w:fill="auto"/>
                  <w:vAlign w:val="center"/>
                </w:tcPr>
                <w:p w14:paraId="4E6A2A8E">
                  <w:pPr>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heme="minorHAnsi" w:hAnsiTheme="minorHAnsi" w:eastAsiaTheme="minorEastAsia" w:cstheme="minorBidi"/>
                      <w:kern w:val="2"/>
                      <w:sz w:val="21"/>
                      <w:szCs w:val="21"/>
                      <w:vertAlign w:val="baseline"/>
                      <w:lang w:val="en-US" w:eastAsia="zh-CN" w:bidi="ar-SA"/>
                    </w:rPr>
                  </w:pPr>
                </w:p>
              </w:tc>
              <w:tc>
                <w:tcPr>
                  <w:tcW w:w="477" w:type="pct"/>
                  <w:vMerge w:val="continue"/>
                  <w:vAlign w:val="center"/>
                </w:tcPr>
                <w:p w14:paraId="42BE8D32">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vMerge w:val="continue"/>
                  <w:vAlign w:val="center"/>
                </w:tcPr>
                <w:p w14:paraId="099B58D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5DA7D30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9C2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51727BC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930711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5D2E5A80">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W5喷淋废水</w:t>
                  </w:r>
                </w:p>
              </w:tc>
              <w:tc>
                <w:tcPr>
                  <w:tcW w:w="2317" w:type="pct"/>
                  <w:shd w:val="clear" w:color="auto" w:fill="auto"/>
                  <w:vAlign w:val="center"/>
                </w:tcPr>
                <w:p w14:paraId="13FECCDF">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定期更换，送至渗滤液池和压滤废水一并处理。</w:t>
                  </w:r>
                </w:p>
              </w:tc>
              <w:tc>
                <w:tcPr>
                  <w:tcW w:w="477" w:type="pct"/>
                  <w:vMerge w:val="continue"/>
                  <w:shd w:val="clear" w:color="auto" w:fill="auto"/>
                  <w:vAlign w:val="center"/>
                </w:tcPr>
                <w:p w14:paraId="557EC805">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0F14B83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62BB9AE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3043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12F1728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3182DAC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0641D58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W6蒸养冷凝水</w:t>
                  </w:r>
                </w:p>
              </w:tc>
              <w:tc>
                <w:tcPr>
                  <w:tcW w:w="2317" w:type="pct"/>
                  <w:shd w:val="clear" w:color="auto" w:fill="auto"/>
                  <w:vAlign w:val="center"/>
                </w:tcPr>
                <w:p w14:paraId="2946B299">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全部回用于免烧建筑基材生产。</w:t>
                  </w:r>
                </w:p>
              </w:tc>
              <w:tc>
                <w:tcPr>
                  <w:tcW w:w="477" w:type="pct"/>
                  <w:vMerge w:val="continue"/>
                  <w:shd w:val="clear" w:color="auto" w:fill="auto"/>
                  <w:vAlign w:val="center"/>
                </w:tcPr>
                <w:p w14:paraId="5B69D385">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4F2B54B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4F24F12A">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B5C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688045C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25418A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31E3EC6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W7生活污水</w:t>
                  </w:r>
                </w:p>
              </w:tc>
              <w:tc>
                <w:tcPr>
                  <w:tcW w:w="2317" w:type="pct"/>
                  <w:shd w:val="clear" w:color="auto" w:fill="auto"/>
                  <w:vAlign w:val="center"/>
                </w:tcPr>
                <w:p w14:paraId="5498AC7F">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依托租赁</w:t>
                  </w:r>
                  <w:r>
                    <w:rPr>
                      <w:rFonts w:hint="eastAsia" w:cs="Times New Roman"/>
                      <w:color w:val="000000" w:themeColor="text1"/>
                      <w:sz w:val="21"/>
                      <w:szCs w:val="21"/>
                      <w:lang w:val="en-US" w:eastAsia="zh-CN"/>
                      <w14:textFill>
                        <w14:solidFill>
                          <w14:schemeClr w14:val="tx1"/>
                        </w14:solidFill>
                      </w14:textFill>
                    </w:rPr>
                    <w:t>厂区已建预处理池（1个，10m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vertAlign w:val="baseline"/>
                      <w:lang w:val="en-US" w:eastAsia="zh-CN"/>
                      <w14:textFill>
                        <w14:solidFill>
                          <w14:schemeClr w14:val="tx1"/>
                        </w14:solidFill>
                      </w14:textFill>
                    </w:rPr>
                    <w:t>位于宿舍楼旁</w:t>
                  </w:r>
                  <w:r>
                    <w:rPr>
                      <w:rFonts w:hint="eastAsia" w:cs="Times New Roman"/>
                      <w:color w:val="000000" w:themeColor="text1"/>
                      <w:sz w:val="21"/>
                      <w:szCs w:val="21"/>
                      <w:lang w:val="en-US" w:eastAsia="zh-CN"/>
                      <w14:textFill>
                        <w14:solidFill>
                          <w14:schemeClr w14:val="tx1"/>
                        </w14:solidFill>
                      </w14:textFill>
                    </w:rPr>
                    <w:t>），食堂污水隔油后与其他污水一并排入预处理池处理，处理后排入园区污水管网，送星光工业园区污水处理厂进一步处理。</w:t>
                  </w:r>
                </w:p>
              </w:tc>
              <w:tc>
                <w:tcPr>
                  <w:tcW w:w="477" w:type="pct"/>
                  <w:vMerge w:val="continue"/>
                  <w:shd w:val="clear" w:color="auto" w:fill="auto"/>
                  <w:vAlign w:val="center"/>
                </w:tcPr>
                <w:p w14:paraId="12305B8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084BA89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672698A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2A3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37AF36D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3F060D2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25CA2F98">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W8压滤机滤布冲洗废水</w:t>
                  </w:r>
                </w:p>
              </w:tc>
              <w:tc>
                <w:tcPr>
                  <w:tcW w:w="2317" w:type="pct"/>
                  <w:shd w:val="clear" w:color="auto" w:fill="auto"/>
                  <w:vAlign w:val="center"/>
                </w:tcPr>
                <w:p w14:paraId="1B3D446E">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进入水基岩屑储存池内，随水基岩屑一同预处理，计入压滤废水。</w:t>
                  </w:r>
                </w:p>
              </w:tc>
              <w:tc>
                <w:tcPr>
                  <w:tcW w:w="477" w:type="pct"/>
                  <w:vMerge w:val="continue"/>
                  <w:shd w:val="clear" w:color="auto" w:fill="auto"/>
                  <w:vAlign w:val="center"/>
                </w:tcPr>
                <w:p w14:paraId="0A114AD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70FE3D0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47F377E5">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B09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6A2478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798C317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噪声治理</w:t>
                  </w:r>
                </w:p>
              </w:tc>
              <w:tc>
                <w:tcPr>
                  <w:tcW w:w="2912" w:type="pct"/>
                  <w:gridSpan w:val="2"/>
                  <w:shd w:val="clear" w:color="auto" w:fill="auto"/>
                  <w:vAlign w:val="center"/>
                </w:tcPr>
                <w:p w14:paraId="1DCB77D1">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基础减震、距离衰减等，生产厂房封闭，风机位于风机房，免烧生产线设置减振沟，风机进气和排气采用软管连接，并安装消音器。</w:t>
                  </w:r>
                </w:p>
              </w:tc>
              <w:tc>
                <w:tcPr>
                  <w:tcW w:w="477" w:type="pct"/>
                  <w:vMerge w:val="continue"/>
                  <w:vAlign w:val="center"/>
                </w:tcPr>
                <w:p w14:paraId="645FBF1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387C0BB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噪声</w:t>
                  </w:r>
                </w:p>
              </w:tc>
              <w:tc>
                <w:tcPr>
                  <w:tcW w:w="384" w:type="pct"/>
                  <w:shd w:val="clear" w:color="auto" w:fill="auto"/>
                  <w:vAlign w:val="center"/>
                </w:tcPr>
                <w:p w14:paraId="12BB732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DA0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09E9D4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48CB3B0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固废处置</w:t>
                  </w:r>
                </w:p>
              </w:tc>
              <w:tc>
                <w:tcPr>
                  <w:tcW w:w="594" w:type="pct"/>
                  <w:shd w:val="clear" w:color="auto" w:fill="auto"/>
                  <w:vAlign w:val="center"/>
                </w:tcPr>
                <w:p w14:paraId="614DD1E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生活</w:t>
                  </w:r>
                </w:p>
                <w:p w14:paraId="3904696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垃圾</w:t>
                  </w:r>
                </w:p>
              </w:tc>
              <w:tc>
                <w:tcPr>
                  <w:tcW w:w="2317" w:type="pct"/>
                  <w:shd w:val="clear" w:color="auto" w:fill="auto"/>
                  <w:vAlign w:val="center"/>
                </w:tcPr>
                <w:p w14:paraId="476FEB53">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垃圾桶收集，交由环卫定期清运处置。</w:t>
                  </w:r>
                </w:p>
              </w:tc>
              <w:tc>
                <w:tcPr>
                  <w:tcW w:w="477" w:type="pct"/>
                  <w:vMerge w:val="continue"/>
                  <w:shd w:val="clear" w:color="auto" w:fill="auto"/>
                  <w:vAlign w:val="center"/>
                </w:tcPr>
                <w:p w14:paraId="3E827CD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restart"/>
                  <w:shd w:val="clear" w:color="auto" w:fill="auto"/>
                  <w:vAlign w:val="center"/>
                </w:tcPr>
                <w:p w14:paraId="1DDBA9F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固废</w:t>
                  </w:r>
                </w:p>
              </w:tc>
              <w:tc>
                <w:tcPr>
                  <w:tcW w:w="384" w:type="pct"/>
                  <w:shd w:val="clear" w:color="auto" w:fill="auto"/>
                  <w:vAlign w:val="center"/>
                </w:tcPr>
                <w:p w14:paraId="27C9E0A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1F1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1B28AB0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7D28C34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5A56A3C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一般</w:t>
                  </w:r>
                </w:p>
                <w:p w14:paraId="0E11E3F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固废</w:t>
                  </w:r>
                </w:p>
              </w:tc>
              <w:tc>
                <w:tcPr>
                  <w:tcW w:w="2317" w:type="pct"/>
                  <w:shd w:val="clear" w:color="auto" w:fill="auto"/>
                  <w:vAlign w:val="center"/>
                </w:tcPr>
                <w:p w14:paraId="387A84E5">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不合格产品返回搅拌阶段重新利用；</w:t>
                  </w:r>
                </w:p>
                <w:p w14:paraId="384C8FE8">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布袋除尘器集尘、旋风除尘器集尘作为原料，送至搅拌阶段综合利用；</w:t>
                  </w:r>
                </w:p>
                <w:p w14:paraId="5482F229">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废模具暂存于一般固废暂存间内，由厂家回收更换；</w:t>
                  </w:r>
                </w:p>
                <w:p w14:paraId="0F655F76">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废布袋由厂家回收；</w:t>
                  </w:r>
                </w:p>
                <w:p w14:paraId="794ADCF5">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废包装袋暂存于一般固废暂存间内，外售综合利用；</w:t>
                  </w:r>
                </w:p>
                <w:p w14:paraId="602E1EC9">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氟化钙污泥</w:t>
                  </w:r>
                  <w:r>
                    <w:rPr>
                      <w:rFonts w:hint="eastAsia"/>
                      <w:b w:val="0"/>
                      <w:bCs/>
                      <w:color w:val="000000" w:themeColor="text1"/>
                      <w:sz w:val="21"/>
                      <w:szCs w:val="21"/>
                      <w:lang w:val="en-US" w:eastAsia="zh-CN"/>
                      <w14:textFill>
                        <w14:solidFill>
                          <w14:schemeClr w14:val="tx1"/>
                        </w14:solidFill>
                      </w14:textFill>
                    </w:rPr>
                    <w:t>通过鉴定确定危险性质，后按照相应的固废种类进行管理</w:t>
                  </w:r>
                  <w:r>
                    <w:rPr>
                      <w:rFonts w:hint="eastAsia"/>
                      <w:b w:val="0"/>
                      <w:color w:val="000000" w:themeColor="text1"/>
                      <w:sz w:val="21"/>
                      <w:szCs w:val="21"/>
                      <w14:textFill>
                        <w14:solidFill>
                          <w14:schemeClr w14:val="tx1"/>
                        </w14:solidFill>
                      </w14:textFill>
                    </w:rPr>
                    <w:t>。</w:t>
                  </w:r>
                  <w:r>
                    <w:rPr>
                      <w:rFonts w:hint="eastAsia"/>
                      <w:b w:val="0"/>
                      <w:color w:val="000000" w:themeColor="text1"/>
                      <w:sz w:val="21"/>
                      <w:szCs w:val="21"/>
                      <w:lang w:val="en-US" w:eastAsia="zh-CN"/>
                      <w14:textFill>
                        <w14:solidFill>
                          <w14:schemeClr w14:val="tx1"/>
                        </w14:solidFill>
                      </w14:textFill>
                    </w:rPr>
                    <w:t>在未鉴别确定其性质之前，按危废进行管理</w:t>
                  </w:r>
                  <w:r>
                    <w:rPr>
                      <w:rFonts w:hint="eastAsia" w:cs="Times New Roman"/>
                      <w:color w:val="000000" w:themeColor="text1"/>
                      <w:sz w:val="21"/>
                      <w:szCs w:val="21"/>
                      <w:lang w:val="en-US" w:eastAsia="zh-CN"/>
                      <w14:textFill>
                        <w14:solidFill>
                          <w14:schemeClr w14:val="tx1"/>
                        </w14:solidFill>
                      </w14:textFill>
                    </w:rPr>
                    <w:t>。</w:t>
                  </w:r>
                </w:p>
              </w:tc>
              <w:tc>
                <w:tcPr>
                  <w:tcW w:w="477" w:type="pct"/>
                  <w:vMerge w:val="continue"/>
                  <w:shd w:val="clear" w:color="auto" w:fill="auto"/>
                  <w:vAlign w:val="center"/>
                </w:tcPr>
                <w:p w14:paraId="2B0340C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4B7A45B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58964D30">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214F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016FF35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260325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00AE6B87">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危险</w:t>
                  </w:r>
                </w:p>
                <w:p w14:paraId="71E1B52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废物</w:t>
                  </w:r>
                </w:p>
              </w:tc>
              <w:tc>
                <w:tcPr>
                  <w:tcW w:w="2317" w:type="pct"/>
                  <w:shd w:val="clear" w:color="auto" w:fill="auto"/>
                  <w:vAlign w:val="center"/>
                </w:tcPr>
                <w:p w14:paraId="03FB0AD1">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w:t>
                  </w:r>
                  <w:r>
                    <w:rPr>
                      <w:rFonts w:hint="eastAsia" w:ascii="Segoe UI" w:hAnsi="Segoe UI" w:eastAsia="宋体" w:cs="Segoe UI"/>
                      <w:i w:val="0"/>
                      <w:iCs w:val="0"/>
                      <w:caps w:val="0"/>
                      <w:color w:val="000000" w:themeColor="text1"/>
                      <w:spacing w:val="0"/>
                      <w:sz w:val="21"/>
                      <w:szCs w:val="21"/>
                      <w:shd w:val="clear" w:fill="FFFFFF"/>
                      <w:lang w:val="en-US" w:eastAsia="zh-CN"/>
                      <w14:textFill>
                        <w14:solidFill>
                          <w14:schemeClr w14:val="tx1"/>
                        </w14:solidFill>
                      </w14:textFill>
                    </w:rPr>
                    <w:t>液压油</w:t>
                  </w:r>
                  <w:r>
                    <w:rPr>
                      <w:rFonts w:hint="eastAsia" w:ascii="Segoe UI" w:hAnsi="Segoe UI" w:cs="Segoe UI"/>
                      <w:i w:val="0"/>
                      <w:iCs w:val="0"/>
                      <w:caps w:val="0"/>
                      <w:color w:val="000000" w:themeColor="text1"/>
                      <w:spacing w:val="0"/>
                      <w:sz w:val="21"/>
                      <w:szCs w:val="21"/>
                      <w:shd w:val="clear" w:fill="FFFFFF"/>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废机油、废油桶、沾油废物、废活性炭、脱酸塔循环水池浮油均分类收集，分区暂存在危废暂存间内，定期交由资质单位清运处置。</w:t>
                  </w:r>
                </w:p>
              </w:tc>
              <w:tc>
                <w:tcPr>
                  <w:tcW w:w="477" w:type="pct"/>
                  <w:vMerge w:val="continue"/>
                  <w:shd w:val="clear" w:color="auto" w:fill="auto"/>
                  <w:vAlign w:val="center"/>
                </w:tcPr>
                <w:p w14:paraId="54ABBBB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37DF4E6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4" w:type="pct"/>
                  <w:shd w:val="clear" w:color="auto" w:fill="auto"/>
                  <w:vAlign w:val="center"/>
                </w:tcPr>
                <w:p w14:paraId="589FC5A6">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042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2CF85AA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1F8D23A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地下水防渗</w:t>
                  </w:r>
                </w:p>
              </w:tc>
              <w:tc>
                <w:tcPr>
                  <w:tcW w:w="594" w:type="pct"/>
                  <w:vMerge w:val="restart"/>
                  <w:shd w:val="clear" w:color="auto" w:fill="auto"/>
                  <w:vAlign w:val="center"/>
                </w:tcPr>
                <w:p w14:paraId="0DFC9F8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重点</w:t>
                  </w:r>
                </w:p>
                <w:p w14:paraId="4D2ECA7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防渗区</w:t>
                  </w:r>
                </w:p>
              </w:tc>
              <w:tc>
                <w:tcPr>
                  <w:tcW w:w="2317" w:type="pct"/>
                  <w:shd w:val="clear" w:color="auto" w:fill="auto"/>
                  <w:vAlign w:val="center"/>
                </w:tcPr>
                <w:p w14:paraId="09FEAAFA">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危废暂存间：</w:t>
                  </w:r>
                  <w:r>
                    <w:rPr>
                      <w:rFonts w:hint="eastAsia" w:cs="Times New Roman"/>
                      <w:color w:val="000000" w:themeColor="text1"/>
                      <w:sz w:val="21"/>
                      <w:szCs w:val="21"/>
                      <w:lang w:val="en-US" w:eastAsia="zh-CN" w:bidi="ar"/>
                      <w14:textFill>
                        <w14:solidFill>
                          <w14:schemeClr w14:val="tx1"/>
                        </w14:solidFill>
                      </w14:textFill>
                    </w:rPr>
                    <w:t>防渗混凝土硬化+2mm厚人工防渗材料</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，危废暂存设置防渗托盘，将液态危险废物容器置于托盘内</w:t>
                  </w:r>
                </w:p>
              </w:tc>
              <w:tc>
                <w:tcPr>
                  <w:tcW w:w="477" w:type="pct"/>
                  <w:vMerge w:val="continue"/>
                  <w:shd w:val="clear" w:color="auto" w:fill="auto"/>
                  <w:vAlign w:val="center"/>
                </w:tcPr>
                <w:p w14:paraId="59D3851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shd w:val="clear" w:color="auto" w:fill="auto"/>
                  <w:vAlign w:val="center"/>
                </w:tcPr>
                <w:p w14:paraId="01235E7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4" w:type="pct"/>
                  <w:shd w:val="clear" w:color="auto" w:fill="auto"/>
                  <w:vAlign w:val="center"/>
                </w:tcPr>
                <w:p w14:paraId="1C5CF48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3453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1CAA307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555BEF2">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vMerge w:val="continue"/>
                  <w:vAlign w:val="center"/>
                </w:tcPr>
                <w:p w14:paraId="208FD58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317" w:type="pct"/>
                  <w:shd w:val="clear" w:color="auto" w:fill="auto"/>
                  <w:vAlign w:val="center"/>
                </w:tcPr>
                <w:p w14:paraId="147B7893">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水基岩屑储存池、渗滤液池：</w:t>
                  </w:r>
                  <w:r>
                    <w:rPr>
                      <w:rFonts w:hint="eastAsia"/>
                      <w:color w:val="000000" w:themeColor="text1"/>
                      <w:sz w:val="21"/>
                      <w:szCs w:val="21"/>
                      <w:lang w:val="en-US" w:eastAsia="zh-CN"/>
                      <w14:textFill>
                        <w14:solidFill>
                          <w14:schemeClr w14:val="tx1"/>
                        </w14:solidFill>
                      </w14:textFill>
                    </w:rPr>
                    <w:t>2mm厚HDPE防渗膜+强度等级为C30且</w:t>
                  </w:r>
                  <w:r>
                    <w:rPr>
                      <w:rFonts w:hint="eastAsia" w:cs="Times New Roman"/>
                      <w:color w:val="000000" w:themeColor="text1"/>
                      <w:sz w:val="21"/>
                      <w:szCs w:val="21"/>
                      <w:lang w:val="en-US" w:eastAsia="zh-CN" w:bidi="ar"/>
                      <w14:textFill>
                        <w14:solidFill>
                          <w14:schemeClr w14:val="tx1"/>
                        </w14:solidFill>
                      </w14:textFill>
                    </w:rPr>
                    <w:t>抗渗等级为P6的抗渗混凝土硬化</w:t>
                  </w:r>
                </w:p>
              </w:tc>
              <w:tc>
                <w:tcPr>
                  <w:tcW w:w="477" w:type="pct"/>
                  <w:vMerge w:val="continue"/>
                  <w:shd w:val="clear" w:color="auto" w:fill="auto"/>
                  <w:vAlign w:val="center"/>
                </w:tcPr>
                <w:p w14:paraId="67F163D5">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Align w:val="center"/>
                </w:tcPr>
                <w:p w14:paraId="3894AA96">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w:t>
                  </w:r>
                </w:p>
              </w:tc>
              <w:tc>
                <w:tcPr>
                  <w:tcW w:w="384" w:type="pct"/>
                  <w:vAlign w:val="center"/>
                </w:tcPr>
                <w:p w14:paraId="6E4272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r>
                    <w:rPr>
                      <w:rFonts w:hint="eastAsia" w:cs="Times New Roman"/>
                      <w:color w:val="000000" w:themeColor="text1"/>
                      <w:sz w:val="21"/>
                      <w:szCs w:val="21"/>
                      <w:lang w:val="en-US" w:eastAsia="zh-CN"/>
                      <w14:textFill>
                        <w14:solidFill>
                          <w14:schemeClr w14:val="tx1"/>
                        </w14:solidFill>
                      </w14:textFill>
                    </w:rPr>
                    <w:t>新建</w:t>
                  </w:r>
                </w:p>
              </w:tc>
            </w:tr>
            <w:tr w14:paraId="70D5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4061352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D87D8A8">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vMerge w:val="continue"/>
                  <w:vAlign w:val="center"/>
                </w:tcPr>
                <w:p w14:paraId="738BB80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317" w:type="pct"/>
                  <w:shd w:val="clear" w:color="auto" w:fill="auto"/>
                  <w:vAlign w:val="center"/>
                </w:tcPr>
                <w:p w14:paraId="719BEC60">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水基岩屑预处理区域物料装卸区、干水基岩屑堆存区：</w:t>
                  </w:r>
                  <w:r>
                    <w:rPr>
                      <w:rFonts w:hint="eastAsia" w:cs="Times New Roman"/>
                      <w:color w:val="000000" w:themeColor="text1"/>
                      <w:sz w:val="21"/>
                      <w:szCs w:val="21"/>
                      <w:lang w:val="en-US" w:eastAsia="zh-CN" w:bidi="ar"/>
                      <w14:textFill>
                        <w14:solidFill>
                          <w14:schemeClr w14:val="tx1"/>
                        </w14:solidFill>
                      </w14:textFill>
                    </w:rPr>
                    <w:t>防渗混凝土硬化+2mm厚人工防渗材料</w:t>
                  </w:r>
                </w:p>
              </w:tc>
              <w:tc>
                <w:tcPr>
                  <w:tcW w:w="477" w:type="pct"/>
                  <w:vMerge w:val="continue"/>
                  <w:shd w:val="clear" w:color="auto" w:fill="auto"/>
                  <w:vAlign w:val="center"/>
                </w:tcPr>
                <w:p w14:paraId="7846E25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Align w:val="center"/>
                </w:tcPr>
                <w:p w14:paraId="6F334960">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w:t>
                  </w:r>
                </w:p>
              </w:tc>
              <w:tc>
                <w:tcPr>
                  <w:tcW w:w="384" w:type="pct"/>
                  <w:vAlign w:val="center"/>
                </w:tcPr>
                <w:p w14:paraId="191787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r>
                    <w:rPr>
                      <w:rFonts w:hint="eastAsia" w:cs="Times New Roman"/>
                      <w:color w:val="000000" w:themeColor="text1"/>
                      <w:sz w:val="21"/>
                      <w:szCs w:val="21"/>
                      <w:lang w:val="en-US" w:eastAsia="zh-CN"/>
                      <w14:textFill>
                        <w14:solidFill>
                          <w14:schemeClr w14:val="tx1"/>
                        </w14:solidFill>
                      </w14:textFill>
                    </w:rPr>
                    <w:t>新建</w:t>
                  </w:r>
                </w:p>
              </w:tc>
            </w:tr>
            <w:tr w14:paraId="6902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2526C20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0959BB7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4" w:type="pct"/>
                  <w:shd w:val="clear" w:color="auto" w:fill="auto"/>
                  <w:vAlign w:val="center"/>
                </w:tcPr>
                <w:p w14:paraId="3817E98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一般</w:t>
                  </w:r>
                </w:p>
                <w:p w14:paraId="27148ADA">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防渗区</w:t>
                  </w:r>
                </w:p>
              </w:tc>
              <w:tc>
                <w:tcPr>
                  <w:tcW w:w="2317" w:type="pct"/>
                  <w:shd w:val="clear" w:color="auto" w:fill="auto"/>
                  <w:vAlign w:val="center"/>
                </w:tcPr>
                <w:p w14:paraId="79F33495">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洗车区、生产车间其他区域：防渗混凝土硬化</w:t>
                  </w:r>
                </w:p>
              </w:tc>
              <w:tc>
                <w:tcPr>
                  <w:tcW w:w="477" w:type="pct"/>
                  <w:vMerge w:val="continue"/>
                  <w:shd w:val="clear" w:color="auto" w:fill="auto"/>
                  <w:vAlign w:val="center"/>
                </w:tcPr>
                <w:p w14:paraId="09F89F9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shd w:val="clear" w:color="auto" w:fill="auto"/>
                  <w:vAlign w:val="center"/>
                </w:tcPr>
                <w:p w14:paraId="63C66BEE">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4" w:type="pct"/>
                  <w:shd w:val="clear" w:color="auto" w:fill="auto"/>
                  <w:vAlign w:val="center"/>
                </w:tcPr>
                <w:p w14:paraId="501D958F">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2045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5688131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shd w:val="clear" w:color="auto" w:fill="auto"/>
                  <w:vAlign w:val="center"/>
                </w:tcPr>
                <w:p w14:paraId="7062E56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594" w:type="pct"/>
                  <w:shd w:val="clear" w:color="auto" w:fill="auto"/>
                  <w:vAlign w:val="center"/>
                </w:tcPr>
                <w:p w14:paraId="17BA1B5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简单</w:t>
                  </w:r>
                </w:p>
                <w:p w14:paraId="76C67028">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防渗区</w:t>
                  </w:r>
                </w:p>
              </w:tc>
              <w:tc>
                <w:tcPr>
                  <w:tcW w:w="2317" w:type="pct"/>
                  <w:shd w:val="clear" w:color="auto" w:fill="auto"/>
                  <w:vAlign w:val="center"/>
                </w:tcPr>
                <w:p w14:paraId="42AB7CF5">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bidi="ar"/>
                      <w14:textFill>
                        <w14:solidFill>
                          <w14:schemeClr w14:val="tx1"/>
                        </w14:solidFill>
                      </w14:textFill>
                    </w:rPr>
                    <w:t>磅房、办公楼、宿舍楼：一般水泥硬化</w:t>
                  </w:r>
                </w:p>
              </w:tc>
              <w:tc>
                <w:tcPr>
                  <w:tcW w:w="477" w:type="pct"/>
                  <w:vMerge w:val="continue"/>
                  <w:shd w:val="clear" w:color="auto" w:fill="auto"/>
                  <w:vAlign w:val="center"/>
                </w:tcPr>
                <w:p w14:paraId="125D760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shd w:val="clear" w:color="auto" w:fill="auto"/>
                  <w:vAlign w:val="center"/>
                </w:tcPr>
                <w:p w14:paraId="10BEBDE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4" w:type="pct"/>
                  <w:shd w:val="clear" w:color="auto" w:fill="auto"/>
                  <w:vAlign w:val="center"/>
                </w:tcPr>
                <w:p w14:paraId="365487A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2BCB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87" w:type="pct"/>
                  <w:vMerge w:val="continue"/>
                  <w:vAlign w:val="center"/>
                </w:tcPr>
                <w:p w14:paraId="0F80F2A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0E7DA33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环境风险防范措施</w:t>
                  </w:r>
                </w:p>
              </w:tc>
              <w:tc>
                <w:tcPr>
                  <w:tcW w:w="2912" w:type="pct"/>
                  <w:gridSpan w:val="2"/>
                  <w:shd w:val="clear" w:color="auto" w:fill="auto"/>
                  <w:vAlign w:val="center"/>
                </w:tcPr>
                <w:p w14:paraId="66E66C69">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设置防火警告标志，配备完善的消防措施，加强火灾风险防范意识；加强环保设备管理维护，建立管理台账。</w:t>
                  </w:r>
                  <w:r>
                    <w:rPr>
                      <w:rFonts w:hint="eastAsia"/>
                      <w:color w:val="000000" w:themeColor="text1"/>
                      <w:sz w:val="21"/>
                      <w:szCs w:val="21"/>
                      <w:highlight w:val="none"/>
                      <w:lang w:val="en-US" w:eastAsia="zh-CN"/>
                      <w14:textFill>
                        <w14:solidFill>
                          <w14:schemeClr w14:val="tx1"/>
                        </w14:solidFill>
                      </w14:textFill>
                    </w:rPr>
                    <w:t>设置1座500m</w:t>
                  </w:r>
                  <w:r>
                    <w:rPr>
                      <w:rFonts w:hint="eastAsia"/>
                      <w:color w:val="000000" w:themeColor="text1"/>
                      <w:sz w:val="21"/>
                      <w:szCs w:val="21"/>
                      <w:highlight w:val="none"/>
                      <w:vertAlign w:val="superscript"/>
                      <w:lang w:val="en-US" w:eastAsia="zh-CN"/>
                      <w14:textFill>
                        <w14:solidFill>
                          <w14:schemeClr w14:val="tx1"/>
                        </w14:solidFill>
                      </w14:textFill>
                    </w:rPr>
                    <w:t>3</w:t>
                  </w:r>
                  <w:r>
                    <w:rPr>
                      <w:rFonts w:hint="eastAsia"/>
                      <w:color w:val="000000" w:themeColor="text1"/>
                      <w:sz w:val="21"/>
                      <w:szCs w:val="21"/>
                      <w:highlight w:val="none"/>
                      <w:lang w:val="en-US" w:eastAsia="zh-CN"/>
                      <w14:textFill>
                        <w14:solidFill>
                          <w14:schemeClr w14:val="tx1"/>
                        </w14:solidFill>
                      </w14:textFill>
                    </w:rPr>
                    <w:t>的事故应急池。</w:t>
                  </w:r>
                </w:p>
              </w:tc>
              <w:tc>
                <w:tcPr>
                  <w:tcW w:w="477" w:type="pct"/>
                  <w:vMerge w:val="continue"/>
                  <w:vAlign w:val="center"/>
                </w:tcPr>
                <w:p w14:paraId="4EAEF02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1EFE288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4" w:type="pct"/>
                  <w:shd w:val="clear" w:color="auto" w:fill="auto"/>
                  <w:vAlign w:val="center"/>
                </w:tcPr>
                <w:p w14:paraId="5815CAE9">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bl>
          <w:p w14:paraId="36A73444">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本项目租赁厂房位于四川省巴中市平昌县星光工业园施迈路1号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已建成厂区内，本项目租用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1号厂房、2号厂房、3号厂房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及办公楼（部分区域）、宿舍（部分区域）进行建设。</w:t>
            </w:r>
          </w:p>
          <w:p w14:paraId="00646D71">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项目位于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平昌县星光工业园</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内</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，园区内道路完善，交通便利，水、电、气均已接通，能满足本项目的需要。园区雨、污管网已建成，废水通过污水管网可进入星光工业园区污水处理厂处理达标后，排入巴河。</w:t>
            </w:r>
          </w:p>
          <w:p w14:paraId="303E5D24">
            <w:pPr>
              <w:keepNext w:val="0"/>
              <w:keepLines w:val="0"/>
              <w:widowControl/>
              <w:suppressLineNumbers w:val="0"/>
              <w:jc w:val="left"/>
              <w:rPr>
                <w:rFonts w:hint="default" w:ascii="Times New Roman" w:hAnsi="Times New Roman" w:cs="Times New Roman"/>
                <w:color w:val="000000" w:themeColor="text1"/>
                <w:lang w:val="en-US"/>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项目租赁厂房所在厂区已建设完成，厂区内建设有6栋厂房，现状4号厂房为四川三科共兴再生资源有限公司</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5号厂房为中石油钻井泥浆配置站、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6号厂房为</w:t>
            </w:r>
            <w:r>
              <w:rPr>
                <w:rFonts w:hint="eastAsia" w:cs="Times New Roman"/>
                <w:color w:val="000000" w:themeColor="text1"/>
                <w:kern w:val="0"/>
                <w:sz w:val="24"/>
                <w:szCs w:val="24"/>
                <w:lang w:val="en-US" w:eastAsia="zh-CN" w:bidi="ar"/>
                <w14:textFill>
                  <w14:solidFill>
                    <w14:schemeClr w14:val="tx1"/>
                  </w14:solidFill>
                </w14:textFill>
              </w:rPr>
              <w:t>中石油钻井泥浆配置站原料仓库</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。厂区内已建办公楼1栋，宿舍楼1栋，办公楼现状为空置，宿舍楼内有部分其他公司人员入住。厂区内已建设较为完善的供电线路、供水、排水管线，能够满足项目需求。</w:t>
            </w:r>
          </w:p>
          <w:p w14:paraId="24C55EA0">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项目依托的公辅设施及环保设施可行性分析见下表。</w:t>
            </w:r>
          </w:p>
          <w:p w14:paraId="0D3895D8">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2-11</w:t>
            </w:r>
            <w:r>
              <w:rPr>
                <w:rFonts w:cs="Times New Roman"/>
                <w:color w:val="000000" w:themeColor="text1"/>
                <w14:textFill>
                  <w14:solidFill>
                    <w14:schemeClr w14:val="tx1"/>
                  </w14:solidFill>
                </w14:textFill>
              </w:rPr>
              <w:t xml:space="preserve"> 项目公辅设施依托情况及可行性</w:t>
            </w:r>
            <w:r>
              <w:rPr>
                <w:rFonts w:hint="eastAsia" w:cs="Times New Roman"/>
                <w:color w:val="000000" w:themeColor="text1"/>
                <w:lang w:eastAsia="zh-CN"/>
                <w14:textFill>
                  <w14:solidFill>
                    <w14:schemeClr w14:val="tx1"/>
                  </w14:solidFill>
                </w14:textFill>
              </w:rPr>
              <w:t>一览表</w:t>
            </w:r>
          </w:p>
          <w:tbl>
            <w:tblPr>
              <w:tblStyle w:val="29"/>
              <w:tblW w:w="4979"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043"/>
              <w:gridCol w:w="3821"/>
              <w:gridCol w:w="2808"/>
              <w:gridCol w:w="853"/>
            </w:tblGrid>
            <w:tr w14:paraId="1856610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05BAE4E3">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序号</w:t>
                  </w:r>
                </w:p>
              </w:tc>
              <w:tc>
                <w:tcPr>
                  <w:tcW w:w="567" w:type="pct"/>
                  <w:tcBorders>
                    <w:tl2br w:val="nil"/>
                    <w:tr2bl w:val="nil"/>
                  </w:tcBorders>
                  <w:vAlign w:val="center"/>
                </w:tcPr>
                <w:p w14:paraId="1AA0328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公辅</w:t>
                  </w:r>
                </w:p>
                <w:p w14:paraId="6DEB832C">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设施</w:t>
                  </w:r>
                </w:p>
              </w:tc>
              <w:tc>
                <w:tcPr>
                  <w:tcW w:w="2078" w:type="pct"/>
                  <w:tcBorders>
                    <w:tl2br w:val="nil"/>
                    <w:tr2bl w:val="nil"/>
                  </w:tcBorders>
                  <w:vAlign w:val="center"/>
                </w:tcPr>
                <w:p w14:paraId="7F141D5A">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建设内容</w:t>
                  </w:r>
                </w:p>
              </w:tc>
              <w:tc>
                <w:tcPr>
                  <w:tcW w:w="1527" w:type="pct"/>
                  <w:tcBorders>
                    <w:tl2br w:val="nil"/>
                    <w:tr2bl w:val="nil"/>
                  </w:tcBorders>
                  <w:vAlign w:val="center"/>
                </w:tcPr>
                <w:p w14:paraId="41B6F4F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依托情况</w:t>
                  </w:r>
                </w:p>
              </w:tc>
              <w:tc>
                <w:tcPr>
                  <w:tcW w:w="464" w:type="pct"/>
                  <w:tcBorders>
                    <w:tl2br w:val="nil"/>
                    <w:tr2bl w:val="nil"/>
                  </w:tcBorders>
                  <w:vAlign w:val="center"/>
                </w:tcPr>
                <w:p w14:paraId="22E0778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可行性</w:t>
                  </w:r>
                </w:p>
              </w:tc>
            </w:tr>
            <w:tr w14:paraId="5F2258A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44D5A52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c>
                <w:tcPr>
                  <w:tcW w:w="567" w:type="pct"/>
                  <w:tcBorders>
                    <w:tl2br w:val="nil"/>
                    <w:tr2bl w:val="nil"/>
                  </w:tcBorders>
                  <w:vAlign w:val="center"/>
                </w:tcPr>
                <w:p w14:paraId="532DD84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厂房</w:t>
                  </w:r>
                </w:p>
              </w:tc>
              <w:tc>
                <w:tcPr>
                  <w:tcW w:w="2078" w:type="pct"/>
                  <w:tcBorders>
                    <w:tl2br w:val="nil"/>
                    <w:tr2bl w:val="nil"/>
                  </w:tcBorders>
                  <w:vAlign w:val="center"/>
                </w:tcPr>
                <w:p w14:paraId="20CF1973">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厂区已建设</w:t>
                  </w:r>
                  <w:r>
                    <w:rPr>
                      <w:rFonts w:hint="eastAsia" w:cs="Times New Roman"/>
                      <w:snapToGrid w:val="0"/>
                      <w:color w:val="000000" w:themeColor="text1"/>
                      <w:lang w:val="en-US" w:eastAsia="zh-CN"/>
                      <w14:textFill>
                        <w14:solidFill>
                          <w14:schemeClr w14:val="tx1"/>
                        </w14:solidFill>
                      </w14:textFill>
                    </w:rPr>
                    <w:t>6</w:t>
                  </w:r>
                  <w:r>
                    <w:rPr>
                      <w:rFonts w:cs="Times New Roman"/>
                      <w:snapToGrid w:val="0"/>
                      <w:color w:val="000000" w:themeColor="text1"/>
                      <w14:textFill>
                        <w14:solidFill>
                          <w14:schemeClr w14:val="tx1"/>
                        </w14:solidFill>
                      </w14:textFill>
                    </w:rPr>
                    <w:t>栋厂房，本项目</w:t>
                  </w:r>
                  <w:r>
                    <w:rPr>
                      <w:rFonts w:hint="eastAsia" w:cs="Times New Roman"/>
                      <w:snapToGrid w:val="0"/>
                      <w:color w:val="000000" w:themeColor="text1"/>
                      <w:lang w:val="en-US" w:eastAsia="zh-CN"/>
                      <w14:textFill>
                        <w14:solidFill>
                          <w14:schemeClr w14:val="tx1"/>
                        </w14:solidFill>
                      </w14:textFill>
                    </w:rPr>
                    <w:t>对1号、3号</w:t>
                  </w:r>
                  <w:r>
                    <w:rPr>
                      <w:rFonts w:cs="Times New Roman"/>
                      <w:snapToGrid w:val="0"/>
                      <w:color w:val="000000" w:themeColor="text1"/>
                      <w14:textFill>
                        <w14:solidFill>
                          <w14:schemeClr w14:val="tx1"/>
                        </w14:solidFill>
                      </w14:textFill>
                    </w:rPr>
                    <w:t>厂房</w:t>
                  </w:r>
                  <w:r>
                    <w:rPr>
                      <w:rFonts w:hint="eastAsia" w:cs="Times New Roman"/>
                      <w:snapToGrid w:val="0"/>
                      <w:color w:val="000000" w:themeColor="text1"/>
                      <w:lang w:val="en-US" w:eastAsia="zh-CN"/>
                      <w14:textFill>
                        <w14:solidFill>
                          <w14:schemeClr w14:val="tx1"/>
                        </w14:solidFill>
                      </w14:textFill>
                    </w:rPr>
                    <w:t>进行适应性改造，</w:t>
                  </w:r>
                  <w:r>
                    <w:rPr>
                      <w:rFonts w:hint="eastAsia" w:cs="Times New Roman"/>
                      <w:color w:val="000000" w:themeColor="text1"/>
                      <w:lang w:val="en-US" w:eastAsia="zh-CN"/>
                      <w14:textFill>
                        <w14:solidFill>
                          <w14:schemeClr w14:val="tx1"/>
                        </w14:solidFill>
                      </w14:textFill>
                    </w:rPr>
                    <w:t>在现有2号厂房的基础上进行扩建，</w:t>
                  </w:r>
                  <w:r>
                    <w:rPr>
                      <w:rFonts w:hint="eastAsia" w:cs="Times New Roman"/>
                      <w:snapToGrid w:val="0"/>
                      <w:color w:val="000000" w:themeColor="text1"/>
                      <w:lang w:val="en-US" w:eastAsia="zh-CN"/>
                      <w14:textFill>
                        <w14:solidFill>
                          <w14:schemeClr w14:val="tx1"/>
                        </w14:solidFill>
                      </w14:textFill>
                    </w:rPr>
                    <w:t>建设本项目</w:t>
                  </w:r>
                  <w:r>
                    <w:rPr>
                      <w:rFonts w:cs="Times New Roman"/>
                      <w:snapToGrid w:val="0"/>
                      <w:color w:val="000000" w:themeColor="text1"/>
                      <w14:textFill>
                        <w14:solidFill>
                          <w14:schemeClr w14:val="tx1"/>
                        </w14:solidFill>
                      </w14:textFill>
                    </w:rPr>
                    <w:t>。</w:t>
                  </w:r>
                </w:p>
              </w:tc>
              <w:tc>
                <w:tcPr>
                  <w:tcW w:w="1527" w:type="pct"/>
                  <w:tcBorders>
                    <w:tl2br w:val="nil"/>
                    <w:tr2bl w:val="nil"/>
                  </w:tcBorders>
                  <w:vAlign w:val="center"/>
                </w:tcPr>
                <w:p w14:paraId="44101BB5">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厂房现状均为空置，</w:t>
                  </w:r>
                  <w:r>
                    <w:rPr>
                      <w:rFonts w:cs="Times New Roman"/>
                      <w:color w:val="000000" w:themeColor="text1"/>
                      <w14:textFill>
                        <w14:solidFill>
                          <w14:schemeClr w14:val="tx1"/>
                        </w14:solidFill>
                      </w14:textFill>
                    </w:rPr>
                    <w:t>根据工艺平面布局分析</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在对厂房进行适应性改造后，并对2号厂房进行扩建，厂房能够</w:t>
                  </w:r>
                  <w:r>
                    <w:rPr>
                      <w:rFonts w:cs="Times New Roman"/>
                      <w:color w:val="000000" w:themeColor="text1"/>
                      <w14:textFill>
                        <w14:solidFill>
                          <w14:schemeClr w14:val="tx1"/>
                        </w14:solidFill>
                      </w14:textFill>
                    </w:rPr>
                    <w:t>满足本项目</w:t>
                  </w:r>
                  <w:bookmarkStart w:id="34" w:name="OLE_LINK258"/>
                  <w:bookmarkStart w:id="35" w:name="OLE_LINK259"/>
                  <w:r>
                    <w:rPr>
                      <w:rFonts w:hint="eastAsia" w:cs="Times New Roman"/>
                      <w:color w:val="000000" w:themeColor="text1"/>
                      <w:lang w:val="en-US" w:eastAsia="zh-CN"/>
                      <w14:textFill>
                        <w14:solidFill>
                          <w14:schemeClr w14:val="tx1"/>
                        </w14:solidFill>
                      </w14:textFill>
                    </w:rPr>
                    <w:t>建设需求</w:t>
                  </w:r>
                  <w:r>
                    <w:rPr>
                      <w:rFonts w:cs="Times New Roman"/>
                      <w:color w:val="000000" w:themeColor="text1"/>
                      <w14:textFill>
                        <w14:solidFill>
                          <w14:schemeClr w14:val="tx1"/>
                        </w14:solidFill>
                      </w14:textFill>
                    </w:rPr>
                    <w:t>。</w:t>
                  </w:r>
                  <w:bookmarkEnd w:id="34"/>
                  <w:bookmarkEnd w:id="35"/>
                </w:p>
              </w:tc>
              <w:tc>
                <w:tcPr>
                  <w:tcW w:w="464" w:type="pct"/>
                  <w:tcBorders>
                    <w:tl2br w:val="nil"/>
                    <w:tr2bl w:val="nil"/>
                  </w:tcBorders>
                  <w:vAlign w:val="center"/>
                </w:tcPr>
                <w:p w14:paraId="3903BAC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5128A9E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43B1285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w:t>
                  </w:r>
                </w:p>
              </w:tc>
              <w:tc>
                <w:tcPr>
                  <w:tcW w:w="567" w:type="pct"/>
                  <w:tcBorders>
                    <w:tl2br w:val="nil"/>
                    <w:tr2bl w:val="nil"/>
                  </w:tcBorders>
                  <w:vAlign w:val="center"/>
                </w:tcPr>
                <w:p w14:paraId="7E65414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预处理池</w:t>
                  </w:r>
                </w:p>
              </w:tc>
              <w:tc>
                <w:tcPr>
                  <w:tcW w:w="2078" w:type="pct"/>
                  <w:tcBorders>
                    <w:tl2br w:val="nil"/>
                    <w:tr2bl w:val="nil"/>
                  </w:tcBorders>
                  <w:vAlign w:val="center"/>
                </w:tcPr>
                <w:p w14:paraId="6F4F4658">
                  <w:pPr>
                    <w:pStyle w:val="13"/>
                    <w:rPr>
                      <w:rFonts w:cs="Times New Roman"/>
                      <w:snapToGrid w:val="0"/>
                      <w:color w:val="000000" w:themeColor="text1"/>
                      <w14:textFill>
                        <w14:solidFill>
                          <w14:schemeClr w14:val="tx1"/>
                        </w14:solidFill>
                      </w14:textFill>
                    </w:rPr>
                  </w:pPr>
                  <w:r>
                    <w:rPr>
                      <w:rFonts w:cs="Times New Roman"/>
                      <w:color w:val="000000" w:themeColor="text1"/>
                      <w14:textFill>
                        <w14:solidFill>
                          <w14:schemeClr w14:val="tx1"/>
                        </w14:solidFill>
                      </w14:textFill>
                    </w:rPr>
                    <w:t>厂区已建</w:t>
                  </w:r>
                  <w:r>
                    <w:rPr>
                      <w:rFonts w:cs="Times New Roman"/>
                      <w:snapToGrid w:val="0"/>
                      <w:color w:val="000000" w:themeColor="text1"/>
                      <w14:textFill>
                        <w14:solidFill>
                          <w14:schemeClr w14:val="tx1"/>
                        </w14:solidFill>
                      </w14:textFill>
                    </w:rPr>
                    <w:t>预处理池，容积</w:t>
                  </w:r>
                  <w:r>
                    <w:rPr>
                      <w:rFonts w:hint="eastAsia" w:cs="Times New Roman"/>
                      <w:snapToGrid w:val="0"/>
                      <w:color w:val="000000" w:themeColor="text1"/>
                      <w:lang w:val="en-US" w:eastAsia="zh-CN"/>
                      <w14:textFill>
                        <w14:solidFill>
                          <w14:schemeClr w14:val="tx1"/>
                        </w14:solidFill>
                      </w14:textFill>
                    </w:rPr>
                    <w:t>1</w:t>
                  </w:r>
                  <w:r>
                    <w:rPr>
                      <w:rFonts w:cs="Times New Roman"/>
                      <w:snapToGrid w:val="0"/>
                      <w:color w:val="000000" w:themeColor="text1"/>
                      <w14:textFill>
                        <w14:solidFill>
                          <w14:schemeClr w14:val="tx1"/>
                        </w14:solidFill>
                      </w14:textFill>
                    </w:rPr>
                    <w:t>0m</w:t>
                  </w:r>
                  <w:r>
                    <w:rPr>
                      <w:rFonts w:cs="Times New Roman"/>
                      <w:snapToGrid w:val="0"/>
                      <w:color w:val="000000" w:themeColor="text1"/>
                      <w:vertAlign w:val="superscript"/>
                      <w14:textFill>
                        <w14:solidFill>
                          <w14:schemeClr w14:val="tx1"/>
                        </w14:solidFill>
                      </w14:textFill>
                    </w:rPr>
                    <w:t>3</w:t>
                  </w:r>
                  <w:r>
                    <w:rPr>
                      <w:rFonts w:cs="Times New Roman"/>
                      <w:snapToGrid w:val="0"/>
                      <w:color w:val="000000" w:themeColor="text1"/>
                      <w14:textFill>
                        <w14:solidFill>
                          <w14:schemeClr w14:val="tx1"/>
                        </w14:solidFill>
                      </w14:textFill>
                    </w:rPr>
                    <w:t>。</w:t>
                  </w:r>
                </w:p>
                <w:p w14:paraId="0D856EE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现状厂区内其他企业员工人数约30人，且未设置食堂，排放生活污水量约2.7m</w:t>
                  </w:r>
                  <w:r>
                    <w:rPr>
                      <w:rFonts w:hint="eastAsia" w:cs="Times New Roman"/>
                      <w:color w:val="000000" w:themeColor="text1"/>
                      <w:vertAlign w:val="superscript"/>
                      <w:lang w:val="en-US" w:eastAsia="zh-CN"/>
                      <w14:textFill>
                        <w14:solidFill>
                          <w14:schemeClr w14:val="tx1"/>
                        </w14:solidFill>
                      </w14:textFill>
                    </w:rPr>
                    <w:t>3</w:t>
                  </w:r>
                  <w:r>
                    <w:rPr>
                      <w:rFonts w:cs="Times New Roman"/>
                      <w:snapToGrid w:val="0"/>
                      <w:color w:val="000000" w:themeColor="text1"/>
                      <w14:textFill>
                        <w14:solidFill>
                          <w14:schemeClr w14:val="tx1"/>
                        </w14:solidFill>
                      </w14:textFill>
                    </w:rPr>
                    <w:t>，</w:t>
                  </w:r>
                  <w:r>
                    <w:rPr>
                      <w:rFonts w:hint="eastAsia" w:cs="Times New Roman"/>
                      <w:snapToGrid w:val="0"/>
                      <w:color w:val="000000" w:themeColor="text1"/>
                      <w:lang w:val="en-US" w:eastAsia="zh-CN"/>
                      <w14:textFill>
                        <w14:solidFill>
                          <w14:schemeClr w14:val="tx1"/>
                        </w14:solidFill>
                      </w14:textFill>
                    </w:rPr>
                    <w:t>预处理池冗余量约7.3</w:t>
                  </w:r>
                  <w:r>
                    <w:rPr>
                      <w:rFonts w:hint="eastAsia" w:cs="Times New Roman"/>
                      <w:color w:val="000000" w:themeColor="text1"/>
                      <w:lang w:val="en-US" w:eastAsia="zh-CN"/>
                      <w14:textFill>
                        <w14:solidFill>
                          <w14:schemeClr w14:val="tx1"/>
                        </w14:solidFill>
                      </w14:textFill>
                    </w:rPr>
                    <w:t>m</w:t>
                  </w:r>
                  <w:r>
                    <w:rPr>
                      <w:rFonts w:hint="eastAsia" w:cs="Times New Roman"/>
                      <w:color w:val="000000" w:themeColor="text1"/>
                      <w:vertAlign w:val="superscript"/>
                      <w:lang w:val="en-US" w:eastAsia="zh-CN"/>
                      <w14:textFill>
                        <w14:solidFill>
                          <w14:schemeClr w14:val="tx1"/>
                        </w14:solidFill>
                      </w14:textFill>
                    </w:rPr>
                    <w:t>3</w:t>
                  </w:r>
                  <w:r>
                    <w:rPr>
                      <w:rFonts w:cs="Times New Roman"/>
                      <w:snapToGrid w:val="0"/>
                      <w:color w:val="000000" w:themeColor="text1"/>
                      <w14:textFill>
                        <w14:solidFill>
                          <w14:schemeClr w14:val="tx1"/>
                        </w14:solidFill>
                      </w14:textFill>
                    </w:rPr>
                    <w:t>。</w:t>
                  </w:r>
                </w:p>
              </w:tc>
              <w:tc>
                <w:tcPr>
                  <w:tcW w:w="1527" w:type="pct"/>
                  <w:tcBorders>
                    <w:tl2br w:val="nil"/>
                    <w:tr2bl w:val="nil"/>
                  </w:tcBorders>
                  <w:vAlign w:val="center"/>
                </w:tcPr>
                <w:p w14:paraId="52FC330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含食堂、宿舍，生活污水</w:t>
                  </w:r>
                  <w:r>
                    <w:rPr>
                      <w:rFonts w:cs="Times New Roman"/>
                      <w:color w:val="000000" w:themeColor="text1"/>
                      <w14:textFill>
                        <w14:solidFill>
                          <w14:schemeClr w14:val="tx1"/>
                        </w14:solidFill>
                      </w14:textFill>
                    </w:rPr>
                    <w:t>排放量</w:t>
                  </w:r>
                  <w:r>
                    <w:rPr>
                      <w:rFonts w:hint="eastAsia" w:cs="Times New Roman"/>
                      <w:color w:val="000000" w:themeColor="text1"/>
                      <w:lang w:val="en-US" w:eastAsia="zh-CN"/>
                      <w14:textFill>
                        <w14:solidFill>
                          <w14:schemeClr w14:val="tx1"/>
                        </w14:solidFill>
                      </w14:textFill>
                    </w:rPr>
                    <w:t>约2.34</w:t>
                  </w:r>
                  <w:r>
                    <w:rPr>
                      <w:rFonts w:cs="Times New Roman"/>
                      <w:snapToGrid w:val="0"/>
                      <w:color w:val="000000" w:themeColor="text1"/>
                      <w14:textFill>
                        <w14:solidFill>
                          <w14:schemeClr w14:val="tx1"/>
                        </w14:solidFill>
                      </w14:textFill>
                    </w:rPr>
                    <w:t>m</w:t>
                  </w:r>
                  <w:r>
                    <w:rPr>
                      <w:rFonts w:cs="Times New Roman"/>
                      <w:snapToGrid w:val="0"/>
                      <w:color w:val="000000" w:themeColor="text1"/>
                      <w:vertAlign w:val="superscript"/>
                      <w14:textFill>
                        <w14:solidFill>
                          <w14:schemeClr w14:val="tx1"/>
                        </w14:solidFill>
                      </w14:textFill>
                    </w:rPr>
                    <w:t>3</w:t>
                  </w:r>
                  <w:r>
                    <w:rPr>
                      <w:rFonts w:cs="Times New Roman"/>
                      <w:snapToGrid w:val="0"/>
                      <w:color w:val="000000" w:themeColor="text1"/>
                      <w14:textFill>
                        <w14:solidFill>
                          <w14:schemeClr w14:val="tx1"/>
                        </w14:solidFill>
                      </w14:textFill>
                    </w:rPr>
                    <w:t>/d</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预处理池冗余</w:t>
                  </w:r>
                  <w:r>
                    <w:rPr>
                      <w:rFonts w:cs="Times New Roman"/>
                      <w:snapToGrid w:val="0"/>
                      <w:color w:val="000000" w:themeColor="text1"/>
                      <w14:textFill>
                        <w14:solidFill>
                          <w14:schemeClr w14:val="tx1"/>
                        </w14:solidFill>
                      </w14:textFill>
                    </w:rPr>
                    <w:t>量能满足本项目生活污水处理需求。</w:t>
                  </w:r>
                </w:p>
              </w:tc>
              <w:tc>
                <w:tcPr>
                  <w:tcW w:w="464" w:type="pct"/>
                  <w:tcBorders>
                    <w:tl2br w:val="nil"/>
                    <w:tr2bl w:val="nil"/>
                  </w:tcBorders>
                  <w:vAlign w:val="center"/>
                </w:tcPr>
                <w:p w14:paraId="303DE28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01E68DB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200B516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w:t>
                  </w:r>
                </w:p>
              </w:tc>
              <w:tc>
                <w:tcPr>
                  <w:tcW w:w="567" w:type="pct"/>
                  <w:tcBorders>
                    <w:tl2br w:val="nil"/>
                    <w:tr2bl w:val="nil"/>
                  </w:tcBorders>
                  <w:vAlign w:val="center"/>
                </w:tcPr>
                <w:p w14:paraId="6D3F66C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供</w:t>
                  </w:r>
                  <w:r>
                    <w:rPr>
                      <w:rFonts w:hint="eastAsia" w:cs="Times New Roman"/>
                      <w:color w:val="000000" w:themeColor="text1"/>
                      <w:lang w:val="en-US" w:eastAsia="zh-CN"/>
                      <w14:textFill>
                        <w14:solidFill>
                          <w14:schemeClr w14:val="tx1"/>
                        </w14:solidFill>
                      </w14:textFill>
                    </w:rPr>
                    <w:t>电</w:t>
                  </w:r>
                  <w:r>
                    <w:rPr>
                      <w:rFonts w:cs="Times New Roman"/>
                      <w:color w:val="000000" w:themeColor="text1"/>
                      <w14:textFill>
                        <w14:solidFill>
                          <w14:schemeClr w14:val="tx1"/>
                        </w14:solidFill>
                      </w14:textFill>
                    </w:rPr>
                    <w:t>系统</w:t>
                  </w:r>
                </w:p>
              </w:tc>
              <w:tc>
                <w:tcPr>
                  <w:tcW w:w="2078" w:type="pct"/>
                  <w:tcBorders>
                    <w:tl2br w:val="nil"/>
                    <w:tr2bl w:val="nil"/>
                  </w:tcBorders>
                  <w:vAlign w:val="center"/>
                </w:tcPr>
                <w:p w14:paraId="345722F5">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园区电网建设完善，厂区已配备完善的供配电系统。</w:t>
                  </w:r>
                </w:p>
              </w:tc>
              <w:tc>
                <w:tcPr>
                  <w:tcW w:w="1527" w:type="pct"/>
                  <w:tcBorders>
                    <w:tl2br w:val="nil"/>
                    <w:tr2bl w:val="nil"/>
                  </w:tcBorders>
                  <w:vAlign w:val="center"/>
                </w:tcPr>
                <w:p w14:paraId="0DE4E74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目前厂区已建供电系统供电正常，能够满足本项目需求。</w:t>
                  </w:r>
                </w:p>
              </w:tc>
              <w:tc>
                <w:tcPr>
                  <w:tcW w:w="464" w:type="pct"/>
                  <w:tcBorders>
                    <w:tl2br w:val="nil"/>
                    <w:tr2bl w:val="nil"/>
                  </w:tcBorders>
                  <w:vAlign w:val="center"/>
                </w:tcPr>
                <w:p w14:paraId="2188385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0795DC7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04D7881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w:t>
                  </w:r>
                </w:p>
              </w:tc>
              <w:tc>
                <w:tcPr>
                  <w:tcW w:w="567" w:type="pct"/>
                  <w:tcBorders>
                    <w:tl2br w:val="nil"/>
                    <w:tr2bl w:val="nil"/>
                  </w:tcBorders>
                  <w:vAlign w:val="center"/>
                </w:tcPr>
                <w:p w14:paraId="5B8C8F5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供</w:t>
                  </w:r>
                  <w:r>
                    <w:rPr>
                      <w:rFonts w:hint="eastAsia" w:cs="Times New Roman"/>
                      <w:color w:val="000000" w:themeColor="text1"/>
                      <w:lang w:val="en-US" w:eastAsia="zh-CN"/>
                      <w14:textFill>
                        <w14:solidFill>
                          <w14:schemeClr w14:val="tx1"/>
                        </w14:solidFill>
                      </w14:textFill>
                    </w:rPr>
                    <w:t>水</w:t>
                  </w:r>
                  <w:r>
                    <w:rPr>
                      <w:rFonts w:cs="Times New Roman"/>
                      <w:color w:val="000000" w:themeColor="text1"/>
                      <w14:textFill>
                        <w14:solidFill>
                          <w14:schemeClr w14:val="tx1"/>
                        </w14:solidFill>
                      </w14:textFill>
                    </w:rPr>
                    <w:t>系统</w:t>
                  </w:r>
                </w:p>
              </w:tc>
              <w:tc>
                <w:tcPr>
                  <w:tcW w:w="2078" w:type="pct"/>
                  <w:tcBorders>
                    <w:tl2br w:val="nil"/>
                    <w:tr2bl w:val="nil"/>
                  </w:tcBorders>
                  <w:vAlign w:val="center"/>
                </w:tcPr>
                <w:p w14:paraId="3A638A75">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园区供水管网建设完善，厂区已建设完善的供水管网。</w:t>
                  </w:r>
                </w:p>
              </w:tc>
              <w:tc>
                <w:tcPr>
                  <w:tcW w:w="1527" w:type="pct"/>
                  <w:tcBorders>
                    <w:tl2br w:val="nil"/>
                    <w:tr2bl w:val="nil"/>
                  </w:tcBorders>
                  <w:vAlign w:val="center"/>
                </w:tcPr>
                <w:p w14:paraId="17C38C37">
                  <w:pPr>
                    <w:pStyle w:val="13"/>
                    <w:rPr>
                      <w:rFonts w:cs="Times New Roman"/>
                      <w:color w:val="000000" w:themeColor="text1"/>
                      <w14:textFill>
                        <w14:solidFill>
                          <w14:schemeClr w14:val="tx1"/>
                        </w14:solidFill>
                      </w14:textFill>
                    </w:rPr>
                  </w:pPr>
                  <w:bookmarkStart w:id="36" w:name="OLE_LINK32"/>
                  <w:r>
                    <w:rPr>
                      <w:rFonts w:cs="Times New Roman"/>
                      <w:color w:val="000000" w:themeColor="text1"/>
                      <w14:textFill>
                        <w14:solidFill>
                          <w14:schemeClr w14:val="tx1"/>
                        </w14:solidFill>
                      </w14:textFill>
                    </w:rPr>
                    <w:t>目前厂区已建供</w:t>
                  </w:r>
                  <w:r>
                    <w:rPr>
                      <w:rFonts w:hint="eastAsia" w:cs="Times New Roman"/>
                      <w:color w:val="000000" w:themeColor="text1"/>
                      <w:lang w:val="en-US" w:eastAsia="zh-CN"/>
                      <w14:textFill>
                        <w14:solidFill>
                          <w14:schemeClr w14:val="tx1"/>
                        </w14:solidFill>
                      </w14:textFill>
                    </w:rPr>
                    <w:t>水</w:t>
                  </w:r>
                  <w:r>
                    <w:rPr>
                      <w:rFonts w:cs="Times New Roman"/>
                      <w:color w:val="000000" w:themeColor="text1"/>
                      <w14:textFill>
                        <w14:solidFill>
                          <w14:schemeClr w14:val="tx1"/>
                        </w14:solidFill>
                      </w14:textFill>
                    </w:rPr>
                    <w:t>系统供电正常</w:t>
                  </w:r>
                  <w:bookmarkEnd w:id="36"/>
                  <w:r>
                    <w:rPr>
                      <w:rFonts w:cs="Times New Roman"/>
                      <w:color w:val="000000" w:themeColor="text1"/>
                      <w14:textFill>
                        <w14:solidFill>
                          <w14:schemeClr w14:val="tx1"/>
                        </w14:solidFill>
                      </w14:textFill>
                    </w:rPr>
                    <w:t>，能够满足本项目需求。</w:t>
                  </w:r>
                </w:p>
              </w:tc>
              <w:tc>
                <w:tcPr>
                  <w:tcW w:w="464" w:type="pct"/>
                  <w:tcBorders>
                    <w:tl2br w:val="nil"/>
                    <w:tr2bl w:val="nil"/>
                  </w:tcBorders>
                  <w:vAlign w:val="center"/>
                </w:tcPr>
                <w:p w14:paraId="43E6C81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0063404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1B38769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w:t>
                  </w:r>
                </w:p>
              </w:tc>
              <w:tc>
                <w:tcPr>
                  <w:tcW w:w="567" w:type="pct"/>
                  <w:tcBorders>
                    <w:tl2br w:val="nil"/>
                    <w:tr2bl w:val="nil"/>
                  </w:tcBorders>
                  <w:vAlign w:val="center"/>
                </w:tcPr>
                <w:p w14:paraId="602B184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供气系统</w:t>
                  </w:r>
                </w:p>
              </w:tc>
              <w:tc>
                <w:tcPr>
                  <w:tcW w:w="2078" w:type="pct"/>
                  <w:tcBorders>
                    <w:tl2br w:val="nil"/>
                    <w:tr2bl w:val="nil"/>
                  </w:tcBorders>
                  <w:vAlign w:val="center"/>
                </w:tcPr>
                <w:p w14:paraId="704F8BA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园区供气管网建设完善，厂区已建设完善的供气管网。</w:t>
                  </w:r>
                </w:p>
              </w:tc>
              <w:tc>
                <w:tcPr>
                  <w:tcW w:w="1527" w:type="pct"/>
                  <w:tcBorders>
                    <w:tl2br w:val="nil"/>
                    <w:tr2bl w:val="nil"/>
                  </w:tcBorders>
                  <w:vAlign w:val="center"/>
                </w:tcPr>
                <w:p w14:paraId="36AD450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目前厂区已建供气管线正常，能够满足本项目需求。</w:t>
                  </w:r>
                </w:p>
              </w:tc>
              <w:tc>
                <w:tcPr>
                  <w:tcW w:w="464" w:type="pct"/>
                  <w:tcBorders>
                    <w:tl2br w:val="nil"/>
                    <w:tr2bl w:val="nil"/>
                  </w:tcBorders>
                  <w:vAlign w:val="center"/>
                </w:tcPr>
                <w:p w14:paraId="303F1DB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4350EB0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635EC451">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w:t>
                  </w:r>
                </w:p>
              </w:tc>
              <w:tc>
                <w:tcPr>
                  <w:tcW w:w="567" w:type="pct"/>
                  <w:tcBorders>
                    <w:tl2br w:val="nil"/>
                    <w:tr2bl w:val="nil"/>
                  </w:tcBorders>
                  <w:vAlign w:val="center"/>
                </w:tcPr>
                <w:p w14:paraId="21611F57">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排水系统</w:t>
                  </w:r>
                </w:p>
              </w:tc>
              <w:tc>
                <w:tcPr>
                  <w:tcW w:w="2078" w:type="pct"/>
                  <w:tcBorders>
                    <w:tl2br w:val="nil"/>
                    <w:tr2bl w:val="nil"/>
                  </w:tcBorders>
                  <w:vAlign w:val="center"/>
                </w:tcPr>
                <w:p w14:paraId="285DCC03">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园区雨污水管网建设完善，污水管网连接至星光工业园污水处理厂。厂区内现有雨水、污水管网较完善。</w:t>
                  </w:r>
                </w:p>
              </w:tc>
              <w:tc>
                <w:tcPr>
                  <w:tcW w:w="1527" w:type="pct"/>
                  <w:tcBorders>
                    <w:tl2br w:val="nil"/>
                    <w:tr2bl w:val="nil"/>
                  </w:tcBorders>
                  <w:vAlign w:val="center"/>
                </w:tcPr>
                <w:p w14:paraId="03924802">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厂区内已建雨水管网、生活污水管网能够满足本项目需求，依托现有；生产废水部分回用于生产，部分委托有资质单位处置。</w:t>
                  </w:r>
                </w:p>
              </w:tc>
              <w:tc>
                <w:tcPr>
                  <w:tcW w:w="464" w:type="pct"/>
                  <w:tcBorders>
                    <w:tl2br w:val="nil"/>
                    <w:tr2bl w:val="nil"/>
                  </w:tcBorders>
                  <w:vAlign w:val="center"/>
                </w:tcPr>
                <w:p w14:paraId="5C441F8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0323E72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7AA5E557">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c>
                <w:tcPr>
                  <w:tcW w:w="567" w:type="pct"/>
                  <w:tcBorders>
                    <w:tl2br w:val="nil"/>
                    <w:tr2bl w:val="nil"/>
                  </w:tcBorders>
                  <w:vAlign w:val="center"/>
                </w:tcPr>
                <w:p w14:paraId="495C3CF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道路</w:t>
                  </w:r>
                </w:p>
              </w:tc>
              <w:tc>
                <w:tcPr>
                  <w:tcW w:w="2078" w:type="pct"/>
                  <w:tcBorders>
                    <w:tl2br w:val="nil"/>
                    <w:tr2bl w:val="nil"/>
                  </w:tcBorders>
                  <w:vAlign w:val="center"/>
                </w:tcPr>
                <w:p w14:paraId="729C538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厂区已建道路</w:t>
                  </w:r>
                </w:p>
              </w:tc>
              <w:tc>
                <w:tcPr>
                  <w:tcW w:w="1527" w:type="pct"/>
                  <w:tcBorders>
                    <w:tl2br w:val="nil"/>
                    <w:tr2bl w:val="nil"/>
                  </w:tcBorders>
                  <w:vAlign w:val="center"/>
                </w:tcPr>
                <w:p w14:paraId="723C726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目前厂区道路满足本项目需求。</w:t>
                  </w:r>
                </w:p>
              </w:tc>
              <w:tc>
                <w:tcPr>
                  <w:tcW w:w="464" w:type="pct"/>
                  <w:tcBorders>
                    <w:tl2br w:val="nil"/>
                    <w:tr2bl w:val="nil"/>
                  </w:tcBorders>
                  <w:vAlign w:val="center"/>
                </w:tcPr>
                <w:p w14:paraId="13FD9AA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7031A15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544DD926">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567" w:type="pct"/>
                  <w:tcBorders>
                    <w:tl2br w:val="nil"/>
                    <w:tr2bl w:val="nil"/>
                  </w:tcBorders>
                  <w:vAlign w:val="center"/>
                </w:tcPr>
                <w:p w14:paraId="12CB99E8">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星光工业园区污水处理厂</w:t>
                  </w:r>
                </w:p>
              </w:tc>
              <w:tc>
                <w:tcPr>
                  <w:tcW w:w="2078" w:type="pct"/>
                  <w:tcBorders>
                    <w:tl2br w:val="nil"/>
                    <w:tr2bl w:val="nil"/>
                  </w:tcBorders>
                  <w:vAlign w:val="center"/>
                </w:tcPr>
                <w:p w14:paraId="2E928357">
                  <w:pPr>
                    <w:pStyle w:val="13"/>
                    <w:rPr>
                      <w:rFonts w:hint="default" w:cs="Times New Roman"/>
                      <w:color w:val="000000" w:themeColor="text1"/>
                      <w:vertAlign w:val="baseline"/>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星光工业园区污水处理厂建设项目一期工程位于平昌县星光工业园西南部巴河东岸风滩村偏阳沟，总占地面积</w:t>
                  </w:r>
                  <w:r>
                    <w:rPr>
                      <w:rFonts w:hint="default" w:cs="Times New Roman"/>
                      <w:color w:val="000000" w:themeColor="text1"/>
                      <w:lang w:val="en-US" w:eastAsia="zh-CN"/>
                      <w14:textFill>
                        <w14:solidFill>
                          <w14:schemeClr w14:val="tx1"/>
                        </w14:solidFill>
                      </w14:textFill>
                    </w:rPr>
                    <w:t>11.3</w:t>
                  </w:r>
                  <w:r>
                    <w:rPr>
                      <w:rFonts w:hint="eastAsia" w:cs="Times New Roman"/>
                      <w:color w:val="000000" w:themeColor="text1"/>
                      <w:lang w:val="en-US" w:eastAsia="zh-CN"/>
                      <w14:textFill>
                        <w14:solidFill>
                          <w14:schemeClr w14:val="tx1"/>
                        </w14:solidFill>
                      </w14:textFill>
                    </w:rPr>
                    <w:t>亩，设计处理能力</w:t>
                  </w:r>
                  <w:r>
                    <w:rPr>
                      <w:rFonts w:hint="default" w:cs="Times New Roman"/>
                      <w:color w:val="000000" w:themeColor="text1"/>
                      <w:lang w:val="en-US" w:eastAsia="zh-CN"/>
                      <w14:textFill>
                        <w14:solidFill>
                          <w14:schemeClr w14:val="tx1"/>
                        </w14:solidFill>
                      </w14:textFill>
                    </w:rPr>
                    <w:t>0.3</w:t>
                  </w:r>
                  <w:r>
                    <w:rPr>
                      <w:rFonts w:hint="eastAsia" w:cs="Times New Roman"/>
                      <w:color w:val="000000" w:themeColor="text1"/>
                      <w:lang w:val="en-US" w:eastAsia="zh-CN"/>
                      <w14:textFill>
                        <w14:solidFill>
                          <w14:schemeClr w14:val="tx1"/>
                        </w14:solidFill>
                      </w14:textFill>
                    </w:rPr>
                    <w:t>万</w:t>
                  </w:r>
                  <w:r>
                    <w:rPr>
                      <w:rFonts w:hint="default" w:cs="Times New Roman"/>
                      <w:color w:val="000000" w:themeColor="text1"/>
                      <w:lang w:val="en-US" w:eastAsia="zh-CN"/>
                      <w14:textFill>
                        <w14:solidFill>
                          <w14:schemeClr w14:val="tx1"/>
                        </w14:solidFill>
                      </w14:textFill>
                    </w:rPr>
                    <w:t>m</w:t>
                  </w:r>
                  <w:r>
                    <w:rPr>
                      <w:rFonts w:hint="default" w:cs="Times New Roman"/>
                      <w:color w:val="000000" w:themeColor="text1"/>
                      <w:vertAlign w:val="superscript"/>
                      <w:lang w:val="en-US" w:eastAsia="zh-CN"/>
                      <w14:textFill>
                        <w14:solidFill>
                          <w14:schemeClr w14:val="tx1"/>
                        </w14:solidFill>
                      </w14:textFill>
                    </w:rPr>
                    <w:t>3</w:t>
                  </w:r>
                  <w:r>
                    <w:rPr>
                      <w:rFonts w:hint="default" w:cs="Times New Roman"/>
                      <w:color w:val="000000" w:themeColor="text1"/>
                      <w:lang w:val="en-US" w:eastAsia="zh-CN"/>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，采用“预处理（隔栅间</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调节池</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水解酸化池）</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生化处理（</w:t>
                  </w:r>
                  <w:r>
                    <w:rPr>
                      <w:rFonts w:hint="default" w:cs="Times New Roman"/>
                      <w:color w:val="000000" w:themeColor="text1"/>
                      <w:lang w:val="en-US" w:eastAsia="zh-CN"/>
                      <w14:textFill>
                        <w14:solidFill>
                          <w14:schemeClr w14:val="tx1"/>
                        </w14:solidFill>
                      </w14:textFill>
                    </w:rPr>
                    <w:t>A/O</w:t>
                  </w:r>
                  <w:r>
                    <w:rPr>
                      <w:rFonts w:hint="eastAsia" w:cs="Times New Roman"/>
                      <w:color w:val="000000" w:themeColor="text1"/>
                      <w:lang w:val="en-US" w:eastAsia="zh-CN"/>
                      <w14:textFill>
                        <w14:solidFill>
                          <w14:schemeClr w14:val="tx1"/>
                        </w14:solidFill>
                      </w14:textFill>
                    </w:rPr>
                    <w:t>微曝氧化沟）</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深度处理</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网格絮凝池</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纤维转盘滤池</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紫外线消毒</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”处理工艺，主要处理工业园区生活污水及工业废水。</w:t>
                  </w:r>
                  <w:r>
                    <w:rPr>
                      <w:rFonts w:hint="eastAsia" w:ascii="Times New Roman" w:hAnsi="Times New Roman" w:eastAsia="宋体" w:cs="Times New Roman"/>
                      <w:color w:val="000000" w:themeColor="text1"/>
                      <w:lang w:val="en-US" w:eastAsia="zh-CN"/>
                      <w14:textFill>
                        <w14:solidFill>
                          <w14:schemeClr w14:val="tx1"/>
                        </w14:solidFill>
                      </w14:textFill>
                    </w:rPr>
                    <w:t>根据《</w:t>
                  </w:r>
                  <w:r>
                    <w:rPr>
                      <w:rFonts w:hint="default" w:ascii="Times New Roman" w:hAnsi="Times New Roman" w:eastAsia="宋体" w:cs="Times New Roman"/>
                      <w:color w:val="000000" w:themeColor="text1"/>
                      <w:lang w:val="en-US" w:eastAsia="zh-CN"/>
                      <w14:textFill>
                        <w14:solidFill>
                          <w14:schemeClr w14:val="tx1"/>
                        </w14:solidFill>
                      </w14:textFill>
                    </w:rPr>
                    <w:t>星光工业园区污水处理厂技改扩能建设项目环境影响报告书</w:t>
                  </w:r>
                  <w:r>
                    <w:rPr>
                      <w:rFonts w:hint="eastAsia" w:ascii="Times New Roman" w:hAnsi="Times New Roman" w:eastAsia="宋体" w:cs="Times New Roman"/>
                      <w:color w:val="000000" w:themeColor="text1"/>
                      <w:lang w:val="en-US" w:eastAsia="zh-CN"/>
                      <w14:textFill>
                        <w14:solidFill>
                          <w14:schemeClr w14:val="tx1"/>
                        </w14:solidFill>
                      </w14:textFill>
                    </w:rPr>
                    <w:t>》（2025年10月），后续</w:t>
                  </w:r>
                  <w:r>
                    <w:rPr>
                      <w:rFonts w:hint="eastAsia" w:cs="Times New Roman"/>
                      <w:color w:val="000000" w:themeColor="text1"/>
                      <w:lang w:val="en-US" w:eastAsia="zh-CN"/>
                      <w14:textFill>
                        <w14:solidFill>
                          <w14:schemeClr w14:val="tx1"/>
                        </w14:solidFill>
                      </w14:textFill>
                    </w:rPr>
                    <w:t>拟建设扩建工程，扩建规模至0.5万m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vertAlign w:val="baseline"/>
                      <w:lang w:val="en-US" w:eastAsia="zh-CN"/>
                      <w14:textFill>
                        <w14:solidFill>
                          <w14:schemeClr w14:val="tx1"/>
                        </w14:solidFill>
                      </w14:textFill>
                    </w:rPr>
                    <w:t>/d。</w:t>
                  </w:r>
                </w:p>
              </w:tc>
              <w:tc>
                <w:tcPr>
                  <w:tcW w:w="1527" w:type="pct"/>
                  <w:tcBorders>
                    <w:tl2br w:val="nil"/>
                    <w:tr2bl w:val="nil"/>
                  </w:tcBorders>
                  <w:vAlign w:val="center"/>
                </w:tcPr>
                <w:p w14:paraId="4C2B3FDB">
                  <w:pPr>
                    <w:pStyle w:val="13"/>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本项目属于星光污水处理厂纳污范围内，项目区域已接通污水管网。</w:t>
                  </w:r>
                </w:p>
                <w:p w14:paraId="24FE097A">
                  <w:pPr>
                    <w:pStyle w:val="13"/>
                    <w:rPr>
                      <w:rFonts w:hint="default"/>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根据现场调查，该污水处理厂设计处理规模为0.5万m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vertAlign w:val="baseline"/>
                      <w:lang w:val="en-US" w:eastAsia="zh-CN"/>
                      <w14:textFill>
                        <w14:solidFill>
                          <w14:schemeClr w14:val="tx1"/>
                        </w14:solidFill>
                      </w14:textFill>
                    </w:rPr>
                    <w:t>/d，剩余处理规模为900m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vertAlign w:val="baseline"/>
                      <w:lang w:val="en-US" w:eastAsia="zh-CN"/>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余量充足，本项目仅排放生活污水，产生量为2.34</w:t>
                  </w:r>
                  <w:r>
                    <w:rPr>
                      <w:rFonts w:hint="eastAsia" w:cs="Times New Roman"/>
                      <w:color w:val="000000" w:themeColor="text1"/>
                      <w:vertAlign w:val="baseline"/>
                      <w:lang w:val="en-US" w:eastAsia="zh-CN"/>
                      <w14:textFill>
                        <w14:solidFill>
                          <w14:schemeClr w14:val="tx1"/>
                        </w14:solidFill>
                      </w14:textFill>
                    </w:rPr>
                    <w:t>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vertAlign w:val="baseline"/>
                      <w:lang w:val="en-US" w:eastAsia="zh-CN"/>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能够接收本项目排放的废水。</w:t>
                  </w:r>
                </w:p>
              </w:tc>
              <w:tc>
                <w:tcPr>
                  <w:tcW w:w="464" w:type="pct"/>
                  <w:tcBorders>
                    <w:tl2br w:val="nil"/>
                    <w:tr2bl w:val="nil"/>
                  </w:tcBorders>
                  <w:vAlign w:val="center"/>
                </w:tcPr>
                <w:p w14:paraId="2E4963D5">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可行</w:t>
                  </w:r>
                </w:p>
              </w:tc>
            </w:tr>
          </w:tbl>
          <w:p w14:paraId="591E9721">
            <w:pPr>
              <w:pStyle w:val="4"/>
              <w:numPr>
                <w:ilvl w:val="0"/>
                <w:numId w:val="0"/>
              </w:numPr>
              <w:spacing w:before="163"/>
              <w:ind w:firstLine="0" w:firstLineChars="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4"/>
                <w:szCs w:val="21"/>
                <w:lang w:val="en-US" w:eastAsia="zh-CN" w:bidi="ar-SA"/>
                <w14:textFill>
                  <w14:solidFill>
                    <w14:schemeClr w14:val="tx1"/>
                  </w14:solidFill>
                </w14:textFill>
              </w:rPr>
              <w:t>5、</w:t>
            </w:r>
            <w:r>
              <w:rPr>
                <w:rFonts w:hint="eastAsia"/>
                <w:color w:val="000000" w:themeColor="text1"/>
                <w:lang w:val="en-US" w:eastAsia="zh-CN"/>
                <w14:textFill>
                  <w14:solidFill>
                    <w14:schemeClr w14:val="tx1"/>
                  </w14:solidFill>
                </w14:textFill>
              </w:rPr>
              <w:t>主要原辅材料</w:t>
            </w:r>
          </w:p>
          <w:p w14:paraId="6F0CEB9C">
            <w:pPr>
              <w:pStyle w:val="16"/>
              <w:spacing w:after="0"/>
              <w:ind w:firstLine="482" w:firstLineChars="200"/>
              <w:rPr>
                <w:rFonts w:hint="default" w:ascii="Times New Roman" w:hAnsi="Times New Roman" w:cs="Times New Roman"/>
                <w:color w:val="000000" w:themeColor="text1"/>
                <w14:textFill>
                  <w14:solidFill>
                    <w14:schemeClr w14:val="tx1"/>
                  </w14:solidFill>
                </w14:textFill>
              </w:rPr>
            </w:pPr>
            <w:r>
              <w:rPr>
                <w:rFonts w:hint="eastAsia"/>
                <w:b/>
                <w:bCs/>
                <w:i/>
                <w:iCs/>
                <w:color w:val="000000" w:themeColor="text1"/>
                <w:lang w:val="en-US" w:eastAsia="zh-CN"/>
                <w14:textFill>
                  <w14:solidFill>
                    <w14:schemeClr w14:val="tx1"/>
                  </w14:solidFill>
                </w14:textFill>
              </w:rPr>
              <w:t>该内容涉密，不予公开。</w:t>
            </w:r>
          </w:p>
          <w:p w14:paraId="2B4C4617">
            <w:pPr>
              <w:pStyle w:val="4"/>
              <w:keepNext w:val="0"/>
              <w:keepLines w:val="0"/>
              <w:pageBreakBefore w:val="0"/>
              <w:numPr>
                <w:ilvl w:val="0"/>
                <w:numId w:val="0"/>
              </w:numPr>
              <w:kinsoku/>
              <w:wordWrap/>
              <w:overflowPunct/>
              <w:topLinePunct w:val="0"/>
              <w:autoSpaceDE/>
              <w:autoSpaceDN/>
              <w:bidi w:val="0"/>
              <w:adjustRightInd/>
              <w:snapToGrid/>
              <w:spacing w:before="0" w:beforeLines="0"/>
              <w:ind w:leftChars="0" w:firstLine="0"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color w:val="000000" w:themeColor="text1"/>
                <w:kern w:val="2"/>
                <w:sz w:val="24"/>
                <w:szCs w:val="21"/>
                <w:lang w:val="en-US" w:eastAsia="zh-CN" w:bidi="ar-SA"/>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主要设备</w:t>
            </w:r>
          </w:p>
          <w:p w14:paraId="6AD51E58">
            <w:pPr>
              <w:pStyle w:val="16"/>
              <w:spacing w:after="0"/>
              <w:ind w:firstLine="482"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b/>
                <w:bCs/>
                <w:i/>
                <w:iCs/>
                <w:color w:val="000000" w:themeColor="text1"/>
                <w:lang w:val="en-US" w:eastAsia="zh-CN"/>
                <w14:textFill>
                  <w14:solidFill>
                    <w14:schemeClr w14:val="tx1"/>
                  </w14:solidFill>
                </w14:textFill>
              </w:rPr>
              <w:t>该内容涉密，不予公开。</w:t>
            </w:r>
          </w:p>
          <w:p w14:paraId="037BE8E3">
            <w:pPr>
              <w:pStyle w:val="4"/>
              <w:spacing w:before="163"/>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7、公用工程</w:t>
            </w:r>
          </w:p>
          <w:p w14:paraId="7A1D9779">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（1）供电</w:t>
            </w:r>
          </w:p>
          <w:p w14:paraId="6B08529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本项目由</w:t>
            </w:r>
            <w:r>
              <w:rPr>
                <w:rFonts w:hint="eastAsia" w:cs="Times New Roman"/>
                <w:color w:val="000000" w:themeColor="text1"/>
                <w:lang w:val="en-US" w:eastAsia="zh-CN"/>
                <w14:textFill>
                  <w14:solidFill>
                    <w14:schemeClr w14:val="tx1"/>
                  </w14:solidFill>
                </w14:textFill>
              </w:rPr>
              <w:t>园区</w:t>
            </w:r>
            <w:r>
              <w:rPr>
                <w:rFonts w:cs="Times New Roman"/>
                <w:color w:val="000000" w:themeColor="text1"/>
                <w14:textFill>
                  <w14:solidFill>
                    <w14:schemeClr w14:val="tx1"/>
                  </w14:solidFill>
                </w14:textFill>
              </w:rPr>
              <w:t>电网供电，依托租赁厂房所在厂区公用变电站，车间内仅设置配电柜。</w:t>
            </w:r>
          </w:p>
          <w:p w14:paraId="29A46EEE">
            <w:pPr>
              <w:ind w:firstLine="482"/>
              <w:rPr>
                <w:rFonts w:hint="eastAsia" w:eastAsia="宋体" w:cs="Times New Roman"/>
                <w:b/>
                <w:color w:val="000000" w:themeColor="text1"/>
                <w:lang w:eastAsia="zh-CN"/>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2</w:t>
            </w:r>
            <w:r>
              <w:rPr>
                <w:rFonts w:cs="Times New Roman"/>
                <w:b/>
                <w:color w:val="000000" w:themeColor="text1"/>
                <w14:textFill>
                  <w14:solidFill>
                    <w14:schemeClr w14:val="tx1"/>
                  </w14:solidFill>
                </w14:textFill>
              </w:rPr>
              <w:t>）供</w:t>
            </w:r>
            <w:r>
              <w:rPr>
                <w:rFonts w:hint="eastAsia" w:cs="Times New Roman"/>
                <w:b/>
                <w:color w:val="000000" w:themeColor="text1"/>
                <w:lang w:val="en-US" w:eastAsia="zh-CN"/>
                <w14:textFill>
                  <w14:solidFill>
                    <w14:schemeClr w14:val="tx1"/>
                  </w14:solidFill>
                </w14:textFill>
              </w:rPr>
              <w:t>气</w:t>
            </w:r>
          </w:p>
          <w:p w14:paraId="1CCAA1DE">
            <w:pPr>
              <w:keepNext w:val="0"/>
              <w:keepLines w:val="0"/>
              <w:widowControl/>
              <w:suppressLineNumbers w:val="0"/>
              <w:jc w:val="left"/>
              <w:rPr>
                <w:rFonts w:cs="Times New Roman"/>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本项目采用天然气作为能源，由园区天然气系统供给。</w:t>
            </w:r>
          </w:p>
          <w:p w14:paraId="2B1CF746">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3</w:t>
            </w:r>
            <w:r>
              <w:rPr>
                <w:rFonts w:cs="Times New Roman"/>
                <w:b/>
                <w:color w:val="000000" w:themeColor="text1"/>
                <w14:textFill>
                  <w14:solidFill>
                    <w14:schemeClr w14:val="tx1"/>
                  </w14:solidFill>
                </w14:textFill>
              </w:rPr>
              <w:t>）供水</w:t>
            </w:r>
          </w:p>
          <w:p w14:paraId="151A7703">
            <w:pPr>
              <w:pStyle w:val="16"/>
              <w:spacing w:after="0"/>
              <w:ind w:firstLine="482" w:firstLineChars="200"/>
              <w:rPr>
                <w:rFonts w:hint="default"/>
                <w:b/>
                <w:bCs/>
                <w:i/>
                <w:iCs/>
                <w:color w:val="000000" w:themeColor="text1"/>
                <w:lang w:val="en-US" w:eastAsia="zh-CN"/>
                <w14:textFill>
                  <w14:solidFill>
                    <w14:schemeClr w14:val="tx1"/>
                  </w14:solidFill>
                </w14:textFill>
              </w:rPr>
            </w:pPr>
            <w:r>
              <w:rPr>
                <w:rFonts w:hint="eastAsia"/>
                <w:b/>
                <w:bCs/>
                <w:i/>
                <w:iCs/>
                <w:color w:val="000000" w:themeColor="text1"/>
                <w:lang w:val="en-US" w:eastAsia="zh-CN"/>
                <w14:textFill>
                  <w14:solidFill>
                    <w14:schemeClr w14:val="tx1"/>
                  </w14:solidFill>
                </w14:textFill>
              </w:rPr>
              <w:t>该内容涉密，不予公开。</w:t>
            </w:r>
          </w:p>
          <w:p w14:paraId="3DA984EC">
            <w:pPr>
              <w:pStyle w:val="2"/>
              <w:rPr>
                <w:rFonts w:cs="Times New Roman"/>
                <w:color w:val="000000" w:themeColor="text1"/>
                <w14:textFill>
                  <w14:solidFill>
                    <w14:schemeClr w14:val="tx1"/>
                  </w14:solidFill>
                </w14:textFill>
              </w:rPr>
            </w:pPr>
          </w:p>
          <w:p w14:paraId="7AAADA4D">
            <w:pPr>
              <w:pStyle w:val="2"/>
              <w:rPr>
                <w:rFonts w:cs="Times New Roman"/>
                <w:color w:val="000000" w:themeColor="text1"/>
                <w14:textFill>
                  <w14:solidFill>
                    <w14:schemeClr w14:val="tx1"/>
                  </w14:solidFill>
                </w14:textFill>
              </w:rPr>
            </w:pPr>
          </w:p>
          <w:p w14:paraId="4F19A218">
            <w:pPr>
              <w:pStyle w:val="2"/>
              <w:rPr>
                <w:rFonts w:cs="Times New Roman"/>
                <w:color w:val="000000" w:themeColor="text1"/>
                <w14:textFill>
                  <w14:solidFill>
                    <w14:schemeClr w14:val="tx1"/>
                  </w14:solidFill>
                </w14:textFill>
              </w:rPr>
            </w:pPr>
          </w:p>
          <w:p w14:paraId="4A24109E">
            <w:pPr>
              <w:pStyle w:val="2"/>
              <w:rPr>
                <w:rFonts w:cs="Times New Roman"/>
                <w:color w:val="000000" w:themeColor="text1"/>
                <w14:textFill>
                  <w14:solidFill>
                    <w14:schemeClr w14:val="tx1"/>
                  </w14:solidFill>
                </w14:textFill>
              </w:rPr>
            </w:pPr>
          </w:p>
          <w:p w14:paraId="02F2C58B">
            <w:pPr>
              <w:pStyle w:val="2"/>
              <w:rPr>
                <w:rFonts w:cs="Times New Roman"/>
                <w:color w:val="000000" w:themeColor="text1"/>
                <w14:textFill>
                  <w14:solidFill>
                    <w14:schemeClr w14:val="tx1"/>
                  </w14:solidFill>
                </w14:textFill>
              </w:rPr>
            </w:pPr>
          </w:p>
          <w:p w14:paraId="4BAE74C6">
            <w:pPr>
              <w:pStyle w:val="2"/>
              <w:rPr>
                <w:rFonts w:cs="Times New Roman"/>
                <w:color w:val="000000" w:themeColor="text1"/>
                <w14:textFill>
                  <w14:solidFill>
                    <w14:schemeClr w14:val="tx1"/>
                  </w14:solidFill>
                </w14:textFill>
              </w:rPr>
            </w:pPr>
          </w:p>
          <w:p w14:paraId="66E26680">
            <w:pPr>
              <w:pStyle w:val="2"/>
              <w:rPr>
                <w:rFonts w:cs="Times New Roman"/>
                <w:color w:val="000000" w:themeColor="text1"/>
                <w14:textFill>
                  <w14:solidFill>
                    <w14:schemeClr w14:val="tx1"/>
                  </w14:solidFill>
                </w14:textFill>
              </w:rPr>
            </w:pPr>
          </w:p>
          <w:p w14:paraId="093A8282">
            <w:pPr>
              <w:pStyle w:val="2"/>
              <w:rPr>
                <w:rFonts w:cs="Times New Roman"/>
                <w:color w:val="000000" w:themeColor="text1"/>
                <w14:textFill>
                  <w14:solidFill>
                    <w14:schemeClr w14:val="tx1"/>
                  </w14:solidFill>
                </w14:textFill>
              </w:rPr>
            </w:pPr>
          </w:p>
          <w:p w14:paraId="1FD5A17A">
            <w:pPr>
              <w:pStyle w:val="2"/>
              <w:rPr>
                <w:rFonts w:cs="Times New Roman"/>
                <w:color w:val="000000" w:themeColor="text1"/>
                <w14:textFill>
                  <w14:solidFill>
                    <w14:schemeClr w14:val="tx1"/>
                  </w14:solidFill>
                </w14:textFill>
              </w:rPr>
            </w:pPr>
          </w:p>
          <w:p w14:paraId="60CD9B52">
            <w:pPr>
              <w:pStyle w:val="2"/>
              <w:rPr>
                <w:rFonts w:cs="Times New Roman"/>
                <w:color w:val="000000" w:themeColor="text1"/>
                <w14:textFill>
                  <w14:solidFill>
                    <w14:schemeClr w14:val="tx1"/>
                  </w14:solidFill>
                </w14:textFill>
              </w:rPr>
            </w:pPr>
          </w:p>
          <w:p w14:paraId="4F8A335B">
            <w:pPr>
              <w:pStyle w:val="2"/>
              <w:rPr>
                <w:rFonts w:cs="Times New Roman"/>
                <w:color w:val="000000" w:themeColor="text1"/>
                <w14:textFill>
                  <w14:solidFill>
                    <w14:schemeClr w14:val="tx1"/>
                  </w14:solidFill>
                </w14:textFill>
              </w:rPr>
            </w:pPr>
          </w:p>
          <w:p w14:paraId="4A3B3225">
            <w:pPr>
              <w:pStyle w:val="2"/>
              <w:rPr>
                <w:rFonts w:cs="Times New Roman"/>
                <w:color w:val="000000" w:themeColor="text1"/>
                <w14:textFill>
                  <w14:solidFill>
                    <w14:schemeClr w14:val="tx1"/>
                  </w14:solidFill>
                </w14:textFill>
              </w:rPr>
            </w:pPr>
          </w:p>
          <w:p w14:paraId="3F66408B">
            <w:pPr>
              <w:pStyle w:val="2"/>
              <w:rPr>
                <w:rFonts w:cs="Times New Roman"/>
                <w:color w:val="000000" w:themeColor="text1"/>
                <w14:textFill>
                  <w14:solidFill>
                    <w14:schemeClr w14:val="tx1"/>
                  </w14:solidFill>
                </w14:textFill>
              </w:rPr>
            </w:pPr>
          </w:p>
          <w:p w14:paraId="664E50D2">
            <w:pPr>
              <w:pStyle w:val="2"/>
              <w:rPr>
                <w:rFonts w:cs="Times New Roman"/>
                <w:color w:val="000000" w:themeColor="text1"/>
                <w14:textFill>
                  <w14:solidFill>
                    <w14:schemeClr w14:val="tx1"/>
                  </w14:solidFill>
                </w14:textFill>
              </w:rPr>
            </w:pPr>
          </w:p>
          <w:p w14:paraId="7C37547C">
            <w:pPr>
              <w:pStyle w:val="2"/>
              <w:rPr>
                <w:rFonts w:cs="Times New Roman"/>
                <w:color w:val="000000" w:themeColor="text1"/>
                <w14:textFill>
                  <w14:solidFill>
                    <w14:schemeClr w14:val="tx1"/>
                  </w14:solidFill>
                </w14:textFill>
              </w:rPr>
            </w:pPr>
          </w:p>
          <w:p w14:paraId="0C122A58">
            <w:pPr>
              <w:pStyle w:val="2"/>
              <w:rPr>
                <w:rFonts w:cs="Times New Roman"/>
                <w:color w:val="000000" w:themeColor="text1"/>
                <w14:textFill>
                  <w14:solidFill>
                    <w14:schemeClr w14:val="tx1"/>
                  </w14:solidFill>
                </w14:textFill>
              </w:rPr>
            </w:pPr>
          </w:p>
          <w:p w14:paraId="67240D5C">
            <w:pPr>
              <w:pStyle w:val="2"/>
              <w:rPr>
                <w:rFonts w:cs="Times New Roman"/>
                <w:color w:val="000000" w:themeColor="text1"/>
                <w14:textFill>
                  <w14:solidFill>
                    <w14:schemeClr w14:val="tx1"/>
                  </w14:solidFill>
                </w14:textFill>
              </w:rPr>
            </w:pPr>
          </w:p>
          <w:p w14:paraId="6A864183">
            <w:pPr>
              <w:pStyle w:val="2"/>
              <w:rPr>
                <w:rFonts w:cs="Times New Roman"/>
                <w:color w:val="000000" w:themeColor="text1"/>
                <w14:textFill>
                  <w14:solidFill>
                    <w14:schemeClr w14:val="tx1"/>
                  </w14:solidFill>
                </w14:textFill>
              </w:rPr>
            </w:pPr>
          </w:p>
          <w:p w14:paraId="4E2E6499">
            <w:pPr>
              <w:pStyle w:val="2"/>
              <w:rPr>
                <w:rFonts w:cs="Times New Roman"/>
                <w:color w:val="000000" w:themeColor="text1"/>
                <w14:textFill>
                  <w14:solidFill>
                    <w14:schemeClr w14:val="tx1"/>
                  </w14:solidFill>
                </w14:textFill>
              </w:rPr>
            </w:pPr>
          </w:p>
          <w:p w14:paraId="5306FEC6">
            <w:pPr>
              <w:pStyle w:val="2"/>
              <w:rPr>
                <w:rFonts w:cs="Times New Roman"/>
                <w:color w:val="000000" w:themeColor="text1"/>
                <w14:textFill>
                  <w14:solidFill>
                    <w14:schemeClr w14:val="tx1"/>
                  </w14:solidFill>
                </w14:textFill>
              </w:rPr>
            </w:pPr>
          </w:p>
          <w:p w14:paraId="16BE1574">
            <w:pPr>
              <w:pStyle w:val="2"/>
              <w:rPr>
                <w:rFonts w:cs="Times New Roman"/>
                <w:color w:val="000000" w:themeColor="text1"/>
                <w14:textFill>
                  <w14:solidFill>
                    <w14:schemeClr w14:val="tx1"/>
                  </w14:solidFill>
                </w14:textFill>
              </w:rPr>
            </w:pPr>
          </w:p>
          <w:p w14:paraId="7840E541">
            <w:pPr>
              <w:pStyle w:val="2"/>
              <w:rPr>
                <w:rFonts w:cs="Times New Roman"/>
                <w:color w:val="000000" w:themeColor="text1"/>
                <w14:textFill>
                  <w14:solidFill>
                    <w14:schemeClr w14:val="tx1"/>
                  </w14:solidFill>
                </w14:textFill>
              </w:rPr>
            </w:pPr>
          </w:p>
          <w:p w14:paraId="4F7DB5AE">
            <w:pPr>
              <w:spacing w:line="336" w:lineRule="auto"/>
              <w:ind w:firstLine="0" w:firstLineChars="0"/>
              <w:rPr>
                <w:rFonts w:cs="Times New Roman"/>
                <w:color w:val="000000" w:themeColor="text1"/>
                <w:lang w:bidi="ar"/>
                <w14:textFill>
                  <w14:solidFill>
                    <w14:schemeClr w14:val="tx1"/>
                  </w14:solidFill>
                </w14:textFill>
              </w:rPr>
            </w:pPr>
          </w:p>
        </w:tc>
      </w:tr>
    </w:tbl>
    <w:p w14:paraId="20DC8E16">
      <w:pPr>
        <w:ind w:firstLine="0" w:firstLineChars="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280"/>
      </w:tblGrid>
      <w:tr w14:paraId="137B7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dxa"/>
          </w:tcPr>
          <w:p w14:paraId="43BCF6AA">
            <w:pPr>
              <w:pStyle w:val="2"/>
              <w:rPr>
                <w:vertAlign w:val="baseline"/>
              </w:rPr>
            </w:pPr>
          </w:p>
        </w:tc>
        <w:tc>
          <w:tcPr>
            <w:tcW w:w="9722" w:type="dxa"/>
          </w:tcPr>
          <w:p w14:paraId="06C57F72">
            <w:pPr>
              <w:pStyle w:val="4"/>
              <w:numPr>
                <w:ilvl w:val="0"/>
                <w:numId w:val="0"/>
              </w:numPr>
              <w:spacing w:before="163"/>
              <w:ind w:left="0" w:leftChars="0" w:firstLine="0" w:firstLineChars="0"/>
              <w:rPr>
                <w:rFonts w:hint="eastAsia"/>
                <w:color w:val="000000" w:themeColor="text1"/>
                <w:lang w:val="en-US" w:eastAsia="zh-CN"/>
                <w14:textFill>
                  <w14:solidFill>
                    <w14:schemeClr w14:val="tx1"/>
                  </w14:solidFill>
                </w14:textFill>
              </w:rPr>
            </w:pPr>
            <w:r>
              <w:rPr>
                <w:rFonts w:hint="eastAsia" w:cs="Times New Roman"/>
                <w:b/>
                <w:color w:val="000000" w:themeColor="text1"/>
                <w:kern w:val="2"/>
                <w:sz w:val="24"/>
                <w:szCs w:val="21"/>
                <w:lang w:val="en-US" w:eastAsia="zh-CN" w:bidi="ar-SA"/>
                <w14:textFill>
                  <w14:solidFill>
                    <w14:schemeClr w14:val="tx1"/>
                  </w14:solidFill>
                </w14:textFill>
              </w:rPr>
              <w:t>8</w:t>
            </w:r>
            <w:r>
              <w:rPr>
                <w:rFonts w:hint="eastAsia" w:ascii="Times New Roman" w:hAnsi="Times New Roman" w:eastAsia="宋体" w:cs="Times New Roman"/>
                <w:b/>
                <w:color w:val="000000" w:themeColor="text1"/>
                <w:kern w:val="2"/>
                <w:sz w:val="24"/>
                <w:szCs w:val="21"/>
                <w:lang w:val="en-US" w:eastAsia="zh-CN" w:bidi="ar-SA"/>
                <w14:textFill>
                  <w14:solidFill>
                    <w14:schemeClr w14:val="tx1"/>
                  </w14:solidFill>
                </w14:textFill>
              </w:rPr>
              <w:t>、</w:t>
            </w:r>
            <w:r>
              <w:rPr>
                <w:rFonts w:hint="eastAsia"/>
                <w:color w:val="000000" w:themeColor="text1"/>
                <w:lang w:val="en-US" w:eastAsia="zh-CN"/>
                <w14:textFill>
                  <w14:solidFill>
                    <w14:schemeClr w14:val="tx1"/>
                  </w14:solidFill>
                </w14:textFill>
              </w:rPr>
              <w:t>物料平衡</w:t>
            </w:r>
          </w:p>
          <w:p w14:paraId="2C41B120">
            <w:pPr>
              <w:pStyle w:val="16"/>
              <w:spacing w:after="0"/>
              <w:ind w:firstLine="482" w:firstLineChars="200"/>
              <w:rPr>
                <w:rFonts w:hint="default"/>
                <w:b/>
                <w:bCs/>
                <w:i/>
                <w:iCs/>
                <w:color w:val="000000" w:themeColor="text1"/>
                <w:lang w:val="en-US" w:eastAsia="zh-CN"/>
                <w14:textFill>
                  <w14:solidFill>
                    <w14:schemeClr w14:val="tx1"/>
                  </w14:solidFill>
                </w14:textFill>
              </w:rPr>
            </w:pPr>
            <w:r>
              <w:rPr>
                <w:rFonts w:hint="eastAsia"/>
                <w:b/>
                <w:bCs/>
                <w:i/>
                <w:iCs/>
                <w:color w:val="000000" w:themeColor="text1"/>
                <w:lang w:val="en-US" w:eastAsia="zh-CN"/>
                <w14:textFill>
                  <w14:solidFill>
                    <w14:schemeClr w14:val="tx1"/>
                  </w14:solidFill>
                </w14:textFill>
              </w:rPr>
              <w:t>该内容涉密，不予公开。</w:t>
            </w:r>
          </w:p>
          <w:p w14:paraId="2816C4EC">
            <w:pPr>
              <w:pStyle w:val="4"/>
              <w:spacing w:before="163" w:line="336" w:lineRule="auto"/>
              <w:rPr>
                <w:color w:val="000000" w:themeColor="text1"/>
                <w14:textFill>
                  <w14:solidFill>
                    <w14:schemeClr w14:val="tx1"/>
                  </w14:solidFill>
                </w14:textFill>
              </w:rPr>
            </w:pPr>
            <w:r>
              <w:rPr>
                <w:color w:val="000000" w:themeColor="text1"/>
                <w14:textFill>
                  <w14:solidFill>
                    <w14:schemeClr w14:val="tx1"/>
                  </w14:solidFill>
                </w14:textFill>
              </w:rPr>
              <w:t>9、厂区平面布置</w:t>
            </w:r>
          </w:p>
          <w:p w14:paraId="6E8AE858">
            <w:pPr>
              <w:keepNext w:val="0"/>
              <w:keepLines w:val="0"/>
              <w:widowControl/>
              <w:suppressLineNumbers w:val="0"/>
              <w:spacing w:line="336" w:lineRule="auto"/>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本项目租赁位</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租赁厂房位于四川省巴中市平昌县星光工业园施迈路1号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已建成厂区内，本项目租用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1号厂房、2号厂房、3号厂房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及办公楼（部分区域）、宿舍（部分区域）进行建设。</w:t>
            </w:r>
          </w:p>
          <w:p w14:paraId="371C7DBD">
            <w:pPr>
              <w:spacing w:line="336" w:lineRule="auto"/>
              <w:ind w:firstLine="48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租赁厂房所在厂区已建设完成，</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厂区南部区域自西向东依次设置办公楼、1号厂房、2号厂房、3号厂房、4号厂房、宿舍楼；厂区北侧区域自西向东设置5号、6号厂房</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现状4号厂房为四川三科共兴再生资源有限公司</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5号厂房为中石油钻井泥浆配置站、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6号厂房为</w:t>
            </w:r>
            <w:r>
              <w:rPr>
                <w:rFonts w:hint="eastAsia" w:cs="Times New Roman"/>
                <w:color w:val="000000" w:themeColor="text1"/>
                <w:kern w:val="0"/>
                <w:sz w:val="24"/>
                <w:szCs w:val="24"/>
                <w:lang w:val="en-US" w:eastAsia="zh-CN" w:bidi="ar"/>
                <w14:textFill>
                  <w14:solidFill>
                    <w14:schemeClr w14:val="tx1"/>
                  </w14:solidFill>
                </w14:textFill>
              </w:rPr>
              <w:t>中石油钻井泥浆配置站原料仓库</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4号、5号、6号厂房位于本项目3号厂房侧、北侧，已建办公楼位于1号西侧，宿舍楼位于4号厂房南侧，已建现状办公楼为空置状态，宿舍楼有少量其他公司人员住宿。1号厂房南侧已建成一个临时厂房（经核查原为</w:t>
            </w:r>
            <w:r>
              <w:rPr>
                <w:rFonts w:hint="default" w:ascii="Times New Roman" w:hAnsi="Times New Roman" w:eastAsia="宋体" w:cs="Times New Roman"/>
                <w:color w:val="000000" w:themeColor="text1"/>
                <w:sz w:val="24"/>
                <w:szCs w:val="24"/>
                <w14:textFill>
                  <w14:solidFill>
                    <w14:schemeClr w14:val="tx1"/>
                  </w14:solidFill>
                </w14:textFill>
              </w:rPr>
              <w:t>平</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昌县Y101线高广路（高坑河桥至高升社区段）大修工程的临时场地，现状已废弃空置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0D48293D">
            <w:pPr>
              <w:spacing w:line="336" w:lineRule="auto"/>
              <w:ind w:firstLine="48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本项目1号厂房主要设置</w:t>
            </w:r>
            <w:r>
              <w:rPr>
                <w:rFonts w:hint="eastAsia" w:cs="Times New Roman"/>
                <w:color w:val="000000" w:themeColor="text1"/>
                <w:kern w:val="0"/>
                <w:sz w:val="24"/>
                <w:szCs w:val="24"/>
                <w:lang w:val="en-US" w:eastAsia="zh-CN" w:bidi="ar"/>
                <w14:textFill>
                  <w14:solidFill>
                    <w14:schemeClr w14:val="tx1"/>
                  </w14:solidFill>
                </w14:textFill>
              </w:rPr>
              <w:t>干水基岩屑堆存区</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；2号厂房主要设置水基岩屑储存池、水基岩屑预处理系统、煅烧回转窑；3号厂房主要为免烧建筑基材生产线、砂石堆存区、成品区、</w:t>
            </w:r>
            <w:r>
              <w:rPr>
                <w:rFonts w:hint="eastAsia" w:cs="Times New Roman"/>
                <w:color w:val="000000" w:themeColor="text1"/>
                <w:kern w:val="0"/>
                <w:sz w:val="24"/>
                <w:szCs w:val="24"/>
                <w:lang w:val="en-US" w:eastAsia="zh-CN" w:bidi="ar"/>
                <w14:textFill>
                  <w14:solidFill>
                    <w14:schemeClr w14:val="tx1"/>
                  </w14:solidFill>
                </w14:textFill>
              </w:rPr>
              <w:t>煅烧料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仓</w:t>
            </w:r>
            <w:r>
              <w:rPr>
                <w:rFonts w:hint="eastAsia" w:cs="Times New Roman"/>
                <w:color w:val="000000" w:themeColor="text1"/>
                <w:kern w:val="0"/>
                <w:sz w:val="24"/>
                <w:szCs w:val="24"/>
                <w:lang w:val="en-US" w:eastAsia="zh-CN" w:bidi="ar"/>
                <w14:textFill>
                  <w14:solidFill>
                    <w14:schemeClr w14:val="tx1"/>
                  </w14:solidFill>
                </w14:textFill>
              </w:rPr>
              <w:t>、药剂堆存区、</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危废暂存间</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一般固废暂存间</w:t>
            </w:r>
            <w:r>
              <w:rPr>
                <w:rFonts w:hint="eastAsia" w:cs="Times New Roman"/>
                <w:color w:val="000000" w:themeColor="text1"/>
                <w:kern w:val="0"/>
                <w:sz w:val="24"/>
                <w:szCs w:val="24"/>
                <w:lang w:val="en-US" w:eastAsia="zh-CN" w:bidi="ar"/>
                <w14:textFill>
                  <w14:solidFill>
                    <w14:schemeClr w14:val="tx1"/>
                  </w14:solidFill>
                </w14:textFill>
              </w:rPr>
              <w:t>、泵房和工具间</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684E1EFC">
            <w:pPr>
              <w:spacing w:line="336" w:lineRule="auto"/>
              <w:ind w:firstLine="48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1号厂房平面布局：厂房设置</w:t>
            </w:r>
            <w:r>
              <w:rPr>
                <w:rFonts w:hint="eastAsia" w:cs="Times New Roman"/>
                <w:color w:val="000000" w:themeColor="text1"/>
                <w:lang w:val="en-US" w:eastAsia="zh-CN"/>
                <w14:textFill>
                  <w14:solidFill>
                    <w14:schemeClr w14:val="tx1"/>
                  </w14:solidFill>
                </w14:textFill>
              </w:rPr>
              <w:t>为干水基岩屑堆存区。</w:t>
            </w:r>
          </w:p>
          <w:p w14:paraId="27937669">
            <w:pPr>
              <w:spacing w:line="336" w:lineRule="auto"/>
              <w:ind w:firstLine="48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2号厂房平面布局：厂房</w:t>
            </w:r>
            <w:r>
              <w:rPr>
                <w:rFonts w:hint="eastAsia" w:cs="Times New Roman"/>
                <w:color w:val="000000" w:themeColor="text1"/>
                <w:lang w:val="en-US" w:eastAsia="zh-CN"/>
                <w14:textFill>
                  <w14:solidFill>
                    <w14:schemeClr w14:val="tx1"/>
                  </w14:solidFill>
                </w14:textFill>
              </w:rPr>
              <w:t>北</w:t>
            </w:r>
            <w:r>
              <w:rPr>
                <w:rFonts w:hint="default" w:ascii="Times New Roman" w:hAnsi="Times New Roman" w:cs="Times New Roman"/>
                <w:color w:val="000000" w:themeColor="text1"/>
                <w:lang w:val="en-US" w:eastAsia="zh-CN"/>
                <w14:textFill>
                  <w14:solidFill>
                    <w14:schemeClr w14:val="tx1"/>
                  </w14:solidFill>
                </w14:textFill>
              </w:rPr>
              <w:t>侧自</w:t>
            </w:r>
            <w:r>
              <w:rPr>
                <w:rFonts w:hint="eastAsia" w:cs="Times New Roman"/>
                <w:color w:val="000000" w:themeColor="text1"/>
                <w:lang w:val="en-US" w:eastAsia="zh-CN"/>
                <w14:textFill>
                  <w14:solidFill>
                    <w14:schemeClr w14:val="tx1"/>
                  </w14:solidFill>
                </w14:textFill>
              </w:rPr>
              <w:t>西</w:t>
            </w:r>
            <w:r>
              <w:rPr>
                <w:rFonts w:hint="default" w:ascii="Times New Roman" w:hAnsi="Times New Roman" w:cs="Times New Roman"/>
                <w:color w:val="000000" w:themeColor="text1"/>
                <w:lang w:val="en-US" w:eastAsia="zh-CN"/>
                <w14:textFill>
                  <w14:solidFill>
                    <w14:schemeClr w14:val="tx1"/>
                  </w14:solidFill>
                </w14:textFill>
              </w:rPr>
              <w:t>向</w:t>
            </w:r>
            <w:r>
              <w:rPr>
                <w:rFonts w:hint="eastAsia" w:cs="Times New Roman"/>
                <w:color w:val="000000" w:themeColor="text1"/>
                <w:lang w:val="en-US" w:eastAsia="zh-CN"/>
                <w14:textFill>
                  <w14:solidFill>
                    <w14:schemeClr w14:val="tx1"/>
                  </w14:solidFill>
                </w14:textFill>
              </w:rPr>
              <w:t>东</w:t>
            </w:r>
            <w:r>
              <w:rPr>
                <w:rFonts w:hint="default" w:ascii="Times New Roman" w:hAnsi="Times New Roman" w:cs="Times New Roman"/>
                <w:color w:val="000000" w:themeColor="text1"/>
                <w:lang w:val="en-US" w:eastAsia="zh-CN"/>
                <w14:textFill>
                  <w14:solidFill>
                    <w14:schemeClr w14:val="tx1"/>
                  </w14:solidFill>
                </w14:textFill>
              </w:rPr>
              <w:t>设置水基岩屑（</w:t>
            </w:r>
            <w:r>
              <w:rPr>
                <w:rFonts w:hint="eastAsia" w:cs="Times New Roman"/>
                <w:color w:val="000000" w:themeColor="text1"/>
                <w:lang w:val="en-US" w:eastAsia="zh-CN"/>
                <w14:textFill>
                  <w14:solidFill>
                    <w14:schemeClr w14:val="tx1"/>
                  </w14:solidFill>
                </w14:textFill>
              </w:rPr>
              <w:t>含水</w:t>
            </w:r>
            <w:r>
              <w:rPr>
                <w:rFonts w:hint="default" w:ascii="Times New Roman" w:hAnsi="Times New Roman" w:cs="Times New Roman"/>
                <w:color w:val="000000" w:themeColor="text1"/>
                <w:lang w:val="en-US" w:eastAsia="zh-CN"/>
                <w14:textFill>
                  <w14:solidFill>
                    <w14:schemeClr w14:val="tx1"/>
                  </w14:solidFill>
                </w14:textFill>
              </w:rPr>
              <w:t>率≤70%）储存池</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滤液池</w:t>
            </w:r>
            <w:r>
              <w:rPr>
                <w:rFonts w:hint="eastAsia" w:cs="Times New Roman"/>
                <w:color w:val="000000" w:themeColor="text1"/>
                <w:lang w:val="en-US" w:eastAsia="zh-CN"/>
                <w14:textFill>
                  <w14:solidFill>
                    <w14:schemeClr w14:val="tx1"/>
                  </w14:solidFill>
                </w14:textFill>
              </w:rPr>
              <w:t>、脱水系统</w:t>
            </w:r>
            <w:r>
              <w:rPr>
                <w:rFonts w:hint="default" w:ascii="Times New Roman" w:hAnsi="Times New Roman" w:cs="Times New Roman"/>
                <w:color w:val="000000" w:themeColor="text1"/>
                <w:lang w:val="en-US" w:eastAsia="zh-CN"/>
                <w14:textFill>
                  <w14:solidFill>
                    <w14:schemeClr w14:val="tx1"/>
                  </w14:solidFill>
                </w14:textFill>
              </w:rPr>
              <w:t>；厂房</w:t>
            </w:r>
            <w:r>
              <w:rPr>
                <w:rFonts w:hint="eastAsia" w:cs="Times New Roman"/>
                <w:color w:val="000000" w:themeColor="text1"/>
                <w:lang w:val="en-US" w:eastAsia="zh-CN"/>
                <w14:textFill>
                  <w14:solidFill>
                    <w14:schemeClr w14:val="tx1"/>
                  </w14:solidFill>
                </w14:textFill>
              </w:rPr>
              <w:t>南</w:t>
            </w:r>
            <w:r>
              <w:rPr>
                <w:rFonts w:hint="default" w:ascii="Times New Roman" w:hAnsi="Times New Roman" w:cs="Times New Roman"/>
                <w:color w:val="000000" w:themeColor="text1"/>
                <w:lang w:val="en-US" w:eastAsia="zh-CN"/>
                <w14:textFill>
                  <w14:solidFill>
                    <w14:schemeClr w14:val="tx1"/>
                  </w14:solidFill>
                </w14:textFill>
              </w:rPr>
              <w:t>侧设置水基岩屑预</w:t>
            </w:r>
            <w:r>
              <w:rPr>
                <w:rFonts w:hint="eastAsia" w:cs="Times New Roman"/>
                <w:color w:val="000000" w:themeColor="text1"/>
                <w:lang w:val="en-US" w:eastAsia="zh-CN"/>
                <w14:textFill>
                  <w14:solidFill>
                    <w14:schemeClr w14:val="tx1"/>
                  </w14:solidFill>
                </w14:textFill>
              </w:rPr>
              <w:t>回转窑</w:t>
            </w:r>
            <w:r>
              <w:rPr>
                <w:rFonts w:hint="default" w:ascii="Times New Roman" w:hAnsi="Times New Roman" w:cs="Times New Roman"/>
                <w:color w:val="000000" w:themeColor="text1"/>
                <w:lang w:val="en-US" w:eastAsia="zh-CN"/>
                <w14:textFill>
                  <w14:solidFill>
                    <w14:schemeClr w14:val="tx1"/>
                  </w14:solidFill>
                </w14:textFill>
              </w:rPr>
              <w:t>。煅烧废气治理设施及排气筒位于煅烧一体炉窑尾后，靠近煅烧生产线</w:t>
            </w:r>
            <w:r>
              <w:rPr>
                <w:rFonts w:hint="eastAsia" w:cs="Times New Roman"/>
                <w:color w:val="000000" w:themeColor="text1"/>
                <w:lang w:val="en-US" w:eastAsia="zh-CN"/>
                <w14:textFill>
                  <w14:solidFill>
                    <w14:schemeClr w14:val="tx1"/>
                  </w14:solidFill>
                </w14:textFill>
              </w:rPr>
              <w:t>，位于厂房东南侧</w:t>
            </w:r>
            <w:r>
              <w:rPr>
                <w:rFonts w:hint="default" w:ascii="Times New Roman" w:hAnsi="Times New Roman" w:cs="Times New Roman"/>
                <w:color w:val="000000" w:themeColor="text1"/>
                <w:lang w:val="en-US" w:eastAsia="zh-CN"/>
                <w14:textFill>
                  <w14:solidFill>
                    <w14:schemeClr w14:val="tx1"/>
                  </w14:solidFill>
                </w14:textFill>
              </w:rPr>
              <w:t>。</w:t>
            </w:r>
          </w:p>
          <w:p w14:paraId="61C3FF6C">
            <w:pPr>
              <w:spacing w:line="336" w:lineRule="auto"/>
              <w:ind w:firstLine="48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3号厂房平面布局：厂房内自</w:t>
            </w:r>
            <w:r>
              <w:rPr>
                <w:rFonts w:hint="eastAsia" w:cs="Times New Roman"/>
                <w:color w:val="000000" w:themeColor="text1"/>
                <w:lang w:val="en-US" w:eastAsia="zh-CN"/>
                <w14:textFill>
                  <w14:solidFill>
                    <w14:schemeClr w14:val="tx1"/>
                  </w14:solidFill>
                </w14:textFill>
              </w:rPr>
              <w:t>西</w:t>
            </w:r>
            <w:r>
              <w:rPr>
                <w:rFonts w:hint="default" w:ascii="Times New Roman" w:hAnsi="Times New Roman" w:cs="Times New Roman"/>
                <w:color w:val="000000" w:themeColor="text1"/>
                <w:lang w:val="en-US" w:eastAsia="zh-CN"/>
                <w14:textFill>
                  <w14:solidFill>
                    <w14:schemeClr w14:val="tx1"/>
                  </w14:solidFill>
                </w14:textFill>
              </w:rPr>
              <w:t>向</w:t>
            </w:r>
            <w:r>
              <w:rPr>
                <w:rFonts w:hint="eastAsia" w:cs="Times New Roman"/>
                <w:color w:val="000000" w:themeColor="text1"/>
                <w:lang w:val="en-US" w:eastAsia="zh-CN"/>
                <w14:textFill>
                  <w14:solidFill>
                    <w14:schemeClr w14:val="tx1"/>
                  </w14:solidFill>
                </w14:textFill>
              </w:rPr>
              <w:t>东</w:t>
            </w:r>
            <w:r>
              <w:rPr>
                <w:rFonts w:hint="default" w:ascii="Times New Roman" w:hAnsi="Times New Roman" w:cs="Times New Roman"/>
                <w:color w:val="000000" w:themeColor="text1"/>
                <w:lang w:val="en-US" w:eastAsia="zh-CN"/>
                <w14:textFill>
                  <w14:solidFill>
                    <w14:schemeClr w14:val="tx1"/>
                  </w14:solidFill>
                </w14:textFill>
              </w:rPr>
              <w:t>依次设置</w:t>
            </w:r>
            <w:r>
              <w:rPr>
                <w:rFonts w:hint="eastAsia" w:cs="Times New Roman"/>
                <w:color w:val="000000" w:themeColor="text1"/>
                <w:lang w:val="en-US" w:eastAsia="zh-CN"/>
                <w14:textFill>
                  <w14:solidFill>
                    <w14:schemeClr w14:val="tx1"/>
                  </w14:solidFill>
                </w14:textFill>
              </w:rPr>
              <w:t>危废暂存间、一般固废暂存间、工具间、泵房</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砂石堆存区、水泥筒仓、药剂堆放区、煅烧料仓、码垛养护区、</w:t>
            </w:r>
            <w:r>
              <w:rPr>
                <w:rFonts w:hint="default" w:ascii="Times New Roman" w:hAnsi="Times New Roman" w:cs="Times New Roman"/>
                <w:color w:val="000000" w:themeColor="text1"/>
                <w:lang w:val="en-US" w:eastAsia="zh-CN"/>
                <w14:textFill>
                  <w14:solidFill>
                    <w14:schemeClr w14:val="tx1"/>
                  </w14:solidFill>
                </w14:textFill>
              </w:rPr>
              <w:t>免烧建筑基材生产线。布袋除尘器及排气筒位于厂房内</w:t>
            </w:r>
            <w:r>
              <w:rPr>
                <w:rFonts w:hint="eastAsia" w:cs="Times New Roman"/>
                <w:color w:val="000000" w:themeColor="text1"/>
                <w:lang w:val="en-US" w:eastAsia="zh-CN"/>
                <w14:textFill>
                  <w14:solidFill>
                    <w14:schemeClr w14:val="tx1"/>
                  </w14:solidFill>
                </w14:textFill>
              </w:rPr>
              <w:t>东南</w:t>
            </w:r>
            <w:r>
              <w:rPr>
                <w:rFonts w:hint="default" w:ascii="Times New Roman" w:hAnsi="Times New Roman" w:cs="Times New Roman"/>
                <w:color w:val="000000" w:themeColor="text1"/>
                <w:lang w:val="en-US" w:eastAsia="zh-CN"/>
                <w14:textFill>
                  <w14:solidFill>
                    <w14:schemeClr w14:val="tx1"/>
                  </w14:solidFill>
                </w14:textFill>
              </w:rPr>
              <w:t>侧，靠近免烧建筑基材生产线。</w:t>
            </w:r>
          </w:p>
          <w:p w14:paraId="293F1671">
            <w:pPr>
              <w:spacing w:line="336" w:lineRule="auto"/>
              <w:ind w:firstLine="480"/>
              <w:rPr>
                <w:rFonts w:hint="default" w:ascii="Times New Roman" w:hAnsi="Times New Roman" w:cs="Times New Roman"/>
                <w:color w:val="000000" w:themeColor="text1"/>
                <w:vertAlign w:val="baseline"/>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成品堆存位于2号、3号厂房东南侧；</w:t>
            </w:r>
            <w:r>
              <w:rPr>
                <w:rFonts w:hint="default" w:ascii="Times New Roman" w:hAnsi="Times New Roman" w:cs="Times New Roman"/>
                <w:color w:val="000000" w:themeColor="text1"/>
                <w:lang w:val="en-US" w:eastAsia="zh-CN"/>
                <w14:textFill>
                  <w14:solidFill>
                    <w14:schemeClr w14:val="tx1"/>
                  </w14:solidFill>
                </w14:textFill>
              </w:rPr>
              <w:t>办公区位于生产厂房外，位于1号厂房西侧，租用已建办公楼1F部分区域设置，设置1间食堂</w:t>
            </w:r>
            <w:r>
              <w:rPr>
                <w:rFonts w:hint="default" w:ascii="Times New Roman" w:hAnsi="Times New Roman" w:cs="Times New Roman"/>
                <w:color w:val="000000" w:themeColor="text1"/>
                <w:vertAlign w:val="baseline"/>
                <w:lang w:val="en-US" w:eastAsia="zh-CN"/>
                <w14:textFill>
                  <w14:solidFill>
                    <w14:schemeClr w14:val="tx1"/>
                  </w14:solidFill>
                </w14:textFill>
              </w:rPr>
              <w:t>。宿舍位于3号厂房外东南侧，本项目租用部分房间用于人员住，</w:t>
            </w:r>
            <w:r>
              <w:rPr>
                <w:rFonts w:hint="eastAsia" w:cs="Times New Roman"/>
                <w:color w:val="000000" w:themeColor="text1"/>
                <w:vertAlign w:val="baseline"/>
                <w:lang w:val="en-US" w:eastAsia="zh-CN"/>
                <w14:textFill>
                  <w14:solidFill>
                    <w14:schemeClr w14:val="tx1"/>
                  </w14:solidFill>
                </w14:textFill>
              </w:rPr>
              <w:t>宿</w:t>
            </w:r>
            <w:r>
              <w:rPr>
                <w:rFonts w:hint="default" w:ascii="Times New Roman" w:hAnsi="Times New Roman" w:cs="Times New Roman"/>
                <w:color w:val="000000" w:themeColor="text1"/>
                <w:lang w:val="en-US" w:eastAsia="zh-CN"/>
                <w14:textFill>
                  <w14:solidFill>
                    <w14:schemeClr w14:val="tx1"/>
                  </w14:solidFill>
                </w14:textFill>
              </w:rPr>
              <w:t>舍楼旁已建有一座10m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vertAlign w:val="baseline"/>
                <w:lang w:val="en-US" w:eastAsia="zh-CN"/>
                <w14:textFill>
                  <w14:solidFill>
                    <w14:schemeClr w14:val="tx1"/>
                  </w14:solidFill>
                </w14:textFill>
              </w:rPr>
              <w:t>预处理池。</w:t>
            </w:r>
          </w:p>
          <w:p w14:paraId="1EDBA3EC">
            <w:pPr>
              <w:spacing w:line="336" w:lineRule="auto"/>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综上所述，项目平面布置功能分区明确，紧凑合理，分区相对独立又联系紧密，</w:t>
            </w:r>
            <w:r>
              <w:rPr>
                <w:rFonts w:hint="default" w:ascii="Times New Roman" w:hAnsi="Times New Roman" w:cs="Times New Roman"/>
                <w:color w:val="000000" w:themeColor="text1"/>
                <w:szCs w:val="24"/>
                <w:lang w:bidi="ar"/>
                <w14:textFill>
                  <w14:solidFill>
                    <w14:schemeClr w14:val="tx1"/>
                  </w14:solidFill>
                </w14:textFill>
              </w:rPr>
              <w:t>各设施按照工艺流程进行合理布设，物料输送便捷，满足物料流程的需要及物料快捷输送</w:t>
            </w:r>
            <w:r>
              <w:rPr>
                <w:rFonts w:hint="default" w:ascii="Times New Roman" w:hAnsi="Times New Roman" w:cs="Times New Roman"/>
                <w:color w:val="000000" w:themeColor="text1"/>
                <w:szCs w:val="24"/>
                <w:lang w:eastAsia="zh-CN" w:bidi="ar"/>
                <w14:textFill>
                  <w14:solidFill>
                    <w14:schemeClr w14:val="tx1"/>
                  </w14:solidFill>
                </w14:textFill>
              </w:rPr>
              <w:t>，</w:t>
            </w:r>
            <w:r>
              <w:rPr>
                <w:rFonts w:hint="default" w:ascii="Times New Roman" w:hAnsi="Times New Roman" w:cs="Times New Roman"/>
                <w:color w:val="000000" w:themeColor="text1"/>
                <w:szCs w:val="24"/>
                <w:lang w:val="en-US" w:eastAsia="zh-CN" w:bidi="ar"/>
                <w14:textFill>
                  <w14:solidFill>
                    <w14:schemeClr w14:val="tx1"/>
                  </w14:solidFill>
                </w14:textFill>
              </w:rPr>
              <w:t>满足使用功能需求</w:t>
            </w:r>
            <w:r>
              <w:rPr>
                <w:rFonts w:hint="default" w:ascii="Times New Roman" w:hAnsi="Times New Roman" w:cs="Times New Roman"/>
                <w:color w:val="000000" w:themeColor="text1"/>
                <w:szCs w:val="24"/>
                <w:lang w:bidi="ar"/>
                <w14:textFill>
                  <w14:solidFill>
                    <w14:schemeClr w14:val="tx1"/>
                  </w14:solidFill>
                </w14:textFill>
              </w:rPr>
              <w:t>。</w:t>
            </w:r>
          </w:p>
          <w:p w14:paraId="1D7EFCE3">
            <w:pPr>
              <w:spacing w:line="336" w:lineRule="auto"/>
              <w:ind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本项目周边500m范围内主要</w:t>
            </w:r>
            <w:r>
              <w:rPr>
                <w:rFonts w:hint="default" w:ascii="Times New Roman" w:hAnsi="Times New Roman" w:cs="Times New Roman"/>
                <w:color w:val="000000" w:themeColor="text1"/>
                <w:lang w:val="en-US" w:eastAsia="zh-CN"/>
                <w14:textFill>
                  <w14:solidFill>
                    <w14:schemeClr w14:val="tx1"/>
                  </w14:solidFill>
                </w14:textFill>
              </w:rPr>
              <w:t>为企业、园区道路和待建空地</w:t>
            </w:r>
            <w:r>
              <w:rPr>
                <w:rFonts w:hint="default" w:ascii="Times New Roman" w:hAnsi="Times New Roman" w:cs="Times New Roman"/>
                <w:color w:val="000000" w:themeColor="text1"/>
                <w:szCs w:val="24"/>
                <w:lang w:bidi="ar"/>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项目采取环评要求的环保措施后，各污染物均能达标排放，不会对周边环境造成明显影响。</w:t>
            </w:r>
            <w:r>
              <w:rPr>
                <w:rFonts w:hint="default" w:ascii="Times New Roman" w:hAnsi="Times New Roman" w:cs="Times New Roman"/>
                <w:color w:val="000000" w:themeColor="text1"/>
                <w:lang w:val="en-US" w:eastAsia="zh-CN"/>
                <w14:textFill>
                  <w14:solidFill>
                    <w14:schemeClr w14:val="tx1"/>
                  </w14:solidFill>
                </w14:textFill>
              </w:rPr>
              <w:t>本项目生产区域尽量靠西侧布置，最</w:t>
            </w:r>
            <w:r>
              <w:rPr>
                <w:rFonts w:hint="eastAsia" w:cs="Times New Roman"/>
                <w:color w:val="000000" w:themeColor="text1"/>
                <w:lang w:val="en-US" w:eastAsia="zh-CN"/>
                <w14:textFill>
                  <w14:solidFill>
                    <w14:schemeClr w14:val="tx1"/>
                  </w14:solidFill>
                </w14:textFill>
              </w:rPr>
              <w:t>大程度</w:t>
            </w:r>
            <w:r>
              <w:rPr>
                <w:rFonts w:hint="default" w:ascii="Times New Roman" w:hAnsi="Times New Roman" w:cs="Times New Roman"/>
                <w:color w:val="000000" w:themeColor="text1"/>
                <w:lang w:val="en-US" w:eastAsia="zh-CN"/>
                <w14:textFill>
                  <w14:solidFill>
                    <w14:schemeClr w14:val="tx1"/>
                  </w14:solidFill>
                </w14:textFill>
              </w:rPr>
              <w:t>减少对厂区宿舍楼的影响。</w:t>
            </w:r>
          </w:p>
          <w:p w14:paraId="1D494D42">
            <w:pPr>
              <w:spacing w:line="336" w:lineRule="auto"/>
              <w:ind w:firstLine="480"/>
              <w:rPr>
                <w:rFonts w:hint="default" w:ascii="Times New Roman" w:hAnsi="Times New Roman" w:cs="Times New Roman"/>
                <w:color w:val="000000" w:themeColor="text1"/>
                <w:szCs w:val="24"/>
                <w:lang w:bidi="ar"/>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危废暂存间和一般固废间布置在</w:t>
            </w:r>
            <w:r>
              <w:rPr>
                <w:rFonts w:hint="default" w:ascii="Times New Roman" w:hAnsi="Times New Roman" w:cs="Times New Roman"/>
                <w:color w:val="000000" w:themeColor="text1"/>
                <w:lang w:val="en-US" w:eastAsia="zh-CN"/>
                <w14:textFill>
                  <w14:solidFill>
                    <w14:schemeClr w14:val="tx1"/>
                  </w14:solidFill>
                </w14:textFill>
              </w:rPr>
              <w:t>3号厂房内</w:t>
            </w:r>
            <w:r>
              <w:rPr>
                <w:rFonts w:hint="default" w:ascii="Times New Roman" w:hAnsi="Times New Roman" w:cs="Times New Roman"/>
                <w:color w:val="000000" w:themeColor="text1"/>
                <w14:textFill>
                  <w14:solidFill>
                    <w14:schemeClr w14:val="tx1"/>
                  </w14:solidFill>
                </w14:textFill>
              </w:rPr>
              <w:t>，各设置1间独立房间，每间占地面积约10m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，设置</w:t>
            </w:r>
            <w:r>
              <w:rPr>
                <w:rFonts w:hint="default" w:ascii="Times New Roman" w:hAnsi="Times New Roman" w:cs="Times New Roman"/>
                <w:color w:val="000000" w:themeColor="text1"/>
                <w:szCs w:val="24"/>
                <w:lang w:bidi="ar"/>
                <w14:textFill>
                  <w14:solidFill>
                    <w14:schemeClr w14:val="tx1"/>
                  </w14:solidFill>
                </w14:textFill>
              </w:rPr>
              <w:t>相应的防雨防渗漏及防流失措施，并设置明显标志，其布局较合理。</w:t>
            </w:r>
          </w:p>
          <w:p w14:paraId="24994902">
            <w:pPr>
              <w:spacing w:line="336" w:lineRule="auto"/>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设备在车间内总体上按工艺顺序进行布置，减少物料运输距离，工艺流程顺畅。生产区对办公区影响较小。</w:t>
            </w:r>
          </w:p>
          <w:p w14:paraId="4EB925D5">
            <w:pPr>
              <w:pStyle w:val="2"/>
              <w:rPr>
                <w:rFonts w:hint="eastAsia" w:eastAsia="宋体"/>
                <w:vertAlign w:val="baseline"/>
                <w:lang w:val="en-US" w:eastAsia="zh-CN"/>
              </w:rPr>
            </w:pPr>
            <w:r>
              <w:rPr>
                <w:rFonts w:hint="default" w:ascii="Times New Roman" w:hAnsi="Times New Roman" w:cs="Times New Roman"/>
                <w:color w:val="000000" w:themeColor="text1"/>
                <w:lang w:bidi="ar"/>
                <w14:textFill>
                  <w14:solidFill>
                    <w14:schemeClr w14:val="tx1"/>
                  </w14:solidFill>
                </w14:textFill>
              </w:rPr>
              <w:t>综上，本项目平面布置从方便生产、安全管理和保护环境等方面进行综合考虑，认真贯彻执行国家现行的防火、防爆、安全、卫生、环境保护等规范要求，在总图布置过</w:t>
            </w:r>
            <w:r>
              <w:rPr>
                <w:rFonts w:hint="eastAsia" w:cs="Times New Roman"/>
                <w:color w:val="000000" w:themeColor="text1"/>
                <w:lang w:eastAsia="zh-CN" w:bidi="ar"/>
                <w14:textFill>
                  <w14:solidFill>
                    <w14:schemeClr w14:val="tx1"/>
                  </w14:solidFill>
                </w14:textFill>
              </w:rPr>
              <w:t>程中</w:t>
            </w:r>
            <w:r>
              <w:rPr>
                <w:rFonts w:hint="default" w:ascii="Times New Roman" w:hAnsi="Times New Roman" w:cs="Times New Roman"/>
                <w:color w:val="000000" w:themeColor="text1"/>
                <w:lang w:bidi="ar"/>
                <w14:textFill>
                  <w14:solidFill>
                    <w14:schemeClr w14:val="tx1"/>
                  </w14:solidFill>
                </w14:textFill>
              </w:rPr>
              <w:t>结合厂址场地具体条件，综合考虑了生产工艺流程顺畅，各生产</w:t>
            </w:r>
            <w:r>
              <w:rPr>
                <w:rFonts w:cs="Times New Roman"/>
                <w:color w:val="000000" w:themeColor="text1"/>
                <w:lang w:bidi="ar"/>
                <w14:textFill>
                  <w14:solidFill>
                    <w14:schemeClr w14:val="tx1"/>
                  </w14:solidFill>
                </w14:textFill>
              </w:rPr>
              <w:t>环节连接紧凑，物料输送距离短，便于节能降耗，提高生产效率。综上所述，拟建项目总平面布置做到功能区明确、工艺管线短捷、物流顺畅、布局紧凑合理、节约用地，厂区总平面布置基本合理。</w:t>
            </w:r>
          </w:p>
        </w:tc>
      </w:tr>
      <w:tr w14:paraId="48F9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dxa"/>
            <w:shd w:val="clear" w:color="auto" w:fill="auto"/>
            <w:vAlign w:val="center"/>
          </w:tcPr>
          <w:p w14:paraId="4958A6B7">
            <w:pPr>
              <w:pStyle w:val="27"/>
              <w:ind w:firstLine="0" w:firstLineChars="0"/>
              <w:rPr>
                <w:rFonts w:ascii="Times New Roman" w:hAnsi="Times New Roman" w:eastAsia="宋体" w:cs="Times New Roman"/>
                <w:color w:val="000000" w:themeColor="text1"/>
                <w:kern w:val="2"/>
                <w:sz w:val="21"/>
                <w:szCs w:val="22"/>
                <w:lang w:val="en-US" w:eastAsia="zh-CN" w:bidi="ar-SA"/>
                <w14:textFill>
                  <w14:solidFill>
                    <w14:schemeClr w14:val="tx1"/>
                  </w14:solidFill>
                </w14:textFill>
              </w:rPr>
            </w:pPr>
            <w:r>
              <w:rPr>
                <w:rFonts w:cs="Times New Roman"/>
                <w:color w:val="000000" w:themeColor="text1"/>
                <w:sz w:val="24"/>
                <w:szCs w:val="28"/>
                <w14:textFill>
                  <w14:solidFill>
                    <w14:schemeClr w14:val="tx1"/>
                  </w14:solidFill>
                </w14:textFill>
              </w:rPr>
              <w:t>工艺流程和产排污环节</w:t>
            </w:r>
          </w:p>
        </w:tc>
        <w:tc>
          <w:tcPr>
            <w:tcW w:w="9722" w:type="dxa"/>
            <w:shd w:val="clear" w:color="auto" w:fill="auto"/>
            <w:vAlign w:val="center"/>
          </w:tcPr>
          <w:p w14:paraId="0C16E60A">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1、施工期工艺流程及产物环节分析</w:t>
            </w:r>
          </w:p>
          <w:p w14:paraId="51584E4F">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（1）施工期工艺流程</w:t>
            </w:r>
          </w:p>
          <w:p w14:paraId="565DB7AB">
            <w:pPr>
              <w:keepNext w:val="0"/>
              <w:keepLines w:val="0"/>
              <w:widowControl/>
              <w:suppressLineNumbers w:val="0"/>
              <w:jc w:val="left"/>
              <w:rPr>
                <w:rFonts w:cs="Times New Roman"/>
                <w:color w:val="000000" w:themeColor="text1"/>
                <w14:textFill>
                  <w14:solidFill>
                    <w14:schemeClr w14:val="tx1"/>
                  </w14:solidFill>
                </w14:textFill>
              </w:rPr>
            </w:pPr>
            <w:r>
              <w:rPr>
                <w:rFonts w:cs="Times New Roman"/>
                <w:color w:val="000000" w:themeColor="text1"/>
                <w:szCs w:val="32"/>
                <w14:textFill>
                  <w14:solidFill>
                    <w14:schemeClr w14:val="tx1"/>
                  </w14:solidFill>
                </w14:textFill>
              </w:rPr>
              <w:t>本项目</w:t>
            </w:r>
            <w:r>
              <w:rPr>
                <w:rFonts w:hint="eastAsia" w:cs="Times New Roman"/>
                <w:color w:val="000000" w:themeColor="text1"/>
                <w:szCs w:val="32"/>
                <w:lang w:val="en-US" w:eastAsia="zh-CN"/>
                <w14:textFill>
                  <w14:solidFill>
                    <w14:schemeClr w14:val="tx1"/>
                  </w14:solidFill>
                </w14:textFill>
              </w:rPr>
              <w:t>为新建项目，根据现场勘察，租用已建成厂房作为生产区域，水基岩屑储存池为原环评批准内容，已完成建设，本项目不涉及土石方开挖施工。</w:t>
            </w:r>
            <w:r>
              <w:rPr>
                <w:rFonts w:cs="Times New Roman"/>
                <w:color w:val="000000" w:themeColor="text1"/>
                <w:szCs w:val="32"/>
                <w14:textFill>
                  <w14:solidFill>
                    <w14:schemeClr w14:val="tx1"/>
                  </w14:solidFill>
                </w14:textFill>
              </w:rPr>
              <w:t>施工期主要工序为厂房适应性改造</w:t>
            </w:r>
            <w:r>
              <w:rPr>
                <w:rFonts w:hint="eastAsia" w:cs="Times New Roman"/>
                <w:color w:val="000000" w:themeColor="text1"/>
                <w:szCs w:val="32"/>
                <w:lang w:eastAsia="zh-CN"/>
                <w14:textFill>
                  <w14:solidFill>
                    <w14:schemeClr w14:val="tx1"/>
                  </w14:solidFill>
                </w14:textFill>
              </w:rPr>
              <w:t>（</w:t>
            </w:r>
            <w:r>
              <w:rPr>
                <w:rFonts w:hint="eastAsia" w:cs="Times New Roman"/>
                <w:color w:val="000000" w:themeColor="text1"/>
                <w:szCs w:val="32"/>
                <w:lang w:val="en-US" w:eastAsia="zh-CN"/>
                <w14:textFill>
                  <w14:solidFill>
                    <w14:schemeClr w14:val="tx1"/>
                  </w14:solidFill>
                </w14:textFill>
              </w:rPr>
              <w:t>2号厂房扩建</w:t>
            </w:r>
            <w:r>
              <w:rPr>
                <w:rFonts w:hint="eastAsia" w:cs="Times New Roman"/>
                <w:color w:val="000000" w:themeColor="text1"/>
                <w:szCs w:val="32"/>
                <w:lang w:eastAsia="zh-CN"/>
                <w14:textFill>
                  <w14:solidFill>
                    <w14:schemeClr w14:val="tx1"/>
                  </w14:solidFill>
                </w14:textFill>
              </w:rPr>
              <w:t>）</w:t>
            </w:r>
            <w:r>
              <w:rPr>
                <w:rFonts w:cs="Times New Roman"/>
                <w:color w:val="000000" w:themeColor="text1"/>
                <w:szCs w:val="32"/>
                <w14:textFill>
                  <w14:solidFill>
                    <w14:schemeClr w14:val="tx1"/>
                  </w14:solidFill>
                </w14:textFill>
              </w:rPr>
              <w:t>、设备安装调试</w:t>
            </w:r>
            <w:r>
              <w:rPr>
                <w:rFonts w:hint="eastAsia" w:cs="Times New Roman"/>
                <w:color w:val="000000" w:themeColor="text1"/>
                <w:szCs w:val="32"/>
                <w:lang w:eastAsia="zh-CN"/>
                <w14:textFill>
                  <w14:solidFill>
                    <w14:schemeClr w14:val="tx1"/>
                  </w14:solidFill>
                </w14:textFill>
              </w:rPr>
              <w:t>；</w:t>
            </w:r>
            <w:r>
              <w:rPr>
                <w:rFonts w:hint="eastAsia" w:cs="Times New Roman"/>
                <w:color w:val="000000" w:themeColor="text1"/>
                <w:szCs w:val="32"/>
                <w:lang w:val="en-US" w:eastAsia="zh-CN"/>
                <w14:textFill>
                  <w14:solidFill>
                    <w14:schemeClr w14:val="tx1"/>
                  </w14:solidFill>
                </w14:textFill>
              </w:rPr>
              <w:t>2号厂房的适应性改造、设备安装调试以及厂房的扩建；成品堆放区的建设。</w:t>
            </w:r>
            <w:r>
              <w:rPr>
                <w:rFonts w:cs="Times New Roman"/>
                <w:color w:val="000000" w:themeColor="text1"/>
                <w14:textFill>
                  <w14:solidFill>
                    <w14:schemeClr w14:val="tx1"/>
                  </w14:solidFill>
                </w14:textFill>
              </w:rPr>
              <w:t>项目施工期主要污染物为扬尘、废气、噪声、生活污水、生活垃圾、建筑垃圾等</w:t>
            </w:r>
            <w:r>
              <w:rPr>
                <w:rFonts w:hint="eastAsia" w:cs="Times New Roman"/>
                <w:color w:val="000000" w:themeColor="text1"/>
                <w:lang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其排放量较小，随着施工期的结束而消失，本次评价对施工期</w:t>
            </w:r>
            <w:r>
              <w:rPr>
                <w:rFonts w:hint="eastAsia" w:ascii="宋体" w:hAnsi="宋体" w:cs="宋体"/>
                <w:color w:val="000000" w:themeColor="text1"/>
                <w:kern w:val="0"/>
                <w:sz w:val="24"/>
                <w:szCs w:val="24"/>
                <w:lang w:val="en-US" w:eastAsia="zh-CN" w:bidi="ar"/>
                <w14:textFill>
                  <w14:solidFill>
                    <w14:schemeClr w14:val="tx1"/>
                  </w14:solidFill>
                </w14:textFill>
              </w:rPr>
              <w:t>作</w:t>
            </w:r>
            <w:r>
              <w:rPr>
                <w:rFonts w:hint="eastAsia" w:ascii="宋体" w:hAnsi="宋体" w:eastAsia="宋体" w:cs="宋体"/>
                <w:color w:val="000000" w:themeColor="text1"/>
                <w:kern w:val="0"/>
                <w:sz w:val="24"/>
                <w:szCs w:val="24"/>
                <w:lang w:val="en-US" w:eastAsia="zh-CN" w:bidi="ar"/>
                <w14:textFill>
                  <w14:solidFill>
                    <w14:schemeClr w14:val="tx1"/>
                  </w14:solidFill>
                </w14:textFill>
              </w:rPr>
              <w:t>简要分析。</w:t>
            </w:r>
            <w:r>
              <w:rPr>
                <w:rFonts w:cs="Times New Roman"/>
                <w:color w:val="000000" w:themeColor="text1"/>
                <w14:textFill>
                  <w14:solidFill>
                    <w14:schemeClr w14:val="tx1"/>
                  </w14:solidFill>
                </w14:textFill>
              </w:rPr>
              <w:t>施工期工艺流程见下图。</w:t>
            </w:r>
          </w:p>
          <w:p w14:paraId="42CDB31D">
            <w:pPr>
              <w:pStyle w:val="2"/>
              <w:rPr>
                <w:rFonts w:cs="Times New Roman"/>
                <w:color w:val="000000" w:themeColor="text1"/>
                <w14:textFill>
                  <w14:solidFill>
                    <w14:schemeClr w14:val="tx1"/>
                  </w14:solidFill>
                </w14:textFill>
              </w:rPr>
            </w:pPr>
          </w:p>
          <w:p w14:paraId="13D169E1">
            <w:pPr>
              <w:pStyle w:val="2"/>
              <w:rPr>
                <w:rFonts w:cs="Times New Roman"/>
                <w:color w:val="000000" w:themeColor="text1"/>
                <w14:textFill>
                  <w14:solidFill>
                    <w14:schemeClr w14:val="tx1"/>
                  </w14:solidFill>
                </w14:textFill>
              </w:rPr>
            </w:pPr>
          </w:p>
          <w:p w14:paraId="6CF676DB">
            <w:pPr>
              <w:pStyle w:val="2"/>
              <w:ind w:left="0" w:leftChars="0" w:firstLine="0" w:firstLineChars="0"/>
              <w:rPr>
                <w:rFonts w:cs="Times New Roman"/>
                <w:color w:val="000000" w:themeColor="text1"/>
                <w14:textFill>
                  <w14:solidFill>
                    <w14:schemeClr w14:val="tx1"/>
                  </w14:solidFill>
                </w14:textFill>
              </w:rPr>
            </w:pPr>
          </w:p>
          <w:p w14:paraId="11DCE401">
            <w:pPr>
              <w:pStyle w:val="2"/>
              <w:ind w:left="0" w:leftChars="0" w:firstLine="0" w:firstLineChars="0"/>
              <w:rPr>
                <w:rFonts w:cs="Times New Roman"/>
                <w:color w:val="000000" w:themeColor="text1"/>
                <w14:textFill>
                  <w14:solidFill>
                    <w14:schemeClr w14:val="tx1"/>
                  </w14:solidFill>
                </w14:textFill>
              </w:rPr>
            </w:pPr>
          </w:p>
          <w:p w14:paraId="787A9A3B">
            <w:pPr>
              <w:pStyle w:val="2"/>
              <w:ind w:left="0" w:leftChars="0" w:firstLine="0" w:firstLineChars="0"/>
              <w:rPr>
                <w:rFonts w:cs="Times New Roman"/>
                <w:color w:val="000000" w:themeColor="text1"/>
                <w14:textFill>
                  <w14:solidFill>
                    <w14:schemeClr w14:val="tx1"/>
                  </w14:solidFill>
                </w14:textFill>
              </w:rPr>
            </w:pPr>
          </w:p>
          <w:p w14:paraId="47DB3B1D">
            <w:pPr>
              <w:keepNext/>
              <w:spacing w:line="240" w:lineRule="auto"/>
              <w:ind w:firstLine="0" w:firstLineChars="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object>
                <v:shape id="_x0000_i1025" o:spt="75" type="#_x0000_t75" style="height:212.5pt;width:378.2pt;" o:ole="t" filled="f" o:preferrelative="t" stroked="f" coordsize="21600,21600">
                  <v:path/>
                  <v:fill on="f" focussize="0,0"/>
                  <v:stroke on="f"/>
                  <v:imagedata r:id="rId25" o:title=""/>
                  <o:lock v:ext="edit" aspectratio="t"/>
                  <w10:wrap type="none"/>
                  <w10:anchorlock/>
                </v:shape>
                <o:OLEObject Type="Embed" ProgID="Visio.Drawing.15" ShapeID="_x0000_i1025" DrawAspect="Content" ObjectID="_1468075725" r:id="rId24">
                  <o:LockedField>false</o:LockedField>
                </o:OLEObject>
              </w:object>
            </w:r>
          </w:p>
          <w:p w14:paraId="624C8DA9">
            <w:pPr>
              <w:pStyle w:val="12"/>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w:t>
            </w:r>
            <w:r>
              <w:rPr>
                <w:rFonts w:hint="eastAsia" w:cs="Times New Roman"/>
                <w:color w:val="000000" w:themeColor="text1"/>
                <w:lang w:val="en-US" w:eastAsia="zh-CN"/>
                <w14:textFill>
                  <w14:solidFill>
                    <w14:schemeClr w14:val="tx1"/>
                  </w14:solidFill>
                </w14:textFill>
              </w:rPr>
              <w:t>2</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图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施工期</w:t>
            </w:r>
            <w:r>
              <w:rPr>
                <w:rFonts w:hint="eastAsia" w:cs="Times New Roman"/>
                <w:color w:val="000000" w:themeColor="text1"/>
                <w:lang w:val="en-US" w:eastAsia="zh-CN"/>
                <w14:textFill>
                  <w14:solidFill>
                    <w14:schemeClr w14:val="tx1"/>
                  </w14:solidFill>
                </w14:textFill>
              </w:rPr>
              <w:t>1号、3号厂房</w:t>
            </w:r>
            <w:r>
              <w:rPr>
                <w:rFonts w:cs="Times New Roman"/>
                <w:color w:val="000000" w:themeColor="text1"/>
                <w14:textFill>
                  <w14:solidFill>
                    <w14:schemeClr w14:val="tx1"/>
                  </w14:solidFill>
                </w14:textFill>
              </w:rPr>
              <w:t>工艺流程及产物环节图</w:t>
            </w:r>
          </w:p>
          <w:p w14:paraId="3ADF9E86">
            <w:pPr>
              <w:pStyle w:val="12"/>
              <w:keepNext w:val="0"/>
              <w:keepLines w:val="0"/>
              <w:pageBreakBefore w:val="0"/>
              <w:widowControl/>
              <w:kinsoku/>
              <w:wordWrap/>
              <w:overflowPunct/>
              <w:topLinePunct w:val="0"/>
              <w:autoSpaceDE/>
              <w:autoSpaceDN/>
              <w:bidi w:val="0"/>
              <w:adjustRightInd/>
              <w:snapToGrid/>
              <w:spacing w:after="0" w:line="240" w:lineRule="auto"/>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object>
                <v:shape id="_x0000_i1026" o:spt="75" type="#_x0000_t75" style="height:188.25pt;width:394.75pt;" o:ole="t" filled="f" o:preferrelative="t" stroked="f" coordsize="21600,21600">
                  <v:path/>
                  <v:fill on="f" focussize="0,0"/>
                  <v:stroke on="f"/>
                  <v:imagedata r:id="rId27" o:title=""/>
                  <o:lock v:ext="edit" aspectratio="t"/>
                  <w10:wrap type="none"/>
                  <w10:anchorlock/>
                </v:shape>
                <o:OLEObject Type="Embed" ProgID="Visio.Drawing.15" ShapeID="_x0000_i1026" DrawAspect="Content" ObjectID="_1468075726" r:id="rId26">
                  <o:LockedField>false</o:LockedField>
                </o:OLEObject>
              </w:object>
            </w:r>
          </w:p>
          <w:p w14:paraId="08E5442F">
            <w:pPr>
              <w:pStyle w:val="12"/>
              <w:keepNext w:val="0"/>
              <w:keepLines w:val="0"/>
              <w:pageBreakBefore w:val="0"/>
              <w:widowControl/>
              <w:kinsoku/>
              <w:wordWrap/>
              <w:overflowPunct/>
              <w:topLinePunct w:val="0"/>
              <w:autoSpaceDE/>
              <w:autoSpaceDN/>
              <w:bidi w:val="0"/>
              <w:adjustRightInd/>
              <w:snapToGrid/>
              <w:spacing w:after="0" w:line="240" w:lineRule="auto"/>
              <w:textAlignment w:val="auto"/>
            </w:pPr>
            <w:r>
              <w:rPr>
                <w:rFonts w:cs="Times New Roman"/>
                <w:color w:val="000000" w:themeColor="text1"/>
                <w14:textFill>
                  <w14:solidFill>
                    <w14:schemeClr w14:val="tx1"/>
                  </w14:solidFill>
                </w14:textFill>
              </w:rPr>
              <w:t>图</w:t>
            </w:r>
            <w:r>
              <w:rPr>
                <w:rFonts w:hint="eastAsia" w:cs="Times New Roman"/>
                <w:color w:val="000000" w:themeColor="text1"/>
                <w:lang w:val="en-US" w:eastAsia="zh-CN"/>
                <w14:textFill>
                  <w14:solidFill>
                    <w14:schemeClr w14:val="tx1"/>
                  </w14:solidFill>
                </w14:textFill>
              </w:rPr>
              <w:t>2</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图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2</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施工期</w:t>
            </w:r>
            <w:r>
              <w:rPr>
                <w:rFonts w:hint="eastAsia" w:cs="Times New Roman"/>
                <w:color w:val="000000" w:themeColor="text1"/>
                <w:lang w:val="en-US" w:eastAsia="zh-CN"/>
                <w14:textFill>
                  <w14:solidFill>
                    <w14:schemeClr w14:val="tx1"/>
                  </w14:solidFill>
                </w14:textFill>
              </w:rPr>
              <w:t>2号厂房</w:t>
            </w:r>
            <w:r>
              <w:rPr>
                <w:rFonts w:cs="Times New Roman"/>
                <w:color w:val="000000" w:themeColor="text1"/>
                <w14:textFill>
                  <w14:solidFill>
                    <w14:schemeClr w14:val="tx1"/>
                  </w14:solidFill>
                </w14:textFill>
              </w:rPr>
              <w:t>工艺流程及产物环节图</w:t>
            </w:r>
            <w:r>
              <w:rPr>
                <w:rFonts w:cs="Times New Roman"/>
                <w:color w:val="000000" w:themeColor="text1"/>
                <w14:textFill>
                  <w14:solidFill>
                    <w14:schemeClr w14:val="tx1"/>
                  </w14:solidFill>
                </w14:textFill>
              </w:rPr>
              <w:object>
                <v:shape id="_x0000_i1027" o:spt="75" type="#_x0000_t75" style="height:200.3pt;width:385.1pt;" o:ole="t" filled="f" o:preferrelative="t" stroked="f" coordsize="21600,21600">
                  <v:path/>
                  <v:fill on="f" focussize="0,0"/>
                  <v:stroke on="f"/>
                  <v:imagedata r:id="rId29" o:title=""/>
                  <o:lock v:ext="edit" aspectratio="t"/>
                  <w10:wrap type="none"/>
                  <w10:anchorlock/>
                </v:shape>
                <o:OLEObject Type="Embed" ProgID="Visio.Drawing.15" ShapeID="_x0000_i1027" DrawAspect="Content" ObjectID="_1468075727" r:id="rId28">
                  <o:LockedField>false</o:LockedField>
                </o:OLEObject>
              </w:object>
            </w:r>
          </w:p>
          <w:p w14:paraId="48DE3C53">
            <w:pPr>
              <w:pStyle w:val="12"/>
              <w:keepNext w:val="0"/>
              <w:keepLines w:val="0"/>
              <w:pageBreakBefore w:val="0"/>
              <w:widowControl/>
              <w:kinsoku/>
              <w:wordWrap/>
              <w:overflowPunct/>
              <w:topLinePunct w:val="0"/>
              <w:autoSpaceDE/>
              <w:autoSpaceDN/>
              <w:bidi w:val="0"/>
              <w:adjustRightInd/>
              <w:snapToGrid/>
              <w:spacing w:after="0" w:line="240" w:lineRule="auto"/>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w:t>
            </w:r>
            <w:r>
              <w:rPr>
                <w:rFonts w:hint="eastAsia" w:cs="Times New Roman"/>
                <w:color w:val="000000" w:themeColor="text1"/>
                <w:lang w:val="en-US" w:eastAsia="zh-CN"/>
                <w14:textFill>
                  <w14:solidFill>
                    <w14:schemeClr w14:val="tx1"/>
                  </w14:solidFill>
                </w14:textFill>
              </w:rPr>
              <w:t>2</w:t>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4</w:t>
            </w:r>
            <w:r>
              <w:rPr>
                <w:rFonts w:cs="Times New Roman"/>
                <w:color w:val="000000" w:themeColor="text1"/>
                <w14:textFill>
                  <w14:solidFill>
                    <w14:schemeClr w14:val="tx1"/>
                  </w14:solidFill>
                </w14:textFill>
              </w:rPr>
              <w:t xml:space="preserve"> 施工期</w:t>
            </w:r>
            <w:r>
              <w:rPr>
                <w:rFonts w:hint="eastAsia" w:cs="Times New Roman"/>
                <w:color w:val="000000" w:themeColor="text1"/>
                <w:lang w:val="en-US" w:eastAsia="zh-CN"/>
                <w14:textFill>
                  <w14:solidFill>
                    <w14:schemeClr w14:val="tx1"/>
                  </w14:solidFill>
                </w14:textFill>
              </w:rPr>
              <w:t>成品堆放区</w:t>
            </w:r>
            <w:r>
              <w:rPr>
                <w:rFonts w:cs="Times New Roman"/>
                <w:color w:val="000000" w:themeColor="text1"/>
                <w14:textFill>
                  <w14:solidFill>
                    <w14:schemeClr w14:val="tx1"/>
                  </w14:solidFill>
                </w14:textFill>
              </w:rPr>
              <w:t>工艺流程及产物环节图</w:t>
            </w:r>
          </w:p>
          <w:p w14:paraId="6E48B52D">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（2）施工期主要污染物产生情况</w:t>
            </w:r>
          </w:p>
          <w:p w14:paraId="4C828528">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本项目施工期的主要污染工序为：厂房适应性改造</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2号厂房扩建</w:t>
            </w:r>
            <w:r>
              <w:rPr>
                <w:rFonts w:cs="Times New Roman"/>
                <w:color w:val="000000" w:themeColor="text1"/>
                <w14:textFill>
                  <w14:solidFill>
                    <w14:schemeClr w14:val="tx1"/>
                  </w14:solidFill>
                </w14:textFill>
              </w:rPr>
              <w:t>施工、设备安装</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成品堆放区建设</w:t>
            </w:r>
            <w:r>
              <w:rPr>
                <w:rFonts w:cs="Times New Roman"/>
                <w:color w:val="000000" w:themeColor="text1"/>
                <w14:textFill>
                  <w14:solidFill>
                    <w14:schemeClr w14:val="tx1"/>
                  </w14:solidFill>
                </w14:textFill>
              </w:rPr>
              <w:t>等，产生噪声、固废、废水，其排放量随工序和施工强度不同而变化。</w:t>
            </w:r>
          </w:p>
          <w:p w14:paraId="71AABB0D">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废气：建筑施工扬尘、施工机械和运输车辆尾气、厂房适应性改造过程中产生的装修废气。</w:t>
            </w:r>
          </w:p>
          <w:p w14:paraId="5D750B3F">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废水：施工人员生活污水，污水污染物以BOD</w:t>
            </w:r>
            <w:r>
              <w:rPr>
                <w:rFonts w:cs="Times New Roman"/>
                <w:color w:val="000000" w:themeColor="text1"/>
                <w:sz w:val="14"/>
                <w:szCs w:val="14"/>
                <w14:textFill>
                  <w14:solidFill>
                    <w14:schemeClr w14:val="tx1"/>
                  </w14:solidFill>
                </w14:textFill>
              </w:rPr>
              <w:t>5</w:t>
            </w:r>
            <w:r>
              <w:rPr>
                <w:rFonts w:cs="Times New Roman"/>
                <w:color w:val="000000" w:themeColor="text1"/>
                <w14:textFill>
                  <w14:solidFill>
                    <w14:schemeClr w14:val="tx1"/>
                  </w14:solidFill>
                </w14:textFill>
              </w:rPr>
              <w:t>、CODcr、SS、氨氮等污染物为主</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施工车辆冲洗废水，</w:t>
            </w:r>
            <w:r>
              <w:rPr>
                <w:rFonts w:cs="Times New Roman"/>
                <w:color w:val="000000" w:themeColor="text1"/>
                <w14:textFill>
                  <w14:solidFill>
                    <w14:schemeClr w14:val="tx1"/>
                  </w14:solidFill>
                </w14:textFill>
              </w:rPr>
              <w:t>污水污染物以SS等污染物为主。</w:t>
            </w:r>
          </w:p>
          <w:p w14:paraId="130D0AD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噪声：主要来源于施工机械运行过程以及车辆运输过程。</w:t>
            </w:r>
          </w:p>
          <w:p w14:paraId="56997818">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固废：主要为建筑垃圾、废包装材料、施工人员生活垃圾等。</w:t>
            </w:r>
          </w:p>
          <w:p w14:paraId="2530B6B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从总</w:t>
            </w:r>
            <w:r>
              <w:rPr>
                <w:rFonts w:hint="eastAsia" w:cs="Times New Roman"/>
                <w:color w:val="000000" w:themeColor="text1"/>
                <w:lang w:eastAsia="zh-CN"/>
                <w14:textFill>
                  <w14:solidFill>
                    <w14:schemeClr w14:val="tx1"/>
                  </w14:solidFill>
                </w14:textFill>
              </w:rPr>
              <w:t>体上</w:t>
            </w:r>
            <w:r>
              <w:rPr>
                <w:rFonts w:cs="Times New Roman"/>
                <w:color w:val="000000" w:themeColor="text1"/>
                <w14:textFill>
                  <w14:solidFill>
                    <w14:schemeClr w14:val="tx1"/>
                  </w14:solidFill>
                </w14:textFill>
              </w:rPr>
              <w:t>讲，该项工程在施工期以建筑施工扬尘、施工废气、施工噪声、</w:t>
            </w:r>
            <w:r>
              <w:rPr>
                <w:rFonts w:hint="eastAsia" w:cs="Times New Roman"/>
                <w:color w:val="000000" w:themeColor="text1"/>
                <w:lang w:val="en-US" w:eastAsia="zh-CN"/>
                <w14:textFill>
                  <w14:solidFill>
                    <w14:schemeClr w14:val="tx1"/>
                  </w14:solidFill>
                </w14:textFill>
              </w:rPr>
              <w:t>废土石方、</w:t>
            </w:r>
            <w:r>
              <w:rPr>
                <w:rFonts w:cs="Times New Roman"/>
                <w:color w:val="000000" w:themeColor="text1"/>
                <w14:textFill>
                  <w14:solidFill>
                    <w14:schemeClr w14:val="tx1"/>
                  </w14:solidFill>
                </w14:textFill>
              </w:rPr>
              <w:t>建筑垃圾、废包装材料、生活垃圾和施工废水、生活废水为主要污染物。但这些污染物产生的环境影响将会随着施工的结束而结束。</w:t>
            </w:r>
          </w:p>
          <w:p w14:paraId="5C87A726">
            <w:pPr>
              <w:pStyle w:val="12"/>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2-26</w:t>
            </w:r>
            <w:r>
              <w:rPr>
                <w:rFonts w:cs="Times New Roman"/>
                <w:color w:val="000000" w:themeColor="text1"/>
                <w14:textFill>
                  <w14:solidFill>
                    <w14:schemeClr w14:val="tx1"/>
                  </w14:solidFill>
                </w14:textFill>
              </w:rPr>
              <w:t xml:space="preserve"> 施工期产物节点及环境污染影响特征表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582"/>
              <w:gridCol w:w="2007"/>
              <w:gridCol w:w="4699"/>
            </w:tblGrid>
            <w:tr w14:paraId="19D6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23" w:type="pct"/>
                  <w:shd w:val="clear" w:color="auto" w:fill="auto"/>
                  <w:vAlign w:val="center"/>
                </w:tcPr>
                <w:p w14:paraId="5C82EDD4">
                  <w:pPr>
                    <w:pStyle w:val="51"/>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类别</w:t>
                  </w:r>
                </w:p>
              </w:tc>
              <w:tc>
                <w:tcPr>
                  <w:tcW w:w="873" w:type="pct"/>
                  <w:shd w:val="clear" w:color="auto" w:fill="auto"/>
                  <w:vAlign w:val="center"/>
                </w:tcPr>
                <w:p w14:paraId="4F3C9C65">
                  <w:pPr>
                    <w:pStyle w:val="51"/>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1108" w:type="pct"/>
                  <w:shd w:val="clear" w:color="auto" w:fill="auto"/>
                  <w:vAlign w:val="center"/>
                </w:tcPr>
                <w:p w14:paraId="49D0AD9B">
                  <w:pPr>
                    <w:pStyle w:val="51"/>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来源</w:t>
                  </w:r>
                </w:p>
              </w:tc>
              <w:tc>
                <w:tcPr>
                  <w:tcW w:w="2594" w:type="pct"/>
                  <w:shd w:val="clear" w:color="auto" w:fill="auto"/>
                  <w:vAlign w:val="center"/>
                </w:tcPr>
                <w:p w14:paraId="275F4E4E">
                  <w:pPr>
                    <w:pStyle w:val="51"/>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环境影响特征说明</w:t>
                  </w:r>
                </w:p>
              </w:tc>
            </w:tr>
            <w:tr w14:paraId="388F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3" w:type="pct"/>
                  <w:vMerge w:val="restart"/>
                  <w:shd w:val="clear" w:color="auto" w:fill="auto"/>
                  <w:vAlign w:val="center"/>
                </w:tcPr>
                <w:p w14:paraId="5EF1081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w:t>
                  </w:r>
                </w:p>
              </w:tc>
              <w:tc>
                <w:tcPr>
                  <w:tcW w:w="873" w:type="pct"/>
                  <w:shd w:val="clear" w:color="auto" w:fill="auto"/>
                  <w:vAlign w:val="center"/>
                </w:tcPr>
                <w:p w14:paraId="7DC4525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施工扬尘</w:t>
                  </w:r>
                </w:p>
              </w:tc>
              <w:tc>
                <w:tcPr>
                  <w:tcW w:w="1108" w:type="pct"/>
                  <w:shd w:val="clear" w:color="auto" w:fill="auto"/>
                  <w:vAlign w:val="center"/>
                </w:tcPr>
                <w:p w14:paraId="4E667A8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车辆运行</w:t>
                  </w:r>
                </w:p>
              </w:tc>
              <w:tc>
                <w:tcPr>
                  <w:tcW w:w="2594" w:type="pct"/>
                  <w:shd w:val="clear" w:color="auto" w:fill="auto"/>
                  <w:vAlign w:val="center"/>
                </w:tcPr>
                <w:p w14:paraId="39C1E5F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材料堆放扬尘、车辆行驶扬尘，主要污染物为TSP，均为无组织排放</w:t>
                  </w:r>
                </w:p>
              </w:tc>
            </w:tr>
            <w:tr w14:paraId="7AC5D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3" w:type="pct"/>
                  <w:vMerge w:val="continue"/>
                  <w:shd w:val="clear" w:color="auto" w:fill="auto"/>
                  <w:vAlign w:val="center"/>
                </w:tcPr>
                <w:p w14:paraId="5FDC5A67">
                  <w:pPr>
                    <w:pStyle w:val="13"/>
                    <w:rPr>
                      <w:rFonts w:cs="Times New Roman"/>
                      <w:color w:val="000000" w:themeColor="text1"/>
                      <w14:textFill>
                        <w14:solidFill>
                          <w14:schemeClr w14:val="tx1"/>
                        </w14:solidFill>
                      </w14:textFill>
                    </w:rPr>
                  </w:pPr>
                </w:p>
              </w:tc>
              <w:tc>
                <w:tcPr>
                  <w:tcW w:w="873" w:type="pct"/>
                  <w:shd w:val="clear" w:color="auto" w:fill="auto"/>
                  <w:vAlign w:val="center"/>
                </w:tcPr>
                <w:p w14:paraId="639C6F3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施工废气</w:t>
                  </w:r>
                </w:p>
              </w:tc>
              <w:tc>
                <w:tcPr>
                  <w:tcW w:w="1108" w:type="pct"/>
                  <w:shd w:val="clear" w:color="auto" w:fill="auto"/>
                  <w:vAlign w:val="center"/>
                </w:tcPr>
                <w:p w14:paraId="09DFF33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施工机械尾气</w:t>
                  </w:r>
                </w:p>
              </w:tc>
              <w:tc>
                <w:tcPr>
                  <w:tcW w:w="2594" w:type="pct"/>
                  <w:shd w:val="clear" w:color="auto" w:fill="auto"/>
                  <w:vAlign w:val="center"/>
                </w:tcPr>
                <w:p w14:paraId="4178240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施工机械尾气，主要为柴油机废气，烟气中含CO、非甲烷总烃及氮氧化物</w:t>
                  </w:r>
                </w:p>
              </w:tc>
            </w:tr>
            <w:tr w14:paraId="19D8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3" w:type="pct"/>
                  <w:vMerge w:val="continue"/>
                  <w:shd w:val="clear" w:color="auto" w:fill="auto"/>
                  <w:vAlign w:val="center"/>
                </w:tcPr>
                <w:p w14:paraId="26D7ADE8">
                  <w:pPr>
                    <w:pStyle w:val="13"/>
                    <w:rPr>
                      <w:rFonts w:cs="Times New Roman"/>
                      <w:color w:val="000000" w:themeColor="text1"/>
                      <w14:textFill>
                        <w14:solidFill>
                          <w14:schemeClr w14:val="tx1"/>
                        </w14:solidFill>
                      </w14:textFill>
                    </w:rPr>
                  </w:pPr>
                </w:p>
              </w:tc>
              <w:tc>
                <w:tcPr>
                  <w:tcW w:w="873" w:type="pct"/>
                  <w:shd w:val="clear" w:color="auto" w:fill="auto"/>
                  <w:vAlign w:val="center"/>
                </w:tcPr>
                <w:p w14:paraId="219E360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装修废气</w:t>
                  </w:r>
                </w:p>
              </w:tc>
              <w:tc>
                <w:tcPr>
                  <w:tcW w:w="1108" w:type="pct"/>
                  <w:shd w:val="clear" w:color="auto" w:fill="auto"/>
                  <w:vAlign w:val="center"/>
                </w:tcPr>
                <w:p w14:paraId="1F5EE18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装修材料挥发</w:t>
                  </w:r>
                </w:p>
              </w:tc>
              <w:tc>
                <w:tcPr>
                  <w:tcW w:w="2594" w:type="pct"/>
                  <w:shd w:val="clear" w:color="auto" w:fill="auto"/>
                  <w:vAlign w:val="center"/>
                </w:tcPr>
                <w:p w14:paraId="0F37702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主要为涂料使用过程挥发产生的少量有机废气</w:t>
                  </w:r>
                </w:p>
              </w:tc>
            </w:tr>
            <w:tr w14:paraId="666F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23" w:type="pct"/>
                  <w:vMerge w:val="restart"/>
                  <w:shd w:val="clear" w:color="auto" w:fill="auto"/>
                  <w:vAlign w:val="center"/>
                </w:tcPr>
                <w:p w14:paraId="7995799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废水</w:t>
                  </w:r>
                </w:p>
              </w:tc>
              <w:tc>
                <w:tcPr>
                  <w:tcW w:w="873" w:type="pct"/>
                  <w:shd w:val="clear" w:color="auto" w:fill="auto"/>
                  <w:vAlign w:val="center"/>
                </w:tcPr>
                <w:p w14:paraId="4B27A33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生活污水</w:t>
                  </w:r>
                </w:p>
              </w:tc>
              <w:tc>
                <w:tcPr>
                  <w:tcW w:w="1108" w:type="pct"/>
                  <w:shd w:val="clear" w:color="auto" w:fill="auto"/>
                  <w:vAlign w:val="center"/>
                </w:tcPr>
                <w:p w14:paraId="302A29B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人员生活</w:t>
                  </w:r>
                </w:p>
              </w:tc>
              <w:tc>
                <w:tcPr>
                  <w:tcW w:w="2594" w:type="pct"/>
                  <w:shd w:val="clear" w:color="auto" w:fill="auto"/>
                  <w:vAlign w:val="center"/>
                </w:tcPr>
                <w:p w14:paraId="4991AE7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施工人员生活产生，主要污染物为CODcr、氨氮等</w:t>
                  </w:r>
                </w:p>
              </w:tc>
            </w:tr>
            <w:tr w14:paraId="2270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23" w:type="pct"/>
                  <w:vMerge w:val="continue"/>
                  <w:shd w:val="clear" w:color="auto" w:fill="auto"/>
                  <w:vAlign w:val="center"/>
                </w:tcPr>
                <w:p w14:paraId="2F5B17B6">
                  <w:pPr>
                    <w:pStyle w:val="13"/>
                  </w:pPr>
                </w:p>
              </w:tc>
              <w:tc>
                <w:tcPr>
                  <w:tcW w:w="873" w:type="pct"/>
                  <w:shd w:val="clear" w:color="auto" w:fill="auto"/>
                  <w:vAlign w:val="center"/>
                </w:tcPr>
                <w:p w14:paraId="25CBD61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车辆冲洗废水</w:t>
                  </w:r>
                </w:p>
              </w:tc>
              <w:tc>
                <w:tcPr>
                  <w:tcW w:w="1108" w:type="pct"/>
                  <w:shd w:val="clear" w:color="auto" w:fill="auto"/>
                  <w:vAlign w:val="center"/>
                </w:tcPr>
                <w:p w14:paraId="767BD909">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车辆冲洗</w:t>
                  </w:r>
                </w:p>
              </w:tc>
              <w:tc>
                <w:tcPr>
                  <w:tcW w:w="2594" w:type="pct"/>
                  <w:shd w:val="clear" w:color="auto" w:fill="auto"/>
                  <w:vAlign w:val="center"/>
                </w:tcPr>
                <w:p w14:paraId="02BD500C">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施工车辆产生，主要污染物为SS等</w:t>
                  </w:r>
                </w:p>
              </w:tc>
            </w:tr>
            <w:tr w14:paraId="2A35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3" w:type="pct"/>
                  <w:vMerge w:val="restart"/>
                  <w:shd w:val="clear" w:color="auto" w:fill="auto"/>
                  <w:vAlign w:val="center"/>
                </w:tcPr>
                <w:p w14:paraId="3ABC5AB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固废</w:t>
                  </w:r>
                </w:p>
              </w:tc>
              <w:tc>
                <w:tcPr>
                  <w:tcW w:w="873" w:type="pct"/>
                  <w:shd w:val="clear" w:color="auto" w:fill="auto"/>
                  <w:vAlign w:val="center"/>
                </w:tcPr>
                <w:p w14:paraId="0A830FE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建筑垃圾</w:t>
                  </w:r>
                </w:p>
              </w:tc>
              <w:tc>
                <w:tcPr>
                  <w:tcW w:w="1108" w:type="pct"/>
                  <w:shd w:val="clear" w:color="auto" w:fill="auto"/>
                  <w:vAlign w:val="center"/>
                </w:tcPr>
                <w:p w14:paraId="35C4F67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厂房适应性改造</w:t>
                  </w:r>
                </w:p>
              </w:tc>
              <w:tc>
                <w:tcPr>
                  <w:tcW w:w="2594" w:type="pct"/>
                  <w:shd w:val="clear" w:color="auto" w:fill="auto"/>
                  <w:vAlign w:val="center"/>
                </w:tcPr>
                <w:p w14:paraId="026DED9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废弃建筑材料（废砖块、废钢瓦等）、废弃管线等</w:t>
                  </w:r>
                </w:p>
              </w:tc>
            </w:tr>
            <w:tr w14:paraId="24BE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3" w:type="pct"/>
                  <w:vMerge w:val="continue"/>
                  <w:shd w:val="clear" w:color="auto" w:fill="auto"/>
                  <w:vAlign w:val="center"/>
                </w:tcPr>
                <w:p w14:paraId="65BAF7F4">
                  <w:pPr>
                    <w:pStyle w:val="13"/>
                    <w:rPr>
                      <w:rFonts w:cs="Times New Roman"/>
                      <w:color w:val="000000" w:themeColor="text1"/>
                      <w14:textFill>
                        <w14:solidFill>
                          <w14:schemeClr w14:val="tx1"/>
                        </w14:solidFill>
                      </w14:textFill>
                    </w:rPr>
                  </w:pPr>
                </w:p>
              </w:tc>
              <w:tc>
                <w:tcPr>
                  <w:tcW w:w="873" w:type="pct"/>
                  <w:shd w:val="clear" w:color="auto" w:fill="auto"/>
                  <w:vAlign w:val="center"/>
                </w:tcPr>
                <w:p w14:paraId="114A2FC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生活垃圾</w:t>
                  </w:r>
                </w:p>
              </w:tc>
              <w:tc>
                <w:tcPr>
                  <w:tcW w:w="1108" w:type="pct"/>
                  <w:shd w:val="clear" w:color="auto" w:fill="auto"/>
                  <w:vAlign w:val="center"/>
                </w:tcPr>
                <w:p w14:paraId="76A2296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人员生活、物料包装</w:t>
                  </w:r>
                </w:p>
              </w:tc>
              <w:tc>
                <w:tcPr>
                  <w:tcW w:w="2594" w:type="pct"/>
                  <w:shd w:val="clear" w:color="auto" w:fill="auto"/>
                  <w:vAlign w:val="center"/>
                </w:tcPr>
                <w:p w14:paraId="36AC789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一般废包装、废纸等</w:t>
                  </w:r>
                </w:p>
              </w:tc>
            </w:tr>
            <w:tr w14:paraId="3ECA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3" w:type="pct"/>
                  <w:shd w:val="clear" w:color="auto" w:fill="auto"/>
                  <w:vAlign w:val="center"/>
                </w:tcPr>
                <w:p w14:paraId="103173F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噪声</w:t>
                  </w:r>
                </w:p>
              </w:tc>
              <w:tc>
                <w:tcPr>
                  <w:tcW w:w="873" w:type="pct"/>
                  <w:shd w:val="clear" w:color="auto" w:fill="auto"/>
                  <w:vAlign w:val="center"/>
                </w:tcPr>
                <w:p w14:paraId="1F8510E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施工噪声</w:t>
                  </w:r>
                </w:p>
              </w:tc>
              <w:tc>
                <w:tcPr>
                  <w:tcW w:w="1108" w:type="pct"/>
                  <w:shd w:val="clear" w:color="auto" w:fill="auto"/>
                  <w:vAlign w:val="center"/>
                </w:tcPr>
                <w:p w14:paraId="1F2EA70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施工设备及车辆</w:t>
                  </w:r>
                </w:p>
              </w:tc>
              <w:tc>
                <w:tcPr>
                  <w:tcW w:w="2594" w:type="pct"/>
                  <w:shd w:val="clear" w:color="auto" w:fill="auto"/>
                  <w:vAlign w:val="center"/>
                </w:tcPr>
                <w:p w14:paraId="27EC669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施工设备产生，80-100dB(A)</w:t>
                  </w:r>
                </w:p>
              </w:tc>
            </w:tr>
          </w:tbl>
          <w:p w14:paraId="32F599C8">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2、营运期工艺流程</w:t>
            </w:r>
          </w:p>
          <w:p w14:paraId="634AA7F4">
            <w:pPr>
              <w:pStyle w:val="16"/>
              <w:spacing w:after="0"/>
              <w:ind w:firstLine="482" w:firstLineChars="200"/>
              <w:rPr>
                <w:rFonts w:hint="eastAsia"/>
                <w:b/>
                <w:bCs/>
                <w:i/>
                <w:iCs/>
                <w:color w:val="000000" w:themeColor="text1"/>
                <w:lang w:val="en-US" w:eastAsia="zh-CN"/>
                <w14:textFill>
                  <w14:solidFill>
                    <w14:schemeClr w14:val="tx1"/>
                  </w14:solidFill>
                </w14:textFill>
              </w:rPr>
            </w:pPr>
            <w:r>
              <w:rPr>
                <w:rFonts w:hint="eastAsia"/>
                <w:b/>
                <w:bCs/>
                <w:i/>
                <w:iCs/>
                <w:color w:val="000000" w:themeColor="text1"/>
                <w:lang w:val="en-US" w:eastAsia="zh-CN"/>
                <w14:textFill>
                  <w14:solidFill>
                    <w14:schemeClr w14:val="tx1"/>
                  </w14:solidFill>
                </w14:textFill>
              </w:rPr>
              <w:t>该内容涉密，不予公开。</w:t>
            </w:r>
          </w:p>
          <w:p w14:paraId="71F05306">
            <w:pPr>
              <w:pStyle w:val="16"/>
              <w:spacing w:after="0"/>
              <w:ind w:firstLine="482" w:firstLineChars="200"/>
              <w:rPr>
                <w:rFonts w:hint="eastAsia"/>
                <w:b/>
                <w:bCs/>
                <w:i/>
                <w:iCs/>
                <w:color w:val="000000" w:themeColor="text1"/>
                <w:lang w:val="en-US" w:eastAsia="zh-CN"/>
                <w14:textFill>
                  <w14:solidFill>
                    <w14:schemeClr w14:val="tx1"/>
                  </w14:solidFill>
                </w14:textFill>
              </w:rPr>
            </w:pPr>
          </w:p>
          <w:p w14:paraId="2A60A183">
            <w:pPr>
              <w:pStyle w:val="16"/>
              <w:spacing w:after="0"/>
              <w:ind w:firstLine="482" w:firstLineChars="200"/>
              <w:rPr>
                <w:rFonts w:hint="eastAsia"/>
                <w:b/>
                <w:bCs/>
                <w:i/>
                <w:iCs/>
                <w:color w:val="000000" w:themeColor="text1"/>
                <w:lang w:val="en-US" w:eastAsia="zh-CN"/>
                <w14:textFill>
                  <w14:solidFill>
                    <w14:schemeClr w14:val="tx1"/>
                  </w14:solidFill>
                </w14:textFill>
              </w:rPr>
            </w:pPr>
          </w:p>
          <w:p w14:paraId="12E8C1C7">
            <w:pPr>
              <w:pStyle w:val="16"/>
              <w:spacing w:after="0"/>
              <w:ind w:firstLine="482" w:firstLineChars="200"/>
              <w:rPr>
                <w:rFonts w:hint="eastAsia"/>
                <w:b/>
                <w:bCs/>
                <w:i/>
                <w:iCs/>
                <w:color w:val="000000" w:themeColor="text1"/>
                <w:lang w:val="en-US" w:eastAsia="zh-CN"/>
                <w14:textFill>
                  <w14:solidFill>
                    <w14:schemeClr w14:val="tx1"/>
                  </w14:solidFill>
                </w14:textFill>
              </w:rPr>
            </w:pPr>
          </w:p>
          <w:p w14:paraId="2810F699">
            <w:pPr>
              <w:pStyle w:val="16"/>
              <w:spacing w:after="0"/>
              <w:ind w:firstLine="482" w:firstLineChars="200"/>
              <w:rPr>
                <w:rFonts w:hint="eastAsia"/>
                <w:b/>
                <w:bCs/>
                <w:i/>
                <w:iCs/>
                <w:color w:val="000000" w:themeColor="text1"/>
                <w:lang w:val="en-US" w:eastAsia="zh-CN"/>
                <w14:textFill>
                  <w14:solidFill>
                    <w14:schemeClr w14:val="tx1"/>
                  </w14:solidFill>
                </w14:textFill>
              </w:rPr>
            </w:pPr>
          </w:p>
          <w:p w14:paraId="0843B405">
            <w:pPr>
              <w:pStyle w:val="16"/>
              <w:spacing w:after="0"/>
              <w:ind w:firstLine="482" w:firstLineChars="200"/>
              <w:rPr>
                <w:rFonts w:hint="eastAsia"/>
                <w:b/>
                <w:bCs/>
                <w:i/>
                <w:iCs/>
                <w:color w:val="000000" w:themeColor="text1"/>
                <w:lang w:val="en-US" w:eastAsia="zh-CN"/>
                <w14:textFill>
                  <w14:solidFill>
                    <w14:schemeClr w14:val="tx1"/>
                  </w14:solidFill>
                </w14:textFill>
              </w:rPr>
            </w:pPr>
          </w:p>
          <w:p w14:paraId="7702DDF5">
            <w:pPr>
              <w:pStyle w:val="16"/>
              <w:spacing w:after="0"/>
              <w:ind w:firstLine="482" w:firstLineChars="200"/>
              <w:rPr>
                <w:rFonts w:hint="default"/>
                <w:b/>
                <w:bCs/>
                <w:i/>
                <w:iCs/>
                <w:color w:val="000000" w:themeColor="text1"/>
                <w:lang w:val="en-US" w:eastAsia="zh-CN"/>
                <w14:textFill>
                  <w14:solidFill>
                    <w14:schemeClr w14:val="tx1"/>
                  </w14:solidFill>
                </w14:textFill>
              </w:rPr>
            </w:pPr>
          </w:p>
        </w:tc>
      </w:tr>
      <w:tr w14:paraId="329C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 w:type="dxa"/>
            <w:shd w:val="clear" w:color="auto" w:fill="auto"/>
            <w:vAlign w:val="center"/>
          </w:tcPr>
          <w:p w14:paraId="43BC0F37">
            <w:pPr>
              <w:pStyle w:val="27"/>
              <w:ind w:firstLine="0" w:firstLineChars="0"/>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cs="Times New Roman"/>
                <w:color w:val="000000" w:themeColor="text1"/>
                <w:sz w:val="24"/>
                <w:szCs w:val="24"/>
                <w14:textFill>
                  <w14:solidFill>
                    <w14:schemeClr w14:val="tx1"/>
                  </w14:solidFill>
                </w14:textFill>
              </w:rPr>
              <w:t>与项目有关的原有环境污染问题</w:t>
            </w:r>
          </w:p>
        </w:tc>
        <w:tc>
          <w:tcPr>
            <w:tcW w:w="9722" w:type="dxa"/>
            <w:shd w:val="clear" w:color="auto" w:fill="auto"/>
            <w:vAlign w:val="center"/>
          </w:tcPr>
          <w:p w14:paraId="4949E676">
            <w:pPr>
              <w:keepNext w:val="0"/>
              <w:keepLines w:val="0"/>
              <w:pageBreakBefore w:val="0"/>
              <w:kinsoku/>
              <w:wordWrap/>
              <w:overflowPunct/>
              <w:topLinePunct w:val="0"/>
              <w:autoSpaceDE/>
              <w:autoSpaceDN/>
              <w:bidi w:val="0"/>
              <w:adjustRightInd w:val="0"/>
              <w:snapToGrid w:val="0"/>
              <w:ind w:firstLine="480"/>
              <w:textAlignment w:val="auto"/>
              <w:rPr>
                <w:rFonts w:hint="eastAsia" w:cs="Times New Roman"/>
                <w:color w:val="000000" w:themeColor="text1"/>
                <w:kern w:val="0"/>
                <w:sz w:val="24"/>
                <w:szCs w:val="24"/>
                <w:lang w:val="en-US" w:eastAsia="zh-CN" w:bidi="ar"/>
                <w14:textFill>
                  <w14:solidFill>
                    <w14:schemeClr w14:val="tx1"/>
                  </w14:solidFill>
                </w14:textFill>
              </w:rPr>
            </w:pPr>
            <w:r>
              <w:rPr>
                <w:rFonts w:cs="Times New Roman"/>
                <w:color w:val="000000" w:themeColor="text1"/>
                <w:sz w:val="24"/>
                <w:szCs w:val="24"/>
                <w14:textFill>
                  <w14:solidFill>
                    <w14:schemeClr w14:val="tx1"/>
                  </w14:solidFill>
                </w14:textFill>
              </w:rPr>
              <w:t>本项目为</w:t>
            </w:r>
            <w:r>
              <w:rPr>
                <w:rFonts w:hint="eastAsia" w:cs="Times New Roman"/>
                <w:color w:val="000000" w:themeColor="text1"/>
                <w:sz w:val="24"/>
                <w:szCs w:val="24"/>
                <w:lang w:val="en-US" w:eastAsia="zh-CN"/>
                <w14:textFill>
                  <w14:solidFill>
                    <w14:schemeClr w14:val="tx1"/>
                  </w14:solidFill>
                </w14:textFill>
              </w:rPr>
              <w:t>重新报批项目</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于2024年编制环境影响评价报告表并于2025年1月6日取得了巴中市平昌县生态环境局出具的《关于巴中瑞成环保科技有限公司</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水基岩屑综合利用及处理项目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环境影响报告表批复的函》（巴环境平昌审</w:t>
            </w:r>
            <w:r>
              <w:rPr>
                <w:rFonts w:hint="eastAsia" w:cs="Times New Roman"/>
                <w:color w:val="000000" w:themeColor="text1"/>
                <w:kern w:val="0"/>
                <w:sz w:val="24"/>
                <w:szCs w:val="24"/>
                <w:lang w:val="en-US" w:eastAsia="zh-CN" w:bidi="ar"/>
                <w14:textFill>
                  <w14:solidFill>
                    <w14:schemeClr w14:val="tx1"/>
                  </w14:solidFill>
                </w14:textFill>
              </w:rPr>
              <w:t>〔2025〕2号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原有环评批复建设项目为设置水基岩屑综合利用生产车间1间、含水率80%左右水基岩屑储存池1座（7000m</w:t>
            </w:r>
            <w:r>
              <w:rPr>
                <w:rFonts w:hint="eastAsia" w:cs="Times New Roman"/>
                <w:color w:val="000000" w:themeColor="text1"/>
                <w:kern w:val="0"/>
                <w:sz w:val="24"/>
                <w:szCs w:val="24"/>
                <w:vertAlign w:val="superscript"/>
                <w:lang w:val="en-US" w:eastAsia="zh-CN" w:bidi="ar"/>
                <w14:textFill>
                  <w14:solidFill>
                    <w14:schemeClr w14:val="tx1"/>
                  </w14:solidFill>
                </w14:textFill>
              </w:rPr>
              <w:t>3</w:t>
            </w:r>
            <w:r>
              <w:rPr>
                <w:rFonts w:hint="eastAsia" w:cs="Times New Roman"/>
                <w:color w:val="000000" w:themeColor="text1"/>
                <w:kern w:val="0"/>
                <w:sz w:val="24"/>
                <w:szCs w:val="24"/>
                <w:lang w:val="en-US" w:eastAsia="zh-CN" w:bidi="ar"/>
                <w14:textFill>
                  <w14:solidFill>
                    <w14:schemeClr w14:val="tx1"/>
                  </w14:solidFill>
                </w14:textFill>
              </w:rPr>
              <w:t>，其中6000m</w:t>
            </w:r>
            <w:r>
              <w:rPr>
                <w:rFonts w:hint="eastAsia" w:cs="Times New Roman"/>
                <w:color w:val="000000" w:themeColor="text1"/>
                <w:kern w:val="0"/>
                <w:sz w:val="24"/>
                <w:szCs w:val="24"/>
                <w:vertAlign w:val="superscript"/>
                <w:lang w:val="en-US" w:eastAsia="zh-CN" w:bidi="ar"/>
                <w14:textFill>
                  <w14:solidFill>
                    <w14:schemeClr w14:val="tx1"/>
                  </w14:solidFill>
                </w14:textFill>
              </w:rPr>
              <w:t>3</w:t>
            </w:r>
            <w:r>
              <w:rPr>
                <w:rFonts w:hint="eastAsia" w:cs="Times New Roman"/>
                <w:color w:val="000000" w:themeColor="text1"/>
                <w:kern w:val="0"/>
                <w:sz w:val="24"/>
                <w:szCs w:val="24"/>
                <w:lang w:val="en-US" w:eastAsia="zh-CN" w:bidi="ar"/>
                <w14:textFill>
                  <w14:solidFill>
                    <w14:schemeClr w14:val="tx1"/>
                  </w14:solidFill>
                </w14:textFill>
              </w:rPr>
              <w:t>用于储存来料，1000m</w:t>
            </w:r>
            <w:r>
              <w:rPr>
                <w:rFonts w:hint="eastAsia" w:cs="Times New Roman"/>
                <w:color w:val="000000" w:themeColor="text1"/>
                <w:kern w:val="0"/>
                <w:sz w:val="24"/>
                <w:szCs w:val="24"/>
                <w:vertAlign w:val="superscript"/>
                <w:lang w:val="en-US" w:eastAsia="zh-CN" w:bidi="ar"/>
                <w14:textFill>
                  <w14:solidFill>
                    <w14:schemeClr w14:val="tx1"/>
                  </w14:solidFill>
                </w14:textFill>
              </w:rPr>
              <w:t>3</w:t>
            </w:r>
            <w:r>
              <w:rPr>
                <w:rFonts w:hint="eastAsia" w:cs="Times New Roman"/>
                <w:color w:val="000000" w:themeColor="text1"/>
                <w:kern w:val="0"/>
                <w:sz w:val="24"/>
                <w:szCs w:val="24"/>
                <w:lang w:val="en-US" w:eastAsia="zh-CN" w:bidi="ar"/>
                <w14:textFill>
                  <w14:solidFill>
                    <w14:schemeClr w14:val="tx1"/>
                  </w14:solidFill>
                </w14:textFill>
              </w:rPr>
              <w:t>用于水基岩屑干化处置）、含水率40%左右水基岩屑堆场1座、烘干物料堆放区1座、粉煤灰堆放区1座、砂石原料堆场1座、养护区1处、免烧建筑基材成品堆场1处、烘干生产线3条(干燥回转烘干机3套、燃气烘干回转窑3套)、免烧建筑基材生产线1条(球磨机、配料机、搅拌机、送板机、液压成型机、出板机)，并设置配套设施和办公区，对水基岩屑烘干后进行综合利用，并添加粉煤灰、碎石、水泥原料生产水稳层原料、免烧建筑基材、水泥掺和料，项目建设完成后，可综合利用水基岩屑30万吨/年，年产水稳层原料约22万吨，年产免烧建筑基材约27606.9278吨，年产水泥掺和料约26762.3628吨。</w:t>
            </w:r>
          </w:p>
          <w:p w14:paraId="686790E0">
            <w:pPr>
              <w:keepNext w:val="0"/>
              <w:keepLines w:val="0"/>
              <w:pageBreakBefore w:val="0"/>
              <w:kinsoku/>
              <w:wordWrap/>
              <w:overflowPunct/>
              <w:topLinePunct w:val="0"/>
              <w:autoSpaceDE/>
              <w:autoSpaceDN/>
              <w:bidi w:val="0"/>
              <w:adjustRightInd w:val="0"/>
              <w:snapToGrid w:val="0"/>
              <w:ind w:firstLine="48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截至目前，本项目仅建设了1座水基岩屑储存池和煅烧烘干生产线的基础，均属于原有项目环评批复建设内容，其他建设内容均未开工建设。</w:t>
            </w:r>
          </w:p>
          <w:p w14:paraId="67AB8C46">
            <w:pPr>
              <w:keepNext w:val="0"/>
              <w:keepLines w:val="0"/>
              <w:pageBreakBefore w:val="0"/>
              <w:widowControl/>
              <w:suppressLineNumbers w:val="0"/>
              <w:kinsoku/>
              <w:wordWrap/>
              <w:overflowPunct/>
              <w:topLinePunct w:val="0"/>
              <w:autoSpaceDE/>
              <w:autoSpaceDN/>
              <w:bidi w:val="0"/>
              <w:jc w:val="left"/>
              <w:textAlignment w:val="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本项目厂房为租用，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调查，原平昌县环境保护局以平环建〔2016〕120号对厂房产权所属方（四川金联玉合电气有限公司-原单位名称为四川施迈电气有限公司）的《平昌县施迈智能电气产业园项目环境影响报告表》进行了批复，由于各种因素，该项目建设完成标准厂房后，未进行实际生产。</w:t>
            </w:r>
          </w:p>
          <w:p w14:paraId="27DD99C0">
            <w:pPr>
              <w:keepNext w:val="0"/>
              <w:keepLines w:val="0"/>
              <w:pageBreakBefore w:val="0"/>
              <w:widowControl/>
              <w:suppressLineNumbers w:val="0"/>
              <w:kinsoku/>
              <w:wordWrap/>
              <w:overflowPunct/>
              <w:topLinePunct w:val="0"/>
              <w:autoSpaceDE/>
              <w:autoSpaceDN/>
              <w:bidi w:val="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根据调查，项目租用</w:t>
            </w:r>
            <w:r>
              <w:rPr>
                <w:rFonts w:hint="eastAsia" w:cs="Times New Roman"/>
                <w:color w:val="000000" w:themeColor="text1"/>
                <w:kern w:val="0"/>
                <w:sz w:val="24"/>
                <w:szCs w:val="24"/>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号厂房出租给第三方单位使用过，进行过水泥井盖的生产</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项目租用</w:t>
            </w:r>
            <w:r>
              <w:rPr>
                <w:rFonts w:hint="eastAsia" w:cs="Times New Roman"/>
                <w:color w:val="000000" w:themeColor="text1"/>
                <w:kern w:val="0"/>
                <w:sz w:val="24"/>
                <w:szCs w:val="24"/>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号厂房出租给第三方单位使用过，进行过ASA膜生产。2号厂房未进行过有效利用。根据调查，本项目租用的1号厂房、3号厂房已停止生产活动，1号厂房内设备设施已</w:t>
            </w:r>
            <w:r>
              <w:rPr>
                <w:rFonts w:hint="eastAsia" w:cs="Times New Roman"/>
                <w:color w:val="000000" w:themeColor="text1"/>
                <w:kern w:val="0"/>
                <w:sz w:val="24"/>
                <w:szCs w:val="24"/>
                <w:lang w:val="en-US" w:eastAsia="zh-CN" w:bidi="ar"/>
                <w14:textFill>
                  <w14:solidFill>
                    <w14:schemeClr w14:val="tx1"/>
                  </w14:solidFill>
                </w14:textFill>
              </w:rPr>
              <w:t>全部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搬离</w:t>
            </w:r>
            <w:r>
              <w:rPr>
                <w:rFonts w:hint="eastAsia" w:cs="Times New Roman"/>
                <w:color w:val="000000" w:themeColor="text1"/>
                <w:kern w:val="0"/>
                <w:sz w:val="24"/>
                <w:szCs w:val="24"/>
                <w:lang w:val="en-US" w:eastAsia="zh-CN" w:bidi="ar"/>
                <w14:textFill>
                  <w14:solidFill>
                    <w14:schemeClr w14:val="tx1"/>
                  </w14:solidFill>
                </w14:textFill>
              </w:rPr>
              <w:t>，目前为空置状态；</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3号厂房</w:t>
            </w:r>
            <w:r>
              <w:rPr>
                <w:rFonts w:hint="eastAsia" w:cs="Times New Roman"/>
                <w:color w:val="000000" w:themeColor="text1"/>
                <w:kern w:val="0"/>
                <w:sz w:val="24"/>
                <w:szCs w:val="24"/>
                <w:lang w:val="en-US" w:eastAsia="zh-CN" w:bidi="ar"/>
                <w14:textFill>
                  <w14:solidFill>
                    <w14:schemeClr w14:val="tx1"/>
                  </w14:solidFill>
                </w14:textFill>
              </w:rPr>
              <w:t>原有企业主要进行ASA膜的生产，主要生产工艺为混合、加热挤出、冷却等工序，现场无遗留危险废物、危险化学品等，</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少量遗留设备正在搬离过程中。</w:t>
            </w:r>
            <w:r>
              <w:rPr>
                <w:rFonts w:hint="eastAsia" w:cs="Times New Roman"/>
                <w:color w:val="000000" w:themeColor="text1"/>
                <w:kern w:val="0"/>
                <w:sz w:val="24"/>
                <w:szCs w:val="24"/>
                <w:lang w:val="en-US" w:eastAsia="zh-CN" w:bidi="ar"/>
                <w14:textFill>
                  <w14:solidFill>
                    <w14:schemeClr w14:val="tx1"/>
                  </w14:solidFill>
                </w14:textFill>
              </w:rPr>
              <w:t>因此，1号、2号、3号厂房无环境遗留问题。</w:t>
            </w:r>
          </w:p>
          <w:p w14:paraId="6800568A">
            <w:pPr>
              <w:keepNext w:val="0"/>
              <w:keepLines w:val="0"/>
              <w:pageBreakBefore w:val="0"/>
              <w:widowControl/>
              <w:suppressLineNumbers w:val="0"/>
              <w:kinsoku/>
              <w:wordWrap/>
              <w:overflowPunct/>
              <w:topLinePunct w:val="0"/>
              <w:autoSpaceDE/>
              <w:autoSpaceDN/>
              <w:bidi w:val="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根据现场调查，本项目租用的1号、2号、3号厂房为空置厂房，本项目</w:t>
            </w:r>
            <w:r>
              <w:rPr>
                <w:rFonts w:hint="default" w:ascii="Times New Roman" w:hAnsi="Times New Roman" w:cs="Times New Roman"/>
                <w:color w:val="000000" w:themeColor="text1"/>
                <w:sz w:val="24"/>
                <w:szCs w:val="24"/>
                <w14:textFill>
                  <w14:solidFill>
                    <w14:schemeClr w14:val="tx1"/>
                  </w14:solidFill>
                </w14:textFill>
              </w:rPr>
              <w:t>为</w:t>
            </w:r>
            <w:r>
              <w:rPr>
                <w:rFonts w:hint="default" w:ascii="Times New Roman" w:hAnsi="Times New Roman" w:cs="Times New Roman"/>
                <w:color w:val="000000" w:themeColor="text1"/>
                <w:sz w:val="24"/>
                <w:szCs w:val="24"/>
                <w:lang w:val="en-US" w:eastAsia="zh-CN"/>
                <w14:textFill>
                  <w14:solidFill>
                    <w14:schemeClr w14:val="tx1"/>
                  </w14:solidFill>
                </w14:textFill>
              </w:rPr>
              <w:t>重新报批项目，原项目暂未</w:t>
            </w:r>
            <w:r>
              <w:rPr>
                <w:rFonts w:hint="eastAsia" w:cs="Times New Roman"/>
                <w:color w:val="000000" w:themeColor="text1"/>
                <w:sz w:val="24"/>
                <w:szCs w:val="24"/>
                <w:lang w:val="en-US" w:eastAsia="zh-CN"/>
                <w14:textFill>
                  <w14:solidFill>
                    <w14:schemeClr w14:val="tx1"/>
                  </w14:solidFill>
                </w14:textFill>
              </w:rPr>
              <w:t>生产</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不存在与本项目有关的原有污染问题</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6"/>
              <w:gridCol w:w="4526"/>
            </w:tblGrid>
            <w:tr w14:paraId="732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vAlign w:val="center"/>
                </w:tcPr>
                <w:p w14:paraId="50A992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color w:val="000000" w:themeColor="text1"/>
                      <w:sz w:val="21"/>
                      <w:szCs w:val="21"/>
                      <w14:textFill>
                        <w14:solidFill>
                          <w14:schemeClr w14:val="tx1"/>
                        </w14:solidFill>
                      </w14:textFill>
                    </w:rPr>
                    <w:drawing>
                      <wp:inline distT="0" distB="0" distL="114300" distR="114300">
                        <wp:extent cx="2433955" cy="1827530"/>
                        <wp:effectExtent l="0" t="0" r="4445" b="1270"/>
                        <wp:docPr id="15" name="图片 15" descr="d08c46c87e653237eea1d25749ff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08c46c87e653237eea1d25749ff0001"/>
                                <pic:cNvPicPr>
                                  <a:picLocks noChangeAspect="1"/>
                                </pic:cNvPicPr>
                              </pic:nvPicPr>
                              <pic:blipFill>
                                <a:blip r:embed="rId30"/>
                                <a:stretch>
                                  <a:fillRect/>
                                </a:stretch>
                              </pic:blipFill>
                              <pic:spPr>
                                <a:xfrm>
                                  <a:off x="0" y="0"/>
                                  <a:ext cx="2433955" cy="1827530"/>
                                </a:xfrm>
                                <a:prstGeom prst="rect">
                                  <a:avLst/>
                                </a:prstGeom>
                              </pic:spPr>
                            </pic:pic>
                          </a:graphicData>
                        </a:graphic>
                      </wp:inline>
                    </w:drawing>
                  </w:r>
                </w:p>
              </w:tc>
              <w:tc>
                <w:tcPr>
                  <w:tcW w:w="2500" w:type="pct"/>
                  <w:vAlign w:val="center"/>
                </w:tcPr>
                <w:p w14:paraId="624C86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drawing>
                      <wp:inline distT="0" distB="0" distL="114300" distR="114300">
                        <wp:extent cx="2400300" cy="1802130"/>
                        <wp:effectExtent l="0" t="0" r="0" b="7620"/>
                        <wp:docPr id="22" name="图片 22" descr="e77025cb6532118bfa6d7e708932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77025cb6532118bfa6d7e7089323772"/>
                                <pic:cNvPicPr>
                                  <a:picLocks noChangeAspect="1"/>
                                </pic:cNvPicPr>
                              </pic:nvPicPr>
                              <pic:blipFill>
                                <a:blip r:embed="rId31"/>
                                <a:stretch>
                                  <a:fillRect/>
                                </a:stretch>
                              </pic:blipFill>
                              <pic:spPr>
                                <a:xfrm>
                                  <a:off x="0" y="0"/>
                                  <a:ext cx="2400300" cy="1802130"/>
                                </a:xfrm>
                                <a:prstGeom prst="rect">
                                  <a:avLst/>
                                </a:prstGeom>
                              </pic:spPr>
                            </pic:pic>
                          </a:graphicData>
                        </a:graphic>
                      </wp:inline>
                    </w:drawing>
                  </w:r>
                </w:p>
              </w:tc>
            </w:tr>
            <w:tr w14:paraId="6A5F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vAlign w:val="center"/>
                </w:tcPr>
                <w:p w14:paraId="559B32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1号厂房现状</w:t>
                  </w:r>
                </w:p>
              </w:tc>
            </w:tr>
            <w:tr w14:paraId="70BD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3" w:hRule="atLeast"/>
                <w:jc w:val="center"/>
              </w:trPr>
              <w:tc>
                <w:tcPr>
                  <w:tcW w:w="2500" w:type="pct"/>
                  <w:shd w:val="clear" w:color="auto" w:fill="auto"/>
                  <w:vAlign w:val="center"/>
                </w:tcPr>
                <w:p w14:paraId="626C26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598420" cy="1949450"/>
                        <wp:effectExtent l="0" t="0" r="11430" b="12700"/>
                        <wp:docPr id="28" name="图片 28" descr="c188e5268fe40509a0f434f36fe8aa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188e5268fe40509a0f434f36fe8aa04"/>
                                <pic:cNvPicPr>
                                  <a:picLocks noChangeAspect="1"/>
                                </pic:cNvPicPr>
                              </pic:nvPicPr>
                              <pic:blipFill>
                                <a:blip r:embed="rId32"/>
                                <a:stretch>
                                  <a:fillRect/>
                                </a:stretch>
                              </pic:blipFill>
                              <pic:spPr>
                                <a:xfrm>
                                  <a:off x="0" y="0"/>
                                  <a:ext cx="2598420" cy="1949450"/>
                                </a:xfrm>
                                <a:prstGeom prst="rect">
                                  <a:avLst/>
                                </a:prstGeom>
                              </pic:spPr>
                            </pic:pic>
                          </a:graphicData>
                        </a:graphic>
                      </wp:inline>
                    </w:drawing>
                  </w:r>
                </w:p>
              </w:tc>
              <w:tc>
                <w:tcPr>
                  <w:tcW w:w="2500" w:type="pct"/>
                  <w:vAlign w:val="center"/>
                </w:tcPr>
                <w:p w14:paraId="6B956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584450" cy="1938020"/>
                        <wp:effectExtent l="0" t="0" r="6350" b="5080"/>
                        <wp:docPr id="39" name="图片 39" descr="a3d8b9e03eca94f5d2857a50b4279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a3d8b9e03eca94f5d2857a50b4279bf0"/>
                                <pic:cNvPicPr>
                                  <a:picLocks noChangeAspect="1"/>
                                </pic:cNvPicPr>
                              </pic:nvPicPr>
                              <pic:blipFill>
                                <a:blip r:embed="rId33"/>
                                <a:stretch>
                                  <a:fillRect/>
                                </a:stretch>
                              </pic:blipFill>
                              <pic:spPr>
                                <a:xfrm>
                                  <a:off x="0" y="0"/>
                                  <a:ext cx="2584450" cy="1938020"/>
                                </a:xfrm>
                                <a:prstGeom prst="rect">
                                  <a:avLst/>
                                </a:prstGeom>
                              </pic:spPr>
                            </pic:pic>
                          </a:graphicData>
                        </a:graphic>
                      </wp:inline>
                    </w:drawing>
                  </w:r>
                </w:p>
              </w:tc>
            </w:tr>
            <w:tr w14:paraId="32B6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shd w:val="clear" w:color="auto" w:fill="auto"/>
                  <w:vAlign w:val="center"/>
                </w:tcPr>
                <w:p w14:paraId="5D2B71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2号厂房现状</w:t>
                  </w:r>
                </w:p>
              </w:tc>
            </w:tr>
            <w:tr w14:paraId="4A1D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shd w:val="clear" w:color="auto" w:fill="auto"/>
                  <w:vAlign w:val="center"/>
                </w:tcPr>
                <w:p w14:paraId="4295AE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536825" cy="1795780"/>
                        <wp:effectExtent l="0" t="0" r="15875" b="13970"/>
                        <wp:docPr id="40" name="图片 40" descr="2e7fe9b93474e87ebe784b7a8b47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2e7fe9b93474e87ebe784b7a8b474023"/>
                                <pic:cNvPicPr>
                                  <a:picLocks noChangeAspect="1"/>
                                </pic:cNvPicPr>
                              </pic:nvPicPr>
                              <pic:blipFill>
                                <a:blip r:embed="rId34"/>
                                <a:srcRect l="10733" t="18821" r="32774" b="27871"/>
                                <a:stretch>
                                  <a:fillRect/>
                                </a:stretch>
                              </pic:blipFill>
                              <pic:spPr>
                                <a:xfrm>
                                  <a:off x="0" y="0"/>
                                  <a:ext cx="2536825" cy="1795780"/>
                                </a:xfrm>
                                <a:prstGeom prst="rect">
                                  <a:avLst/>
                                </a:prstGeom>
                              </pic:spPr>
                            </pic:pic>
                          </a:graphicData>
                        </a:graphic>
                      </wp:inline>
                    </w:drawing>
                  </w:r>
                </w:p>
              </w:tc>
              <w:tc>
                <w:tcPr>
                  <w:tcW w:w="2500" w:type="pct"/>
                  <w:vAlign w:val="center"/>
                </w:tcPr>
                <w:p w14:paraId="6E7806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drawing>
                      <wp:inline distT="0" distB="0" distL="114300" distR="114300">
                        <wp:extent cx="2358390" cy="1769110"/>
                        <wp:effectExtent l="0" t="0" r="3810" b="2540"/>
                        <wp:docPr id="41" name="图片 41" descr="25df59bdbfa3e55a828f9db58ab546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25df59bdbfa3e55a828f9db58ab546b4"/>
                                <pic:cNvPicPr>
                                  <a:picLocks noChangeAspect="1"/>
                                </pic:cNvPicPr>
                              </pic:nvPicPr>
                              <pic:blipFill>
                                <a:blip r:embed="rId35"/>
                                <a:stretch>
                                  <a:fillRect/>
                                </a:stretch>
                              </pic:blipFill>
                              <pic:spPr>
                                <a:xfrm>
                                  <a:off x="0" y="0"/>
                                  <a:ext cx="2358390" cy="1769110"/>
                                </a:xfrm>
                                <a:prstGeom prst="rect">
                                  <a:avLst/>
                                </a:prstGeom>
                              </pic:spPr>
                            </pic:pic>
                          </a:graphicData>
                        </a:graphic>
                      </wp:inline>
                    </w:drawing>
                  </w:r>
                </w:p>
              </w:tc>
            </w:tr>
            <w:tr w14:paraId="1BF32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shd w:val="clear" w:color="auto" w:fill="auto"/>
                  <w:vAlign w:val="center"/>
                </w:tcPr>
                <w:p w14:paraId="734B5D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3号厂房现状</w:t>
                  </w:r>
                </w:p>
              </w:tc>
            </w:tr>
          </w:tbl>
          <w:p w14:paraId="2738AA3E">
            <w:pPr>
              <w:ind w:firstLine="0" w:firstLineChars="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1B411D08">
            <w:pPr>
              <w:pStyle w:val="2"/>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63BAA102">
            <w:pPr>
              <w:pStyle w:val="2"/>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72479465">
            <w:pPr>
              <w:pStyle w:val="2"/>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232D7CC7">
            <w:pPr>
              <w:pStyle w:val="2"/>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2742B096">
            <w:pPr>
              <w:pStyle w:val="2"/>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5E03FCB6">
            <w:pPr>
              <w:pStyle w:val="2"/>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11A05610">
            <w:pPr>
              <w:pStyle w:val="2"/>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p>
          <w:p w14:paraId="640B20CC">
            <w:pPr>
              <w:pStyle w:val="2"/>
              <w:rPr>
                <w:rFonts w:hint="default"/>
                <w:lang w:val="en-US" w:eastAsia="zh-CN"/>
              </w:rPr>
            </w:pPr>
          </w:p>
        </w:tc>
      </w:tr>
    </w:tbl>
    <w:p w14:paraId="0DCE1B75">
      <w:pPr>
        <w:pStyle w:val="2"/>
        <w:sectPr>
          <w:pgSz w:w="11906" w:h="16838"/>
          <w:pgMar w:top="1440" w:right="1080" w:bottom="1440" w:left="1080" w:header="851" w:footer="567" w:gutter="0"/>
          <w:cols w:space="425" w:num="1"/>
          <w:docGrid w:type="lines" w:linePitch="326" w:charSpace="0"/>
        </w:sectPr>
      </w:pPr>
    </w:p>
    <w:p w14:paraId="3746FA62">
      <w:pPr>
        <w:pStyle w:val="3"/>
        <w:rPr>
          <w:rFonts w:ascii="Times New Roman" w:hAnsi="Times New Roman"/>
          <w:color w:val="000000" w:themeColor="text1"/>
          <w14:textFill>
            <w14:solidFill>
              <w14:schemeClr w14:val="tx1"/>
            </w14:solidFill>
          </w14:textFill>
        </w:rPr>
      </w:pPr>
      <w:bookmarkStart w:id="37" w:name="OLE_LINK81"/>
      <w:bookmarkStart w:id="38" w:name="OLE_LINK84"/>
      <w:bookmarkStart w:id="39" w:name="_Toc2641"/>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SEQ seq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fldChar w:fldCharType="end"/>
      </w:r>
      <w:bookmarkEnd w:id="37"/>
      <w:bookmarkEnd w:id="38"/>
      <w:r>
        <w:rPr>
          <w:rFonts w:ascii="Times New Roman" w:hAnsi="Times New Roman"/>
          <w:color w:val="000000" w:themeColor="text1"/>
          <w14:textFill>
            <w14:solidFill>
              <w14:schemeClr w14:val="tx1"/>
            </w14:solidFill>
          </w14:textFill>
        </w:rPr>
        <w:t>区域环境质量现状、环境保护目标及评价标准</w:t>
      </w:r>
      <w:bookmarkEnd w:id="39"/>
    </w:p>
    <w:tbl>
      <w:tblPr>
        <w:tblStyle w:val="29"/>
        <w:tblW w:w="506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272"/>
        <w:gridCol w:w="9914"/>
      </w:tblGrid>
      <w:tr w14:paraId="38771F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13" w:type="pct"/>
            <w:tcMar>
              <w:top w:w="16" w:type="dxa"/>
              <w:left w:w="16" w:type="dxa"/>
              <w:right w:w="16" w:type="dxa"/>
            </w:tcMar>
            <w:vAlign w:val="center"/>
          </w:tcPr>
          <w:p w14:paraId="76F75783">
            <w:pPr>
              <w:pStyle w:val="2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4"/>
                <w:szCs w:val="28"/>
                <w14:textFill>
                  <w14:solidFill>
                    <w14:schemeClr w14:val="tx1"/>
                  </w14:solidFill>
                </w14:textFill>
              </w:rPr>
              <w:t>区域环境质量</w:t>
            </w:r>
            <w:r>
              <w:rPr>
                <w:rFonts w:hint="eastAsia" w:cs="Times New Roman"/>
                <w:color w:val="000000" w:themeColor="text1"/>
                <w:sz w:val="24"/>
                <w:szCs w:val="28"/>
                <w:lang w:eastAsia="zh-CN"/>
                <w14:textFill>
                  <w14:solidFill>
                    <w14:schemeClr w14:val="tx1"/>
                  </w14:solidFill>
                </w14:textFill>
              </w:rPr>
              <w:t>现状</w:t>
            </w:r>
          </w:p>
        </w:tc>
        <w:tc>
          <w:tcPr>
            <w:tcW w:w="4786" w:type="pct"/>
            <w:vAlign w:val="center"/>
          </w:tcPr>
          <w:p w14:paraId="510B7356">
            <w:pPr>
              <w:pStyle w:val="4"/>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1、环境空气</w:t>
            </w:r>
          </w:p>
          <w:p w14:paraId="62A51287">
            <w:pPr>
              <w:ind w:firstLine="48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（1）达标区判定</w:t>
            </w:r>
          </w:p>
          <w:p w14:paraId="59E29047">
            <w:pPr>
              <w:keepNext w:val="0"/>
              <w:keepLines w:val="0"/>
              <w:pageBreakBefore w:val="0"/>
              <w:widowControl w:val="0"/>
              <w:kinsoku/>
              <w:wordWrap w:val="0"/>
              <w:overflowPunct/>
              <w:topLinePunct w:val="0"/>
              <w:autoSpaceDE/>
              <w:autoSpaceDN/>
              <w:bidi w:val="0"/>
              <w:adjustRightInd/>
              <w:snapToGrid/>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根据《建设项目环境影响报告表编制技术指南（污染影响类）》（试行），</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常规污染物引用与建设项目距离近的有效数据，包括近</w:t>
            </w:r>
            <w:r>
              <w:rPr>
                <w:rFonts w:hint="default" w:ascii="Times New Roman" w:hAnsi="Times New Roman" w:eastAsia="TimesNewRomanPSMT" w:cs="Times New Roman"/>
                <w:color w:val="000000" w:themeColor="text1"/>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年的规划环境影响评价的监测数据，国家、地方环境空气质量监测网数据或生态环境主管部门公开发布的质量数</w:t>
            </w:r>
            <w:r>
              <w:rPr>
                <w:rFonts w:hint="eastAsia" w:ascii="宋体" w:hAnsi="宋体" w:eastAsia="宋体" w:cs="宋体"/>
                <w:color w:val="000000" w:themeColor="text1"/>
                <w14:textFill>
                  <w14:solidFill>
                    <w14:schemeClr w14:val="tx1"/>
                  </w14:solidFill>
                </w14:textFill>
              </w:rPr>
              <w:t>据等”</w:t>
            </w:r>
            <w:r>
              <w:rPr>
                <w:rFonts w:hint="default" w:ascii="Times New Roman" w:hAnsi="Times New Roman" w:cs="Times New Roman"/>
                <w:color w:val="000000" w:themeColor="text1"/>
                <w14:textFill>
                  <w14:solidFill>
                    <w14:schemeClr w14:val="tx1"/>
                  </w14:solidFill>
                </w14:textFill>
              </w:rPr>
              <w:t>，为了解项目所在区域环境空气常规指标的达标情况，本次环评引用</w:t>
            </w:r>
            <w:r>
              <w:rPr>
                <w:rFonts w:hint="eastAsia"/>
                <w:color w:val="000000" w:themeColor="text1"/>
                <w:lang w:eastAsia="zh-CN"/>
                <w14:textFill>
                  <w14:solidFill>
                    <w14:schemeClr w14:val="tx1"/>
                  </w14:solidFill>
                </w14:textFill>
              </w:rPr>
              <w:t>巴中市平昌生态环境局</w:t>
            </w:r>
            <w:r>
              <w:rPr>
                <w:color w:val="000000" w:themeColor="text1"/>
                <w14:textFill>
                  <w14:solidFill>
                    <w14:schemeClr w14:val="tx1"/>
                  </w14:solidFill>
                </w14:textFill>
              </w:rPr>
              <w:t>于</w:t>
            </w:r>
            <w:r>
              <w:rPr>
                <w:rFonts w:hint="eastAsia"/>
                <w:color w:val="000000" w:themeColor="text1"/>
                <w:lang w:eastAsia="zh-CN"/>
                <w14:textFill>
                  <w14:solidFill>
                    <w14:schemeClr w14:val="tx1"/>
                  </w14:solidFill>
                </w14:textFill>
              </w:rPr>
              <w:t>202</w:t>
            </w:r>
            <w:r>
              <w:rPr>
                <w:rFonts w:hint="eastAsia"/>
                <w:color w:val="000000" w:themeColor="text1"/>
                <w:lang w:val="en-US" w:eastAsia="zh-CN"/>
                <w14:textFill>
                  <w14:solidFill>
                    <w14:schemeClr w14:val="tx1"/>
                  </w14:solidFill>
                </w14:textFill>
              </w:rPr>
              <w:t>6</w:t>
            </w:r>
            <w:r>
              <w:rPr>
                <w:rFonts w:hint="eastAsia"/>
                <w:color w:val="000000" w:themeColor="text1"/>
                <w:lang w:eastAsia="zh-CN"/>
                <w14:textFill>
                  <w14:solidFill>
                    <w14:schemeClr w14:val="tx1"/>
                  </w14:solidFill>
                </w14:textFill>
              </w:rPr>
              <w:t>年</w:t>
            </w: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月</w:t>
            </w:r>
            <w:r>
              <w:rPr>
                <w:rFonts w:hint="eastAsia"/>
                <w:color w:val="000000" w:themeColor="text1"/>
                <w:lang w:val="en-US" w:eastAsia="zh-CN"/>
                <w14:textFill>
                  <w14:solidFill>
                    <w14:schemeClr w14:val="tx1"/>
                  </w14:solidFill>
                </w14:textFill>
              </w:rPr>
              <w:t>21</w:t>
            </w:r>
            <w:r>
              <w:rPr>
                <w:rFonts w:hint="eastAsia"/>
                <w:color w:val="000000" w:themeColor="text1"/>
                <w:lang w:eastAsia="zh-CN"/>
                <w14:textFill>
                  <w14:solidFill>
                    <w14:schemeClr w14:val="tx1"/>
                  </w14:solidFill>
                </w14:textFill>
              </w:rPr>
              <w:t>日</w:t>
            </w:r>
            <w:r>
              <w:rPr>
                <w:color w:val="000000" w:themeColor="text1"/>
                <w14:textFill>
                  <w14:solidFill>
                    <w14:schemeClr w14:val="tx1"/>
                  </w14:solidFill>
                </w14:textFill>
              </w:rPr>
              <w:t>发布的</w:t>
            </w:r>
            <w:r>
              <w:rPr>
                <w:rFonts w:hint="eastAsia"/>
                <w:color w:val="000000" w:themeColor="text1"/>
                <w:lang w:eastAsia="zh-CN"/>
                <w14:textFill>
                  <w14:solidFill>
                    <w14:schemeClr w14:val="tx1"/>
                  </w14:solidFill>
                </w14:textFill>
              </w:rPr>
              <w:t>《平昌县202</w:t>
            </w:r>
            <w:r>
              <w:rPr>
                <w:rFonts w:hint="eastAsia"/>
                <w:color w:val="000000" w:themeColor="text1"/>
                <w:lang w:val="en-US" w:eastAsia="zh-CN"/>
                <w14:textFill>
                  <w14:solidFill>
                    <w14:schemeClr w14:val="tx1"/>
                  </w14:solidFill>
                </w14:textFill>
              </w:rPr>
              <w:t>5</w:t>
            </w:r>
            <w:r>
              <w:rPr>
                <w:rFonts w:hint="eastAsia"/>
                <w:color w:val="000000" w:themeColor="text1"/>
                <w:lang w:eastAsia="zh-CN"/>
                <w14:textFill>
                  <w14:solidFill>
                    <w14:schemeClr w14:val="tx1"/>
                  </w14:solidFill>
                </w14:textFill>
              </w:rPr>
              <w:t>年度生态环境质量状况公报》</w:t>
            </w:r>
            <w:r>
              <w:rPr>
                <w:rFonts w:hint="default" w:ascii="Times New Roman" w:hAnsi="Times New Roman" w:cs="Times New Roman"/>
                <w:color w:val="000000" w:themeColor="text1"/>
                <w14:textFill>
                  <w14:solidFill>
                    <w14:schemeClr w14:val="tx1"/>
                  </w14:solidFill>
                </w14:textFill>
              </w:rPr>
              <w:t>。</w:t>
            </w:r>
          </w:p>
          <w:p w14:paraId="5837C222">
            <w:pPr>
              <w:keepNext w:val="0"/>
              <w:keepLines w:val="0"/>
              <w:widowControl/>
              <w:suppressLineNumbers w:val="0"/>
              <w:jc w:val="left"/>
              <w:rPr>
                <w:rFonts w:hint="eastAsia" w:ascii="Times New Roman" w:hAnsi="Times New Roman" w:eastAsia="宋体" w:cs="Times New Roman"/>
                <w:color w:val="000000" w:themeColor="text1"/>
                <w:lang w:eastAsia="zh-CN"/>
                <w14:textFill>
                  <w14:solidFill>
                    <w14:schemeClr w14:val="tx1"/>
                  </w14:solidFill>
                </w14:textFill>
              </w:rPr>
            </w:pPr>
            <w:r>
              <w:rPr>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《平昌县202</w:t>
            </w:r>
            <w:r>
              <w:rPr>
                <w:rFonts w:hint="eastAsia"/>
                <w:color w:val="000000" w:themeColor="text1"/>
                <w:lang w:val="en-US" w:eastAsia="zh-CN"/>
                <w14:textFill>
                  <w14:solidFill>
                    <w14:schemeClr w14:val="tx1"/>
                  </w14:solidFill>
                </w14:textFill>
              </w:rPr>
              <w:t>5</w:t>
            </w:r>
            <w:r>
              <w:rPr>
                <w:rFonts w:hint="eastAsia"/>
                <w:color w:val="000000" w:themeColor="text1"/>
                <w:lang w:eastAsia="zh-CN"/>
                <w14:textFill>
                  <w14:solidFill>
                    <w14:schemeClr w14:val="tx1"/>
                  </w14:solidFill>
                </w14:textFill>
              </w:rPr>
              <w:t>年度生态环境质</w:t>
            </w:r>
            <w:r>
              <w:rPr>
                <w:rFonts w:hint="eastAsia" w:ascii="Times New Roman" w:hAnsi="Times New Roman" w:eastAsia="宋体" w:cs="Times New Roman"/>
                <w:color w:val="000000" w:themeColor="text1"/>
                <w:lang w:eastAsia="zh-CN"/>
                <w14:textFill>
                  <w14:solidFill>
                    <w14:schemeClr w14:val="tx1"/>
                  </w14:solidFill>
                </w14:textFill>
              </w:rPr>
              <w:t>量状况公报》，</w:t>
            </w:r>
            <w:r>
              <w:rPr>
                <w:rFonts w:hint="default" w:ascii="Times New Roman" w:hAnsi="Times New Roman" w:eastAsia="宋体" w:cs="Times New Roman"/>
                <w:color w:val="000000" w:themeColor="text1"/>
                <w:lang w:eastAsia="zh-CN"/>
                <w14:textFill>
                  <w14:solidFill>
                    <w14:schemeClr w14:val="tx1"/>
                  </w14:solidFill>
                </w14:textFill>
              </w:rPr>
              <w:t>2025</w:t>
            </w:r>
            <w:r>
              <w:rPr>
                <w:rFonts w:hint="eastAsia" w:ascii="Times New Roman" w:hAnsi="Times New Roman" w:eastAsia="宋体" w:cs="Times New Roman"/>
                <w:color w:val="000000" w:themeColor="text1"/>
                <w:lang w:eastAsia="zh-CN"/>
                <w14:textFill>
                  <w14:solidFill>
                    <w14:schemeClr w14:val="tx1"/>
                  </w14:solidFill>
                </w14:textFill>
              </w:rPr>
              <w:t>年，平昌县环境空气质量有效监测天数</w:t>
            </w:r>
            <w:r>
              <w:rPr>
                <w:rFonts w:hint="default" w:ascii="Times New Roman" w:hAnsi="Times New Roman" w:eastAsia="宋体" w:cs="Times New Roman"/>
                <w:color w:val="000000" w:themeColor="text1"/>
                <w:lang w:eastAsia="zh-CN"/>
                <w14:textFill>
                  <w14:solidFill>
                    <w14:schemeClr w14:val="tx1"/>
                  </w14:solidFill>
                </w14:textFill>
              </w:rPr>
              <w:t>364</w:t>
            </w:r>
            <w:r>
              <w:rPr>
                <w:rFonts w:hint="eastAsia" w:ascii="Times New Roman" w:hAnsi="Times New Roman" w:eastAsia="宋体" w:cs="Times New Roman"/>
                <w:color w:val="000000" w:themeColor="text1"/>
                <w:lang w:eastAsia="zh-CN"/>
                <w14:textFill>
                  <w14:solidFill>
                    <w14:schemeClr w14:val="tx1"/>
                  </w14:solidFill>
                </w14:textFill>
              </w:rPr>
              <w:t>天，优良天数</w:t>
            </w:r>
            <w:r>
              <w:rPr>
                <w:rFonts w:hint="default" w:ascii="Times New Roman" w:hAnsi="Times New Roman" w:eastAsia="宋体" w:cs="Times New Roman"/>
                <w:color w:val="000000" w:themeColor="text1"/>
                <w:lang w:eastAsia="zh-CN"/>
                <w14:textFill>
                  <w14:solidFill>
                    <w14:schemeClr w14:val="tx1"/>
                  </w14:solidFill>
                </w14:textFill>
              </w:rPr>
              <w:t>341</w:t>
            </w:r>
            <w:r>
              <w:rPr>
                <w:rFonts w:hint="eastAsia" w:ascii="Times New Roman" w:hAnsi="Times New Roman" w:eastAsia="宋体" w:cs="Times New Roman"/>
                <w:color w:val="000000" w:themeColor="text1"/>
                <w:lang w:eastAsia="zh-CN"/>
                <w14:textFill>
                  <w14:solidFill>
                    <w14:schemeClr w14:val="tx1"/>
                  </w14:solidFill>
                </w14:textFill>
              </w:rPr>
              <w:t>天、轻度污染</w:t>
            </w:r>
            <w:r>
              <w:rPr>
                <w:rFonts w:hint="default" w:ascii="Times New Roman" w:hAnsi="Times New Roman" w:eastAsia="宋体" w:cs="Times New Roman"/>
                <w:color w:val="000000" w:themeColor="text1"/>
                <w:lang w:eastAsia="zh-CN"/>
                <w14:textFill>
                  <w14:solidFill>
                    <w14:schemeClr w14:val="tx1"/>
                  </w14:solidFill>
                </w14:textFill>
              </w:rPr>
              <w:t>17</w:t>
            </w:r>
            <w:r>
              <w:rPr>
                <w:rFonts w:hint="eastAsia" w:ascii="Times New Roman" w:hAnsi="Times New Roman" w:eastAsia="宋体" w:cs="Times New Roman"/>
                <w:color w:val="000000" w:themeColor="text1"/>
                <w:lang w:eastAsia="zh-CN"/>
                <w14:textFill>
                  <w14:solidFill>
                    <w14:schemeClr w14:val="tx1"/>
                  </w14:solidFill>
                </w14:textFill>
              </w:rPr>
              <w:t>天、中度污染</w:t>
            </w:r>
            <w:r>
              <w:rPr>
                <w:rFonts w:hint="default" w:ascii="Times New Roman" w:hAnsi="Times New Roman" w:eastAsia="宋体" w:cs="Times New Roman"/>
                <w:color w:val="000000" w:themeColor="text1"/>
                <w:lang w:eastAsia="zh-CN"/>
                <w14:textFill>
                  <w14:solidFill>
                    <w14:schemeClr w14:val="tx1"/>
                  </w14:solidFill>
                </w14:textFill>
              </w:rPr>
              <w:t>5</w:t>
            </w:r>
            <w:r>
              <w:rPr>
                <w:rFonts w:hint="eastAsia" w:ascii="Times New Roman" w:hAnsi="Times New Roman" w:eastAsia="宋体" w:cs="Times New Roman"/>
                <w:color w:val="000000" w:themeColor="text1"/>
                <w:lang w:eastAsia="zh-CN"/>
                <w14:textFill>
                  <w14:solidFill>
                    <w14:schemeClr w14:val="tx1"/>
                  </w14:solidFill>
                </w14:textFill>
              </w:rPr>
              <w:t>天、严重污染</w:t>
            </w:r>
            <w:r>
              <w:rPr>
                <w:rFonts w:hint="default" w:ascii="Times New Roman" w:hAnsi="Times New Roman" w:eastAsia="宋体" w:cs="Times New Roman"/>
                <w:color w:val="000000" w:themeColor="text1"/>
                <w:lang w:eastAsia="zh-CN"/>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天，优良率</w:t>
            </w:r>
            <w:r>
              <w:rPr>
                <w:rFonts w:hint="default" w:ascii="Times New Roman" w:hAnsi="Times New Roman" w:eastAsia="宋体" w:cs="Times New Roman"/>
                <w:color w:val="000000" w:themeColor="text1"/>
                <w:lang w:eastAsia="zh-CN"/>
                <w14:textFill>
                  <w14:solidFill>
                    <w14:schemeClr w14:val="tx1"/>
                  </w14:solidFill>
                </w14:textFill>
              </w:rPr>
              <w:t>93.7%</w:t>
            </w:r>
            <w:r>
              <w:rPr>
                <w:rFonts w:hint="eastAsia" w:ascii="Times New Roman" w:hAnsi="Times New Roman" w:eastAsia="宋体" w:cs="Times New Roman"/>
                <w:color w:val="000000" w:themeColor="text1"/>
                <w:lang w:eastAsia="zh-CN"/>
                <w14:textFill>
                  <w14:solidFill>
                    <w14:schemeClr w14:val="tx1"/>
                  </w14:solidFill>
                </w14:textFill>
              </w:rPr>
              <w:t>，同比下降</w:t>
            </w:r>
            <w:r>
              <w:rPr>
                <w:rFonts w:hint="default" w:ascii="Times New Roman" w:hAnsi="Times New Roman" w:eastAsia="宋体" w:cs="Times New Roman"/>
                <w:color w:val="000000" w:themeColor="text1"/>
                <w:lang w:eastAsia="zh-CN"/>
                <w14:textFill>
                  <w14:solidFill>
                    <w14:schemeClr w14:val="tx1"/>
                  </w14:solidFill>
                </w14:textFill>
              </w:rPr>
              <w:t>1.9%</w:t>
            </w:r>
            <w:r>
              <w:rPr>
                <w:rFonts w:hint="eastAsia" w:ascii="Times New Roman" w:hAnsi="Times New Roman" w:eastAsia="宋体" w:cs="Times New Roman"/>
                <w:color w:val="000000" w:themeColor="text1"/>
                <w:lang w:eastAsia="zh-CN"/>
                <w14:textFill>
                  <w14:solidFill>
                    <w14:schemeClr w14:val="tx1"/>
                  </w14:solidFill>
                </w14:textFill>
              </w:rPr>
              <w:t>。二氧化硫、二氧化氮、一氧化碳、臭氧、</w:t>
            </w:r>
            <w:r>
              <w:rPr>
                <w:rFonts w:hint="default" w:ascii="Times New Roman" w:hAnsi="Times New Roman" w:eastAsia="宋体" w:cs="Times New Roman"/>
                <w:color w:val="000000" w:themeColor="text1"/>
                <w:lang w:eastAsia="zh-CN"/>
                <w14:textFill>
                  <w14:solidFill>
                    <w14:schemeClr w14:val="tx1"/>
                  </w14:solidFill>
                </w14:textFill>
              </w:rPr>
              <w:t>PM</w:t>
            </w:r>
            <w:r>
              <w:rPr>
                <w:rFonts w:hint="default" w:ascii="Times New Roman" w:hAnsi="Times New Roman" w:eastAsia="宋体" w:cs="Times New Roman"/>
                <w:color w:val="000000" w:themeColor="text1"/>
                <w:vertAlign w:val="subscript"/>
                <w:lang w:eastAsia="zh-CN"/>
                <w14:textFill>
                  <w14:solidFill>
                    <w14:schemeClr w14:val="tx1"/>
                  </w14:solidFill>
                </w14:textFill>
              </w:rPr>
              <w:t>2.5</w:t>
            </w:r>
            <w:r>
              <w:rPr>
                <w:rFonts w:hint="eastAsia" w:ascii="Times New Roman" w:hAnsi="Times New Roman" w:eastAsia="宋体" w:cs="Times New Roman"/>
                <w:color w:val="000000" w:themeColor="text1"/>
                <w:lang w:eastAsia="zh-CN"/>
                <w14:textFill>
                  <w14:solidFill>
                    <w14:schemeClr w14:val="tx1"/>
                  </w14:solidFill>
                </w14:textFill>
              </w:rPr>
              <w:t>（细颗粒物）、</w:t>
            </w:r>
            <w:r>
              <w:rPr>
                <w:rFonts w:hint="default" w:ascii="Times New Roman" w:hAnsi="Times New Roman" w:eastAsia="宋体" w:cs="Times New Roman"/>
                <w:color w:val="000000" w:themeColor="text1"/>
                <w:lang w:eastAsia="zh-CN"/>
                <w14:textFill>
                  <w14:solidFill>
                    <w14:schemeClr w14:val="tx1"/>
                  </w14:solidFill>
                </w14:textFill>
              </w:rPr>
              <w:t>PM</w:t>
            </w:r>
            <w:r>
              <w:rPr>
                <w:rFonts w:hint="default" w:ascii="Times New Roman" w:hAnsi="Times New Roman" w:eastAsia="宋体" w:cs="Times New Roman"/>
                <w:color w:val="000000" w:themeColor="text1"/>
                <w:vertAlign w:val="subscript"/>
                <w:lang w:eastAsia="zh-CN"/>
                <w14:textFill>
                  <w14:solidFill>
                    <w14:schemeClr w14:val="tx1"/>
                  </w14:solidFill>
                </w14:textFill>
              </w:rPr>
              <w:t>10</w:t>
            </w:r>
            <w:r>
              <w:rPr>
                <w:rFonts w:hint="eastAsia" w:ascii="Times New Roman" w:hAnsi="Times New Roman" w:eastAsia="宋体" w:cs="Times New Roman"/>
                <w:color w:val="000000" w:themeColor="text1"/>
                <w:lang w:eastAsia="zh-CN"/>
                <w14:textFill>
                  <w14:solidFill>
                    <w14:schemeClr w14:val="tx1"/>
                  </w14:solidFill>
                </w14:textFill>
              </w:rPr>
              <w:t>（可吸入颗粒物）平均浓度分别为</w:t>
            </w:r>
            <w:r>
              <w:rPr>
                <w:rFonts w:hint="default" w:ascii="Times New Roman" w:hAnsi="Times New Roman" w:eastAsia="宋体" w:cs="Times New Roman"/>
                <w:color w:val="000000" w:themeColor="text1"/>
                <w:lang w:eastAsia="zh-CN"/>
                <w14:textFill>
                  <w14:solidFill>
                    <w14:schemeClr w14:val="tx1"/>
                  </w14:solidFill>
                </w14:textFill>
              </w:rPr>
              <w:t>4.2μg/m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9.7μg/m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1.3mg/m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134μg/m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25.</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lang w:eastAsia="zh-CN"/>
                <w14:textFill>
                  <w14:solidFill>
                    <w14:schemeClr w14:val="tx1"/>
                  </w14:solidFill>
                </w14:textFill>
              </w:rPr>
              <w:t>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40.</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eastAsia="zh-CN"/>
                <w14:textFill>
                  <w14:solidFill>
                    <w14:schemeClr w14:val="tx1"/>
                  </w14:solidFill>
                </w14:textFill>
              </w:rPr>
              <w:t>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，二氧化硫、</w:t>
            </w:r>
            <w:r>
              <w:rPr>
                <w:rFonts w:hint="default" w:ascii="Times New Roman" w:hAnsi="Times New Roman" w:eastAsia="宋体" w:cs="Times New Roman"/>
                <w:color w:val="000000" w:themeColor="text1"/>
                <w:lang w:eastAsia="zh-CN"/>
                <w14:textFill>
                  <w14:solidFill>
                    <w14:schemeClr w14:val="tx1"/>
                  </w14:solidFill>
                </w14:textFill>
              </w:rPr>
              <w:t>PM</w:t>
            </w:r>
            <w:r>
              <w:rPr>
                <w:rFonts w:hint="default" w:ascii="Times New Roman" w:hAnsi="Times New Roman" w:eastAsia="宋体" w:cs="Times New Roman"/>
                <w:color w:val="000000" w:themeColor="text1"/>
                <w:vertAlign w:val="subscript"/>
                <w:lang w:eastAsia="zh-CN"/>
                <w14:textFill>
                  <w14:solidFill>
                    <w14:schemeClr w14:val="tx1"/>
                  </w14:solidFill>
                </w14:textFill>
              </w:rPr>
              <w:t>2.5</w:t>
            </w:r>
            <w:r>
              <w:rPr>
                <w:rFonts w:hint="eastAsia" w:ascii="Times New Roman" w:hAnsi="Times New Roman" w:eastAsia="宋体" w:cs="Times New Roman"/>
                <w:color w:val="000000" w:themeColor="text1"/>
                <w:lang w:eastAsia="zh-CN"/>
                <w14:textFill>
                  <w14:solidFill>
                    <w14:schemeClr w14:val="tx1"/>
                  </w14:solidFill>
                </w14:textFill>
              </w:rPr>
              <w:t>（细颗粒物）、</w:t>
            </w:r>
            <w:r>
              <w:rPr>
                <w:rFonts w:hint="default" w:ascii="Times New Roman" w:hAnsi="Times New Roman" w:eastAsia="宋体" w:cs="Times New Roman"/>
                <w:color w:val="000000" w:themeColor="text1"/>
                <w:lang w:eastAsia="zh-CN"/>
                <w14:textFill>
                  <w14:solidFill>
                    <w14:schemeClr w14:val="tx1"/>
                  </w14:solidFill>
                </w14:textFill>
              </w:rPr>
              <w:t>PM</w:t>
            </w:r>
            <w:r>
              <w:rPr>
                <w:rFonts w:hint="default" w:ascii="Times New Roman" w:hAnsi="Times New Roman" w:eastAsia="宋体" w:cs="Times New Roman"/>
                <w:color w:val="000000" w:themeColor="text1"/>
                <w:vertAlign w:val="subscript"/>
                <w:lang w:eastAsia="zh-CN"/>
                <w14:textFill>
                  <w14:solidFill>
                    <w14:schemeClr w14:val="tx1"/>
                  </w14:solidFill>
                </w14:textFill>
              </w:rPr>
              <w:t>10</w:t>
            </w:r>
            <w:r>
              <w:rPr>
                <w:rFonts w:hint="eastAsia" w:ascii="Times New Roman" w:hAnsi="Times New Roman" w:eastAsia="宋体" w:cs="Times New Roman"/>
                <w:color w:val="000000" w:themeColor="text1"/>
                <w:lang w:eastAsia="zh-CN"/>
                <w14:textFill>
                  <w14:solidFill>
                    <w14:schemeClr w14:val="tx1"/>
                  </w14:solidFill>
                </w14:textFill>
              </w:rPr>
              <w:t>（可吸入颗粒物）平均浓度分别同比下降</w:t>
            </w:r>
            <w:r>
              <w:rPr>
                <w:rFonts w:hint="default" w:ascii="Times New Roman" w:hAnsi="Times New Roman" w:eastAsia="宋体" w:cs="Times New Roman"/>
                <w:color w:val="000000" w:themeColor="text1"/>
                <w:lang w:eastAsia="zh-CN"/>
                <w14:textFill>
                  <w14:solidFill>
                    <w14:schemeClr w14:val="tx1"/>
                  </w14:solidFill>
                </w14:textFill>
              </w:rPr>
              <w:t>6.7%</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10.</w:t>
            </w:r>
            <w:r>
              <w:rPr>
                <w:rFonts w:hint="eastAsia" w:cs="Times New Roman"/>
                <w:color w:val="000000" w:themeColor="text1"/>
                <w:lang w:val="en-US" w:eastAsia="zh-CN"/>
                <w14:textFill>
                  <w14:solidFill>
                    <w14:schemeClr w14:val="tx1"/>
                  </w14:solidFill>
                </w14:textFill>
              </w:rPr>
              <w:t>6</w:t>
            </w:r>
            <w:r>
              <w:rPr>
                <w:rFonts w:hint="default"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13.</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，二氧化氮、臭氧平均浓度分别同比上升</w:t>
            </w:r>
            <w:r>
              <w:rPr>
                <w:rFonts w:hint="default" w:ascii="Times New Roman" w:hAnsi="Times New Roman" w:eastAsia="宋体" w:cs="Times New Roman"/>
                <w:color w:val="000000" w:themeColor="text1"/>
                <w:lang w:eastAsia="zh-CN"/>
                <w14:textFill>
                  <w14:solidFill>
                    <w14:schemeClr w14:val="tx1"/>
                  </w14:solidFill>
                </w14:textFill>
              </w:rPr>
              <w:t>3.2%</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8.1%</w:t>
            </w:r>
            <w:r>
              <w:rPr>
                <w:rFonts w:hint="eastAsia" w:ascii="Times New Roman" w:hAnsi="Times New Roman" w:eastAsia="宋体" w:cs="Times New Roman"/>
                <w:color w:val="000000" w:themeColor="text1"/>
                <w:lang w:eastAsia="zh-CN"/>
                <w14:textFill>
                  <w14:solidFill>
                    <w14:schemeClr w14:val="tx1"/>
                  </w14:solidFill>
                </w14:textFill>
              </w:rPr>
              <w:t>，一氧化碳平均浓度同比持平。</w:t>
            </w:r>
          </w:p>
          <w:p w14:paraId="32FF39CF">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本项目位于巴中市</w:t>
            </w:r>
            <w:r>
              <w:rPr>
                <w:rFonts w:hint="default" w:ascii="Times New Roman" w:hAnsi="Times New Roman" w:cs="Times New Roman"/>
                <w:color w:val="000000" w:themeColor="text1"/>
                <w:lang w:val="en-US" w:eastAsia="zh-CN"/>
                <w14:textFill>
                  <w14:solidFill>
                    <w14:schemeClr w14:val="tx1"/>
                  </w14:solidFill>
                </w14:textFill>
              </w:rPr>
              <w:t>平昌县</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星光工业园施迈路1号</w:t>
            </w:r>
            <w:r>
              <w:rPr>
                <w:rFonts w:hint="default" w:ascii="Times New Roman" w:hAnsi="Times New Roman" w:cs="Times New Roman"/>
                <w:color w:val="000000" w:themeColor="text1"/>
                <w14:textFill>
                  <w14:solidFill>
                    <w14:schemeClr w14:val="tx1"/>
                  </w14:solidFill>
                </w14:textFill>
              </w:rPr>
              <w:t>，区域环境空气质量现</w:t>
            </w:r>
            <w:r>
              <w:rPr>
                <w:rFonts w:hint="default" w:ascii="Times New Roman" w:hAnsi="Times New Roman" w:cs="Times New Roman"/>
                <w:color w:val="000000" w:themeColor="text1"/>
                <w:lang w:val="en-US" w:eastAsia="zh-CN"/>
                <w14:textFill>
                  <w14:solidFill>
                    <w14:schemeClr w14:val="tx1"/>
                  </w14:solidFill>
                </w14:textFill>
              </w:rPr>
              <w:t>状</w:t>
            </w:r>
            <w:r>
              <w:rPr>
                <w:rFonts w:hint="default" w:ascii="Times New Roman" w:hAnsi="Times New Roman" w:cs="Times New Roman"/>
                <w:color w:val="000000" w:themeColor="text1"/>
                <w14:textFill>
                  <w14:solidFill>
                    <w14:schemeClr w14:val="tx1"/>
                  </w14:solidFill>
                </w14:textFill>
              </w:rPr>
              <w:t>情况如下：</w:t>
            </w:r>
          </w:p>
          <w:p w14:paraId="23CDD0CE">
            <w:pPr>
              <w:pStyle w:val="12"/>
              <w:keepNext/>
              <w:rPr>
                <w:rFonts w:hint="default" w:ascii="Times New Roman" w:hAnsi="Times New Roman" w:cs="Times New Roman"/>
                <w:color w:val="000000" w:themeColor="text1"/>
                <w14:textFill>
                  <w14:solidFill>
                    <w14:schemeClr w14:val="tx1"/>
                  </w14:solidFill>
                </w14:textFill>
              </w:rPr>
            </w:pPr>
            <w:bookmarkStart w:id="40" w:name="OLE_LINK176"/>
            <w:bookmarkStart w:id="41" w:name="OLE_LINK177"/>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SEQ 表 \* ARABIC \s 1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 xml:space="preserve"> </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202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年</w:t>
            </w:r>
            <w:r>
              <w:rPr>
                <w:rFonts w:hint="eastAsia" w:cs="Times New Roman"/>
                <w:color w:val="000000" w:themeColor="text1"/>
                <w:lang w:val="en-US" w:eastAsia="zh-CN"/>
                <w14:textFill>
                  <w14:solidFill>
                    <w14:schemeClr w14:val="tx1"/>
                  </w14:solidFill>
                </w14:textFill>
              </w:rPr>
              <w:t>平昌县</w:t>
            </w:r>
            <w:r>
              <w:rPr>
                <w:rFonts w:hint="default" w:ascii="Times New Roman" w:hAnsi="Times New Roman" w:cs="Times New Roman"/>
                <w:color w:val="000000" w:themeColor="text1"/>
                <w14:textFill>
                  <w14:solidFill>
                    <w14:schemeClr w14:val="tx1"/>
                  </w14:solidFill>
                </w14:textFill>
              </w:rPr>
              <w:t>基本污染物空气质量现状评价表</w:t>
            </w:r>
          </w:p>
          <w:bookmarkEnd w:id="40"/>
          <w:bookmarkEnd w:id="41"/>
          <w:tbl>
            <w:tblPr>
              <w:tblStyle w:val="29"/>
              <w:tblW w:w="5000"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82"/>
              <w:gridCol w:w="2437"/>
              <w:gridCol w:w="2113"/>
              <w:gridCol w:w="1790"/>
              <w:gridCol w:w="1134"/>
              <w:gridCol w:w="1134"/>
            </w:tblGrid>
            <w:tr w14:paraId="69D4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552A9D08">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污染物</w:t>
                  </w:r>
                </w:p>
              </w:tc>
              <w:tc>
                <w:tcPr>
                  <w:tcW w:w="1245" w:type="pct"/>
                  <w:vAlign w:val="center"/>
                </w:tcPr>
                <w:p w14:paraId="5ED725EE">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评价指标</w:t>
                  </w:r>
                </w:p>
              </w:tc>
              <w:tc>
                <w:tcPr>
                  <w:tcW w:w="1079" w:type="pct"/>
                  <w:vAlign w:val="center"/>
                </w:tcPr>
                <w:p w14:paraId="7ED6F61F">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年均浓度（µg/m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tc>
              <w:tc>
                <w:tcPr>
                  <w:tcW w:w="914" w:type="pct"/>
                  <w:vAlign w:val="center"/>
                </w:tcPr>
                <w:p w14:paraId="17ACFB3A">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标准值（µg/m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tc>
              <w:tc>
                <w:tcPr>
                  <w:tcW w:w="579" w:type="pct"/>
                  <w:vAlign w:val="center"/>
                </w:tcPr>
                <w:p w14:paraId="622E8C34">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占标率</w:t>
                  </w:r>
                </w:p>
              </w:tc>
              <w:tc>
                <w:tcPr>
                  <w:tcW w:w="578" w:type="pct"/>
                  <w:vAlign w:val="center"/>
                </w:tcPr>
                <w:p w14:paraId="2EC58035">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达标情况</w:t>
                  </w:r>
                </w:p>
              </w:tc>
            </w:tr>
            <w:tr w14:paraId="3857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0D88C978">
                  <w:pPr>
                    <w:pStyle w:val="13"/>
                    <w:rPr>
                      <w:rFonts w:hint="default" w:ascii="Times New Roman" w:hAnsi="Times New Roman" w:cs="Times New Roman"/>
                      <w:b w:val="0"/>
                      <w:bCs w:val="0"/>
                      <w:color w:val="000000" w:themeColor="text1"/>
                      <w14:textFill>
                        <w14:solidFill>
                          <w14:schemeClr w14:val="tx1"/>
                        </w14:solidFill>
                      </w14:textFill>
                    </w:rPr>
                  </w:pPr>
                  <w:bookmarkStart w:id="42" w:name="_Hlk206430742"/>
                  <w:r>
                    <w:rPr>
                      <w:rFonts w:hint="default" w:ascii="Times New Roman" w:hAnsi="Times New Roman" w:cs="Times New Roman"/>
                      <w:b w:val="0"/>
                      <w:bCs w:val="0"/>
                      <w:color w:val="000000" w:themeColor="text1"/>
                      <w14:textFill>
                        <w14:solidFill>
                          <w14:schemeClr w14:val="tx1"/>
                        </w14:solidFill>
                      </w14:textFill>
                    </w:rPr>
                    <w:t>SO</w:t>
                  </w:r>
                  <w:r>
                    <w:rPr>
                      <w:rFonts w:hint="default" w:ascii="Times New Roman" w:hAnsi="Times New Roman" w:cs="Times New Roman"/>
                      <w:b w:val="0"/>
                      <w:bCs w:val="0"/>
                      <w:color w:val="000000" w:themeColor="text1"/>
                      <w:vertAlign w:val="subscript"/>
                      <w14:textFill>
                        <w14:solidFill>
                          <w14:schemeClr w14:val="tx1"/>
                        </w14:solidFill>
                      </w14:textFill>
                    </w:rPr>
                    <w:t>2</w:t>
                  </w:r>
                </w:p>
              </w:tc>
              <w:tc>
                <w:tcPr>
                  <w:tcW w:w="1245" w:type="pct"/>
                  <w:vAlign w:val="center"/>
                </w:tcPr>
                <w:p w14:paraId="53A5A5D5">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年平均质量浓度</w:t>
                  </w:r>
                </w:p>
              </w:tc>
              <w:tc>
                <w:tcPr>
                  <w:tcW w:w="1079" w:type="pct"/>
                  <w:vAlign w:val="center"/>
                </w:tcPr>
                <w:p w14:paraId="14D7C0C9">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4.2</w:t>
                  </w:r>
                </w:p>
              </w:tc>
              <w:tc>
                <w:tcPr>
                  <w:tcW w:w="914" w:type="pct"/>
                  <w:vAlign w:val="center"/>
                </w:tcPr>
                <w:p w14:paraId="340BA1C8">
                  <w:pPr>
                    <w:pStyle w:val="13"/>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60</w:t>
                  </w:r>
                </w:p>
              </w:tc>
              <w:tc>
                <w:tcPr>
                  <w:tcW w:w="579" w:type="pct"/>
                  <w:vAlign w:val="center"/>
                </w:tcPr>
                <w:p w14:paraId="3D4A496D">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7</w:t>
                  </w:r>
                </w:p>
              </w:tc>
              <w:tc>
                <w:tcPr>
                  <w:tcW w:w="578" w:type="pct"/>
                  <w:vAlign w:val="center"/>
                </w:tcPr>
                <w:p w14:paraId="65EFB748">
                  <w:pPr>
                    <w:pStyle w:val="13"/>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32C3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0543A0A9">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NO</w:t>
                  </w:r>
                  <w:r>
                    <w:rPr>
                      <w:rFonts w:hint="default" w:ascii="Times New Roman" w:hAnsi="Times New Roman" w:cs="Times New Roman"/>
                      <w:b w:val="0"/>
                      <w:bCs w:val="0"/>
                      <w:color w:val="000000" w:themeColor="text1"/>
                      <w:vertAlign w:val="subscript"/>
                      <w14:textFill>
                        <w14:solidFill>
                          <w14:schemeClr w14:val="tx1"/>
                        </w14:solidFill>
                      </w14:textFill>
                    </w:rPr>
                    <w:t>2</w:t>
                  </w:r>
                </w:p>
              </w:tc>
              <w:tc>
                <w:tcPr>
                  <w:tcW w:w="1245" w:type="pct"/>
                  <w:vAlign w:val="center"/>
                </w:tcPr>
                <w:p w14:paraId="0E77297F">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年平均质量浓度</w:t>
                  </w:r>
                </w:p>
              </w:tc>
              <w:tc>
                <w:tcPr>
                  <w:tcW w:w="1079" w:type="pct"/>
                  <w:vAlign w:val="center"/>
                </w:tcPr>
                <w:p w14:paraId="0C7FA629">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9.7</w:t>
                  </w:r>
                </w:p>
              </w:tc>
              <w:tc>
                <w:tcPr>
                  <w:tcW w:w="914" w:type="pct"/>
                  <w:vAlign w:val="center"/>
                </w:tcPr>
                <w:p w14:paraId="18162F24">
                  <w:pPr>
                    <w:pStyle w:val="13"/>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40</w:t>
                  </w:r>
                </w:p>
              </w:tc>
              <w:tc>
                <w:tcPr>
                  <w:tcW w:w="579" w:type="pct"/>
                  <w:vAlign w:val="center"/>
                </w:tcPr>
                <w:p w14:paraId="261B2D0E">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24.25</w:t>
                  </w:r>
                </w:p>
              </w:tc>
              <w:tc>
                <w:tcPr>
                  <w:tcW w:w="578" w:type="pct"/>
                  <w:vAlign w:val="center"/>
                </w:tcPr>
                <w:p w14:paraId="7B9C35AB">
                  <w:pPr>
                    <w:pStyle w:val="13"/>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5B19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1EBC4982">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PM</w:t>
                  </w:r>
                  <w:r>
                    <w:rPr>
                      <w:rFonts w:hint="default" w:ascii="Times New Roman" w:hAnsi="Times New Roman" w:cs="Times New Roman"/>
                      <w:b w:val="0"/>
                      <w:bCs w:val="0"/>
                      <w:color w:val="000000" w:themeColor="text1"/>
                      <w:vertAlign w:val="subscript"/>
                      <w14:textFill>
                        <w14:solidFill>
                          <w14:schemeClr w14:val="tx1"/>
                        </w14:solidFill>
                      </w14:textFill>
                    </w:rPr>
                    <w:t>10</w:t>
                  </w:r>
                </w:p>
              </w:tc>
              <w:tc>
                <w:tcPr>
                  <w:tcW w:w="1245" w:type="pct"/>
                  <w:vAlign w:val="center"/>
                </w:tcPr>
                <w:p w14:paraId="385CB2E1">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年平均质量浓度</w:t>
                  </w:r>
                </w:p>
              </w:tc>
              <w:tc>
                <w:tcPr>
                  <w:tcW w:w="1079" w:type="pct"/>
                  <w:vAlign w:val="center"/>
                </w:tcPr>
                <w:p w14:paraId="5747337C">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40.3</w:t>
                  </w:r>
                </w:p>
              </w:tc>
              <w:tc>
                <w:tcPr>
                  <w:tcW w:w="914" w:type="pct"/>
                  <w:vAlign w:val="center"/>
                </w:tcPr>
                <w:p w14:paraId="618EFC67">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60</w:t>
                  </w:r>
                </w:p>
              </w:tc>
              <w:tc>
                <w:tcPr>
                  <w:tcW w:w="579" w:type="pct"/>
                  <w:vAlign w:val="center"/>
                </w:tcPr>
                <w:p w14:paraId="4575EBE3">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67.17</w:t>
                  </w:r>
                </w:p>
              </w:tc>
              <w:tc>
                <w:tcPr>
                  <w:tcW w:w="578" w:type="pct"/>
                  <w:vAlign w:val="center"/>
                </w:tcPr>
                <w:p w14:paraId="57E72F97">
                  <w:pPr>
                    <w:pStyle w:val="13"/>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1B4D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01829321">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PM</w:t>
                  </w:r>
                  <w:r>
                    <w:rPr>
                      <w:rFonts w:hint="default" w:ascii="Times New Roman" w:hAnsi="Times New Roman" w:cs="Times New Roman"/>
                      <w:b w:val="0"/>
                      <w:bCs w:val="0"/>
                      <w:color w:val="000000" w:themeColor="text1"/>
                      <w:vertAlign w:val="subscript"/>
                      <w14:textFill>
                        <w14:solidFill>
                          <w14:schemeClr w14:val="tx1"/>
                        </w14:solidFill>
                      </w14:textFill>
                    </w:rPr>
                    <w:t>2.5</w:t>
                  </w:r>
                </w:p>
              </w:tc>
              <w:tc>
                <w:tcPr>
                  <w:tcW w:w="1245" w:type="pct"/>
                  <w:vAlign w:val="center"/>
                </w:tcPr>
                <w:p w14:paraId="09530905">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年平均质量浓度</w:t>
                  </w:r>
                </w:p>
              </w:tc>
              <w:tc>
                <w:tcPr>
                  <w:tcW w:w="1079" w:type="pct"/>
                  <w:vAlign w:val="center"/>
                </w:tcPr>
                <w:p w14:paraId="518DC8DA">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25.4</w:t>
                  </w:r>
                </w:p>
              </w:tc>
              <w:tc>
                <w:tcPr>
                  <w:tcW w:w="914" w:type="pct"/>
                  <w:vAlign w:val="center"/>
                </w:tcPr>
                <w:p w14:paraId="475F35D7">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30</w:t>
                  </w:r>
                </w:p>
              </w:tc>
              <w:tc>
                <w:tcPr>
                  <w:tcW w:w="579" w:type="pct"/>
                  <w:vAlign w:val="center"/>
                </w:tcPr>
                <w:p w14:paraId="2AA144C9">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84.67</w:t>
                  </w:r>
                </w:p>
              </w:tc>
              <w:tc>
                <w:tcPr>
                  <w:tcW w:w="578" w:type="pct"/>
                  <w:vAlign w:val="center"/>
                </w:tcPr>
                <w:p w14:paraId="07D89808">
                  <w:pPr>
                    <w:pStyle w:val="13"/>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0757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7A3FB400">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CO</w:t>
                  </w:r>
                </w:p>
              </w:tc>
              <w:tc>
                <w:tcPr>
                  <w:tcW w:w="1245" w:type="pct"/>
                  <w:vAlign w:val="center"/>
                </w:tcPr>
                <w:p w14:paraId="78E96386">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日均第95百分位数</w:t>
                  </w:r>
                </w:p>
              </w:tc>
              <w:tc>
                <w:tcPr>
                  <w:tcW w:w="1079" w:type="pct"/>
                  <w:vAlign w:val="center"/>
                </w:tcPr>
                <w:p w14:paraId="2C9C11E1">
                  <w:pPr>
                    <w:pStyle w:val="13"/>
                    <w:bidi w:val="0"/>
                    <w:ind w:firstLine="0" w:firstLineChars="0"/>
                    <w:rPr>
                      <w:rFonts w:hint="default" w:ascii="Times New Roman" w:hAnsi="Times New Roman" w:cs="Times New Roman"/>
                      <w:b w:val="0"/>
                      <w:bCs w:val="0"/>
                      <w:color w:val="000000" w:themeColor="text1"/>
                      <w:lang w:val="en-US"/>
                      <w14:textFill>
                        <w14:solidFill>
                          <w14:schemeClr w14:val="tx1"/>
                        </w14:solidFill>
                      </w14:textFill>
                    </w:rPr>
                  </w:pPr>
                  <w:r>
                    <w:rPr>
                      <w:rFonts w:hint="eastAsia"/>
                      <w:b w:val="0"/>
                      <w:bCs w:val="0"/>
                      <w:color w:val="000000" w:themeColor="text1"/>
                      <w:lang w:val="en-US" w:eastAsia="zh-CN"/>
                      <w14:textFill>
                        <w14:solidFill>
                          <w14:schemeClr w14:val="tx1"/>
                        </w14:solidFill>
                      </w14:textFill>
                    </w:rPr>
                    <w:t>1300</w:t>
                  </w:r>
                </w:p>
              </w:tc>
              <w:tc>
                <w:tcPr>
                  <w:tcW w:w="914" w:type="pct"/>
                  <w:vAlign w:val="center"/>
                </w:tcPr>
                <w:p w14:paraId="7A66A480">
                  <w:pPr>
                    <w:pStyle w:val="13"/>
                    <w:bidi w:val="0"/>
                    <w:ind w:firstLine="0" w:firstLineChars="0"/>
                    <w:rPr>
                      <w:rFonts w:hint="default" w:ascii="Times New Roman" w:hAnsi="Times New Roman" w:cs="Times New Roman"/>
                      <w:b w:val="0"/>
                      <w:bCs w:val="0"/>
                      <w:color w:val="000000" w:themeColor="text1"/>
                      <w:lang w:val="en-US"/>
                      <w14:textFill>
                        <w14:solidFill>
                          <w14:schemeClr w14:val="tx1"/>
                        </w14:solidFill>
                      </w14:textFill>
                    </w:rPr>
                  </w:pPr>
                  <w:r>
                    <w:rPr>
                      <w:rFonts w:hint="eastAsia"/>
                      <w:b w:val="0"/>
                      <w:bCs w:val="0"/>
                      <w:color w:val="000000" w:themeColor="text1"/>
                      <w:lang w:val="en-US" w:eastAsia="zh-CN"/>
                      <w14:textFill>
                        <w14:solidFill>
                          <w14:schemeClr w14:val="tx1"/>
                        </w14:solidFill>
                      </w14:textFill>
                    </w:rPr>
                    <w:t>4000</w:t>
                  </w:r>
                </w:p>
              </w:tc>
              <w:tc>
                <w:tcPr>
                  <w:tcW w:w="579" w:type="pct"/>
                  <w:vAlign w:val="center"/>
                </w:tcPr>
                <w:p w14:paraId="4EC1B271">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32.5</w:t>
                  </w:r>
                </w:p>
              </w:tc>
              <w:tc>
                <w:tcPr>
                  <w:tcW w:w="578" w:type="pct"/>
                  <w:vAlign w:val="center"/>
                </w:tcPr>
                <w:p w14:paraId="77E78146">
                  <w:pPr>
                    <w:pStyle w:val="13"/>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68A4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3B4B810C">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O</w:t>
                  </w:r>
                  <w:r>
                    <w:rPr>
                      <w:rFonts w:hint="default" w:ascii="Times New Roman" w:hAnsi="Times New Roman" w:cs="Times New Roman"/>
                      <w:b w:val="0"/>
                      <w:bCs w:val="0"/>
                      <w:color w:val="000000" w:themeColor="text1"/>
                      <w:vertAlign w:val="subscript"/>
                      <w14:textFill>
                        <w14:solidFill>
                          <w14:schemeClr w14:val="tx1"/>
                        </w14:solidFill>
                      </w14:textFill>
                    </w:rPr>
                    <w:t>3</w:t>
                  </w:r>
                </w:p>
              </w:tc>
              <w:tc>
                <w:tcPr>
                  <w:tcW w:w="1245" w:type="pct"/>
                  <w:vAlign w:val="center"/>
                </w:tcPr>
                <w:p w14:paraId="5AA280B9">
                  <w:pPr>
                    <w:pStyle w:val="13"/>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日最大8小时均值</w:t>
                  </w:r>
                </w:p>
              </w:tc>
              <w:tc>
                <w:tcPr>
                  <w:tcW w:w="1079" w:type="pct"/>
                  <w:vAlign w:val="center"/>
                </w:tcPr>
                <w:p w14:paraId="27313178">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134</w:t>
                  </w:r>
                </w:p>
              </w:tc>
              <w:tc>
                <w:tcPr>
                  <w:tcW w:w="914" w:type="pct"/>
                  <w:vAlign w:val="center"/>
                </w:tcPr>
                <w:p w14:paraId="25439087">
                  <w:pPr>
                    <w:pStyle w:val="13"/>
                    <w:bidi w:val="0"/>
                    <w:ind w:firstLine="0" w:firstLineChars="0"/>
                    <w:rPr>
                      <w:rFonts w:hint="default" w:ascii="Times New Roman" w:hAnsi="Times New Roman" w:cs="Times New Roman"/>
                      <w:b w:val="0"/>
                      <w:bCs w:val="0"/>
                      <w:color w:val="000000" w:themeColor="text1"/>
                      <w:lang w:val="en-US"/>
                      <w14:textFill>
                        <w14:solidFill>
                          <w14:schemeClr w14:val="tx1"/>
                        </w14:solidFill>
                      </w14:textFill>
                    </w:rPr>
                  </w:pPr>
                  <w:r>
                    <w:rPr>
                      <w:rFonts w:hint="eastAsia"/>
                      <w:b w:val="0"/>
                      <w:bCs w:val="0"/>
                      <w:color w:val="000000" w:themeColor="text1"/>
                      <w:lang w:val="en-US" w:eastAsia="zh-CN"/>
                      <w14:textFill>
                        <w14:solidFill>
                          <w14:schemeClr w14:val="tx1"/>
                        </w14:solidFill>
                      </w14:textFill>
                    </w:rPr>
                    <w:t>160</w:t>
                  </w:r>
                </w:p>
              </w:tc>
              <w:tc>
                <w:tcPr>
                  <w:tcW w:w="579" w:type="pct"/>
                  <w:vAlign w:val="center"/>
                </w:tcPr>
                <w:p w14:paraId="2C0C4CE8">
                  <w:pPr>
                    <w:pStyle w:val="13"/>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83.75</w:t>
                  </w:r>
                </w:p>
              </w:tc>
              <w:tc>
                <w:tcPr>
                  <w:tcW w:w="578" w:type="pct"/>
                  <w:vAlign w:val="center"/>
                </w:tcPr>
                <w:p w14:paraId="6EEF2D28">
                  <w:pPr>
                    <w:pStyle w:val="13"/>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0234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000" w:type="pct"/>
                  <w:gridSpan w:val="6"/>
                  <w:vAlign w:val="center"/>
                </w:tcPr>
                <w:p w14:paraId="12BDDDFB">
                  <w:pPr>
                    <w:pStyle w:val="13"/>
                    <w:bidi w:val="0"/>
                    <w:ind w:firstLine="0" w:firstLineChars="0"/>
                    <w:jc w:val="left"/>
                    <w:rPr>
                      <w:rFonts w:hint="default"/>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注：《环境空气质量标准》（GB3095-2026）于2026年3月1日起施行，旧标准已被替代，尽管本项目引用监测数据为2025年数据，但因原有标准已被替代，仅对照新标准过渡区限值要求进行评价。</w:t>
                  </w:r>
                </w:p>
              </w:tc>
            </w:tr>
            <w:bookmarkEnd w:id="42"/>
          </w:tbl>
          <w:p w14:paraId="06D408F9">
            <w:pPr>
              <w:bidi w:val="0"/>
              <w:rPr>
                <w:rFonts w:hint="default"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综上</w:t>
            </w:r>
            <w:r>
              <w:rPr>
                <w:rFonts w:hint="eastAsia" w:ascii="Times New Roman" w:hAnsi="Times New Roman" w:eastAsia="宋体"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项目所在区域内六项污染物均满足《环境空气质量标准》（GB3095-2012）中二级标准限值，同时满足《环境空气质量标准》（GB3095-2026）中过渡阶段（2026年3月1日—2030年12月31日）的二级标准限值。因此，本项目所在区域属于达标区，环境空气质量良好。</w:t>
            </w:r>
          </w:p>
          <w:p w14:paraId="47D6B8F3">
            <w:pPr>
              <w:ind w:firstLine="480"/>
              <w:rPr>
                <w:rFonts w:hint="default"/>
                <w:b/>
                <w:bCs/>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2</w:t>
            </w:r>
            <w:r>
              <w:rPr>
                <w:rFonts w:hint="eastAsia"/>
                <w:b/>
                <w:bCs/>
                <w:color w:val="000000" w:themeColor="text1"/>
                <w:lang w:eastAsia="zh-CN"/>
                <w14:textFill>
                  <w14:solidFill>
                    <w14:schemeClr w14:val="tx1"/>
                  </w14:solidFill>
                </w14:textFill>
              </w:rPr>
              <w:t>）</w:t>
            </w:r>
            <w:r>
              <w:rPr>
                <w:rFonts w:hint="default"/>
                <w:b/>
                <w:bCs/>
                <w:color w:val="000000" w:themeColor="text1"/>
                <w14:textFill>
                  <w14:solidFill>
                    <w14:schemeClr w14:val="tx1"/>
                  </w14:solidFill>
                </w14:textFill>
              </w:rPr>
              <w:t>其他</w:t>
            </w:r>
            <w:r>
              <w:rPr>
                <w:rFonts w:hint="default" w:ascii="Times New Roman" w:hAnsi="Times New Roman" w:eastAsia="宋体" w:cs="Times New Roman"/>
                <w:b/>
                <w:bCs/>
                <w:color w:val="000000" w:themeColor="text1"/>
                <w14:textFill>
                  <w14:solidFill>
                    <w14:schemeClr w14:val="tx1"/>
                  </w14:solidFill>
                </w14:textFill>
              </w:rPr>
              <w:t>污染物</w:t>
            </w:r>
            <w:r>
              <w:rPr>
                <w:rFonts w:hint="default"/>
                <w:b/>
                <w:bCs/>
                <w:color w:val="000000" w:themeColor="text1"/>
                <w14:textFill>
                  <w14:solidFill>
                    <w14:schemeClr w14:val="tx1"/>
                  </w14:solidFill>
                </w14:textFill>
              </w:rPr>
              <w:t>环境质量现状</w:t>
            </w:r>
          </w:p>
          <w:p w14:paraId="26FB648B">
            <w:pPr>
              <w:ind w:firstLine="48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本项目重金属（镉、汞、铅、砷、六价铬）、氯化氢、TSP、氟化物、二噁英、非甲烷总烃、氮氧化物的检测引用《平昌县油气开发废弃物资源化综合利用项目》委托</w:t>
            </w:r>
            <w:r>
              <w:rPr>
                <w:rFonts w:hint="eastAsia" w:ascii="Times New Roman" w:hAnsi="Times New Roman"/>
                <w:smallCaps w:val="0"/>
                <w:color w:val="000000" w:themeColor="text1"/>
                <w:kern w:val="2"/>
                <w:szCs w:val="22"/>
                <w:lang w:val="en-US" w:eastAsia="zh-CN"/>
                <w14:textFill>
                  <w14:solidFill>
                    <w14:schemeClr w14:val="tx1"/>
                  </w14:solidFill>
                </w14:textFill>
              </w:rPr>
              <w:t>四川微谱检测技术有限公司于2026年3月1日~3月8日</w:t>
            </w:r>
            <w:r>
              <w:rPr>
                <w:rFonts w:hint="eastAsia"/>
                <w:smallCaps w:val="0"/>
                <w:color w:val="000000" w:themeColor="text1"/>
                <w:kern w:val="2"/>
                <w:szCs w:val="22"/>
                <w:lang w:val="en-US" w:eastAsia="zh-CN"/>
                <w14:textFill>
                  <w14:solidFill>
                    <w14:schemeClr w14:val="tx1"/>
                  </w14:solidFill>
                </w14:textFill>
              </w:rPr>
              <w:t>对项目区</w:t>
            </w:r>
            <w:r>
              <w:rPr>
                <w:rFonts w:hint="eastAsia" w:ascii="Times New Roman" w:hAnsi="Times New Roman"/>
                <w:smallCaps w:val="0"/>
                <w:color w:val="000000" w:themeColor="text1"/>
                <w:kern w:val="2"/>
                <w:szCs w:val="22"/>
                <w:lang w:val="en-US" w:eastAsia="zh-CN"/>
                <w14:textFill>
                  <w14:solidFill>
                    <w14:schemeClr w14:val="tx1"/>
                  </w14:solidFill>
                </w14:textFill>
              </w:rPr>
              <w:t>进行的检测，检测报告</w:t>
            </w:r>
            <w:r>
              <w:rPr>
                <w:rFonts w:hint="eastAsia"/>
                <w:smallCaps w:val="0"/>
                <w:color w:val="000000" w:themeColor="text1"/>
                <w:kern w:val="2"/>
                <w:szCs w:val="22"/>
                <w:lang w:val="en-US" w:eastAsia="zh-CN"/>
                <w14:textFill>
                  <w14:solidFill>
                    <w14:schemeClr w14:val="tx1"/>
                  </w14:solidFill>
                </w14:textFill>
              </w:rPr>
              <w:t>编号</w:t>
            </w:r>
            <w:r>
              <w:rPr>
                <w:rFonts w:hint="eastAsia" w:ascii="Times New Roman" w:hAnsi="Times New Roman"/>
                <w:smallCaps w:val="0"/>
                <w:color w:val="000000" w:themeColor="text1"/>
                <w:kern w:val="2"/>
                <w:szCs w:val="22"/>
                <w:lang w:val="en-US" w:eastAsia="zh-CN"/>
                <w14:textFill>
                  <w14:solidFill>
                    <w14:schemeClr w14:val="tx1"/>
                  </w14:solidFill>
                </w14:textFill>
              </w:rPr>
              <w:t>为WSC-j-35-26020032-01-JC-01C</w:t>
            </w:r>
            <w:r>
              <w:rPr>
                <w:rFonts w:hint="eastAsia"/>
                <w:smallCaps w:val="0"/>
                <w:color w:val="000000" w:themeColor="text1"/>
                <w:kern w:val="2"/>
                <w:szCs w:val="22"/>
                <w:lang w:val="en-US" w:eastAsia="zh-CN"/>
                <w14:textFill>
                  <w14:solidFill>
                    <w14:schemeClr w14:val="tx1"/>
                  </w14:solidFill>
                </w14:textFill>
              </w:rPr>
              <w:t>1</w:t>
            </w:r>
            <w:r>
              <w:rPr>
                <w:rFonts w:hint="eastAsia" w:ascii="Times New Roman" w:hAnsi="Times New Roman"/>
                <w:smallCaps w:val="0"/>
                <w:color w:val="000000" w:themeColor="text1"/>
                <w:kern w:val="2"/>
                <w:szCs w:val="22"/>
                <w:lang w:val="en-US" w:eastAsia="zh-CN"/>
                <w14:textFill>
                  <w14:solidFill>
                    <w14:schemeClr w14:val="tx1"/>
                  </w14:solidFill>
                </w14:textFill>
              </w:rPr>
              <w:t>。该项目检测点位位于本项目西南侧</w:t>
            </w:r>
            <w:r>
              <w:rPr>
                <w:rFonts w:hint="eastAsia"/>
                <w:smallCaps w:val="0"/>
                <w:color w:val="000000" w:themeColor="text1"/>
                <w:kern w:val="2"/>
                <w:szCs w:val="22"/>
                <w:lang w:val="en-US" w:eastAsia="zh-CN"/>
                <w14:textFill>
                  <w14:solidFill>
                    <w14:schemeClr w14:val="tx1"/>
                  </w14:solidFill>
                </w14:textFill>
              </w:rPr>
              <w:t>1.78</w:t>
            </w:r>
            <w:r>
              <w:rPr>
                <w:rFonts w:hint="eastAsia" w:ascii="Times New Roman" w:hAnsi="Times New Roman"/>
                <w:smallCaps w:val="0"/>
                <w:color w:val="000000" w:themeColor="text1"/>
                <w:kern w:val="2"/>
                <w:szCs w:val="22"/>
                <w:lang w:val="en-US" w:eastAsia="zh-CN"/>
                <w14:textFill>
                  <w14:solidFill>
                    <w14:schemeClr w14:val="tx1"/>
                  </w14:solidFill>
                </w14:textFill>
              </w:rPr>
              <w:t>km处。以上引用的数据均在三年时限内，可代表本项目其他大气污染物现状。</w:t>
            </w:r>
            <w:r>
              <w:rPr>
                <w:rFonts w:hint="eastAsia"/>
                <w:smallCaps w:val="0"/>
                <w:color w:val="000000" w:themeColor="text1"/>
                <w:kern w:val="2"/>
                <w:szCs w:val="22"/>
                <w:lang w:val="en-US" w:eastAsia="zh-CN"/>
                <w14:textFill>
                  <w14:solidFill>
                    <w14:schemeClr w14:val="tx1"/>
                  </w14:solidFill>
                </w14:textFill>
              </w:rPr>
              <w:t>具体数据详见大气专项报告。</w:t>
            </w:r>
          </w:p>
          <w:p w14:paraId="1D01DE15">
            <w:pPr>
              <w:widowControl w:val="0"/>
              <w:snapToGrid w:val="0"/>
              <w:spacing w:line="360" w:lineRule="auto"/>
              <w:ind w:firstLine="465"/>
              <w:rPr>
                <w:rFonts w:hint="default" w:ascii="Times New Roman" w:hAnsi="Times New Roman" w:eastAsia="宋体" w:cs="Times New Roman"/>
                <w:color w:val="000000" w:themeColor="text1"/>
                <w:kern w:val="2"/>
                <w:sz w:val="24"/>
                <w:szCs w:val="20"/>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0"/>
                <w:highlight w:val="none"/>
                <w:lang w:val="en-US" w:eastAsia="zh-CN"/>
                <w14:textFill>
                  <w14:solidFill>
                    <w14:schemeClr w14:val="tx1"/>
                  </w14:solidFill>
                </w14:textFill>
              </w:rPr>
              <w:t>区域环境空气其他污染物现状评价结果</w:t>
            </w:r>
            <w:r>
              <w:rPr>
                <w:rFonts w:hint="default" w:ascii="Times New Roman" w:hAnsi="Times New Roman" w:eastAsia="宋体" w:cs="Times New Roman"/>
                <w:color w:val="000000" w:themeColor="text1"/>
                <w:kern w:val="2"/>
                <w:sz w:val="24"/>
                <w:szCs w:val="20"/>
                <w:highlight w:val="none"/>
                <w14:textFill>
                  <w14:solidFill>
                    <w14:schemeClr w14:val="tx1"/>
                  </w14:solidFill>
                </w14:textFill>
              </w:rPr>
              <w:t>如下</w:t>
            </w:r>
            <w:r>
              <w:rPr>
                <w:rFonts w:hint="eastAsia" w:ascii="Times New Roman" w:hAnsi="Times New Roman" w:eastAsia="宋体" w:cs="Times New Roman"/>
                <w:color w:val="000000" w:themeColor="text1"/>
                <w:kern w:val="2"/>
                <w:sz w:val="24"/>
                <w:szCs w:val="20"/>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kern w:val="2"/>
                <w:sz w:val="24"/>
                <w:szCs w:val="20"/>
                <w:highlight w:val="none"/>
                <w14:textFill>
                  <w14:solidFill>
                    <w14:schemeClr w14:val="tx1"/>
                  </w14:solidFill>
                </w14:textFill>
              </w:rPr>
              <w:t>：</w:t>
            </w:r>
          </w:p>
          <w:p w14:paraId="458AC07E">
            <w:pPr>
              <w:widowControl w:val="0"/>
              <w:snapToGrid w:val="0"/>
              <w:spacing w:line="240" w:lineRule="auto"/>
              <w:jc w:val="center"/>
              <w:rPr>
                <w:rFonts w:hint="default" w:ascii="Times New Roman" w:hAnsi="Times New Roman" w:eastAsia="宋体" w:cs="Times New Roman"/>
                <w:b/>
                <w:color w:val="000000" w:themeColor="text1"/>
                <w:spacing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pacing w:val="0"/>
                <w:sz w:val="21"/>
                <w:szCs w:val="21"/>
                <w:highlight w:val="none"/>
                <w:lang w:val="en-US" w:eastAsia="zh-CN" w:bidi="ar-SA"/>
                <w14:textFill>
                  <w14:solidFill>
                    <w14:schemeClr w14:val="tx1"/>
                  </w14:solidFill>
                </w14:textFill>
              </w:rPr>
              <w:t>表</w:t>
            </w:r>
            <w:r>
              <w:rPr>
                <w:rFonts w:hint="eastAsia" w:ascii="Times New Roman" w:hAnsi="Times New Roman" w:eastAsia="宋体" w:cs="Times New Roman"/>
                <w:b/>
                <w:color w:val="000000" w:themeColor="text1"/>
                <w:spacing w:val="0"/>
                <w:sz w:val="21"/>
                <w:szCs w:val="21"/>
                <w:highlight w:val="none"/>
                <w:lang w:val="en-US" w:eastAsia="zh-CN" w:bidi="ar-SA"/>
                <w14:textFill>
                  <w14:solidFill>
                    <w14:schemeClr w14:val="tx1"/>
                  </w14:solidFill>
                </w14:textFill>
              </w:rPr>
              <w:t>3-</w:t>
            </w:r>
            <w:r>
              <w:rPr>
                <w:rFonts w:hint="eastAsia" w:cs="Times New Roman"/>
                <w:b/>
                <w:color w:val="000000" w:themeColor="text1"/>
                <w:spacing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color w:val="000000" w:themeColor="text1"/>
                <w:spacing w:val="0"/>
                <w:sz w:val="21"/>
                <w:szCs w:val="21"/>
                <w:highlight w:val="none"/>
                <w:lang w:val="en-US" w:eastAsia="zh-CN" w:bidi="ar-SA"/>
                <w14:textFill>
                  <w14:solidFill>
                    <w14:schemeClr w14:val="tx1"/>
                  </w14:solidFill>
                </w14:textFill>
              </w:rPr>
              <w:t xml:space="preserve"> 环境空气现状评价质量统计及评价结果</w:t>
            </w:r>
          </w:p>
          <w:tbl>
            <w:tblPr>
              <w:tblStyle w:val="2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7"/>
              <w:gridCol w:w="1880"/>
              <w:gridCol w:w="2379"/>
              <w:gridCol w:w="2203"/>
              <w:gridCol w:w="1351"/>
            </w:tblGrid>
            <w:tr w14:paraId="3062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62C17318">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监测项目</w:t>
                  </w:r>
                </w:p>
              </w:tc>
              <w:tc>
                <w:tcPr>
                  <w:tcW w:w="961" w:type="pct"/>
                  <w:tcBorders>
                    <w:tl2br w:val="nil"/>
                    <w:tr2bl w:val="nil"/>
                  </w:tcBorders>
                  <w:noWrap w:val="0"/>
                  <w:vAlign w:val="center"/>
                </w:tcPr>
                <w:p w14:paraId="0C5B9D0A">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平均时间</w:t>
                  </w:r>
                </w:p>
              </w:tc>
              <w:tc>
                <w:tcPr>
                  <w:tcW w:w="1216" w:type="pct"/>
                  <w:tcBorders>
                    <w:tl2br w:val="nil"/>
                    <w:tr2bl w:val="nil"/>
                  </w:tcBorders>
                  <w:noWrap w:val="0"/>
                  <w:vAlign w:val="center"/>
                </w:tcPr>
                <w:p w14:paraId="7A62CA4F">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最大值浓度（mg/m</w:t>
                  </w:r>
                  <w:r>
                    <w:rPr>
                      <w:rFonts w:hint="default" w:ascii="Times New Roman" w:hAnsi="Times New Roman" w:eastAsia="宋体" w:cs="Times New Roman"/>
                      <w:b/>
                      <w:bCs/>
                      <w:color w:val="000000" w:themeColor="text1"/>
                      <w:spacing w:val="0"/>
                      <w:kern w:val="0"/>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w:t>
                  </w:r>
                </w:p>
              </w:tc>
              <w:tc>
                <w:tcPr>
                  <w:tcW w:w="1126" w:type="pct"/>
                  <w:tcBorders>
                    <w:tl2br w:val="nil"/>
                    <w:tr2bl w:val="nil"/>
                  </w:tcBorders>
                  <w:noWrap w:val="0"/>
                  <w:vAlign w:val="center"/>
                </w:tcPr>
                <w:p w14:paraId="0E9A7A95">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评价标准（mg/m</w:t>
                  </w:r>
                  <w:r>
                    <w:rPr>
                      <w:rFonts w:hint="default" w:ascii="Times New Roman" w:hAnsi="Times New Roman" w:eastAsia="宋体" w:cs="Times New Roman"/>
                      <w:b/>
                      <w:bCs/>
                      <w:color w:val="000000" w:themeColor="text1"/>
                      <w:spacing w:val="0"/>
                      <w:kern w:val="0"/>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w:t>
                  </w:r>
                </w:p>
              </w:tc>
              <w:tc>
                <w:tcPr>
                  <w:tcW w:w="690" w:type="pct"/>
                  <w:tcBorders>
                    <w:tl2br w:val="nil"/>
                    <w:tr2bl w:val="nil"/>
                  </w:tcBorders>
                  <w:noWrap w:val="0"/>
                  <w:vAlign w:val="center"/>
                </w:tcPr>
                <w:p w14:paraId="39C34F9C">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达标情况</w:t>
                  </w:r>
                </w:p>
              </w:tc>
            </w:tr>
            <w:tr w14:paraId="48DD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restart"/>
                  <w:tcBorders>
                    <w:tl2br w:val="nil"/>
                    <w:tr2bl w:val="nil"/>
                  </w:tcBorders>
                  <w:noWrap w:val="0"/>
                  <w:vAlign w:val="center"/>
                </w:tcPr>
                <w:p w14:paraId="34EB3462">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氟化物</w:t>
                  </w:r>
                </w:p>
              </w:tc>
              <w:tc>
                <w:tcPr>
                  <w:tcW w:w="961" w:type="pct"/>
                  <w:tcBorders>
                    <w:tl2br w:val="nil"/>
                    <w:tr2bl w:val="nil"/>
                  </w:tcBorders>
                  <w:noWrap w:val="0"/>
                  <w:vAlign w:val="center"/>
                </w:tcPr>
                <w:p w14:paraId="3F64884D">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06E21280">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ND</w:t>
                  </w:r>
                </w:p>
              </w:tc>
              <w:tc>
                <w:tcPr>
                  <w:tcW w:w="1126" w:type="pct"/>
                  <w:tcBorders>
                    <w:tl2br w:val="nil"/>
                    <w:tr2bl w:val="nil"/>
                  </w:tcBorders>
                  <w:noWrap w:val="0"/>
                  <w:vAlign w:val="center"/>
                </w:tcPr>
                <w:p w14:paraId="03A946C2">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0.007</w:t>
                  </w:r>
                </w:p>
              </w:tc>
              <w:tc>
                <w:tcPr>
                  <w:tcW w:w="690" w:type="pct"/>
                  <w:tcBorders>
                    <w:tl2br w:val="nil"/>
                    <w:tr2bl w:val="nil"/>
                  </w:tcBorders>
                  <w:noWrap w:val="0"/>
                  <w:vAlign w:val="center"/>
                </w:tcPr>
                <w:p w14:paraId="26D2700E">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3A7B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continue"/>
                  <w:tcBorders>
                    <w:tl2br w:val="nil"/>
                    <w:tr2bl w:val="nil"/>
                  </w:tcBorders>
                  <w:noWrap w:val="0"/>
                  <w:vAlign w:val="center"/>
                </w:tcPr>
                <w:p w14:paraId="58804D9E">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61" w:type="pct"/>
                  <w:tcBorders>
                    <w:tl2br w:val="nil"/>
                    <w:tr2bl w:val="nil"/>
                  </w:tcBorders>
                  <w:noWrap w:val="0"/>
                  <w:vAlign w:val="center"/>
                </w:tcPr>
                <w:p w14:paraId="68F75650">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1小时平均</w:t>
                  </w:r>
                </w:p>
              </w:tc>
              <w:tc>
                <w:tcPr>
                  <w:tcW w:w="1216" w:type="pct"/>
                  <w:tcBorders>
                    <w:tl2br w:val="nil"/>
                    <w:tr2bl w:val="nil"/>
                  </w:tcBorders>
                  <w:noWrap w:val="0"/>
                  <w:vAlign w:val="center"/>
                </w:tcPr>
                <w:p w14:paraId="33466E9E">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1.5</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-3</w:t>
                  </w:r>
                </w:p>
              </w:tc>
              <w:tc>
                <w:tcPr>
                  <w:tcW w:w="1126" w:type="pct"/>
                  <w:tcBorders>
                    <w:tl2br w:val="nil"/>
                    <w:tr2bl w:val="nil"/>
                  </w:tcBorders>
                  <w:noWrap w:val="0"/>
                  <w:vAlign w:val="center"/>
                </w:tcPr>
                <w:p w14:paraId="0F6F00C6">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0.02</w:t>
                  </w:r>
                </w:p>
              </w:tc>
              <w:tc>
                <w:tcPr>
                  <w:tcW w:w="690" w:type="pct"/>
                  <w:tcBorders>
                    <w:tl2br w:val="nil"/>
                    <w:tr2bl w:val="nil"/>
                  </w:tcBorders>
                  <w:noWrap w:val="0"/>
                  <w:vAlign w:val="center"/>
                </w:tcPr>
                <w:p w14:paraId="67E97CC5">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5568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293CA450">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总悬浮颗粒物</w:t>
                  </w:r>
                </w:p>
              </w:tc>
              <w:tc>
                <w:tcPr>
                  <w:tcW w:w="961" w:type="pct"/>
                  <w:tcBorders>
                    <w:tl2br w:val="nil"/>
                    <w:tr2bl w:val="nil"/>
                  </w:tcBorders>
                  <w:noWrap w:val="0"/>
                  <w:vAlign w:val="center"/>
                </w:tcPr>
                <w:p w14:paraId="3581E6D9">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24BE8BE6">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w:t>
                  </w: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80</w:t>
                  </w:r>
                </w:p>
              </w:tc>
              <w:tc>
                <w:tcPr>
                  <w:tcW w:w="1126" w:type="pct"/>
                  <w:tcBorders>
                    <w:tl2br w:val="nil"/>
                    <w:tr2bl w:val="nil"/>
                  </w:tcBorders>
                  <w:noWrap w:val="0"/>
                  <w:vAlign w:val="center"/>
                </w:tcPr>
                <w:p w14:paraId="0FD9C19C">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0.3</w:t>
                  </w:r>
                </w:p>
              </w:tc>
              <w:tc>
                <w:tcPr>
                  <w:tcW w:w="690" w:type="pct"/>
                  <w:tcBorders>
                    <w:tl2br w:val="nil"/>
                    <w:tr2bl w:val="nil"/>
                  </w:tcBorders>
                  <w:noWrap w:val="0"/>
                  <w:vAlign w:val="center"/>
                </w:tcPr>
                <w:p w14:paraId="578C255F">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1EA6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restart"/>
                  <w:tcBorders>
                    <w:tl2br w:val="nil"/>
                    <w:tr2bl w:val="nil"/>
                  </w:tcBorders>
                  <w:noWrap w:val="0"/>
                  <w:vAlign w:val="center"/>
                </w:tcPr>
                <w:p w14:paraId="5447F4D0">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氮氧化物</w:t>
                  </w:r>
                </w:p>
              </w:tc>
              <w:tc>
                <w:tcPr>
                  <w:tcW w:w="961" w:type="pct"/>
                  <w:tcBorders>
                    <w:tl2br w:val="nil"/>
                    <w:tr2bl w:val="nil"/>
                  </w:tcBorders>
                  <w:shd w:val="clear" w:color="auto" w:fill="auto"/>
                  <w:noWrap w:val="0"/>
                  <w:vAlign w:val="center"/>
                </w:tcPr>
                <w:p w14:paraId="62698D81">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656AAEA5">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w:t>
                  </w: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41</w:t>
                  </w:r>
                </w:p>
              </w:tc>
              <w:tc>
                <w:tcPr>
                  <w:tcW w:w="1126" w:type="pct"/>
                  <w:tcBorders>
                    <w:tl2br w:val="nil"/>
                    <w:tr2bl w:val="nil"/>
                  </w:tcBorders>
                  <w:noWrap w:val="0"/>
                  <w:vAlign w:val="center"/>
                </w:tcPr>
                <w:p w14:paraId="32D13412">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0.07</w:t>
                  </w:r>
                </w:p>
              </w:tc>
              <w:tc>
                <w:tcPr>
                  <w:tcW w:w="690" w:type="pct"/>
                  <w:tcBorders>
                    <w:tl2br w:val="nil"/>
                    <w:tr2bl w:val="nil"/>
                  </w:tcBorders>
                  <w:noWrap w:val="0"/>
                  <w:vAlign w:val="center"/>
                </w:tcPr>
                <w:p w14:paraId="7D35A5CE">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达标</w:t>
                  </w:r>
                </w:p>
              </w:tc>
            </w:tr>
            <w:tr w14:paraId="6E75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continue"/>
                  <w:tcBorders>
                    <w:tl2br w:val="nil"/>
                    <w:tr2bl w:val="nil"/>
                  </w:tcBorders>
                  <w:noWrap w:val="0"/>
                  <w:vAlign w:val="center"/>
                </w:tcPr>
                <w:p w14:paraId="1635B9C8">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61" w:type="pct"/>
                  <w:tcBorders>
                    <w:tl2br w:val="nil"/>
                    <w:tr2bl w:val="nil"/>
                  </w:tcBorders>
                  <w:shd w:val="clear" w:color="auto" w:fill="auto"/>
                  <w:noWrap w:val="0"/>
                  <w:vAlign w:val="center"/>
                </w:tcPr>
                <w:p w14:paraId="43DEFDE6">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1小时平均</w:t>
                  </w:r>
                </w:p>
              </w:tc>
              <w:tc>
                <w:tcPr>
                  <w:tcW w:w="1216" w:type="pct"/>
                  <w:tcBorders>
                    <w:tl2br w:val="nil"/>
                    <w:tr2bl w:val="nil"/>
                  </w:tcBorders>
                  <w:noWrap w:val="0"/>
                  <w:vAlign w:val="center"/>
                </w:tcPr>
                <w:p w14:paraId="0437A22C">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0.228</w:t>
                  </w:r>
                </w:p>
              </w:tc>
              <w:tc>
                <w:tcPr>
                  <w:tcW w:w="1126" w:type="pct"/>
                  <w:tcBorders>
                    <w:tl2br w:val="nil"/>
                    <w:tr2bl w:val="nil"/>
                  </w:tcBorders>
                  <w:noWrap w:val="0"/>
                  <w:vAlign w:val="center"/>
                </w:tcPr>
                <w:p w14:paraId="47976283">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0.25</w:t>
                  </w:r>
                </w:p>
              </w:tc>
              <w:tc>
                <w:tcPr>
                  <w:tcW w:w="690" w:type="pct"/>
                  <w:tcBorders>
                    <w:tl2br w:val="nil"/>
                    <w:tr2bl w:val="nil"/>
                  </w:tcBorders>
                  <w:noWrap w:val="0"/>
                  <w:vAlign w:val="center"/>
                </w:tcPr>
                <w:p w14:paraId="1DE0C68D">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41F6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restart"/>
                  <w:tcBorders>
                    <w:tl2br w:val="nil"/>
                    <w:tr2bl w:val="nil"/>
                  </w:tcBorders>
                  <w:noWrap w:val="0"/>
                  <w:vAlign w:val="center"/>
                </w:tcPr>
                <w:p w14:paraId="6F341626">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氯化氢</w:t>
                  </w:r>
                </w:p>
              </w:tc>
              <w:tc>
                <w:tcPr>
                  <w:tcW w:w="961" w:type="pct"/>
                  <w:tcBorders>
                    <w:tl2br w:val="nil"/>
                    <w:tr2bl w:val="nil"/>
                  </w:tcBorders>
                  <w:noWrap w:val="0"/>
                  <w:vAlign w:val="center"/>
                </w:tcPr>
                <w:p w14:paraId="566EE492">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0950DBA4">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w:t>
                  </w: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11</w:t>
                  </w:r>
                </w:p>
              </w:tc>
              <w:tc>
                <w:tcPr>
                  <w:tcW w:w="1126" w:type="pct"/>
                  <w:tcBorders>
                    <w:tl2br w:val="nil"/>
                    <w:tr2bl w:val="nil"/>
                  </w:tcBorders>
                  <w:noWrap w:val="0"/>
                  <w:vAlign w:val="center"/>
                </w:tcPr>
                <w:p w14:paraId="425C9FCA">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0.0</w:t>
                  </w: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15</w:t>
                  </w:r>
                </w:p>
              </w:tc>
              <w:tc>
                <w:tcPr>
                  <w:tcW w:w="690" w:type="pct"/>
                  <w:tcBorders>
                    <w:tl2br w:val="nil"/>
                    <w:tr2bl w:val="nil"/>
                  </w:tcBorders>
                  <w:noWrap w:val="0"/>
                  <w:vAlign w:val="center"/>
                </w:tcPr>
                <w:p w14:paraId="24AC158D">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7041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continue"/>
                  <w:tcBorders>
                    <w:tl2br w:val="nil"/>
                    <w:tr2bl w:val="nil"/>
                  </w:tcBorders>
                  <w:noWrap w:val="0"/>
                  <w:vAlign w:val="center"/>
                </w:tcPr>
                <w:p w14:paraId="3C3F8FF2">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000000" w:themeColor="text1"/>
                      <w14:textFill>
                        <w14:solidFill>
                          <w14:schemeClr w14:val="tx1"/>
                        </w14:solidFill>
                      </w14:textFill>
                    </w:rPr>
                  </w:pPr>
                </w:p>
              </w:tc>
              <w:tc>
                <w:tcPr>
                  <w:tcW w:w="961" w:type="pct"/>
                  <w:tcBorders>
                    <w:tl2br w:val="nil"/>
                    <w:tr2bl w:val="nil"/>
                  </w:tcBorders>
                  <w:noWrap w:val="0"/>
                  <w:vAlign w:val="center"/>
                </w:tcPr>
                <w:p w14:paraId="5FED9D5D">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1小时平均</w:t>
                  </w:r>
                </w:p>
              </w:tc>
              <w:tc>
                <w:tcPr>
                  <w:tcW w:w="1216" w:type="pct"/>
                  <w:tcBorders>
                    <w:tl2br w:val="nil"/>
                    <w:tr2bl w:val="nil"/>
                  </w:tcBorders>
                  <w:noWrap w:val="0"/>
                  <w:vAlign w:val="center"/>
                </w:tcPr>
                <w:p w14:paraId="56A721DD">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0.031</w:t>
                  </w:r>
                </w:p>
              </w:tc>
              <w:tc>
                <w:tcPr>
                  <w:tcW w:w="1126" w:type="pct"/>
                  <w:tcBorders>
                    <w:tl2br w:val="nil"/>
                    <w:tr2bl w:val="nil"/>
                  </w:tcBorders>
                  <w:noWrap w:val="0"/>
                  <w:vAlign w:val="center"/>
                </w:tcPr>
                <w:p w14:paraId="3628B2A3">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0.05</w:t>
                  </w:r>
                </w:p>
              </w:tc>
              <w:tc>
                <w:tcPr>
                  <w:tcW w:w="690" w:type="pct"/>
                  <w:tcBorders>
                    <w:tl2br w:val="nil"/>
                    <w:tr2bl w:val="nil"/>
                  </w:tcBorders>
                  <w:noWrap w:val="0"/>
                  <w:vAlign w:val="center"/>
                </w:tcPr>
                <w:p w14:paraId="3EB3844F">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1CD8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1DA633DA">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二噁英类</w:t>
                  </w:r>
                </w:p>
              </w:tc>
              <w:tc>
                <w:tcPr>
                  <w:tcW w:w="961" w:type="pct"/>
                  <w:tcBorders>
                    <w:tl2br w:val="nil"/>
                    <w:tr2bl w:val="nil"/>
                  </w:tcBorders>
                  <w:noWrap w:val="0"/>
                  <w:vAlign w:val="center"/>
                </w:tcPr>
                <w:p w14:paraId="679ED7AF">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599E7851">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0.025</w:t>
                  </w:r>
                  <w:r>
                    <w:rPr>
                      <w:rFonts w:hint="default" w:ascii="Times New Roman" w:hAnsi="Times New Roman" w:cs="Times New Roman"/>
                      <w:color w:val="000000" w:themeColor="text1"/>
                      <w:sz w:val="21"/>
                      <w:szCs w:val="21"/>
                      <w:lang w:val="en-US" w:eastAsia="zh-CN"/>
                      <w14:textFill>
                        <w14:solidFill>
                          <w14:schemeClr w14:val="tx1"/>
                        </w14:solidFill>
                      </w14:textFill>
                    </w:rPr>
                    <w:t>pg-TEQ/m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c>
                <w:tcPr>
                  <w:tcW w:w="1126" w:type="pct"/>
                  <w:tcBorders>
                    <w:tl2br w:val="nil"/>
                    <w:tr2bl w:val="nil"/>
                  </w:tcBorders>
                  <w:noWrap w:val="0"/>
                  <w:vAlign w:val="center"/>
                </w:tcPr>
                <w:p w14:paraId="595717A3">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0.6</w:t>
                  </w:r>
                  <w:r>
                    <w:rPr>
                      <w:rFonts w:hint="default" w:ascii="Times New Roman" w:hAnsi="Times New Roman" w:cs="Times New Roman"/>
                      <w:color w:val="000000" w:themeColor="text1"/>
                      <w:sz w:val="21"/>
                      <w:szCs w:val="21"/>
                      <w:lang w:val="en-US" w:eastAsia="zh-CN"/>
                      <w14:textFill>
                        <w14:solidFill>
                          <w14:schemeClr w14:val="tx1"/>
                        </w14:solidFill>
                      </w14:textFill>
                    </w:rPr>
                    <w:t>pg-TEQ/m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c>
                <w:tcPr>
                  <w:tcW w:w="690" w:type="pct"/>
                  <w:tcBorders>
                    <w:tl2br w:val="nil"/>
                    <w:tr2bl w:val="nil"/>
                  </w:tcBorders>
                  <w:noWrap w:val="0"/>
                  <w:vAlign w:val="center"/>
                </w:tcPr>
                <w:p w14:paraId="6B168808">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4480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54457D00">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非甲烷总烃</w:t>
                  </w:r>
                </w:p>
              </w:tc>
              <w:tc>
                <w:tcPr>
                  <w:tcW w:w="961" w:type="pct"/>
                  <w:tcBorders>
                    <w:tl2br w:val="nil"/>
                    <w:tr2bl w:val="nil"/>
                  </w:tcBorders>
                  <w:noWrap w:val="0"/>
                  <w:vAlign w:val="center"/>
                </w:tcPr>
                <w:p w14:paraId="43220B7D">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1ACD5F16">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0.40</w:t>
                  </w:r>
                </w:p>
              </w:tc>
              <w:tc>
                <w:tcPr>
                  <w:tcW w:w="1126" w:type="pct"/>
                  <w:tcBorders>
                    <w:tl2br w:val="nil"/>
                    <w:tr2bl w:val="nil"/>
                  </w:tcBorders>
                  <w:noWrap w:val="0"/>
                  <w:vAlign w:val="center"/>
                </w:tcPr>
                <w:p w14:paraId="2CC1BC86">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2.0</w:t>
                  </w:r>
                </w:p>
              </w:tc>
              <w:tc>
                <w:tcPr>
                  <w:tcW w:w="690" w:type="pct"/>
                  <w:tcBorders>
                    <w:tl2br w:val="nil"/>
                    <w:tr2bl w:val="nil"/>
                  </w:tcBorders>
                  <w:noWrap w:val="0"/>
                  <w:vAlign w:val="center"/>
                </w:tcPr>
                <w:p w14:paraId="59E3BD24">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490A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156E3F31">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铬（六价）</w:t>
                  </w:r>
                </w:p>
              </w:tc>
              <w:tc>
                <w:tcPr>
                  <w:tcW w:w="961" w:type="pct"/>
                  <w:tcBorders>
                    <w:tl2br w:val="nil"/>
                    <w:tr2bl w:val="nil"/>
                  </w:tcBorders>
                  <w:noWrap w:val="0"/>
                  <w:vAlign w:val="center"/>
                </w:tcPr>
                <w:p w14:paraId="161682E7">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4FBCA914">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ND</w:t>
                  </w:r>
                </w:p>
              </w:tc>
              <w:tc>
                <w:tcPr>
                  <w:tcW w:w="1126" w:type="pct"/>
                  <w:tcBorders>
                    <w:tl2br w:val="nil"/>
                    <w:tr2bl w:val="nil"/>
                  </w:tcBorders>
                  <w:noWrap w:val="0"/>
                  <w:vAlign w:val="center"/>
                </w:tcPr>
                <w:p w14:paraId="75ECB0FE">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29308B6E">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463C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7DF76399">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镉</w:t>
                  </w:r>
                </w:p>
              </w:tc>
              <w:tc>
                <w:tcPr>
                  <w:tcW w:w="961" w:type="pct"/>
                  <w:tcBorders>
                    <w:tl2br w:val="nil"/>
                    <w:tr2bl w:val="nil"/>
                  </w:tcBorders>
                  <w:noWrap w:val="0"/>
                  <w:vAlign w:val="center"/>
                </w:tcPr>
                <w:p w14:paraId="4321E2E5">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shd w:val="clear" w:color="auto" w:fill="auto"/>
                  <w:noWrap w:val="0"/>
                  <w:vAlign w:val="center"/>
                </w:tcPr>
                <w:p w14:paraId="004067CD">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4.74</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-7</w:t>
                  </w:r>
                </w:p>
              </w:tc>
              <w:tc>
                <w:tcPr>
                  <w:tcW w:w="1126" w:type="pct"/>
                  <w:tcBorders>
                    <w:tl2br w:val="nil"/>
                    <w:tr2bl w:val="nil"/>
                  </w:tcBorders>
                  <w:noWrap w:val="0"/>
                  <w:vAlign w:val="center"/>
                </w:tcPr>
                <w:p w14:paraId="06D8F834">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6BD8D4F4">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53CE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557ADEC3">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砷</w:t>
                  </w:r>
                </w:p>
              </w:tc>
              <w:tc>
                <w:tcPr>
                  <w:tcW w:w="961" w:type="pct"/>
                  <w:tcBorders>
                    <w:tl2br w:val="nil"/>
                    <w:tr2bl w:val="nil"/>
                  </w:tcBorders>
                  <w:noWrap w:val="0"/>
                  <w:vAlign w:val="center"/>
                </w:tcPr>
                <w:p w14:paraId="0D9DCADC">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shd w:val="clear" w:color="auto" w:fill="auto"/>
                  <w:noWrap w:val="0"/>
                  <w:vAlign w:val="center"/>
                </w:tcPr>
                <w:p w14:paraId="42816698">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1.31</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-6</w:t>
                  </w:r>
                </w:p>
              </w:tc>
              <w:tc>
                <w:tcPr>
                  <w:tcW w:w="1126" w:type="pct"/>
                  <w:tcBorders>
                    <w:tl2br w:val="nil"/>
                    <w:tr2bl w:val="nil"/>
                  </w:tcBorders>
                  <w:noWrap w:val="0"/>
                  <w:vAlign w:val="center"/>
                </w:tcPr>
                <w:p w14:paraId="02638870">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34FC17B6">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36B3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6F0F3905">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铅</w:t>
                  </w:r>
                </w:p>
              </w:tc>
              <w:tc>
                <w:tcPr>
                  <w:tcW w:w="961" w:type="pct"/>
                  <w:tcBorders>
                    <w:tl2br w:val="nil"/>
                    <w:tr2bl w:val="nil"/>
                  </w:tcBorders>
                  <w:noWrap w:val="0"/>
                  <w:vAlign w:val="center"/>
                </w:tcPr>
                <w:p w14:paraId="06C019FA">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shd w:val="clear" w:color="auto" w:fill="auto"/>
                  <w:noWrap w:val="0"/>
                  <w:vAlign w:val="center"/>
                </w:tcPr>
                <w:p w14:paraId="0C114474">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1.44</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-5</w:t>
                  </w:r>
                </w:p>
              </w:tc>
              <w:tc>
                <w:tcPr>
                  <w:tcW w:w="1126" w:type="pct"/>
                  <w:tcBorders>
                    <w:tl2br w:val="nil"/>
                    <w:tr2bl w:val="nil"/>
                  </w:tcBorders>
                  <w:noWrap w:val="0"/>
                  <w:vAlign w:val="center"/>
                </w:tcPr>
                <w:p w14:paraId="002F1A3E">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482C82AB">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7877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286EBDF4">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汞</w:t>
                  </w:r>
                </w:p>
              </w:tc>
              <w:tc>
                <w:tcPr>
                  <w:tcW w:w="961" w:type="pct"/>
                  <w:tcBorders>
                    <w:tl2br w:val="nil"/>
                    <w:tr2bl w:val="nil"/>
                  </w:tcBorders>
                  <w:noWrap w:val="0"/>
                  <w:vAlign w:val="center"/>
                </w:tcPr>
                <w:p w14:paraId="0A748C66">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shd w:val="clear" w:color="auto" w:fill="auto"/>
                  <w:noWrap w:val="0"/>
                  <w:vAlign w:val="center"/>
                </w:tcPr>
                <w:p w14:paraId="0E9C0B63">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3.8</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-6</w:t>
                  </w:r>
                </w:p>
              </w:tc>
              <w:tc>
                <w:tcPr>
                  <w:tcW w:w="1126" w:type="pct"/>
                  <w:tcBorders>
                    <w:tl2br w:val="nil"/>
                    <w:tr2bl w:val="nil"/>
                  </w:tcBorders>
                  <w:noWrap w:val="0"/>
                  <w:vAlign w:val="center"/>
                </w:tcPr>
                <w:p w14:paraId="12A990A4">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6E5E8BD1">
                  <w:pPr>
                    <w:pStyle w:val="7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bl>
          <w:p w14:paraId="6962741E">
            <w:pPr>
              <w:keepNext w:val="0"/>
              <w:keepLines w:val="0"/>
              <w:pageBreakBefore w:val="0"/>
              <w:widowControl w:val="0"/>
              <w:kinsoku w:val="0"/>
              <w:wordWrap/>
              <w:overflowPunct w:val="0"/>
              <w:topLinePunct w:val="0"/>
              <w:autoSpaceDE/>
              <w:autoSpaceDN/>
              <w:bidi w:val="0"/>
              <w:adjustRightInd/>
              <w:snapToGrid/>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由上表的评价结果可以得出，本次环境空气现状监测点位总悬浮颗粒物</w:t>
            </w:r>
            <w:r>
              <w:rPr>
                <w:rFonts w:hint="eastAsia"/>
                <w:lang w:val="en-US" w:eastAsia="zh-CN"/>
              </w:rPr>
              <w:t>、</w:t>
            </w:r>
            <w:r>
              <w:rPr>
                <w:rFonts w:hint="default" w:ascii="Times New Roman" w:hAnsi="Times New Roman" w:cs="Times New Roman"/>
                <w:color w:val="000000" w:themeColor="text1"/>
                <w14:textFill>
                  <w14:solidFill>
                    <w14:schemeClr w14:val="tx1"/>
                  </w14:solidFill>
                </w14:textFill>
              </w:rPr>
              <w:t>氮氧化物</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铅</w:t>
            </w:r>
            <w:r>
              <w:rPr>
                <w:rFonts w:hint="default" w:ascii="Times New Roman" w:hAnsi="Times New Roman" w:cs="Times New Roman"/>
                <w:color w:val="000000" w:themeColor="text1"/>
                <w14:textFill>
                  <w14:solidFill>
                    <w14:schemeClr w14:val="tx1"/>
                  </w14:solidFill>
                </w14:textFill>
              </w:rPr>
              <w:t>满足《环境空气质量标准》（GB3095-20</w:t>
            </w:r>
            <w:r>
              <w:rPr>
                <w:rFonts w:hint="eastAsia" w:cs="Times New Roman"/>
                <w:color w:val="000000" w:themeColor="text1"/>
                <w:lang w:val="en-US" w:eastAsia="zh-CN"/>
                <w14:textFill>
                  <w14:solidFill>
                    <w14:schemeClr w14:val="tx1"/>
                  </w14:solidFill>
                </w14:textFill>
              </w:rPr>
              <w:t>26</w:t>
            </w:r>
            <w:r>
              <w:rPr>
                <w:rFonts w:hint="default" w:ascii="Times New Roman" w:hAnsi="Times New Roman" w:cs="Times New Roman"/>
                <w:color w:val="000000" w:themeColor="text1"/>
                <w14:textFill>
                  <w14:solidFill>
                    <w14:schemeClr w14:val="tx1"/>
                  </w14:solidFill>
                </w14:textFill>
              </w:rPr>
              <w:t>）中二级标准</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bCs/>
                <w:snapToGrid w:val="0"/>
                <w:color w:val="000000" w:themeColor="text1"/>
                <w:kern w:val="0"/>
                <w:sz w:val="24"/>
                <w:highlight w:val="none"/>
                <w14:textFill>
                  <w14:solidFill>
                    <w14:schemeClr w14:val="tx1"/>
                  </w14:solidFill>
                </w14:textFill>
              </w:rPr>
              <w:t>氟化物</w:t>
            </w:r>
            <w:r>
              <w:rPr>
                <w:rFonts w:hint="eastAsia" w:cs="Times New Roman"/>
                <w:bCs/>
                <w:snapToGrid w:val="0"/>
                <w:color w:val="000000" w:themeColor="text1"/>
                <w:kern w:val="0"/>
                <w:sz w:val="24"/>
                <w:highlight w:val="none"/>
                <w:lang w:eastAsia="zh-CN"/>
                <w14:textFill>
                  <w14:solidFill>
                    <w14:schemeClr w14:val="tx1"/>
                  </w14:solidFill>
                </w14:textFill>
              </w:rPr>
              <w:t>、</w:t>
            </w:r>
            <w:r>
              <w:rPr>
                <w:rFonts w:hint="eastAsia" w:cs="Times New Roman"/>
                <w:bCs/>
                <w:snapToGrid w:val="0"/>
                <w:color w:val="000000" w:themeColor="text1"/>
                <w:kern w:val="0"/>
                <w:sz w:val="24"/>
                <w:highlight w:val="none"/>
                <w:lang w:val="en-US" w:eastAsia="zh-CN"/>
                <w14:textFill>
                  <w14:solidFill>
                    <w14:schemeClr w14:val="tx1"/>
                  </w14:solidFill>
                </w14:textFill>
              </w:rPr>
              <w:t>镉、汞、砷、六价铬均</w:t>
            </w:r>
            <w:r>
              <w:rPr>
                <w:rFonts w:hint="eastAsia" w:ascii="Times New Roman" w:hAnsi="Times New Roman" w:cs="Times New Roman"/>
                <w:bCs/>
                <w:snapToGrid w:val="0"/>
                <w:color w:val="000000" w:themeColor="text1"/>
                <w:kern w:val="0"/>
                <w:sz w:val="24"/>
                <w:highlight w:val="none"/>
                <w:lang w:val="en-US" w:eastAsia="zh-CN"/>
                <w14:textFill>
                  <w14:solidFill>
                    <w14:schemeClr w14:val="tx1"/>
                  </w14:solidFill>
                </w14:textFill>
              </w:rPr>
              <w:t>满足</w:t>
            </w:r>
            <w:r>
              <w:rPr>
                <w:rFonts w:hint="default" w:ascii="Times New Roman" w:hAnsi="Times New Roman" w:cs="Times New Roman"/>
                <w:bCs/>
                <w:snapToGrid w:val="0"/>
                <w:color w:val="000000" w:themeColor="text1"/>
                <w:kern w:val="0"/>
                <w:sz w:val="24"/>
                <w:highlight w:val="none"/>
                <w14:textFill>
                  <w14:solidFill>
                    <w14:schemeClr w14:val="tx1"/>
                  </w14:solidFill>
                </w14:textFill>
              </w:rPr>
              <w:t>《环境空气质量标准》（GB3095-20</w:t>
            </w:r>
            <w:r>
              <w:rPr>
                <w:rFonts w:hint="eastAsia" w:cs="Times New Roman"/>
                <w:bCs/>
                <w:snapToGrid w:val="0"/>
                <w:color w:val="000000" w:themeColor="text1"/>
                <w:kern w:val="0"/>
                <w:sz w:val="24"/>
                <w:highlight w:val="none"/>
                <w:lang w:val="en-US" w:eastAsia="zh-CN"/>
                <w14:textFill>
                  <w14:solidFill>
                    <w14:schemeClr w14:val="tx1"/>
                  </w14:solidFill>
                </w14:textFill>
              </w:rPr>
              <w:t>26</w:t>
            </w:r>
            <w:r>
              <w:rPr>
                <w:rFonts w:hint="default" w:ascii="Times New Roman" w:hAnsi="Times New Roman" w:cs="Times New Roman"/>
                <w:bCs/>
                <w:snapToGrid w:val="0"/>
                <w:color w:val="000000" w:themeColor="text1"/>
                <w:kern w:val="0"/>
                <w:sz w:val="24"/>
                <w:highlight w:val="none"/>
                <w14:textFill>
                  <w14:solidFill>
                    <w14:schemeClr w14:val="tx1"/>
                  </w14:solidFill>
                </w14:textFill>
              </w:rPr>
              <w:t>）附录A参考浓度限值；</w:t>
            </w:r>
            <w:r>
              <w:rPr>
                <w:rFonts w:hint="eastAsia" w:cs="Times New Roman"/>
                <w:bCs/>
                <w:snapToGrid w:val="0"/>
                <w:color w:val="000000" w:themeColor="text1"/>
                <w:kern w:val="0"/>
                <w:sz w:val="24"/>
                <w:highlight w:val="none"/>
                <w:lang w:val="en-US" w:eastAsia="zh-CN"/>
                <w14:textFill>
                  <w14:solidFill>
                    <w14:schemeClr w14:val="tx1"/>
                  </w14:solidFill>
                </w14:textFill>
              </w:rPr>
              <w:t>氯化氢满足《环境影响评价技术导则 大气环境》（HJ2.2-2018）附录D.1中相关浓度限值要求；非甲烷总烃满足《大气污染物综合排放标准详解》；</w:t>
            </w:r>
            <w:r>
              <w:rPr>
                <w:rFonts w:hint="default" w:ascii="Times New Roman" w:hAnsi="Times New Roman" w:cs="Times New Roman"/>
                <w:bCs/>
                <w:snapToGrid w:val="0"/>
                <w:color w:val="000000" w:themeColor="text1"/>
                <w:kern w:val="0"/>
                <w:sz w:val="24"/>
                <w:highlight w:val="none"/>
                <w14:textFill>
                  <w14:solidFill>
                    <w14:schemeClr w14:val="tx1"/>
                  </w14:solidFill>
                </w14:textFill>
              </w:rPr>
              <w:t>二噁英类参照执行日本环境质量标准（2002年7月环境省告示第46号）</w:t>
            </w:r>
            <w:r>
              <w:rPr>
                <w:rFonts w:hint="default" w:ascii="Times New Roman" w:hAnsi="Times New Roman" w:cs="Times New Roman"/>
                <w:color w:val="000000" w:themeColor="text1"/>
                <w14:textFill>
                  <w14:solidFill>
                    <w14:schemeClr w14:val="tx1"/>
                  </w14:solidFill>
                </w14:textFill>
              </w:rPr>
              <w:t>。</w:t>
            </w:r>
          </w:p>
          <w:p w14:paraId="0F66BE57">
            <w:pPr>
              <w:keepNext w:val="0"/>
              <w:keepLines w:val="0"/>
              <w:pageBreakBefore w:val="0"/>
              <w:widowControl w:val="0"/>
              <w:kinsoku w:val="0"/>
              <w:wordWrap/>
              <w:overflowPunct w:val="0"/>
              <w:topLinePunct w:val="0"/>
              <w:autoSpaceDE/>
              <w:autoSpaceDN/>
              <w:bidi w:val="0"/>
              <w:adjustRightInd/>
              <w:snapToGrid/>
              <w:ind w:firstLine="48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综上所述，区域环境空气质量现状良好。</w:t>
            </w:r>
          </w:p>
          <w:p w14:paraId="5053FF1C">
            <w:pPr>
              <w:pStyle w:val="4"/>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2、地表水环境质量现状</w:t>
            </w:r>
          </w:p>
          <w:p w14:paraId="0E8F3590">
            <w:pPr>
              <w:ind w:firstLine="480"/>
              <w:rPr>
                <w:rFonts w:hint="eastAsia" w:cs="Times New Roman"/>
                <w:b w:val="0"/>
                <w:bCs w:val="0"/>
                <w:color w:val="000000" w:themeColor="text1"/>
                <w:szCs w:val="24"/>
                <w:lang w:val="en-US" w:eastAsia="zh-CN"/>
                <w14:textFill>
                  <w14:solidFill>
                    <w14:schemeClr w14:val="tx1"/>
                  </w14:solidFill>
                </w14:textFill>
              </w:rPr>
            </w:pPr>
            <w:r>
              <w:rPr>
                <w:rFonts w:hint="eastAsia" w:cs="Times New Roman"/>
                <w:b w:val="0"/>
                <w:bCs w:val="0"/>
                <w:color w:val="000000" w:themeColor="text1"/>
                <w:szCs w:val="24"/>
                <w:lang w:val="en-US" w:eastAsia="zh-CN"/>
                <w14:textFill>
                  <w14:solidFill>
                    <w14:schemeClr w14:val="tx1"/>
                  </w14:solidFill>
                </w14:textFill>
              </w:rPr>
              <w:t>由于本项目受污染的初期雨水中污染物种类与压滤废水基本一致，但水质优于压滤废水。因此，初期雨水经初期雨水收集池收集沉淀后，可回用于免烧砌块生产工序。</w:t>
            </w:r>
          </w:p>
          <w:p w14:paraId="71F48DE6">
            <w:pPr>
              <w:ind w:firstLine="480"/>
              <w:rPr>
                <w:rFonts w:hint="default" w:ascii="Times New Roman" w:hAnsi="Times New Roman" w:cs="Times New Roman"/>
                <w:color w:val="000000" w:themeColor="text1"/>
                <w:lang w:val="en-US"/>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本项目废水主要为生活污水</w:t>
            </w:r>
            <w:r>
              <w:rPr>
                <w:rFonts w:hint="eastAsia" w:ascii="Times New Roman" w:hAnsi="Times New Roman" w:cs="Times New Roman"/>
                <w:color w:val="000000" w:themeColor="text1"/>
                <w:lang w:val="en-US" w:eastAsia="zh-CN"/>
                <w14:textFill>
                  <w14:solidFill>
                    <w14:schemeClr w14:val="tx1"/>
                  </w14:solidFill>
                </w14:textFill>
              </w:rPr>
              <w:t>和压滤废水</w:t>
            </w:r>
            <w:r>
              <w:rPr>
                <w:rFonts w:hint="eastAsia" w:cs="Times New Roman"/>
                <w:color w:val="000000" w:themeColor="text1"/>
                <w:lang w:val="en-US" w:eastAsia="zh-CN"/>
                <w14:textFill>
                  <w14:solidFill>
                    <w14:schemeClr w14:val="tx1"/>
                  </w14:solidFill>
                </w14:textFill>
              </w:rPr>
              <w:t>。压滤废水部分回用于生产，剩余部分委托有资质单位清运处理；仅外排</w:t>
            </w:r>
            <w:r>
              <w:rPr>
                <w:rFonts w:hint="eastAsia" w:ascii="Times New Roman" w:hAnsi="Times New Roman" w:cs="Times New Roman"/>
                <w:color w:val="000000" w:themeColor="text1"/>
                <w:lang w:val="en-US" w:eastAsia="zh-CN"/>
                <w14:textFill>
                  <w14:solidFill>
                    <w14:schemeClr w14:val="tx1"/>
                  </w14:solidFill>
                </w14:textFill>
              </w:rPr>
              <w:t>生活污水</w:t>
            </w:r>
            <w:r>
              <w:rPr>
                <w:rFonts w:hint="eastAsia" w:cs="Times New Roman"/>
                <w:color w:val="000000" w:themeColor="text1"/>
                <w:lang w:val="en-US" w:eastAsia="zh-CN"/>
                <w14:textFill>
                  <w14:solidFill>
                    <w14:schemeClr w14:val="tx1"/>
                  </w14:solidFill>
                </w14:textFill>
              </w:rPr>
              <w:t>，经</w:t>
            </w:r>
            <w:r>
              <w:rPr>
                <w:rFonts w:hint="eastAsia" w:ascii="Times New Roman" w:hAnsi="Times New Roman" w:cs="Times New Roman"/>
                <w:color w:val="000000" w:themeColor="text1"/>
                <w:lang w:val="en-US" w:eastAsia="zh-CN"/>
                <w14:textFill>
                  <w14:solidFill>
                    <w14:schemeClr w14:val="tx1"/>
                  </w14:solidFill>
                </w14:textFill>
              </w:rPr>
              <w:t>预处理后排入园区污水管网，送星光工业园区污水处理厂处理，达标后排入巴河。</w:t>
            </w:r>
          </w:p>
          <w:p w14:paraId="71F99AF2">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建设项目环境影响报告表编制技术指南（污染影响类）（试行）》，区域地表水环境常规污染物引用与建设项目距离近的有效数据，包括近3年的规划环境影响评价的监测数据，所在流域控制单元内国家、地方控制断面监测数据，生态环境主管部门发布的水环境质量数据或地表水达标情况的结论。本项目位于四川巴中经济开发区，因此，本次评价引用</w:t>
            </w:r>
            <w:r>
              <w:rPr>
                <w:rFonts w:hint="eastAsia"/>
                <w:color w:val="000000" w:themeColor="text1"/>
                <w:lang w:eastAsia="zh-CN"/>
                <w14:textFill>
                  <w14:solidFill>
                    <w14:schemeClr w14:val="tx1"/>
                  </w14:solidFill>
                </w14:textFill>
              </w:rPr>
              <w:t>《平昌县202</w:t>
            </w:r>
            <w:r>
              <w:rPr>
                <w:rFonts w:hint="eastAsia"/>
                <w:color w:val="000000" w:themeColor="text1"/>
                <w:lang w:val="en-US" w:eastAsia="zh-CN"/>
                <w14:textFill>
                  <w14:solidFill>
                    <w14:schemeClr w14:val="tx1"/>
                  </w14:solidFill>
                </w14:textFill>
              </w:rPr>
              <w:t>5</w:t>
            </w:r>
            <w:r>
              <w:rPr>
                <w:rFonts w:hint="eastAsia"/>
                <w:color w:val="000000" w:themeColor="text1"/>
                <w:lang w:eastAsia="zh-CN"/>
                <w14:textFill>
                  <w14:solidFill>
                    <w14:schemeClr w14:val="tx1"/>
                  </w14:solidFill>
                </w14:textFill>
              </w:rPr>
              <w:t>年度生态环境质量状况公报》</w:t>
            </w:r>
            <w:r>
              <w:rPr>
                <w:rFonts w:hint="default" w:ascii="Times New Roman" w:hAnsi="Times New Roman" w:cs="Times New Roman"/>
                <w:color w:val="000000" w:themeColor="text1"/>
                <w14:textFill>
                  <w14:solidFill>
                    <w14:schemeClr w14:val="tx1"/>
                  </w14:solidFill>
                </w14:textFill>
              </w:rPr>
              <w:t>满足指南要求。</w:t>
            </w:r>
          </w:p>
          <w:p w14:paraId="7DAD9E78">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《平昌县202</w:t>
            </w:r>
            <w:r>
              <w:rPr>
                <w:rFonts w:hint="eastAsia"/>
                <w:color w:val="000000" w:themeColor="text1"/>
                <w:lang w:val="en-US" w:eastAsia="zh-CN"/>
                <w14:textFill>
                  <w14:solidFill>
                    <w14:schemeClr w14:val="tx1"/>
                  </w14:solidFill>
                </w14:textFill>
              </w:rPr>
              <w:t>5</w:t>
            </w:r>
            <w:r>
              <w:rPr>
                <w:rFonts w:hint="eastAsia"/>
                <w:color w:val="000000" w:themeColor="text1"/>
                <w:lang w:eastAsia="zh-CN"/>
                <w14:textFill>
                  <w14:solidFill>
                    <w14:schemeClr w14:val="tx1"/>
                  </w14:solidFill>
                </w14:textFill>
              </w:rPr>
              <w:t>年度生态环境质量状况公报》</w:t>
            </w:r>
            <w:r>
              <w:rPr>
                <w:rFonts w:hint="default"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202</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eastAsia="宋体" w:cs="Times New Roman"/>
                <w:color w:val="000000" w:themeColor="text1"/>
                <w14:textFill>
                  <w14:solidFill>
                    <w14:schemeClr w14:val="tx1"/>
                  </w14:solidFill>
                </w14:textFill>
              </w:rPr>
              <w:t>年1月—12月，</w:t>
            </w:r>
            <w:r>
              <w:rPr>
                <w:rFonts w:hint="eastAsia"/>
                <w:color w:val="000000" w:themeColor="text1"/>
                <w14:textFill>
                  <w14:solidFill>
                    <w14:schemeClr w14:val="tx1"/>
                  </w14:solidFill>
                </w14:textFill>
              </w:rPr>
              <w:t>大石盘、木梁溪、小滩子、红谷梁、道河湾</w:t>
            </w:r>
            <w:r>
              <w:rPr>
                <w:rFonts w:hint="default"/>
                <w:color w:val="000000" w:themeColor="text1"/>
                <w14:textFill>
                  <w14:solidFill>
                    <w14:schemeClr w14:val="tx1"/>
                  </w14:solidFill>
                </w14:textFill>
              </w:rPr>
              <w:t>5</w:t>
            </w:r>
            <w:r>
              <w:rPr>
                <w:rFonts w:hint="eastAsia"/>
                <w:color w:val="000000" w:themeColor="text1"/>
                <w14:textFill>
                  <w14:solidFill>
                    <w14:schemeClr w14:val="tx1"/>
                  </w14:solidFill>
                </w14:textFill>
              </w:rPr>
              <w:t>个主要河流地表水监测断面水质均达</w:t>
            </w:r>
            <w:r>
              <w:rPr>
                <w:rFonts w:hint="default"/>
                <w:color w:val="000000" w:themeColor="text1"/>
                <w14:textFill>
                  <w14:solidFill>
                    <w14:schemeClr w14:val="tx1"/>
                  </w14:solidFill>
                </w14:textFill>
              </w:rPr>
              <w:t>Ⅲ</w:t>
            </w:r>
            <w:r>
              <w:rPr>
                <w:rFonts w:hint="eastAsia"/>
                <w:color w:val="000000" w:themeColor="text1"/>
                <w14:textFill>
                  <w14:solidFill>
                    <w14:schemeClr w14:val="tx1"/>
                  </w14:solidFill>
                </w14:textFill>
              </w:rPr>
              <w:t>类及以上标准，达标率</w:t>
            </w:r>
            <w:r>
              <w:rPr>
                <w:rFonts w:hint="default"/>
                <w:color w:val="000000" w:themeColor="text1"/>
                <w14:textFill>
                  <w14:solidFill>
                    <w14:schemeClr w14:val="tx1"/>
                  </w14:solidFill>
                </w14:textFill>
              </w:rPr>
              <w:t>100%</w:t>
            </w:r>
            <w:r>
              <w:rPr>
                <w:rFonts w:hint="default" w:ascii="Times New Roman" w:hAnsi="Times New Roman" w:eastAsia="宋体" w:cs="Times New Roman"/>
                <w:color w:val="000000" w:themeColor="text1"/>
                <w14:textFill>
                  <w14:solidFill>
                    <w14:schemeClr w14:val="tx1"/>
                  </w14:solidFill>
                </w14:textFill>
              </w:rPr>
              <w:t>。</w:t>
            </w:r>
          </w:p>
          <w:p w14:paraId="6041DA6F">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本项目位于四川省巴中市平昌县星光工业园施迈路</w:t>
            </w:r>
            <w:r>
              <w:rPr>
                <w:rFonts w:hint="default"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lang w:val="en-US" w:eastAsia="zh-CN"/>
                <w14:textFill>
                  <w14:solidFill>
                    <w14:schemeClr w14:val="tx1"/>
                  </w14:solidFill>
                </w14:textFill>
              </w:rPr>
              <w:t>号，距离上游断面红谷梁断面约</w:t>
            </w:r>
            <w:r>
              <w:rPr>
                <w:rFonts w:hint="default" w:ascii="Times New Roman" w:hAnsi="Times New Roman" w:eastAsia="宋体" w:cs="Times New Roman"/>
                <w:color w:val="000000" w:themeColor="text1"/>
                <w:lang w:val="en-US" w:eastAsia="zh-CN"/>
                <w14:textFill>
                  <w14:solidFill>
                    <w14:schemeClr w14:val="tx1"/>
                  </w14:solidFill>
                </w14:textFill>
              </w:rPr>
              <w:t>1.55km</w:t>
            </w:r>
            <w:r>
              <w:rPr>
                <w:rFonts w:hint="eastAsia" w:ascii="Times New Roman" w:hAnsi="Times New Roman" w:eastAsia="宋体" w:cs="Times New Roman"/>
                <w:color w:val="000000" w:themeColor="text1"/>
                <w:lang w:val="en-US" w:eastAsia="zh-CN"/>
                <w14:textFill>
                  <w14:solidFill>
                    <w14:schemeClr w14:val="tx1"/>
                  </w14:solidFill>
                </w14:textFill>
              </w:rPr>
              <w:t>，距离下游道河湾断面约</w:t>
            </w:r>
            <w:r>
              <w:rPr>
                <w:rFonts w:hint="default" w:ascii="Times New Roman" w:hAnsi="Times New Roman" w:eastAsia="宋体" w:cs="Times New Roman"/>
                <w:color w:val="000000" w:themeColor="text1"/>
                <w:lang w:val="en-US" w:eastAsia="zh-CN"/>
                <w14:textFill>
                  <w14:solidFill>
                    <w14:schemeClr w14:val="tx1"/>
                  </w14:solidFill>
                </w14:textFill>
              </w:rPr>
              <w:t>11.14km</w:t>
            </w:r>
            <w:r>
              <w:rPr>
                <w:rFonts w:hint="eastAsia" w:ascii="Times New Roman" w:hAnsi="Times New Roman" w:eastAsia="宋体" w:cs="Times New Roman"/>
                <w:color w:val="000000" w:themeColor="text1"/>
                <w:lang w:val="en-US" w:eastAsia="zh-CN"/>
                <w14:textFill>
                  <w14:solidFill>
                    <w14:schemeClr w14:val="tx1"/>
                  </w14:solidFill>
                </w14:textFill>
              </w:rPr>
              <w:t>，此两处断面水质均达</w:t>
            </w:r>
            <w:r>
              <w:rPr>
                <w:rFonts w:hint="default" w:ascii="Times New Roman" w:hAnsi="Times New Roman" w:eastAsia="宋体" w:cs="Times New Roman"/>
                <w:color w:val="000000" w:themeColor="text1"/>
                <w:lang w:val="en-US" w:eastAsia="zh-CN"/>
                <w14:textFill>
                  <w14:solidFill>
                    <w14:schemeClr w14:val="tx1"/>
                  </w14:solidFill>
                </w14:textFill>
              </w:rPr>
              <w:t>Ⅲ</w:t>
            </w:r>
            <w:r>
              <w:rPr>
                <w:rFonts w:hint="eastAsia" w:ascii="Times New Roman" w:hAnsi="Times New Roman" w:eastAsia="宋体" w:cs="Times New Roman"/>
                <w:color w:val="000000" w:themeColor="text1"/>
                <w:lang w:val="en-US" w:eastAsia="zh-CN"/>
                <w14:textFill>
                  <w14:solidFill>
                    <w14:schemeClr w14:val="tx1"/>
                  </w14:solidFill>
                </w14:textFill>
              </w:rPr>
              <w:t>类及以上标准，因此，区域巴河河段水环境质量现状良好。</w:t>
            </w:r>
          </w:p>
          <w:p w14:paraId="7647A161">
            <w:pPr>
              <w:bidi w:val="0"/>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综上，</w:t>
            </w:r>
            <w:r>
              <w:rPr>
                <w:rFonts w:hint="default"/>
                <w:color w:val="000000" w:themeColor="text1"/>
                <w:lang w:val="en-US" w:eastAsia="zh-CN"/>
                <w14:textFill>
                  <w14:solidFill>
                    <w14:schemeClr w14:val="tx1"/>
                  </w14:solidFill>
                </w14:textFill>
              </w:rPr>
              <w:t>项目所在区域地表水能够满足《地表水环境质量标准》（GB3838-2002）</w:t>
            </w:r>
            <w:r>
              <w:rPr>
                <w:rFonts w:hint="default" w:ascii="Times New Roman" w:hAnsi="Times New Roman" w:cs="Times New Roman"/>
                <w:color w:val="000000" w:themeColor="text1"/>
                <w:lang w:val="en-US" w:eastAsia="zh-CN"/>
                <w14:textFill>
                  <w14:solidFill>
                    <w14:schemeClr w14:val="tx1"/>
                  </w14:solidFill>
                </w14:textFill>
              </w:rPr>
              <w:t>Ⅲ</w:t>
            </w:r>
            <w:r>
              <w:rPr>
                <w:rFonts w:hint="eastAsia"/>
                <w:color w:val="000000" w:themeColor="text1"/>
                <w:lang w:val="en-US" w:eastAsia="zh-CN"/>
                <w14:textFill>
                  <w14:solidFill>
                    <w14:schemeClr w14:val="tx1"/>
                  </w14:solidFill>
                </w14:textFill>
              </w:rPr>
              <w:t>类</w:t>
            </w:r>
            <w:r>
              <w:rPr>
                <w:rFonts w:hint="default"/>
                <w:color w:val="000000" w:themeColor="text1"/>
                <w:lang w:val="en-US" w:eastAsia="zh-CN"/>
                <w14:textFill>
                  <w14:solidFill>
                    <w14:schemeClr w14:val="tx1"/>
                  </w14:solidFill>
                </w14:textFill>
              </w:rPr>
              <w:t>水域标准。项目区域地表水水质较好。</w:t>
            </w:r>
          </w:p>
          <w:p w14:paraId="1925DDB3">
            <w:pPr>
              <w:pStyle w:val="4"/>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3、声环境质量</w:t>
            </w:r>
          </w:p>
          <w:p w14:paraId="1A696DD9">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依据《建设项目环境影响报告表编制技术指南（污染影响类）</w:t>
            </w:r>
            <w:r>
              <w:rPr>
                <w:rFonts w:hint="eastAsia" w:cs="Times New Roman"/>
                <w:color w:val="000000" w:themeColor="text1"/>
                <w:lang w:val="en-US" w:eastAsia="zh-CN"/>
                <w14:textFill>
                  <w14:solidFill>
                    <w14:schemeClr w14:val="tx1"/>
                  </w14:solidFill>
                </w14:textFill>
              </w:rPr>
              <w:t>（试行）》</w:t>
            </w:r>
            <w:r>
              <w:rPr>
                <w:rFonts w:hint="eastAsia" w:ascii="Times New Roman" w:hAnsi="Times New Roman" w:eastAsia="宋体" w:cs="Times New Roman"/>
                <w:color w:val="000000" w:themeColor="text1"/>
                <w:lang w:val="en-US" w:eastAsia="zh-CN"/>
                <w14:textFill>
                  <w14:solidFill>
                    <w14:schemeClr w14:val="tx1"/>
                  </w14:solidFill>
                </w14:textFill>
              </w:rPr>
              <w:t>“声环境厂界外</w:t>
            </w:r>
            <w:r>
              <w:rPr>
                <w:rFonts w:hint="default" w:ascii="Times New Roman" w:hAnsi="Times New Roman" w:eastAsia="宋体" w:cs="Times New Roman"/>
                <w:color w:val="000000" w:themeColor="text1"/>
                <w:lang w:val="en-US" w:eastAsia="zh-CN"/>
                <w14:textFill>
                  <w14:solidFill>
                    <w14:schemeClr w14:val="tx1"/>
                  </w14:solidFill>
                </w14:textFill>
              </w:rPr>
              <w:t>50</w:t>
            </w:r>
            <w:r>
              <w:rPr>
                <w:rFonts w:hint="eastAsia" w:ascii="Times New Roman" w:hAnsi="Times New Roman" w:eastAsia="宋体" w:cs="Times New Roman"/>
                <w:color w:val="000000" w:themeColor="text1"/>
                <w:lang w:val="en-US" w:eastAsia="zh-CN"/>
                <w14:textFill>
                  <w14:solidFill>
                    <w14:schemeClr w14:val="tx1"/>
                  </w14:solidFill>
                </w14:textFill>
              </w:rPr>
              <w:t>米范围内存在声环境保护目标的建设项目，应监测保护目标声环境质量现状并评价达标情况”。</w:t>
            </w:r>
          </w:p>
          <w:p w14:paraId="5F5864D4">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本项目位于</w:t>
            </w:r>
            <w:r>
              <w:rPr>
                <w:rFonts w:hint="eastAsia" w:cs="Times New Roman"/>
                <w:color w:val="000000" w:themeColor="text1"/>
                <w14:textFill>
                  <w14:solidFill>
                    <w14:schemeClr w14:val="tx1"/>
                  </w14:solidFill>
                </w14:textFill>
              </w:rPr>
              <w:t>平昌经济开发区星光机械制造产业片区</w:t>
            </w:r>
            <w:r>
              <w:rPr>
                <w:rFonts w:hint="eastAsia" w:ascii="Times New Roman" w:hAnsi="Times New Roman" w:eastAsia="宋体" w:cs="Times New Roman"/>
                <w:color w:val="000000" w:themeColor="text1"/>
                <w:lang w:val="en-US" w:eastAsia="zh-CN"/>
                <w14:textFill>
                  <w14:solidFill>
                    <w14:schemeClr w14:val="tx1"/>
                  </w14:solidFill>
                </w14:textFill>
              </w:rPr>
              <w:t>内，经调查，项目厂界外</w:t>
            </w:r>
            <w:r>
              <w:rPr>
                <w:rFonts w:hint="default" w:ascii="Times New Roman" w:hAnsi="Times New Roman" w:eastAsia="宋体" w:cs="Times New Roman"/>
                <w:color w:val="000000" w:themeColor="text1"/>
                <w:lang w:val="en-US" w:eastAsia="zh-CN"/>
                <w14:textFill>
                  <w14:solidFill>
                    <w14:schemeClr w14:val="tx1"/>
                  </w14:solidFill>
                </w14:textFill>
              </w:rPr>
              <w:t>50</w:t>
            </w:r>
            <w:r>
              <w:rPr>
                <w:rFonts w:hint="eastAsia" w:ascii="Times New Roman" w:hAnsi="Times New Roman" w:eastAsia="宋体" w:cs="Times New Roman"/>
                <w:color w:val="000000" w:themeColor="text1"/>
                <w:lang w:val="en-US" w:eastAsia="zh-CN"/>
                <w14:textFill>
                  <w14:solidFill>
                    <w14:schemeClr w14:val="tx1"/>
                  </w14:solidFill>
                </w14:textFill>
              </w:rPr>
              <w:t>米范围内无声环境保护目标。因此，无需开展声环境质量现状监测。</w:t>
            </w:r>
          </w:p>
          <w:p w14:paraId="707FB45D">
            <w:pPr>
              <w:pStyle w:val="4"/>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4、生态环境</w:t>
            </w:r>
          </w:p>
          <w:p w14:paraId="620D210F">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根据《建设项目环境影响报告表编制技术指南》（污染影响类）（试行），</w:t>
            </w:r>
            <w:r>
              <w:rPr>
                <w:rFonts w:hint="eastAsia" w:ascii="宋体" w:hAnsi="宋体" w:eastAsia="宋体" w:cs="宋体"/>
                <w:color w:val="000000" w:themeColor="text1"/>
                <w14:textFill>
                  <w14:solidFill>
                    <w14:schemeClr w14:val="tx1"/>
                  </w14:solidFill>
                </w14:textFill>
              </w:rPr>
              <w:t>“产业园区外建设项目新增用地且用地范围内含有生态环境保护目标时，应进行生态现状调查”。</w:t>
            </w:r>
          </w:p>
          <w:p w14:paraId="4F6F0357">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w:t>
            </w:r>
            <w:r>
              <w:rPr>
                <w:rFonts w:hint="eastAsia" w:cs="Times New Roman"/>
                <w:color w:val="000000" w:themeColor="text1"/>
                <w14:textFill>
                  <w14:solidFill>
                    <w14:schemeClr w14:val="tx1"/>
                  </w14:solidFill>
                </w14:textFill>
              </w:rPr>
              <w:t>平昌经济开发区星光机械制造产业片区</w:t>
            </w:r>
            <w:r>
              <w:rPr>
                <w:rFonts w:hint="default" w:ascii="Times New Roman" w:hAnsi="Times New Roman" w:cs="Times New Roman"/>
                <w:color w:val="000000" w:themeColor="text1"/>
                <w14:textFill>
                  <w14:solidFill>
                    <w14:schemeClr w14:val="tx1"/>
                  </w14:solidFill>
                </w14:textFill>
              </w:rPr>
              <w:t>内，租赁已建成厂房进行建设，</w:t>
            </w:r>
            <w:r>
              <w:rPr>
                <w:rFonts w:hint="eastAsia" w:ascii="Times New Roman" w:hAnsi="Times New Roman" w:cs="Times New Roman"/>
                <w:color w:val="000000" w:themeColor="text1"/>
                <w:lang w:val="en-US" w:eastAsia="zh-CN"/>
                <w14:textFill>
                  <w14:solidFill>
                    <w14:schemeClr w14:val="tx1"/>
                  </w14:solidFill>
                </w14:textFill>
              </w:rPr>
              <w:t>无新增用地，</w:t>
            </w:r>
            <w:r>
              <w:rPr>
                <w:rFonts w:hint="default" w:ascii="Times New Roman" w:hAnsi="Times New Roman" w:cs="Times New Roman"/>
                <w:color w:val="000000" w:themeColor="text1"/>
                <w14:textFill>
                  <w14:solidFill>
                    <w14:schemeClr w14:val="tx1"/>
                  </w14:solidFill>
                </w14:textFill>
              </w:rPr>
              <w:t>用地范围内不含有生态环境保护目标，因此可不进行生态现状调查。</w:t>
            </w:r>
          </w:p>
          <w:p w14:paraId="4C4D3BAC">
            <w:pPr>
              <w:pStyle w:val="4"/>
              <w:numPr>
                <w:ilvl w:val="0"/>
                <w:numId w:val="9"/>
              </w:numPr>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地下水</w:t>
            </w:r>
            <w:r>
              <w:rPr>
                <w:rFonts w:hint="eastAsia" w:cs="Times New Roman"/>
                <w:color w:val="000000" w:themeColor="text1"/>
                <w:lang w:val="en-US" w:eastAsia="zh-CN"/>
                <w14:textFill>
                  <w14:solidFill>
                    <w14:schemeClr w14:val="tx1"/>
                  </w14:solidFill>
                </w14:textFill>
              </w:rPr>
              <w:t>环境</w:t>
            </w:r>
          </w:p>
          <w:p w14:paraId="1EBD8716">
            <w:pPr>
              <w:pStyle w:val="4"/>
              <w:numPr>
                <w:ilvl w:val="-1"/>
                <w:numId w:val="0"/>
              </w:numPr>
              <w:spacing w:before="0" w:beforeLines="0"/>
              <w:ind w:firstLine="480" w:firstLineChars="200"/>
              <w:rPr>
                <w:rFonts w:hint="eastAsia" w:ascii="Times New Roman" w:hAnsi="Times New Roman"/>
                <w:b w:val="0"/>
                <w:bCs/>
                <w:smallCaps w:val="0"/>
                <w:color w:val="000000" w:themeColor="text1"/>
                <w:kern w:val="2"/>
                <w:szCs w:val="22"/>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考虑本项目水基岩屑渗滤液泄漏可能对地下水环境造成影响，因此，本项目引用《四川惠创智联科技有限公司环境影响评价噪声地下水、土壤环境质量现状检测报告》（报告编号：</w:t>
            </w:r>
            <w:r>
              <w:rPr>
                <w:rFonts w:hint="eastAsia" w:cs="Times New Roman"/>
                <w:b w:val="0"/>
                <w:bCs/>
                <w:color w:val="000000" w:themeColor="text1"/>
                <w14:textFill>
                  <w14:solidFill>
                    <w14:schemeClr w14:val="tx1"/>
                  </w14:solidFill>
                </w14:textFill>
              </w:rPr>
              <w:t>锡环检字（202</w:t>
            </w:r>
            <w:r>
              <w:rPr>
                <w:rFonts w:hint="eastAsia" w:cs="Times New Roman"/>
                <w:b w:val="0"/>
                <w:bCs/>
                <w:color w:val="000000" w:themeColor="text1"/>
                <w:lang w:val="en-US" w:eastAsia="zh-CN"/>
                <w14:textFill>
                  <w14:solidFill>
                    <w14:schemeClr w14:val="tx1"/>
                  </w14:solidFill>
                </w14:textFill>
              </w:rPr>
              <w:t>5</w:t>
            </w:r>
            <w:r>
              <w:rPr>
                <w:rFonts w:hint="eastAsia" w:cs="Times New Roman"/>
                <w:b w:val="0"/>
                <w:bCs/>
                <w:color w:val="000000" w:themeColor="text1"/>
                <w14:textFill>
                  <w14:solidFill>
                    <w14:schemeClr w14:val="tx1"/>
                  </w14:solidFill>
                </w14:textFill>
              </w:rPr>
              <w:t>）第06</w:t>
            </w:r>
            <w:r>
              <w:rPr>
                <w:rFonts w:hint="eastAsia" w:cs="Times New Roman"/>
                <w:b w:val="0"/>
                <w:bCs/>
                <w:color w:val="000000" w:themeColor="text1"/>
                <w:lang w:eastAsia="zh-CN"/>
                <w14:textFill>
                  <w14:solidFill>
                    <w14:schemeClr w14:val="tx1"/>
                  </w14:solidFill>
                </w14:textFill>
              </w:rPr>
              <w:t>2</w:t>
            </w:r>
            <w:r>
              <w:rPr>
                <w:rFonts w:hint="eastAsia" w:cs="Times New Roman"/>
                <w:b w:val="0"/>
                <w:bCs/>
                <w:color w:val="000000" w:themeColor="text1"/>
                <w:lang w:val="en-US" w:eastAsia="zh-CN"/>
                <w14:textFill>
                  <w14:solidFill>
                    <w14:schemeClr w14:val="tx1"/>
                  </w14:solidFill>
                </w14:textFill>
              </w:rPr>
              <w:t>1501</w:t>
            </w:r>
            <w:r>
              <w:rPr>
                <w:rFonts w:hint="eastAsia" w:cs="Times New Roman"/>
                <w:b w:val="0"/>
                <w:bCs/>
                <w:color w:val="000000" w:themeColor="text1"/>
                <w14:textFill>
                  <w14:solidFill>
                    <w14:schemeClr w14:val="tx1"/>
                  </w14:solidFill>
                </w14:textFill>
              </w:rPr>
              <w:t>号</w:t>
            </w:r>
            <w:r>
              <w:rPr>
                <w:rFonts w:hint="eastAsia" w:cs="Times New Roman"/>
                <w:b w:val="0"/>
                <w:bCs/>
                <w:color w:val="000000" w:themeColor="text1"/>
                <w:lang w:val="en-US" w:eastAsia="zh-CN"/>
                <w14:textFill>
                  <w14:solidFill>
                    <w14:schemeClr w14:val="tx1"/>
                  </w14:solidFill>
                </w14:textFill>
              </w:rPr>
              <w:t>）中的地下水监测数据作为项目地下水背景值。该项目监测点位位于本项目东南侧515m，本项目与该项目所属同一水文地质单元内，引用数据在三年有效时限内，</w:t>
            </w:r>
            <w:r>
              <w:rPr>
                <w:rFonts w:hint="eastAsia" w:ascii="Times New Roman" w:hAnsi="Times New Roman"/>
                <w:b w:val="0"/>
                <w:bCs/>
                <w:smallCaps w:val="0"/>
                <w:color w:val="000000" w:themeColor="text1"/>
                <w:kern w:val="2"/>
                <w:szCs w:val="22"/>
                <w:lang w:val="en-US" w:eastAsia="zh-CN"/>
                <w14:textFill>
                  <w14:solidFill>
                    <w14:schemeClr w14:val="tx1"/>
                  </w14:solidFill>
                </w14:textFill>
              </w:rPr>
              <w:t>可代表本项目</w:t>
            </w:r>
            <w:r>
              <w:rPr>
                <w:rFonts w:hint="eastAsia"/>
                <w:b w:val="0"/>
                <w:bCs/>
                <w:smallCaps w:val="0"/>
                <w:color w:val="000000" w:themeColor="text1"/>
                <w:kern w:val="2"/>
                <w:szCs w:val="22"/>
                <w:lang w:val="en-US" w:eastAsia="zh-CN"/>
                <w14:textFill>
                  <w14:solidFill>
                    <w14:schemeClr w14:val="tx1"/>
                  </w14:solidFill>
                </w14:textFill>
              </w:rPr>
              <w:t>地下水环境质量</w:t>
            </w:r>
            <w:r>
              <w:rPr>
                <w:rFonts w:hint="eastAsia" w:ascii="Times New Roman" w:hAnsi="Times New Roman"/>
                <w:b w:val="0"/>
                <w:bCs/>
                <w:smallCaps w:val="0"/>
                <w:color w:val="000000" w:themeColor="text1"/>
                <w:kern w:val="2"/>
                <w:szCs w:val="22"/>
                <w:lang w:val="en-US" w:eastAsia="zh-CN"/>
                <w14:textFill>
                  <w14:solidFill>
                    <w14:schemeClr w14:val="tx1"/>
                  </w14:solidFill>
                </w14:textFill>
              </w:rPr>
              <w:t>现状。</w:t>
            </w:r>
          </w:p>
          <w:p w14:paraId="0D17D726">
            <w:pPr>
              <w:rPr>
                <w:rFonts w:hint="eastAsia"/>
                <w:b/>
                <w:bCs/>
                <w:lang w:val="en-US" w:eastAsia="zh-CN"/>
              </w:rPr>
            </w:pPr>
            <w:r>
              <w:rPr>
                <w:rFonts w:hint="eastAsia"/>
                <w:b/>
                <w:bCs/>
                <w:lang w:val="en-US" w:eastAsia="zh-CN"/>
              </w:rPr>
              <w:t>①监测布点情况</w:t>
            </w:r>
          </w:p>
          <w:p w14:paraId="65079A70">
            <w:pPr>
              <w:keepNext/>
              <w:keepLines/>
              <w:widowControl w:val="0"/>
              <w:autoSpaceDE w:val="0"/>
              <w:autoSpaceDN w:val="0"/>
              <w:spacing w:line="360" w:lineRule="auto"/>
              <w:ind w:firstLine="480" w:firstLineChars="200"/>
              <w:jc w:val="both"/>
              <w:rPr>
                <w:rFonts w:hint="default" w:cs="Times New Roman"/>
                <w:b w:val="0"/>
                <w:bCs w:val="0"/>
                <w:color w:val="000000" w:themeColor="text1"/>
                <w:kern w:val="2"/>
                <w:sz w:val="24"/>
                <w:szCs w:val="22"/>
                <w:highlight w:val="none"/>
                <w:lang w:val="en-US" w:eastAsia="zh-CN" w:bidi="ar-SA"/>
                <w14:textFill>
                  <w14:solidFill>
                    <w14:schemeClr w14:val="tx1"/>
                  </w14:solidFill>
                </w14:textFill>
              </w:rPr>
            </w:pPr>
            <w:r>
              <w:rPr>
                <w:rFonts w:hint="eastAsia" w:cs="Times New Roman"/>
                <w:b w:val="0"/>
                <w:bCs w:val="0"/>
                <w:color w:val="000000" w:themeColor="text1"/>
                <w:kern w:val="2"/>
                <w:sz w:val="24"/>
                <w:szCs w:val="22"/>
                <w:highlight w:val="none"/>
                <w:lang w:val="en-US" w:eastAsia="zh-CN" w:bidi="ar-SA"/>
                <w14:textFill>
                  <w14:solidFill>
                    <w14:schemeClr w14:val="tx1"/>
                  </w14:solidFill>
                </w14:textFill>
              </w:rPr>
              <w:t>监测布点情况如下表。</w:t>
            </w:r>
          </w:p>
          <w:p w14:paraId="15757991">
            <w:pPr>
              <w:keepNext/>
              <w:keepLines/>
              <w:widowControl w:val="0"/>
              <w:autoSpaceDE w:val="0"/>
              <w:autoSpaceDN w:val="0"/>
              <w:spacing w:line="360" w:lineRule="exact"/>
              <w:ind w:firstLine="0" w:firstLineChars="0"/>
              <w:jc w:val="cente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表3-</w:t>
            </w:r>
            <w:r>
              <w:rPr>
                <w:rFonts w:hint="eastAsia" w:cs="Times New Roman"/>
                <w:b/>
                <w:bCs/>
                <w:color w:val="000000" w:themeColor="text1"/>
                <w:kern w:val="2"/>
                <w:sz w:val="21"/>
                <w:szCs w:val="20"/>
                <w:highlight w:val="none"/>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 xml:space="preserve"> </w:t>
            </w:r>
            <w:r>
              <w:rPr>
                <w:rFonts w:hint="eastAsia" w:cs="Times New Roman"/>
                <w:b/>
                <w:bCs/>
                <w:color w:val="000000" w:themeColor="text1"/>
                <w:kern w:val="2"/>
                <w:sz w:val="21"/>
                <w:szCs w:val="20"/>
                <w:highlight w:val="none"/>
                <w:lang w:val="en-US" w:eastAsia="zh-CN" w:bidi="ar-SA"/>
                <w14:textFill>
                  <w14:solidFill>
                    <w14:schemeClr w14:val="tx1"/>
                  </w14:solidFill>
                </w14:textFill>
              </w:rPr>
              <w:t>监测布点情况表</w:t>
            </w:r>
          </w:p>
          <w:tbl>
            <w:tblPr>
              <w:tblStyle w:val="29"/>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981"/>
              <w:gridCol w:w="6055"/>
              <w:gridCol w:w="1081"/>
              <w:gridCol w:w="952"/>
            </w:tblGrid>
            <w:tr w14:paraId="4EEE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58" w:type="pct"/>
                  <w:noWrap w:val="0"/>
                  <w:vAlign w:val="center"/>
                </w:tcPr>
                <w:p w14:paraId="7AB73D06">
                  <w:pPr>
                    <w:pStyle w:val="72"/>
                    <w:bidi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编号</w:t>
                  </w:r>
                </w:p>
              </w:tc>
              <w:tc>
                <w:tcPr>
                  <w:tcW w:w="502" w:type="pct"/>
                  <w:noWrap w:val="0"/>
                  <w:vAlign w:val="center"/>
                </w:tcPr>
                <w:p w14:paraId="5B94625C">
                  <w:pPr>
                    <w:pStyle w:val="72"/>
                    <w:bidi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监测点名称</w:t>
                  </w:r>
                </w:p>
              </w:tc>
              <w:tc>
                <w:tcPr>
                  <w:tcW w:w="3098" w:type="pct"/>
                  <w:noWrap w:val="0"/>
                  <w:vAlign w:val="center"/>
                </w:tcPr>
                <w:p w14:paraId="503016F2">
                  <w:pPr>
                    <w:pStyle w:val="72"/>
                    <w:bidi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监测项目</w:t>
                  </w:r>
                </w:p>
              </w:tc>
              <w:tc>
                <w:tcPr>
                  <w:tcW w:w="553" w:type="pct"/>
                  <w:noWrap w:val="0"/>
                  <w:vAlign w:val="center"/>
                </w:tcPr>
                <w:p w14:paraId="73A66BDA">
                  <w:pPr>
                    <w:pStyle w:val="72"/>
                    <w:bidi w:val="0"/>
                    <w:spacing w:line="240" w:lineRule="auto"/>
                    <w:ind w:firstLine="0" w:firstLineChars="0"/>
                    <w:jc w:val="center"/>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监测频次</w:t>
                  </w:r>
                </w:p>
              </w:tc>
              <w:tc>
                <w:tcPr>
                  <w:tcW w:w="487" w:type="pct"/>
                  <w:noWrap w:val="0"/>
                  <w:vAlign w:val="center"/>
                </w:tcPr>
                <w:p w14:paraId="3582A485">
                  <w:pPr>
                    <w:pStyle w:val="72"/>
                    <w:bidi w:val="0"/>
                    <w:spacing w:line="240" w:lineRule="auto"/>
                    <w:ind w:firstLine="0" w:firstLineChars="0"/>
                    <w:jc w:val="center"/>
                    <w:rPr>
                      <w:rFonts w:hint="default"/>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备注</w:t>
                  </w:r>
                </w:p>
              </w:tc>
            </w:tr>
            <w:tr w14:paraId="793C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58" w:type="pct"/>
                  <w:noWrap w:val="0"/>
                  <w:vAlign w:val="center"/>
                </w:tcPr>
                <w:p w14:paraId="2A0F78FF">
                  <w:pPr>
                    <w:pStyle w:val="72"/>
                    <w:bidi w:val="0"/>
                    <w:spacing w:line="240" w:lineRule="auto"/>
                    <w:ind w:firstLine="0" w:firstLineChars="0"/>
                    <w:jc w:val="center"/>
                    <w:rPr>
                      <w:rFonts w:hint="default"/>
                      <w:color w:val="000000" w:themeColor="text1"/>
                      <w:sz w:val="21"/>
                      <w:szCs w:val="21"/>
                      <w:lang w:val="en-US"/>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p>
              </w:tc>
              <w:tc>
                <w:tcPr>
                  <w:tcW w:w="502" w:type="pct"/>
                  <w:noWrap w:val="0"/>
                  <w:vAlign w:val="center"/>
                </w:tcPr>
                <w:p w14:paraId="216D8051">
                  <w:pPr>
                    <w:pStyle w:val="72"/>
                    <w:bidi w:val="0"/>
                    <w:spacing w:line="240" w:lineRule="auto"/>
                    <w:ind w:firstLine="0" w:firstLineChars="0"/>
                    <w:jc w:val="center"/>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1#项目区东南侧515m</w:t>
                  </w:r>
                </w:p>
              </w:tc>
              <w:tc>
                <w:tcPr>
                  <w:tcW w:w="3098" w:type="pct"/>
                  <w:noWrap w:val="0"/>
                  <w:vAlign w:val="center"/>
                </w:tcPr>
                <w:p w14:paraId="7015A77A">
                  <w:pPr>
                    <w:pStyle w:val="72"/>
                    <w:bidi w:val="0"/>
                    <w:spacing w:line="240" w:lineRule="auto"/>
                    <w:ind w:firstLine="0" w:firstLineChars="0"/>
                    <w:jc w:val="both"/>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14:textFill>
                        <w14:solidFill>
                          <w14:schemeClr w14:val="tx1"/>
                        </w14:solidFill>
                      </w14:textFill>
                    </w:rPr>
                    <w:t>pH、浑浊度、色度、臭和味、肉眼可见物、高锰酸盐指数、总硬度、溶解性总固体、悬浮物、氨氮、铬</w:t>
                  </w:r>
                  <w:r>
                    <w:rPr>
                      <w:rFonts w:hint="eastAsia"/>
                      <w:b w:val="0"/>
                      <w:bCs w:val="0"/>
                      <w:color w:val="000000" w:themeColor="text1"/>
                      <w:sz w:val="21"/>
                      <w:szCs w:val="21"/>
                      <w:lang w:eastAsia="zh-CN"/>
                      <w14:textFill>
                        <w14:solidFill>
                          <w14:schemeClr w14:val="tx1"/>
                        </w14:solidFill>
                      </w14:textFill>
                    </w:rPr>
                    <w:t>（</w:t>
                  </w:r>
                  <w:r>
                    <w:rPr>
                      <w:rFonts w:hint="eastAsia"/>
                      <w:b w:val="0"/>
                      <w:bCs w:val="0"/>
                      <w:color w:val="000000" w:themeColor="text1"/>
                      <w:sz w:val="21"/>
                      <w:szCs w:val="21"/>
                      <w14:textFill>
                        <w14:solidFill>
                          <w14:schemeClr w14:val="tx1"/>
                        </w14:solidFill>
                      </w14:textFill>
                    </w:rPr>
                    <w:t>六价</w:t>
                  </w:r>
                  <w:r>
                    <w:rPr>
                      <w:rFonts w:hint="eastAsia"/>
                      <w:b w:val="0"/>
                      <w:bCs w:val="0"/>
                      <w:color w:val="000000" w:themeColor="text1"/>
                      <w:sz w:val="21"/>
                      <w:szCs w:val="21"/>
                      <w:lang w:eastAsia="zh-CN"/>
                      <w14:textFill>
                        <w14:solidFill>
                          <w14:schemeClr w14:val="tx1"/>
                        </w14:solidFill>
                      </w14:textFill>
                    </w:rPr>
                    <w:t>）</w:t>
                  </w:r>
                  <w:r>
                    <w:rPr>
                      <w:rFonts w:hint="eastAsia"/>
                      <w:b w:val="0"/>
                      <w:bCs w:val="0"/>
                      <w:color w:val="000000" w:themeColor="text1"/>
                      <w:sz w:val="21"/>
                      <w:szCs w:val="21"/>
                      <w14:textFill>
                        <w14:solidFill>
                          <w14:schemeClr w14:val="tx1"/>
                        </w14:solidFill>
                      </w14:textFill>
                    </w:rPr>
                    <w:t>、挥发酚、氰化物、阴离子表面活性剂、亚硝酸盐氮、硫化物、石油类、总氮、氟离子、硝酸根</w:t>
                  </w:r>
                  <w:r>
                    <w:rPr>
                      <w:rFonts w:hint="eastAsia"/>
                      <w:b w:val="0"/>
                      <w:bCs w:val="0"/>
                      <w:color w:val="000000" w:themeColor="text1"/>
                      <w:sz w:val="21"/>
                      <w:szCs w:val="21"/>
                      <w:lang w:eastAsia="zh-CN"/>
                      <w14:textFill>
                        <w14:solidFill>
                          <w14:schemeClr w14:val="tx1"/>
                        </w14:solidFill>
                      </w14:textFill>
                    </w:rPr>
                    <w:t>（</w:t>
                  </w:r>
                  <w:r>
                    <w:rPr>
                      <w:rFonts w:hint="eastAsia"/>
                      <w:b w:val="0"/>
                      <w:bCs w:val="0"/>
                      <w:color w:val="000000" w:themeColor="text1"/>
                      <w:sz w:val="21"/>
                      <w:szCs w:val="21"/>
                      <w14:textFill>
                        <w14:solidFill>
                          <w14:schemeClr w14:val="tx1"/>
                        </w14:solidFill>
                      </w14:textFill>
                    </w:rPr>
                    <w:t>以N计</w:t>
                  </w:r>
                  <w:r>
                    <w:rPr>
                      <w:rFonts w:hint="eastAsia"/>
                      <w:b w:val="0"/>
                      <w:bCs w:val="0"/>
                      <w:color w:val="000000" w:themeColor="text1"/>
                      <w:sz w:val="21"/>
                      <w:szCs w:val="21"/>
                      <w:lang w:eastAsia="zh-CN"/>
                      <w14:textFill>
                        <w14:solidFill>
                          <w14:schemeClr w14:val="tx1"/>
                        </w14:solidFill>
                      </w14:textFill>
                    </w:rPr>
                    <w:t>）</w:t>
                  </w:r>
                  <w:r>
                    <w:rPr>
                      <w:rFonts w:hint="eastAsia"/>
                      <w:b w:val="0"/>
                      <w:bCs w:val="0"/>
                      <w:color w:val="000000" w:themeColor="text1"/>
                      <w:sz w:val="21"/>
                      <w:szCs w:val="21"/>
                      <w14:textFill>
                        <w14:solidFill>
                          <w14:schemeClr w14:val="tx1"/>
                        </w14:solidFill>
                      </w14:textFill>
                    </w:rPr>
                    <w:t>、氯化物、硫酸根、碘化物、汞、砷、硒、铅、镉、锌、铁、锰、铜、钠、铝、镍、银、磷</w:t>
                  </w:r>
                  <w:r>
                    <w:rPr>
                      <w:rFonts w:hint="eastAsia"/>
                      <w:b w:val="0"/>
                      <w:bCs w:val="0"/>
                      <w:color w:val="000000" w:themeColor="text1"/>
                      <w:sz w:val="21"/>
                      <w:szCs w:val="21"/>
                      <w:lang w:eastAsia="zh-CN"/>
                      <w14:textFill>
                        <w14:solidFill>
                          <w14:schemeClr w14:val="tx1"/>
                        </w14:solidFill>
                      </w14:textFill>
                    </w:rPr>
                    <w:t>（</w:t>
                  </w:r>
                  <w:r>
                    <w:rPr>
                      <w:rFonts w:hint="eastAsia"/>
                      <w:b w:val="0"/>
                      <w:bCs w:val="0"/>
                      <w:color w:val="000000" w:themeColor="text1"/>
                      <w:sz w:val="21"/>
                      <w:szCs w:val="21"/>
                      <w14:textFill>
                        <w14:solidFill>
                          <w14:schemeClr w14:val="tx1"/>
                        </w14:solidFill>
                      </w14:textFill>
                    </w:rPr>
                    <w:t>总磷</w:t>
                  </w:r>
                  <w:r>
                    <w:rPr>
                      <w:rFonts w:hint="eastAsia"/>
                      <w:b w:val="0"/>
                      <w:bCs w:val="0"/>
                      <w:color w:val="000000" w:themeColor="text1"/>
                      <w:sz w:val="21"/>
                      <w:szCs w:val="21"/>
                      <w:lang w:eastAsia="zh-CN"/>
                      <w14:textFill>
                        <w14:solidFill>
                          <w14:schemeClr w14:val="tx1"/>
                        </w14:solidFill>
                      </w14:textFill>
                    </w:rPr>
                    <w:t>）</w:t>
                  </w:r>
                  <w:r>
                    <w:rPr>
                      <w:rFonts w:hint="eastAsia"/>
                      <w:b w:val="0"/>
                      <w:bCs w:val="0"/>
                      <w:color w:val="000000" w:themeColor="text1"/>
                      <w:sz w:val="21"/>
                      <w:szCs w:val="21"/>
                      <w14:textFill>
                        <w14:solidFill>
                          <w14:schemeClr w14:val="tx1"/>
                        </w14:solidFill>
                      </w14:textFill>
                    </w:rPr>
                    <w:t>、氯仿、四氯化碳、苯、甲苯</w:t>
                  </w:r>
                </w:p>
              </w:tc>
              <w:tc>
                <w:tcPr>
                  <w:tcW w:w="553" w:type="pct"/>
                  <w:noWrap w:val="0"/>
                  <w:vAlign w:val="center"/>
                </w:tcPr>
                <w:p w14:paraId="0ADFE503">
                  <w:pPr>
                    <w:pStyle w:val="72"/>
                    <w:bidi w:val="0"/>
                    <w:spacing w:line="240" w:lineRule="auto"/>
                    <w:ind w:firstLine="0" w:firstLineChars="0"/>
                    <w:jc w:val="center"/>
                    <w:rPr>
                      <w:rFonts w:hint="default"/>
                      <w:b/>
                      <w:bCs/>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监测1天，1天1次</w:t>
                  </w:r>
                </w:p>
              </w:tc>
              <w:tc>
                <w:tcPr>
                  <w:tcW w:w="487" w:type="pct"/>
                  <w:noWrap w:val="0"/>
                  <w:vAlign w:val="center"/>
                </w:tcPr>
                <w:p w14:paraId="7846D610">
                  <w:pPr>
                    <w:pStyle w:val="72"/>
                    <w:bidi w:val="0"/>
                    <w:spacing w:line="240" w:lineRule="auto"/>
                    <w:ind w:firstLine="0" w:firstLineChars="0"/>
                    <w:jc w:val="center"/>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背景值</w:t>
                  </w:r>
                </w:p>
              </w:tc>
            </w:tr>
          </w:tbl>
          <w:p w14:paraId="1628A5F4">
            <w:pPr>
              <w:rPr>
                <w:rFonts w:hint="eastAsia"/>
                <w:b/>
                <w:bCs/>
                <w:lang w:val="en-US" w:eastAsia="zh-CN"/>
              </w:rPr>
            </w:pPr>
            <w:r>
              <w:rPr>
                <w:rFonts w:hint="eastAsia"/>
                <w:b/>
                <w:bCs/>
                <w:lang w:val="en-US" w:eastAsia="zh-CN"/>
              </w:rPr>
              <w:t>②监测结果</w:t>
            </w:r>
          </w:p>
          <w:p w14:paraId="1E8AFEC0">
            <w:pPr>
              <w:pStyle w:val="19"/>
              <w:rPr>
                <w:rFonts w:hint="default"/>
                <w:b/>
                <w:bCs/>
                <w:lang w:val="en-US" w:eastAsia="zh-CN"/>
              </w:rPr>
            </w:pPr>
            <w:r>
              <w:rPr>
                <w:rFonts w:hint="eastAsia"/>
                <w:color w:val="000000" w:themeColor="text1"/>
                <w:lang w:val="en-US" w:eastAsia="zh-CN"/>
                <w14:textFill>
                  <w14:solidFill>
                    <w14:schemeClr w14:val="tx1"/>
                  </w14:solidFill>
                </w14:textFill>
              </w:rPr>
              <w:t>监测结果见下表。</w:t>
            </w:r>
          </w:p>
          <w:p w14:paraId="52E98F56">
            <w:pPr>
              <w:jc w:val="center"/>
              <w:rPr>
                <w:rFonts w:hint="eastAsia"/>
                <w:lang w:val="en-US" w:eastAsia="zh-CN"/>
              </w:rPr>
            </w:pPr>
            <w:r>
              <w:rPr>
                <w:rFonts w:hint="eastAsia" w:cs="Times New Roman"/>
                <w:b/>
                <w:bCs/>
                <w:color w:val="000000" w:themeColor="text1"/>
                <w:kern w:val="2"/>
                <w:sz w:val="21"/>
                <w:szCs w:val="20"/>
                <w:highlight w:val="none"/>
                <w:lang w:val="en-US" w:eastAsia="zh-CN" w:bidi="ar-SA"/>
                <w14:textFill>
                  <w14:solidFill>
                    <w14:schemeClr w14:val="tx1"/>
                  </w14:solidFill>
                </w14:textFill>
              </w:rPr>
              <w:t>表3-4 地下水</w:t>
            </w: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环境质量现状监测结果</w:t>
            </w:r>
          </w:p>
          <w:tbl>
            <w:tblPr>
              <w:tblStyle w:val="54"/>
              <w:tblW w:w="9790" w:type="dxa"/>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80"/>
              <w:gridCol w:w="1582"/>
              <w:gridCol w:w="2276"/>
              <w:gridCol w:w="2276"/>
              <w:gridCol w:w="2276"/>
            </w:tblGrid>
            <w:tr w14:paraId="34A2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Align w:val="center"/>
                </w:tcPr>
                <w:p w14:paraId="4CE3AFF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采样日期</w:t>
                  </w:r>
                </w:p>
              </w:tc>
              <w:tc>
                <w:tcPr>
                  <w:tcW w:w="1582" w:type="dxa"/>
                  <w:vAlign w:val="center"/>
                </w:tcPr>
                <w:p w14:paraId="1377F0E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2"/>
                      <w:sz w:val="21"/>
                      <w:szCs w:val="21"/>
                    </w:rPr>
                    <w:t>检测点位</w:t>
                  </w:r>
                </w:p>
              </w:tc>
              <w:tc>
                <w:tcPr>
                  <w:tcW w:w="2276" w:type="dxa"/>
                  <w:vAlign w:val="center"/>
                </w:tcPr>
                <w:p w14:paraId="39BA046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10"/>
                      <w:sz w:val="21"/>
                      <w:szCs w:val="21"/>
                    </w:rPr>
                    <w:t>检测项目</w:t>
                  </w:r>
                </w:p>
              </w:tc>
              <w:tc>
                <w:tcPr>
                  <w:tcW w:w="2276" w:type="dxa"/>
                  <w:vAlign w:val="center"/>
                </w:tcPr>
                <w:p w14:paraId="757F6B5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3"/>
                      <w:sz w:val="21"/>
                      <w:szCs w:val="21"/>
                    </w:rPr>
                    <w:t>单位</w:t>
                  </w:r>
                </w:p>
              </w:tc>
              <w:tc>
                <w:tcPr>
                  <w:tcW w:w="2276" w:type="dxa"/>
                  <w:vAlign w:val="center"/>
                </w:tcPr>
                <w:p w14:paraId="5AD36E0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检测结果</w:t>
                  </w:r>
                </w:p>
              </w:tc>
            </w:tr>
            <w:tr w14:paraId="18AC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restart"/>
                  <w:vAlign w:val="center"/>
                </w:tcPr>
                <w:p w14:paraId="7C98EFD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7"/>
                      <w:sz w:val="21"/>
                      <w:szCs w:val="21"/>
                    </w:rPr>
                    <w:t>6月15日</w:t>
                  </w:r>
                </w:p>
              </w:tc>
              <w:tc>
                <w:tcPr>
                  <w:tcW w:w="1582" w:type="dxa"/>
                  <w:vMerge w:val="restart"/>
                  <w:vAlign w:val="center"/>
                </w:tcPr>
                <w:p w14:paraId="783ABBE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1#项目区外东南侧水井</w:t>
                  </w:r>
                </w:p>
              </w:tc>
              <w:tc>
                <w:tcPr>
                  <w:tcW w:w="2276" w:type="dxa"/>
                  <w:vAlign w:val="center"/>
                </w:tcPr>
                <w:p w14:paraId="12F009D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pH</w:t>
                  </w:r>
                </w:p>
              </w:tc>
              <w:tc>
                <w:tcPr>
                  <w:tcW w:w="2276" w:type="dxa"/>
                  <w:vAlign w:val="center"/>
                </w:tcPr>
                <w:p w14:paraId="1A8F7B7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无量纲</w:t>
                  </w:r>
                </w:p>
              </w:tc>
              <w:tc>
                <w:tcPr>
                  <w:tcW w:w="2276" w:type="dxa"/>
                  <w:vAlign w:val="center"/>
                </w:tcPr>
                <w:p w14:paraId="280CD76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7.2</w:t>
                  </w:r>
                </w:p>
              </w:tc>
            </w:tr>
            <w:tr w14:paraId="4494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1F68E15B">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44F50EC4">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786FA9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浑浊度</w:t>
                  </w:r>
                </w:p>
              </w:tc>
              <w:tc>
                <w:tcPr>
                  <w:tcW w:w="2276" w:type="dxa"/>
                  <w:vAlign w:val="center"/>
                </w:tcPr>
                <w:p w14:paraId="3C8DBEF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NTU</w:t>
                  </w:r>
                </w:p>
              </w:tc>
              <w:tc>
                <w:tcPr>
                  <w:tcW w:w="2276" w:type="dxa"/>
                  <w:vAlign w:val="center"/>
                </w:tcPr>
                <w:p w14:paraId="40BFD4C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0.6</w:t>
                  </w:r>
                </w:p>
              </w:tc>
            </w:tr>
            <w:tr w14:paraId="7975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261077C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1111BD08">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1B093FD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6"/>
                      <w:sz w:val="21"/>
                      <w:szCs w:val="21"/>
                    </w:rPr>
                    <w:t>色度</w:t>
                  </w:r>
                </w:p>
              </w:tc>
              <w:tc>
                <w:tcPr>
                  <w:tcW w:w="2276" w:type="dxa"/>
                  <w:vAlign w:val="center"/>
                </w:tcPr>
                <w:p w14:paraId="26FD2DB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度</w:t>
                  </w:r>
                </w:p>
              </w:tc>
              <w:tc>
                <w:tcPr>
                  <w:tcW w:w="2276" w:type="dxa"/>
                  <w:vAlign w:val="center"/>
                </w:tcPr>
                <w:p w14:paraId="4079C43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55C6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2EBFBC3A">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1A541279">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1C2E7A8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臭和味</w:t>
                  </w:r>
                </w:p>
              </w:tc>
              <w:tc>
                <w:tcPr>
                  <w:tcW w:w="2276" w:type="dxa"/>
                  <w:vAlign w:val="center"/>
                </w:tcPr>
                <w:p w14:paraId="7CB802C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2276" w:type="dxa"/>
                  <w:vAlign w:val="center"/>
                </w:tcPr>
                <w:p w14:paraId="5868412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无任何臭和味</w:t>
                  </w:r>
                </w:p>
              </w:tc>
            </w:tr>
            <w:tr w14:paraId="1C51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299F2A4F">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79868831">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52194F9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肉眼可见物</w:t>
                  </w:r>
                </w:p>
              </w:tc>
              <w:tc>
                <w:tcPr>
                  <w:tcW w:w="2276" w:type="dxa"/>
                  <w:vAlign w:val="center"/>
                </w:tcPr>
                <w:p w14:paraId="472B23B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2276" w:type="dxa"/>
                  <w:vAlign w:val="center"/>
                </w:tcPr>
                <w:p w14:paraId="70D0EFE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无肉眼可见物</w:t>
                  </w:r>
                </w:p>
              </w:tc>
            </w:tr>
            <w:tr w14:paraId="03A2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1DE6D72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26FAFBD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20B5B07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高锰酸盐指数</w:t>
                  </w:r>
                </w:p>
              </w:tc>
              <w:tc>
                <w:tcPr>
                  <w:tcW w:w="2276" w:type="dxa"/>
                  <w:vAlign w:val="center"/>
                </w:tcPr>
                <w:p w14:paraId="2D76930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1ECCFD2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0.63</w:t>
                  </w:r>
                </w:p>
              </w:tc>
            </w:tr>
            <w:tr w14:paraId="28B7F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05E035DB">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45FFC901">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40EC8EC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总硬度</w:t>
                  </w:r>
                </w:p>
              </w:tc>
              <w:tc>
                <w:tcPr>
                  <w:tcW w:w="2276" w:type="dxa"/>
                  <w:vAlign w:val="center"/>
                </w:tcPr>
                <w:p w14:paraId="699ABF0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41A74AD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31</w:t>
                  </w:r>
                </w:p>
              </w:tc>
            </w:tr>
            <w:tr w14:paraId="68B2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7AC00E1E">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37A119DD">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4B8D7A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溶解性总固体</w:t>
                  </w:r>
                </w:p>
              </w:tc>
              <w:tc>
                <w:tcPr>
                  <w:tcW w:w="2276" w:type="dxa"/>
                  <w:vAlign w:val="center"/>
                </w:tcPr>
                <w:p w14:paraId="478D555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3BDF9D9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346</w:t>
                  </w:r>
                </w:p>
              </w:tc>
            </w:tr>
            <w:tr w14:paraId="2AB1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2AAF3BA7">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547FBE4C">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3F66466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悬浮物</w:t>
                  </w:r>
                </w:p>
              </w:tc>
              <w:tc>
                <w:tcPr>
                  <w:tcW w:w="2276" w:type="dxa"/>
                  <w:vAlign w:val="center"/>
                </w:tcPr>
                <w:p w14:paraId="004F4F9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3FD1D84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w:t>
                  </w:r>
                </w:p>
              </w:tc>
            </w:tr>
            <w:tr w14:paraId="207A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404F4F9B">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0367396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73B7807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氨氮</w:t>
                  </w:r>
                </w:p>
              </w:tc>
              <w:tc>
                <w:tcPr>
                  <w:tcW w:w="2276" w:type="dxa"/>
                  <w:vAlign w:val="center"/>
                </w:tcPr>
                <w:p w14:paraId="2163096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2B87DD0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0.077</w:t>
                  </w:r>
                </w:p>
              </w:tc>
            </w:tr>
            <w:tr w14:paraId="1C06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1D89D540">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7943228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4D3F105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9"/>
                      <w:sz w:val="21"/>
                      <w:szCs w:val="21"/>
                    </w:rPr>
                    <w:t>铬(六价)</w:t>
                  </w:r>
                </w:p>
              </w:tc>
              <w:tc>
                <w:tcPr>
                  <w:tcW w:w="2276" w:type="dxa"/>
                  <w:vAlign w:val="center"/>
                </w:tcPr>
                <w:p w14:paraId="06FBD89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1F9B1D5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046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2FB21A46">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36C0A70A">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5C20701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挥发酚</w:t>
                  </w:r>
                </w:p>
              </w:tc>
              <w:tc>
                <w:tcPr>
                  <w:tcW w:w="2276" w:type="dxa"/>
                  <w:vAlign w:val="center"/>
                </w:tcPr>
                <w:p w14:paraId="15F0E9E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030A3B9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252D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5776CDE7">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63CDAB28">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2D83965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氰化物</w:t>
                  </w:r>
                </w:p>
              </w:tc>
              <w:tc>
                <w:tcPr>
                  <w:tcW w:w="2276" w:type="dxa"/>
                  <w:vAlign w:val="center"/>
                </w:tcPr>
                <w:p w14:paraId="36FDEC1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7177457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E14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57F5714D">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58CF95D5">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4DD9525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阴离子表面活性剂</w:t>
                  </w:r>
                </w:p>
              </w:tc>
              <w:tc>
                <w:tcPr>
                  <w:tcW w:w="2276" w:type="dxa"/>
                  <w:vAlign w:val="center"/>
                </w:tcPr>
                <w:p w14:paraId="1DBDA6E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357F46D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44EF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6682E976">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74A8427F">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64005A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亚硝酸盐氮</w:t>
                  </w:r>
                </w:p>
              </w:tc>
              <w:tc>
                <w:tcPr>
                  <w:tcW w:w="2276" w:type="dxa"/>
                  <w:vAlign w:val="center"/>
                </w:tcPr>
                <w:p w14:paraId="5A3485A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4B33709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1C8C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7F27067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13F7862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34A0D52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硫化物</w:t>
                  </w:r>
                </w:p>
              </w:tc>
              <w:tc>
                <w:tcPr>
                  <w:tcW w:w="2276" w:type="dxa"/>
                  <w:vAlign w:val="center"/>
                </w:tcPr>
                <w:p w14:paraId="0622A8D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55FD655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2EE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4DA34EFA">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14238DEB">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50AFFE8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石油类</w:t>
                  </w:r>
                </w:p>
              </w:tc>
              <w:tc>
                <w:tcPr>
                  <w:tcW w:w="2276" w:type="dxa"/>
                  <w:vAlign w:val="center"/>
                </w:tcPr>
                <w:p w14:paraId="4E45C57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1AFFC6F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C2D6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5EF64E96">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761D9D7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4444A56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总氮</w:t>
                  </w:r>
                </w:p>
              </w:tc>
              <w:tc>
                <w:tcPr>
                  <w:tcW w:w="2276" w:type="dxa"/>
                  <w:vAlign w:val="center"/>
                </w:tcPr>
                <w:p w14:paraId="332B04F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3065270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0.85</w:t>
                  </w:r>
                </w:p>
              </w:tc>
            </w:tr>
            <w:tr w14:paraId="62C8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6B5C29C4">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4C2CFC45">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47D42A1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氟离子</w:t>
                  </w:r>
                </w:p>
              </w:tc>
              <w:tc>
                <w:tcPr>
                  <w:tcW w:w="2276" w:type="dxa"/>
                  <w:vAlign w:val="center"/>
                </w:tcPr>
                <w:p w14:paraId="6EF6EE1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5BC5157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0.138</w:t>
                  </w:r>
                </w:p>
              </w:tc>
            </w:tr>
            <w:tr w14:paraId="4120B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5CAA705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5491D2F0">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2C25E52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6"/>
                      <w:sz w:val="21"/>
                      <w:szCs w:val="21"/>
                    </w:rPr>
                    <w:t>硝酸根(以N计)</w:t>
                  </w:r>
                </w:p>
              </w:tc>
              <w:tc>
                <w:tcPr>
                  <w:tcW w:w="2276" w:type="dxa"/>
                  <w:vAlign w:val="center"/>
                </w:tcPr>
                <w:p w14:paraId="165889F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0673C7E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0.110</w:t>
                  </w:r>
                </w:p>
              </w:tc>
            </w:tr>
            <w:tr w14:paraId="571C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2B9EB479">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16B8031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1D31F13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氯化物</w:t>
                  </w:r>
                </w:p>
              </w:tc>
              <w:tc>
                <w:tcPr>
                  <w:tcW w:w="2276" w:type="dxa"/>
                  <w:vAlign w:val="center"/>
                </w:tcPr>
                <w:p w14:paraId="58A4AB6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6761B02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20.5</w:t>
                  </w:r>
                </w:p>
              </w:tc>
            </w:tr>
            <w:tr w14:paraId="1FFD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6C4C8918">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5E92EA9D">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8065EF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硫酸根</w:t>
                  </w:r>
                </w:p>
              </w:tc>
              <w:tc>
                <w:tcPr>
                  <w:tcW w:w="2276" w:type="dxa"/>
                  <w:vAlign w:val="center"/>
                </w:tcPr>
                <w:p w14:paraId="394BE15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72727E4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12.8</w:t>
                  </w:r>
                </w:p>
              </w:tc>
            </w:tr>
            <w:tr w14:paraId="1ACC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47EB514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075BF9B1">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324DF32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碘化物</w:t>
                  </w:r>
                </w:p>
              </w:tc>
              <w:tc>
                <w:tcPr>
                  <w:tcW w:w="2276" w:type="dxa"/>
                  <w:vAlign w:val="center"/>
                </w:tcPr>
                <w:p w14:paraId="133ED51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6D97E4A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0.013</w:t>
                  </w:r>
                </w:p>
              </w:tc>
            </w:tr>
            <w:tr w14:paraId="6F27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1628051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28732F9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054694E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汞</w:t>
                  </w:r>
                </w:p>
              </w:tc>
              <w:tc>
                <w:tcPr>
                  <w:tcW w:w="2276" w:type="dxa"/>
                  <w:vAlign w:val="center"/>
                </w:tcPr>
                <w:p w14:paraId="5764B13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2276" w:type="dxa"/>
                  <w:vAlign w:val="center"/>
                </w:tcPr>
                <w:p w14:paraId="1F69EDC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DFC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37409034">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442F8424">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06300B2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砷</w:t>
                  </w:r>
                </w:p>
              </w:tc>
              <w:tc>
                <w:tcPr>
                  <w:tcW w:w="2276" w:type="dxa"/>
                  <w:vAlign w:val="center"/>
                </w:tcPr>
                <w:p w14:paraId="335C9EC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2276" w:type="dxa"/>
                  <w:vAlign w:val="center"/>
                </w:tcPr>
                <w:p w14:paraId="4358B3D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5F84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71130FF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2FEECD37">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0DB354A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硒</w:t>
                  </w:r>
                </w:p>
              </w:tc>
              <w:tc>
                <w:tcPr>
                  <w:tcW w:w="2276" w:type="dxa"/>
                  <w:vAlign w:val="center"/>
                </w:tcPr>
                <w:p w14:paraId="2E10F9D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2276" w:type="dxa"/>
                  <w:vAlign w:val="center"/>
                </w:tcPr>
                <w:p w14:paraId="32EC3C9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7DF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01DA9CBD">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509B1451">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1920EEA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铅</w:t>
                  </w:r>
                </w:p>
              </w:tc>
              <w:tc>
                <w:tcPr>
                  <w:tcW w:w="2276" w:type="dxa"/>
                  <w:vAlign w:val="center"/>
                </w:tcPr>
                <w:p w14:paraId="44E804B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2276" w:type="dxa"/>
                  <w:vAlign w:val="center"/>
                </w:tcPr>
                <w:p w14:paraId="7F855F4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4.5</w:t>
                  </w:r>
                </w:p>
              </w:tc>
            </w:tr>
            <w:tr w14:paraId="78A1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2F06C3D4">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493CB85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29E4698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镉</w:t>
                  </w:r>
                </w:p>
              </w:tc>
              <w:tc>
                <w:tcPr>
                  <w:tcW w:w="2276" w:type="dxa"/>
                  <w:vAlign w:val="center"/>
                </w:tcPr>
                <w:p w14:paraId="3C04EE2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2276" w:type="dxa"/>
                  <w:vAlign w:val="center"/>
                </w:tcPr>
                <w:p w14:paraId="5728EC9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3AC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0E34891C">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0EDF5988">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660C39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锌</w:t>
                  </w:r>
                </w:p>
              </w:tc>
              <w:tc>
                <w:tcPr>
                  <w:tcW w:w="2276" w:type="dxa"/>
                  <w:vAlign w:val="center"/>
                </w:tcPr>
                <w:p w14:paraId="7EB5346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6D2FE77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74E2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1F6AFDE1">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0D593B4C">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2D839E2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铁</w:t>
                  </w:r>
                </w:p>
              </w:tc>
              <w:tc>
                <w:tcPr>
                  <w:tcW w:w="2276" w:type="dxa"/>
                  <w:vAlign w:val="center"/>
                </w:tcPr>
                <w:p w14:paraId="57BEAC0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667FE37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BFE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62402248">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0992F809">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23E19E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锰</w:t>
                  </w:r>
                </w:p>
              </w:tc>
              <w:tc>
                <w:tcPr>
                  <w:tcW w:w="2276" w:type="dxa"/>
                  <w:vAlign w:val="center"/>
                </w:tcPr>
                <w:p w14:paraId="54BD452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1A701A4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50EF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0CC95161">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59DF3F96">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CFD2F0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铜</w:t>
                  </w:r>
                </w:p>
              </w:tc>
              <w:tc>
                <w:tcPr>
                  <w:tcW w:w="2276" w:type="dxa"/>
                  <w:vAlign w:val="center"/>
                </w:tcPr>
                <w:p w14:paraId="31831F2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4880FC4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2511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5B5354FD">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38653BCB">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75123CC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钠</w:t>
                  </w:r>
                </w:p>
              </w:tc>
              <w:tc>
                <w:tcPr>
                  <w:tcW w:w="2276" w:type="dxa"/>
                  <w:vAlign w:val="center"/>
                </w:tcPr>
                <w:p w14:paraId="4304AC4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56F162B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11.0</w:t>
                  </w:r>
                </w:p>
              </w:tc>
            </w:tr>
            <w:tr w14:paraId="1CEA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1B54DC5F">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7247D2C7">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2FECEF2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铝</w:t>
                  </w:r>
                </w:p>
              </w:tc>
              <w:tc>
                <w:tcPr>
                  <w:tcW w:w="2276" w:type="dxa"/>
                  <w:vAlign w:val="center"/>
                </w:tcPr>
                <w:p w14:paraId="4441B8C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444DC68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5AA6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29F12F33">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43FEF570">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5F1C34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镍</w:t>
                  </w:r>
                </w:p>
              </w:tc>
              <w:tc>
                <w:tcPr>
                  <w:tcW w:w="2276" w:type="dxa"/>
                  <w:vAlign w:val="center"/>
                </w:tcPr>
                <w:p w14:paraId="0FA87CB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2AADCA4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5AEA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1EC3316A">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237E1605">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7AAB4E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银</w:t>
                  </w:r>
                </w:p>
              </w:tc>
              <w:tc>
                <w:tcPr>
                  <w:tcW w:w="2276" w:type="dxa"/>
                  <w:vAlign w:val="center"/>
                </w:tcPr>
                <w:p w14:paraId="6ADFA35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332D1C8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144A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146BEA65">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0BC6E51B">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63A392B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9"/>
                      <w:sz w:val="21"/>
                      <w:szCs w:val="21"/>
                    </w:rPr>
                    <w:t>磷(总磷)</w:t>
                  </w:r>
                </w:p>
              </w:tc>
              <w:tc>
                <w:tcPr>
                  <w:tcW w:w="2276" w:type="dxa"/>
                  <w:vAlign w:val="center"/>
                </w:tcPr>
                <w:p w14:paraId="739A6BD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2276" w:type="dxa"/>
                  <w:vAlign w:val="center"/>
                </w:tcPr>
                <w:p w14:paraId="51279B8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51D1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2ADA36C6">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47160EC7">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7BBCC57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氯仿</w:t>
                  </w:r>
                </w:p>
              </w:tc>
              <w:tc>
                <w:tcPr>
                  <w:tcW w:w="2276" w:type="dxa"/>
                  <w:vAlign w:val="center"/>
                </w:tcPr>
                <w:p w14:paraId="3BB35D6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2276" w:type="dxa"/>
                  <w:vAlign w:val="center"/>
                </w:tcPr>
                <w:p w14:paraId="0649544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5730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0DCF8F8F">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56F5B05E">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03B329B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四氯化碳</w:t>
                  </w:r>
                </w:p>
              </w:tc>
              <w:tc>
                <w:tcPr>
                  <w:tcW w:w="2276" w:type="dxa"/>
                  <w:vAlign w:val="center"/>
                </w:tcPr>
                <w:p w14:paraId="5DD6D38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2276" w:type="dxa"/>
                  <w:vAlign w:val="center"/>
                </w:tcPr>
                <w:p w14:paraId="02B7C33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65C7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19150591">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032B0FAA">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33E62F3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苯</w:t>
                  </w:r>
                </w:p>
              </w:tc>
              <w:tc>
                <w:tcPr>
                  <w:tcW w:w="2276" w:type="dxa"/>
                  <w:vAlign w:val="center"/>
                </w:tcPr>
                <w:p w14:paraId="1E62C7C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2276" w:type="dxa"/>
                  <w:vAlign w:val="center"/>
                </w:tcPr>
                <w:p w14:paraId="1892B5F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r w14:paraId="3095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380" w:type="dxa"/>
                  <w:vMerge w:val="continue"/>
                  <w:vAlign w:val="center"/>
                </w:tcPr>
                <w:p w14:paraId="4FF4FDBD">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1582" w:type="dxa"/>
                  <w:vMerge w:val="continue"/>
                  <w:vAlign w:val="center"/>
                </w:tcPr>
                <w:p w14:paraId="00D946C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p>
              </w:tc>
              <w:tc>
                <w:tcPr>
                  <w:tcW w:w="2276" w:type="dxa"/>
                  <w:vAlign w:val="center"/>
                </w:tcPr>
                <w:p w14:paraId="23BC647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甲苯</w:t>
                  </w:r>
                </w:p>
              </w:tc>
              <w:tc>
                <w:tcPr>
                  <w:tcW w:w="2276" w:type="dxa"/>
                  <w:vAlign w:val="center"/>
                </w:tcPr>
                <w:p w14:paraId="40EE66A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2276" w:type="dxa"/>
                  <w:vAlign w:val="center"/>
                </w:tcPr>
                <w:p w14:paraId="2ED0421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r>
          </w:tbl>
          <w:p w14:paraId="0301BB17">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③评价方法</w:t>
            </w:r>
          </w:p>
          <w:p w14:paraId="2D6CA45A">
            <w:pPr>
              <w:pStyle w:val="19"/>
              <w:ind w:firstLine="496"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根据《环境影响评价技术导则 地下水环境》（</w:t>
            </w:r>
            <w:r>
              <w:rPr>
                <w:rFonts w:hint="default" w:ascii="Times New Roman" w:hAnsi="Times New Roman" w:cs="Times New Roman"/>
                <w:color w:val="000000" w:themeColor="text1"/>
                <w:lang w:val="en-US" w:eastAsia="zh-CN"/>
                <w14:textFill>
                  <w14:solidFill>
                    <w14:schemeClr w14:val="tx1"/>
                  </w14:solidFill>
                </w14:textFill>
              </w:rPr>
              <w:t>HJ</w:t>
            </w:r>
            <w:r>
              <w:rPr>
                <w:rFonts w:hint="eastAsia" w:ascii="Times New Roman" w:hAnsi="Times New Roman" w:cs="Times New Roman"/>
                <w:color w:val="000000" w:themeColor="text1"/>
                <w:lang w:val="en-US" w:eastAsia="zh-CN"/>
                <w14:textFill>
                  <w14:solidFill>
                    <w14:schemeClr w14:val="tx1"/>
                  </w14:solidFill>
                </w14:textFill>
              </w:rPr>
              <w:t>610-2016</w:t>
            </w:r>
            <w:r>
              <w:rPr>
                <w:rFonts w:hint="eastAsia" w:cs="Times New Roman"/>
                <w:color w:val="000000" w:themeColor="text1"/>
                <w:lang w:val="en-US" w:eastAsia="zh-CN"/>
                <w14:textFill>
                  <w14:solidFill>
                    <w14:schemeClr w14:val="tx1"/>
                  </w14:solidFill>
                </w14:textFill>
              </w:rPr>
              <w:t>）中“</w:t>
            </w:r>
            <w:r>
              <w:rPr>
                <w:rFonts w:hint="eastAsia" w:ascii="Times New Roman" w:hAnsi="Times New Roman" w:cs="Times New Roman"/>
                <w:color w:val="000000" w:themeColor="text1"/>
                <w:lang w:val="en-US" w:eastAsia="zh-CN"/>
                <w14:textFill>
                  <w14:solidFill>
                    <w14:schemeClr w14:val="tx1"/>
                  </w14:solidFill>
                </w14:textFill>
              </w:rPr>
              <w:t>8.4.1.2地下水水质现状评价应采取指数法</w:t>
            </w:r>
            <w:r>
              <w:rPr>
                <w:rFonts w:hint="eastAsia" w:cs="Times New Roman"/>
                <w:color w:val="000000" w:themeColor="text1"/>
                <w:lang w:val="en-US" w:eastAsia="zh-CN"/>
                <w14:textFill>
                  <w14:solidFill>
                    <w14:schemeClr w14:val="tx1"/>
                  </w14:solidFill>
                </w14:textFill>
              </w:rPr>
              <w:t>”，因此，本次土壤环境质量现状评价采用标准指数法进行评价。</w:t>
            </w:r>
          </w:p>
          <w:p w14:paraId="38872259">
            <w:pPr>
              <w:spacing w:line="360" w:lineRule="auto"/>
              <w:ind w:firstLine="480" w:firstLineChars="200"/>
              <w:rPr>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a.</w:t>
            </w:r>
            <w:r>
              <w:rPr>
                <w:rFonts w:hint="eastAsia" w:cs="Times New Roman"/>
                <w:color w:val="000000" w:themeColor="text1"/>
                <w14:textFill>
                  <w14:solidFill>
                    <w14:schemeClr w14:val="tx1"/>
                  </w14:solidFill>
                </w14:textFill>
              </w:rPr>
              <w:t>对于评价标准为定值的水质因子，其标准</w:t>
            </w:r>
            <w:r>
              <w:rPr>
                <w:color w:val="000000" w:themeColor="text1"/>
                <w:szCs w:val="21"/>
                <w14:textFill>
                  <w14:solidFill>
                    <w14:schemeClr w14:val="tx1"/>
                  </w14:solidFill>
                </w14:textFill>
              </w:rPr>
              <w:t>指数</w:t>
            </w:r>
            <w:r>
              <w:rPr>
                <w:rFonts w:hint="eastAsia"/>
                <w:color w:val="000000" w:themeColor="text1"/>
                <w:szCs w:val="21"/>
                <w:lang w:eastAsia="zh-CN"/>
                <w14:textFill>
                  <w14:solidFill>
                    <w14:schemeClr w14:val="tx1"/>
                  </w14:solidFill>
                </w14:textFill>
              </w:rPr>
              <w:t>计算公式</w:t>
            </w:r>
            <w:r>
              <w:rPr>
                <w:color w:val="000000" w:themeColor="text1"/>
                <w:szCs w:val="21"/>
                <w14:textFill>
                  <w14:solidFill>
                    <w14:schemeClr w14:val="tx1"/>
                  </w14:solidFill>
                </w14:textFill>
              </w:rPr>
              <w:t>为：</w:t>
            </w:r>
          </w:p>
          <w:p w14:paraId="257702EF">
            <w:pPr>
              <w:spacing w:line="360"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i/>
                <w:iCs/>
                <w:color w:val="000000" w:themeColor="text1"/>
                <w:szCs w:val="21"/>
                <w:vertAlign w:val="baseline"/>
                <w:lang w:val="en-US" w:eastAsia="zh-CN"/>
                <w14:textFill>
                  <w14:solidFill>
                    <w14:schemeClr w14:val="tx1"/>
                  </w14:solidFill>
                </w14:textFill>
              </w:rPr>
              <w:t>P</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i</w:t>
            </w: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si</w:t>
            </w:r>
          </w:p>
          <w:p w14:paraId="190862A9">
            <w:pPr>
              <w:spacing w:line="360" w:lineRule="auto"/>
              <w:ind w:firstLine="48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式中：</w:t>
            </w:r>
            <w:r>
              <w:rPr>
                <w:rFonts w:hint="eastAsia" w:cs="Times New Roman"/>
                <w:i/>
                <w:iCs/>
                <w:color w:val="000000" w:themeColor="text1"/>
                <w:szCs w:val="21"/>
                <w:lang w:val="en-US" w:eastAsia="zh-CN"/>
                <w14:textFill>
                  <w14:solidFill>
                    <w14:schemeClr w14:val="tx1"/>
                  </w14:solidFill>
                </w14:textFill>
              </w:rPr>
              <w:t>P</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第</w:t>
            </w:r>
            <w:r>
              <w:rPr>
                <w:rFonts w:hint="default" w:ascii="Times New Roman" w:hAnsi="Times New Roman" w:cs="Times New Roman"/>
                <w:color w:val="000000" w:themeColor="text1"/>
                <w:szCs w:val="21"/>
                <w14:textFill>
                  <w14:solidFill>
                    <w14:schemeClr w14:val="tx1"/>
                  </w14:solidFill>
                </w14:textFill>
              </w:rPr>
              <w:t>i</w:t>
            </w:r>
            <w:r>
              <w:rPr>
                <w:rFonts w:hint="eastAsia" w:cs="Times New Roman"/>
                <w:color w:val="000000" w:themeColor="text1"/>
                <w:szCs w:val="21"/>
                <w:lang w:val="en-US" w:eastAsia="zh-CN"/>
                <w14:textFill>
                  <w14:solidFill>
                    <w14:schemeClr w14:val="tx1"/>
                  </w14:solidFill>
                </w14:textFill>
              </w:rPr>
              <w:t>个水质因子的标准指数，量纲为1；</w:t>
            </w:r>
          </w:p>
          <w:p w14:paraId="4DC16F6D">
            <w:pPr>
              <w:spacing w:line="360" w:lineRule="auto"/>
              <w:ind w:firstLine="1200" w:firstLineChars="5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i</w:t>
            </w:r>
            <w:r>
              <w:rPr>
                <w:rFonts w:hint="default"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第</w:t>
            </w:r>
            <w:r>
              <w:rPr>
                <w:rFonts w:hint="default" w:ascii="Times New Roman" w:hAnsi="Times New Roman" w:cs="Times New Roman"/>
                <w:color w:val="000000" w:themeColor="text1"/>
                <w:szCs w:val="21"/>
                <w14:textFill>
                  <w14:solidFill>
                    <w14:schemeClr w14:val="tx1"/>
                  </w14:solidFill>
                </w14:textFill>
              </w:rPr>
              <w:t>i</w:t>
            </w:r>
            <w:r>
              <w:rPr>
                <w:rFonts w:hint="eastAsia" w:cs="Times New Roman"/>
                <w:color w:val="000000" w:themeColor="text1"/>
                <w:szCs w:val="21"/>
                <w:lang w:val="en-US" w:eastAsia="zh-CN"/>
                <w14:textFill>
                  <w14:solidFill>
                    <w14:schemeClr w14:val="tx1"/>
                  </w14:solidFill>
                </w14:textFill>
              </w:rPr>
              <w:t>个水质因子的监测浓度值，mg/L</w:t>
            </w:r>
            <w:r>
              <w:rPr>
                <w:rFonts w:hint="default" w:ascii="Times New Roman" w:hAnsi="Times New Roman" w:cs="Times New Roman"/>
                <w:color w:val="000000" w:themeColor="text1"/>
                <w:szCs w:val="21"/>
                <w14:textFill>
                  <w14:solidFill>
                    <w14:schemeClr w14:val="tx1"/>
                  </w14:solidFill>
                </w14:textFill>
              </w:rPr>
              <w:t>；</w:t>
            </w:r>
          </w:p>
          <w:p w14:paraId="62DA8C1A">
            <w:pPr>
              <w:spacing w:line="360" w:lineRule="auto"/>
              <w:ind w:firstLine="1200" w:firstLineChars="5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si</w:t>
            </w:r>
            <w:r>
              <w:rPr>
                <w:rFonts w:hint="default"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第</w:t>
            </w:r>
            <w:r>
              <w:rPr>
                <w:rFonts w:hint="default" w:ascii="Times New Roman" w:hAnsi="Times New Roman" w:cs="Times New Roman"/>
                <w:color w:val="000000" w:themeColor="text1"/>
                <w:szCs w:val="21"/>
                <w14:textFill>
                  <w14:solidFill>
                    <w14:schemeClr w14:val="tx1"/>
                  </w14:solidFill>
                </w14:textFill>
              </w:rPr>
              <w:t>i</w:t>
            </w:r>
            <w:r>
              <w:rPr>
                <w:rFonts w:hint="eastAsia" w:cs="Times New Roman"/>
                <w:color w:val="000000" w:themeColor="text1"/>
                <w:szCs w:val="21"/>
                <w:lang w:val="en-US" w:eastAsia="zh-CN"/>
                <w14:textFill>
                  <w14:solidFill>
                    <w14:schemeClr w14:val="tx1"/>
                  </w14:solidFill>
                </w14:textFill>
              </w:rPr>
              <w:t>个水质因子的标准浓度值</w:t>
            </w:r>
            <w:r>
              <w:rPr>
                <w:rFonts w:hint="default" w:ascii="Times New Roman" w:hAnsi="Times New Roman" w:cs="Times New Roman"/>
                <w:color w:val="000000" w:themeColor="text1"/>
                <w:szCs w:val="21"/>
                <w14:textFill>
                  <w14:solidFill>
                    <w14:schemeClr w14:val="tx1"/>
                  </w14:solidFill>
                </w14:textFill>
              </w:rPr>
              <w:t>，mg/</w:t>
            </w:r>
            <w:r>
              <w:rPr>
                <w:rFonts w:hint="eastAsia" w:cs="Times New Roman"/>
                <w:color w:val="000000" w:themeColor="text1"/>
                <w:szCs w:val="21"/>
                <w:lang w:val="en-US" w:eastAsia="zh-CN"/>
                <w14:textFill>
                  <w14:solidFill>
                    <w14:schemeClr w14:val="tx1"/>
                  </w14:solidFill>
                </w14:textFill>
              </w:rPr>
              <w:t>L</w:t>
            </w:r>
            <w:r>
              <w:rPr>
                <w:rFonts w:hint="default" w:ascii="Times New Roman" w:hAnsi="Times New Roman" w:cs="Times New Roman"/>
                <w:color w:val="000000" w:themeColor="text1"/>
                <w:szCs w:val="21"/>
                <w14:textFill>
                  <w14:solidFill>
                    <w14:schemeClr w14:val="tx1"/>
                  </w14:solidFill>
                </w14:textFill>
              </w:rPr>
              <w:t>。</w:t>
            </w:r>
          </w:p>
          <w:p w14:paraId="50B64B4C">
            <w:pPr>
              <w:pStyle w:val="19"/>
              <w:ind w:left="398" w:leftChars="166" w:firstLine="0" w:firstLineChars="0"/>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标准指数＞1，表明该水质因子已超标，标准指数越大，超标越严重</w:t>
            </w:r>
            <w:r>
              <w:rPr>
                <w:rFonts w:hint="default" w:ascii="Times New Roman" w:hAnsi="Times New Roman" w:cs="Times New Roman"/>
                <w:color w:val="000000" w:themeColor="text1"/>
                <w:szCs w:val="21"/>
                <w14:textFill>
                  <w14:solidFill>
                    <w14:schemeClr w14:val="tx1"/>
                  </w14:solidFill>
                </w14:textFill>
              </w:rPr>
              <w:t>。</w:t>
            </w:r>
          </w:p>
          <w:p w14:paraId="2F463FB7">
            <w:pPr>
              <w:pStyle w:val="19"/>
              <w:ind w:left="398" w:leftChars="166" w:firstLine="0" w:firstLineChars="0"/>
              <w:rPr>
                <w:rFonts w:hint="eastAsia" w:ascii="Times New Roman" w:hAnsi="Times New Roman" w:cs="Times New Roman"/>
                <w:b w:val="0"/>
                <w:bCs w:val="0"/>
                <w:color w:val="000000" w:themeColor="text1"/>
                <w:szCs w:val="21"/>
                <w:lang w:val="en-US" w:eastAsia="zh-CN"/>
                <w14:textFill>
                  <w14:solidFill>
                    <w14:schemeClr w14:val="tx1"/>
                  </w14:solidFill>
                </w14:textFill>
              </w:rPr>
            </w:pPr>
            <w:r>
              <w:rPr>
                <w:rFonts w:hint="eastAsia" w:ascii="Times New Roman" w:hAnsi="Times New Roman" w:cs="Times New Roman"/>
                <w:b w:val="0"/>
                <w:bCs w:val="0"/>
                <w:color w:val="000000" w:themeColor="text1"/>
                <w:szCs w:val="21"/>
                <w:lang w:val="en-US" w:eastAsia="zh-CN"/>
                <w14:textFill>
                  <w14:solidFill>
                    <w14:schemeClr w14:val="tx1"/>
                  </w14:solidFill>
                </w14:textFill>
              </w:rPr>
              <w:t>b.对于评价标准为区间值的水质因子（如pH），其标准指数计算公式为：</w:t>
            </w:r>
          </w:p>
          <w:p w14:paraId="65BD410F">
            <w:pPr>
              <w:pStyle w:val="19"/>
              <w:ind w:left="398" w:leftChars="166" w:firstLine="0" w:firstLineChars="0"/>
              <w:jc w:val="center"/>
              <w:rPr>
                <w:rFonts w:hint="default" w:ascii="Times New Roman" w:hAnsi="Times New Roman" w:cs="Times New Roman"/>
                <w:b w:val="0"/>
                <w:bCs w:val="0"/>
                <w:color w:val="000000" w:themeColor="text1"/>
                <w:szCs w:val="21"/>
                <w:lang w:val="en-US" w:eastAsia="zh-CN"/>
                <w14:textFill>
                  <w14:solidFill>
                    <w14:schemeClr w14:val="tx1"/>
                  </w14:solidFill>
                </w14:textFill>
              </w:rPr>
            </w:pPr>
            <w:r>
              <w:rPr>
                <w:rFonts w:hint="eastAsia" w:ascii="Times New Roman" w:hAnsi="Times New Roman" w:cs="Times New Roman"/>
                <w:b w:val="0"/>
                <w:bCs w:val="0"/>
                <w:color w:val="000000" w:themeColor="text1"/>
                <w:szCs w:val="21"/>
                <w:lang w:val="en-US" w:eastAsia="zh-CN"/>
                <w14:textFill>
                  <w14:solidFill>
                    <w14:schemeClr w14:val="tx1"/>
                  </w14:solidFill>
                </w14:textFill>
              </w:rPr>
              <w:t>P</w:t>
            </w:r>
            <w:r>
              <w:rPr>
                <w:rFonts w:hint="eastAsia" w:ascii="Times New Roman" w:hAnsi="Times New Roman" w:cs="Times New Roman"/>
                <w:b w:val="0"/>
                <w:bCs w:val="0"/>
                <w:color w:val="000000" w:themeColor="text1"/>
                <w:szCs w:val="21"/>
                <w:vertAlign w:val="subscript"/>
                <w:lang w:val="en-US" w:eastAsia="zh-CN"/>
                <w14:textFill>
                  <w14:solidFill>
                    <w14:schemeClr w14:val="tx1"/>
                  </w14:solidFill>
                </w14:textFill>
              </w:rPr>
              <w:t>pH</w:t>
            </w:r>
            <w:r>
              <w:rPr>
                <w:rFonts w:hint="eastAsia" w:ascii="Times New Roman" w:hAnsi="Times New Roman" w:cs="Times New Roman"/>
                <w:b w:val="0"/>
                <w:bCs w:val="0"/>
                <w:color w:val="000000" w:themeColor="text1"/>
                <w:szCs w:val="21"/>
                <w:lang w:val="en-US" w:eastAsia="zh-CN"/>
                <w14:textFill>
                  <w14:solidFill>
                    <w14:schemeClr w14:val="tx1"/>
                  </w14:solidFill>
                </w14:textFill>
              </w:rPr>
              <w:t>=（pH-7.0）/（pH</w:t>
            </w:r>
            <w:r>
              <w:rPr>
                <w:rFonts w:hint="eastAsia" w:ascii="Times New Roman" w:hAnsi="Times New Roman" w:cs="Times New Roman"/>
                <w:b w:val="0"/>
                <w:bCs w:val="0"/>
                <w:color w:val="000000" w:themeColor="text1"/>
                <w:szCs w:val="21"/>
                <w:vertAlign w:val="subscript"/>
                <w:lang w:val="en-US" w:eastAsia="zh-CN"/>
                <w14:textFill>
                  <w14:solidFill>
                    <w14:schemeClr w14:val="tx1"/>
                  </w14:solidFill>
                </w14:textFill>
              </w:rPr>
              <w:t>su</w:t>
            </w:r>
            <w:r>
              <w:rPr>
                <w:rFonts w:hint="eastAsia" w:ascii="Times New Roman" w:hAnsi="Times New Roman" w:cs="Times New Roman"/>
                <w:b w:val="0"/>
                <w:bCs w:val="0"/>
                <w:color w:val="000000" w:themeColor="text1"/>
                <w:szCs w:val="21"/>
                <w:lang w:val="en-US" w:eastAsia="zh-CN"/>
                <w14:textFill>
                  <w14:solidFill>
                    <w14:schemeClr w14:val="tx1"/>
                  </w14:solidFill>
                </w14:textFill>
              </w:rPr>
              <w:t>-7.0）   pH＞7时</w:t>
            </w:r>
          </w:p>
          <w:p w14:paraId="4F185924">
            <w:pPr>
              <w:pStyle w:val="19"/>
              <w:ind w:left="398" w:leftChars="166" w:firstLine="0" w:firstLineChars="0"/>
              <w:rPr>
                <w:rFonts w:hint="eastAsia" w:ascii="Times New Roman" w:hAnsi="Times New Roman" w:cs="Times New Roman"/>
                <w:color w:val="000000" w:themeColor="text1"/>
                <w:szCs w:val="21"/>
                <w:lang w:val="en-US" w:eastAsia="zh-CN"/>
                <w14:textFill>
                  <w14:solidFill>
                    <w14:schemeClr w14:val="tx1"/>
                  </w14:solidFill>
                </w14:textFill>
              </w:rPr>
            </w:pPr>
            <w:r>
              <w:rPr>
                <w:rFonts w:hint="eastAsia" w:ascii="Times New Roman" w:hAnsi="Times New Roman" w:cs="Times New Roman"/>
                <w:b w:val="0"/>
                <w:bCs w:val="0"/>
                <w:color w:val="000000" w:themeColor="text1"/>
                <w:szCs w:val="21"/>
                <w:lang w:val="en-US" w:eastAsia="zh-CN"/>
                <w14:textFill>
                  <w14:solidFill>
                    <w14:schemeClr w14:val="tx1"/>
                  </w14:solidFill>
                </w14:textFill>
              </w:rPr>
              <w:t>式中：P</w:t>
            </w:r>
            <w:r>
              <w:rPr>
                <w:rFonts w:hint="eastAsia" w:ascii="Times New Roman" w:hAnsi="Times New Roman" w:cs="Times New Roman"/>
                <w:b w:val="0"/>
                <w:bCs w:val="0"/>
                <w:color w:val="000000" w:themeColor="text1"/>
                <w:szCs w:val="21"/>
                <w:vertAlign w:val="subscript"/>
                <w:lang w:val="en-US" w:eastAsia="zh-CN"/>
                <w14:textFill>
                  <w14:solidFill>
                    <w14:schemeClr w14:val="tx1"/>
                  </w14:solidFill>
                </w14:textFill>
              </w:rPr>
              <w:t>pH</w:t>
            </w:r>
            <w:r>
              <w:rPr>
                <w:rFonts w:hint="default"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pH的标准指数，量纲为1；</w:t>
            </w:r>
          </w:p>
          <w:p w14:paraId="3392728D">
            <w:pPr>
              <w:pStyle w:val="19"/>
              <w:ind w:left="398" w:leftChars="166" w:firstLine="744" w:firstLineChars="300"/>
              <w:rPr>
                <w:rFonts w:hint="eastAsia" w:ascii="Times New Roman" w:hAnsi="Times New Roman"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pH</w:t>
            </w:r>
            <w:r>
              <w:rPr>
                <w:rFonts w:hint="default"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pH的监测值；</w:t>
            </w:r>
          </w:p>
          <w:p w14:paraId="6850B420">
            <w:pPr>
              <w:pStyle w:val="19"/>
              <w:ind w:left="398" w:leftChars="166" w:firstLine="744" w:firstLineChars="300"/>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pH</w:t>
            </w:r>
            <w:r>
              <w:rPr>
                <w:rFonts w:hint="eastAsia" w:ascii="Times New Roman" w:hAnsi="Times New Roman" w:cs="Times New Roman"/>
                <w:color w:val="000000" w:themeColor="text1"/>
                <w:szCs w:val="21"/>
                <w:vertAlign w:val="subscript"/>
                <w:lang w:val="en-US" w:eastAsia="zh-CN"/>
                <w14:textFill>
                  <w14:solidFill>
                    <w14:schemeClr w14:val="tx1"/>
                  </w14:solidFill>
                </w14:textFill>
              </w:rPr>
              <w:t>su</w:t>
            </w:r>
            <w:r>
              <w:rPr>
                <w:rFonts w:hint="default"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标准中pH的上限值。</w:t>
            </w:r>
          </w:p>
          <w:p w14:paraId="7CF023D7">
            <w:pPr>
              <w:pStyle w:val="19"/>
              <w:ind w:left="398" w:leftChars="166" w:firstLine="0" w:firstLineChars="0"/>
              <w:rPr>
                <w:rFonts w:hint="default" w:ascii="Times New Roman" w:hAnsi="Times New Roman" w:cs="Times New Roman"/>
                <w:b/>
                <w:bCs/>
                <w:color w:val="000000" w:themeColor="text1"/>
                <w:szCs w:val="21"/>
                <w:lang w:val="en-US" w:eastAsia="zh-CN"/>
                <w14:textFill>
                  <w14:solidFill>
                    <w14:schemeClr w14:val="tx1"/>
                  </w14:solidFill>
                </w14:textFill>
              </w:rPr>
            </w:pPr>
            <w:r>
              <w:rPr>
                <w:rFonts w:hint="default" w:ascii="Times New Roman" w:hAnsi="Times New Roman" w:cs="Times New Roman"/>
                <w:b/>
                <w:bCs/>
                <w:color w:val="000000" w:themeColor="text1"/>
                <w:szCs w:val="21"/>
                <w:lang w:eastAsia="zh-CN"/>
                <w14:textFill>
                  <w14:solidFill>
                    <w14:schemeClr w14:val="tx1"/>
                  </w14:solidFill>
                </w14:textFill>
              </w:rPr>
              <w:t>④</w:t>
            </w:r>
            <w:r>
              <w:rPr>
                <w:rFonts w:hint="default" w:ascii="Times New Roman" w:hAnsi="Times New Roman" w:cs="Times New Roman"/>
                <w:b/>
                <w:bCs/>
                <w:color w:val="000000" w:themeColor="text1"/>
                <w:szCs w:val="21"/>
                <w:lang w:val="en-US" w:eastAsia="zh-CN"/>
                <w14:textFill>
                  <w14:solidFill>
                    <w14:schemeClr w14:val="tx1"/>
                  </w14:solidFill>
                </w14:textFill>
              </w:rPr>
              <w:t>评价结果</w:t>
            </w:r>
          </w:p>
          <w:p w14:paraId="440A2D45">
            <w:pPr>
              <w:pStyle w:val="73"/>
              <w:rPr>
                <w:color w:val="000000" w:themeColor="text1"/>
                <w:sz w:val="21"/>
                <w14:textFill>
                  <w14:solidFill>
                    <w14:schemeClr w14:val="tx1"/>
                  </w14:solidFill>
                </w14:textFill>
              </w:rPr>
            </w:pPr>
            <w:r>
              <w:rPr>
                <w:color w:val="000000" w:themeColor="text1"/>
                <w:sz w:val="21"/>
                <w14:textFill>
                  <w14:solidFill>
                    <w14:schemeClr w14:val="tx1"/>
                  </w14:solidFill>
                </w14:textFill>
              </w:rPr>
              <w:t>表3-</w:t>
            </w:r>
            <w:r>
              <w:rPr>
                <w:rFonts w:hint="eastAsia"/>
                <w:color w:val="000000" w:themeColor="text1"/>
                <w:sz w:val="21"/>
                <w:lang w:val="en-US" w:eastAsia="zh-CN"/>
                <w14:textFill>
                  <w14:solidFill>
                    <w14:schemeClr w14:val="tx1"/>
                  </w14:solidFill>
                </w14:textFill>
              </w:rPr>
              <w:t>5  地下水</w:t>
            </w:r>
            <w:r>
              <w:rPr>
                <w:color w:val="000000" w:themeColor="text1"/>
                <w:sz w:val="21"/>
                <w14:textFill>
                  <w14:solidFill>
                    <w14:schemeClr w14:val="tx1"/>
                  </w14:solidFill>
                </w14:textFill>
              </w:rPr>
              <w:t>环境</w:t>
            </w:r>
            <w:r>
              <w:rPr>
                <w:rFonts w:hint="eastAsia"/>
                <w:color w:val="000000" w:themeColor="text1"/>
                <w:sz w:val="21"/>
                <w:lang w:val="en-US" w:eastAsia="zh-CN"/>
                <w14:textFill>
                  <w14:solidFill>
                    <w14:schemeClr w14:val="tx1"/>
                  </w14:solidFill>
                </w14:textFill>
              </w:rPr>
              <w:t>现状评价</w:t>
            </w:r>
            <w:r>
              <w:rPr>
                <w:color w:val="000000" w:themeColor="text1"/>
                <w:sz w:val="21"/>
                <w14:textFill>
                  <w14:solidFill>
                    <w14:schemeClr w14:val="tx1"/>
                  </w14:solidFill>
                </w14:textFill>
              </w:rPr>
              <w:t>结果一览表</w:t>
            </w:r>
          </w:p>
          <w:tbl>
            <w:tblPr>
              <w:tblStyle w:val="54"/>
              <w:tblW w:w="9756" w:type="dxa"/>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26"/>
              <w:gridCol w:w="1626"/>
              <w:gridCol w:w="1626"/>
              <w:gridCol w:w="1626"/>
              <w:gridCol w:w="1626"/>
              <w:gridCol w:w="1626"/>
            </w:tblGrid>
            <w:tr w14:paraId="0211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663832A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10"/>
                      <w:sz w:val="21"/>
                      <w:szCs w:val="21"/>
                    </w:rPr>
                    <w:t>检测项目</w:t>
                  </w:r>
                </w:p>
              </w:tc>
              <w:tc>
                <w:tcPr>
                  <w:tcW w:w="1626" w:type="dxa"/>
                  <w:vAlign w:val="center"/>
                </w:tcPr>
                <w:p w14:paraId="3A10EFD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3"/>
                      <w:sz w:val="21"/>
                      <w:szCs w:val="21"/>
                    </w:rPr>
                    <w:t>单位</w:t>
                  </w:r>
                </w:p>
              </w:tc>
              <w:tc>
                <w:tcPr>
                  <w:tcW w:w="1626" w:type="dxa"/>
                  <w:vAlign w:val="center"/>
                </w:tcPr>
                <w:p w14:paraId="29D912B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z w:val="21"/>
                      <w:szCs w:val="21"/>
                    </w:rPr>
                  </w:pPr>
                  <w:r>
                    <w:rPr>
                      <w:rFonts w:hint="default" w:ascii="Times New Roman" w:hAnsi="Times New Roman" w:eastAsia="宋体" w:cs="Times New Roman"/>
                      <w:b/>
                      <w:bCs/>
                      <w:spacing w:val="-4"/>
                      <w:sz w:val="21"/>
                      <w:szCs w:val="21"/>
                    </w:rPr>
                    <w:t>检测结果</w:t>
                  </w:r>
                </w:p>
              </w:tc>
              <w:tc>
                <w:tcPr>
                  <w:tcW w:w="1626" w:type="dxa"/>
                  <w:vAlign w:val="center"/>
                </w:tcPr>
                <w:p w14:paraId="05E9E23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pacing w:val="-4"/>
                      <w:sz w:val="21"/>
                      <w:szCs w:val="21"/>
                      <w:lang w:val="en-US" w:eastAsia="zh-CN"/>
                    </w:rPr>
                  </w:pPr>
                  <w:r>
                    <w:rPr>
                      <w:rFonts w:hint="eastAsia" w:cs="Times New Roman"/>
                      <w:b/>
                      <w:bCs/>
                      <w:spacing w:val="-4"/>
                      <w:sz w:val="21"/>
                      <w:szCs w:val="21"/>
                      <w:lang w:val="en-US" w:eastAsia="zh-CN"/>
                    </w:rPr>
                    <w:t>标准限值</w:t>
                  </w:r>
                </w:p>
              </w:tc>
              <w:tc>
                <w:tcPr>
                  <w:tcW w:w="1626" w:type="dxa"/>
                  <w:vAlign w:val="center"/>
                </w:tcPr>
                <w:p w14:paraId="3F81EBC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pacing w:val="-4"/>
                      <w:sz w:val="21"/>
                      <w:szCs w:val="21"/>
                    </w:rPr>
                  </w:pPr>
                  <w:r>
                    <w:rPr>
                      <w:rFonts w:hint="eastAsia" w:cs="Times New Roman"/>
                      <w:b/>
                      <w:bCs/>
                      <w:i w:val="0"/>
                      <w:iCs w:val="0"/>
                      <w:color w:val="000000" w:themeColor="text1"/>
                      <w:szCs w:val="21"/>
                      <w:vertAlign w:val="baseline"/>
                      <w:lang w:val="en-US" w:eastAsia="zh-CN"/>
                      <w14:textFill>
                        <w14:solidFill>
                          <w14:schemeClr w14:val="tx1"/>
                        </w14:solidFill>
                      </w14:textFill>
                    </w:rPr>
                    <w:t>P</w:t>
                  </w:r>
                  <w:r>
                    <w:rPr>
                      <w:rFonts w:hint="default" w:ascii="Times New Roman" w:hAnsi="Times New Roman" w:cs="Times New Roman"/>
                      <w:b/>
                      <w:bCs/>
                      <w:i w:val="0"/>
                      <w:iCs w:val="0"/>
                      <w:color w:val="000000" w:themeColor="text1"/>
                      <w:szCs w:val="21"/>
                      <w:vertAlign w:val="subscript"/>
                      <w14:textFill>
                        <w14:solidFill>
                          <w14:schemeClr w14:val="tx1"/>
                        </w14:solidFill>
                      </w14:textFill>
                    </w:rPr>
                    <w:t>ij</w:t>
                  </w:r>
                </w:p>
              </w:tc>
              <w:tc>
                <w:tcPr>
                  <w:tcW w:w="1626" w:type="dxa"/>
                  <w:vAlign w:val="center"/>
                </w:tcPr>
                <w:p w14:paraId="160A9E7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b/>
                      <w:bCs/>
                      <w:spacing w:val="-4"/>
                      <w:sz w:val="21"/>
                      <w:szCs w:val="21"/>
                      <w:lang w:val="en-US" w:eastAsia="zh-CN"/>
                    </w:rPr>
                  </w:pPr>
                  <w:r>
                    <w:rPr>
                      <w:rFonts w:hint="eastAsia" w:cs="Times New Roman"/>
                      <w:b/>
                      <w:bCs/>
                      <w:spacing w:val="-4"/>
                      <w:sz w:val="21"/>
                      <w:szCs w:val="21"/>
                      <w:lang w:val="en-US" w:eastAsia="zh-CN"/>
                    </w:rPr>
                    <w:t>达标情况</w:t>
                  </w:r>
                </w:p>
              </w:tc>
            </w:tr>
            <w:tr w14:paraId="6DEE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0D2D756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pH</w:t>
                  </w:r>
                </w:p>
              </w:tc>
              <w:tc>
                <w:tcPr>
                  <w:tcW w:w="1626" w:type="dxa"/>
                  <w:vAlign w:val="center"/>
                </w:tcPr>
                <w:p w14:paraId="1F7674A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无量纲</w:t>
                  </w:r>
                </w:p>
              </w:tc>
              <w:tc>
                <w:tcPr>
                  <w:tcW w:w="1626" w:type="dxa"/>
                  <w:vAlign w:val="center"/>
                </w:tcPr>
                <w:p w14:paraId="20AB099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7.2</w:t>
                  </w:r>
                </w:p>
              </w:tc>
              <w:tc>
                <w:tcPr>
                  <w:tcW w:w="1626" w:type="dxa"/>
                  <w:vAlign w:val="center"/>
                </w:tcPr>
                <w:p w14:paraId="5B22251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4"/>
                      <w:sz w:val="21"/>
                      <w:szCs w:val="21"/>
                      <w:lang w:val="en-US" w:eastAsia="zh-CN"/>
                    </w:rPr>
                  </w:pPr>
                  <w:r>
                    <w:rPr>
                      <w:rFonts w:hint="eastAsia" w:cs="Times New Roman"/>
                      <w:spacing w:val="-4"/>
                      <w:sz w:val="21"/>
                      <w:szCs w:val="21"/>
                      <w:lang w:val="en-US" w:eastAsia="zh-CN"/>
                    </w:rPr>
                    <w:t>6.5-8.5</w:t>
                  </w:r>
                </w:p>
              </w:tc>
              <w:tc>
                <w:tcPr>
                  <w:tcW w:w="1626" w:type="dxa"/>
                  <w:vAlign w:val="center"/>
                </w:tcPr>
                <w:p w14:paraId="72DBD78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4"/>
                      <w:sz w:val="21"/>
                      <w:szCs w:val="21"/>
                      <w:lang w:val="en-US" w:eastAsia="zh-CN"/>
                    </w:rPr>
                  </w:pPr>
                  <w:r>
                    <w:rPr>
                      <w:rFonts w:hint="eastAsia" w:cs="Times New Roman"/>
                      <w:spacing w:val="-4"/>
                      <w:sz w:val="21"/>
                      <w:szCs w:val="21"/>
                      <w:lang w:val="en-US" w:eastAsia="zh-CN"/>
                    </w:rPr>
                    <w:t>0.15</w:t>
                  </w:r>
                </w:p>
              </w:tc>
              <w:tc>
                <w:tcPr>
                  <w:tcW w:w="1626" w:type="dxa"/>
                  <w:vAlign w:val="center"/>
                </w:tcPr>
                <w:p w14:paraId="15340D3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4"/>
                      <w:sz w:val="21"/>
                      <w:szCs w:val="21"/>
                      <w:lang w:val="en-US" w:eastAsia="zh-CN"/>
                    </w:rPr>
                  </w:pPr>
                  <w:r>
                    <w:rPr>
                      <w:rFonts w:hint="eastAsia" w:cs="Times New Roman"/>
                      <w:spacing w:val="-4"/>
                      <w:sz w:val="21"/>
                      <w:szCs w:val="21"/>
                      <w:lang w:val="en-US" w:eastAsia="zh-CN"/>
                    </w:rPr>
                    <w:t>达标</w:t>
                  </w:r>
                </w:p>
              </w:tc>
            </w:tr>
            <w:tr w14:paraId="786A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23AEA11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浑浊度</w:t>
                  </w:r>
                </w:p>
              </w:tc>
              <w:tc>
                <w:tcPr>
                  <w:tcW w:w="1626" w:type="dxa"/>
                  <w:vAlign w:val="center"/>
                </w:tcPr>
                <w:p w14:paraId="6F368DF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NTU</w:t>
                  </w:r>
                </w:p>
              </w:tc>
              <w:tc>
                <w:tcPr>
                  <w:tcW w:w="1626" w:type="dxa"/>
                  <w:vAlign w:val="center"/>
                </w:tcPr>
                <w:p w14:paraId="041A297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0.6</w:t>
                  </w:r>
                </w:p>
              </w:tc>
              <w:tc>
                <w:tcPr>
                  <w:tcW w:w="1626" w:type="dxa"/>
                  <w:vAlign w:val="center"/>
                </w:tcPr>
                <w:p w14:paraId="5E514D4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3"/>
                      <w:sz w:val="21"/>
                      <w:szCs w:val="21"/>
                      <w:lang w:val="en-US" w:eastAsia="zh-CN"/>
                    </w:rPr>
                  </w:pPr>
                  <w:r>
                    <w:rPr>
                      <w:rFonts w:hint="eastAsia" w:cs="Times New Roman"/>
                      <w:spacing w:val="-3"/>
                      <w:sz w:val="21"/>
                      <w:szCs w:val="21"/>
                      <w:lang w:val="en-US" w:eastAsia="zh-CN"/>
                    </w:rPr>
                    <w:t>3</w:t>
                  </w:r>
                </w:p>
              </w:tc>
              <w:tc>
                <w:tcPr>
                  <w:tcW w:w="1626" w:type="dxa"/>
                  <w:vAlign w:val="center"/>
                </w:tcPr>
                <w:p w14:paraId="426FC71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3"/>
                      <w:sz w:val="21"/>
                      <w:szCs w:val="21"/>
                      <w:lang w:val="en-US" w:eastAsia="zh-CN"/>
                    </w:rPr>
                  </w:pPr>
                  <w:r>
                    <w:rPr>
                      <w:rFonts w:hint="eastAsia" w:cs="Times New Roman"/>
                      <w:spacing w:val="-3"/>
                      <w:sz w:val="21"/>
                      <w:szCs w:val="21"/>
                      <w:lang w:val="en-US" w:eastAsia="zh-CN"/>
                    </w:rPr>
                    <w:t>0.2</w:t>
                  </w:r>
                </w:p>
              </w:tc>
              <w:tc>
                <w:tcPr>
                  <w:tcW w:w="1626" w:type="dxa"/>
                  <w:vAlign w:val="center"/>
                </w:tcPr>
                <w:p w14:paraId="58403FA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3"/>
                      <w:sz w:val="21"/>
                      <w:szCs w:val="21"/>
                    </w:rPr>
                  </w:pPr>
                  <w:r>
                    <w:rPr>
                      <w:rFonts w:hint="eastAsia" w:cs="Times New Roman"/>
                      <w:spacing w:val="-4"/>
                      <w:sz w:val="21"/>
                      <w:szCs w:val="21"/>
                      <w:lang w:val="en-US" w:eastAsia="zh-CN"/>
                    </w:rPr>
                    <w:t>达标</w:t>
                  </w:r>
                </w:p>
              </w:tc>
            </w:tr>
            <w:tr w14:paraId="3E50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780A6C4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6"/>
                      <w:sz w:val="21"/>
                      <w:szCs w:val="21"/>
                    </w:rPr>
                    <w:t>色度</w:t>
                  </w:r>
                </w:p>
              </w:tc>
              <w:tc>
                <w:tcPr>
                  <w:tcW w:w="1626" w:type="dxa"/>
                  <w:vAlign w:val="center"/>
                </w:tcPr>
                <w:p w14:paraId="4EEFB0B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度</w:t>
                  </w:r>
                </w:p>
              </w:tc>
              <w:tc>
                <w:tcPr>
                  <w:tcW w:w="1626" w:type="dxa"/>
                  <w:vAlign w:val="center"/>
                </w:tcPr>
                <w:p w14:paraId="2F89A4F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53BFFD3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15</w:t>
                  </w:r>
                </w:p>
              </w:tc>
              <w:tc>
                <w:tcPr>
                  <w:tcW w:w="1626" w:type="dxa"/>
                  <w:vAlign w:val="center"/>
                </w:tcPr>
                <w:p w14:paraId="1CB7077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532743D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07E3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6657857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臭和味</w:t>
                  </w:r>
                </w:p>
              </w:tc>
              <w:tc>
                <w:tcPr>
                  <w:tcW w:w="1626" w:type="dxa"/>
                  <w:vAlign w:val="center"/>
                </w:tcPr>
                <w:p w14:paraId="4F6767B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1626" w:type="dxa"/>
                  <w:vAlign w:val="center"/>
                </w:tcPr>
                <w:p w14:paraId="57620BD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无任何臭和味</w:t>
                  </w:r>
                </w:p>
              </w:tc>
              <w:tc>
                <w:tcPr>
                  <w:tcW w:w="1626" w:type="dxa"/>
                  <w:vAlign w:val="center"/>
                </w:tcPr>
                <w:p w14:paraId="011C6F4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无</w:t>
                  </w:r>
                </w:p>
              </w:tc>
              <w:tc>
                <w:tcPr>
                  <w:tcW w:w="1626" w:type="dxa"/>
                  <w:vAlign w:val="center"/>
                </w:tcPr>
                <w:p w14:paraId="6CF78F0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w:t>
                  </w:r>
                </w:p>
              </w:tc>
              <w:tc>
                <w:tcPr>
                  <w:tcW w:w="1626" w:type="dxa"/>
                  <w:vAlign w:val="center"/>
                </w:tcPr>
                <w:p w14:paraId="3578EE2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w:t>
                  </w:r>
                </w:p>
              </w:tc>
            </w:tr>
            <w:tr w14:paraId="37FD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5AD8950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肉眼可见物</w:t>
                  </w:r>
                </w:p>
              </w:tc>
              <w:tc>
                <w:tcPr>
                  <w:tcW w:w="1626" w:type="dxa"/>
                  <w:vAlign w:val="center"/>
                </w:tcPr>
                <w:p w14:paraId="4425C9D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1626" w:type="dxa"/>
                  <w:vAlign w:val="center"/>
                </w:tcPr>
                <w:p w14:paraId="5C40031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无肉眼可见物</w:t>
                  </w:r>
                </w:p>
              </w:tc>
              <w:tc>
                <w:tcPr>
                  <w:tcW w:w="1626" w:type="dxa"/>
                  <w:vAlign w:val="center"/>
                </w:tcPr>
                <w:p w14:paraId="22EC6E1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1"/>
                      <w:sz w:val="21"/>
                      <w:szCs w:val="21"/>
                      <w:lang w:val="en-US" w:eastAsia="zh-CN"/>
                    </w:rPr>
                  </w:pPr>
                  <w:r>
                    <w:rPr>
                      <w:rFonts w:hint="eastAsia" w:cs="Times New Roman"/>
                      <w:spacing w:val="1"/>
                      <w:sz w:val="21"/>
                      <w:szCs w:val="21"/>
                      <w:lang w:val="en-US" w:eastAsia="zh-CN"/>
                    </w:rPr>
                    <w:t>无</w:t>
                  </w:r>
                </w:p>
              </w:tc>
              <w:tc>
                <w:tcPr>
                  <w:tcW w:w="1626" w:type="dxa"/>
                  <w:vAlign w:val="center"/>
                </w:tcPr>
                <w:p w14:paraId="4A002B3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1"/>
                      <w:sz w:val="21"/>
                      <w:szCs w:val="21"/>
                      <w:lang w:val="en-US" w:eastAsia="zh-CN"/>
                    </w:rPr>
                  </w:pPr>
                  <w:r>
                    <w:rPr>
                      <w:rFonts w:hint="eastAsia" w:cs="Times New Roman"/>
                      <w:spacing w:val="1"/>
                      <w:sz w:val="21"/>
                      <w:szCs w:val="21"/>
                      <w:lang w:val="en-US" w:eastAsia="zh-CN"/>
                    </w:rPr>
                    <w:t>/</w:t>
                  </w:r>
                </w:p>
              </w:tc>
              <w:tc>
                <w:tcPr>
                  <w:tcW w:w="1626" w:type="dxa"/>
                  <w:vAlign w:val="center"/>
                </w:tcPr>
                <w:p w14:paraId="1F331BC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1"/>
                      <w:sz w:val="21"/>
                      <w:szCs w:val="21"/>
                      <w:lang w:val="en-US" w:eastAsia="zh-CN"/>
                    </w:rPr>
                  </w:pPr>
                  <w:r>
                    <w:rPr>
                      <w:rFonts w:hint="eastAsia" w:cs="Times New Roman"/>
                      <w:spacing w:val="1"/>
                      <w:sz w:val="21"/>
                      <w:szCs w:val="21"/>
                      <w:lang w:val="en-US" w:eastAsia="zh-CN"/>
                    </w:rPr>
                    <w:t>/</w:t>
                  </w:r>
                </w:p>
              </w:tc>
            </w:tr>
            <w:tr w14:paraId="2444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182AA14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高锰酸盐指数</w:t>
                  </w:r>
                </w:p>
              </w:tc>
              <w:tc>
                <w:tcPr>
                  <w:tcW w:w="1626" w:type="dxa"/>
                  <w:vAlign w:val="center"/>
                </w:tcPr>
                <w:p w14:paraId="421C3D5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2DF3ED6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0.63</w:t>
                  </w:r>
                </w:p>
              </w:tc>
              <w:tc>
                <w:tcPr>
                  <w:tcW w:w="1626" w:type="dxa"/>
                  <w:vAlign w:val="center"/>
                </w:tcPr>
                <w:p w14:paraId="7C534CA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3.0</w:t>
                  </w:r>
                </w:p>
              </w:tc>
              <w:tc>
                <w:tcPr>
                  <w:tcW w:w="1626" w:type="dxa"/>
                  <w:vAlign w:val="center"/>
                </w:tcPr>
                <w:p w14:paraId="2B5A3D1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0.21</w:t>
                  </w:r>
                </w:p>
              </w:tc>
              <w:tc>
                <w:tcPr>
                  <w:tcW w:w="1626" w:type="dxa"/>
                  <w:vAlign w:val="center"/>
                </w:tcPr>
                <w:p w14:paraId="644AC7F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rPr>
                  </w:pPr>
                  <w:r>
                    <w:rPr>
                      <w:rFonts w:hint="eastAsia" w:cs="Times New Roman"/>
                      <w:spacing w:val="-4"/>
                      <w:sz w:val="21"/>
                      <w:szCs w:val="21"/>
                      <w:lang w:val="en-US" w:eastAsia="zh-CN"/>
                    </w:rPr>
                    <w:t>达标</w:t>
                  </w:r>
                </w:p>
              </w:tc>
            </w:tr>
            <w:tr w14:paraId="653E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0DB0FBE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总硬度</w:t>
                  </w:r>
                </w:p>
              </w:tc>
              <w:tc>
                <w:tcPr>
                  <w:tcW w:w="1626" w:type="dxa"/>
                  <w:vAlign w:val="center"/>
                </w:tcPr>
                <w:p w14:paraId="5610E99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2A22F18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31</w:t>
                  </w:r>
                </w:p>
              </w:tc>
              <w:tc>
                <w:tcPr>
                  <w:tcW w:w="1626" w:type="dxa"/>
                  <w:vAlign w:val="center"/>
                </w:tcPr>
                <w:p w14:paraId="18B95E5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4"/>
                      <w:sz w:val="21"/>
                      <w:szCs w:val="21"/>
                      <w:lang w:val="en-US" w:eastAsia="zh-CN"/>
                    </w:rPr>
                  </w:pPr>
                  <w:r>
                    <w:rPr>
                      <w:rFonts w:hint="eastAsia" w:cs="Times New Roman"/>
                      <w:spacing w:val="-4"/>
                      <w:sz w:val="21"/>
                      <w:szCs w:val="21"/>
                      <w:lang w:val="en-US" w:eastAsia="zh-CN"/>
                    </w:rPr>
                    <w:t>450</w:t>
                  </w:r>
                </w:p>
              </w:tc>
              <w:tc>
                <w:tcPr>
                  <w:tcW w:w="1626" w:type="dxa"/>
                  <w:vAlign w:val="center"/>
                </w:tcPr>
                <w:p w14:paraId="4B6E33A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4"/>
                      <w:sz w:val="21"/>
                      <w:szCs w:val="21"/>
                      <w:lang w:val="en-US" w:eastAsia="zh-CN"/>
                    </w:rPr>
                  </w:pPr>
                  <w:r>
                    <w:rPr>
                      <w:rFonts w:hint="eastAsia" w:cs="Times New Roman"/>
                      <w:spacing w:val="-4"/>
                      <w:sz w:val="21"/>
                      <w:szCs w:val="21"/>
                      <w:lang w:val="en-US" w:eastAsia="zh-CN"/>
                    </w:rPr>
                    <w:t>0.069</w:t>
                  </w:r>
                </w:p>
              </w:tc>
              <w:tc>
                <w:tcPr>
                  <w:tcW w:w="1626" w:type="dxa"/>
                  <w:vAlign w:val="center"/>
                </w:tcPr>
                <w:p w14:paraId="2B53C4A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4"/>
                      <w:sz w:val="21"/>
                      <w:szCs w:val="21"/>
                    </w:rPr>
                  </w:pPr>
                  <w:r>
                    <w:rPr>
                      <w:rFonts w:hint="eastAsia" w:cs="Times New Roman"/>
                      <w:spacing w:val="-4"/>
                      <w:sz w:val="21"/>
                      <w:szCs w:val="21"/>
                      <w:lang w:val="en-US" w:eastAsia="zh-CN"/>
                    </w:rPr>
                    <w:t>达标</w:t>
                  </w:r>
                </w:p>
              </w:tc>
            </w:tr>
            <w:tr w14:paraId="111B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052466D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溶解性总固体</w:t>
                  </w:r>
                </w:p>
              </w:tc>
              <w:tc>
                <w:tcPr>
                  <w:tcW w:w="1626" w:type="dxa"/>
                  <w:vAlign w:val="center"/>
                </w:tcPr>
                <w:p w14:paraId="1CF41F0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7C2D65D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346</w:t>
                  </w:r>
                </w:p>
              </w:tc>
              <w:tc>
                <w:tcPr>
                  <w:tcW w:w="1626" w:type="dxa"/>
                  <w:vAlign w:val="center"/>
                </w:tcPr>
                <w:p w14:paraId="3C9BBBF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3"/>
                      <w:sz w:val="21"/>
                      <w:szCs w:val="21"/>
                      <w:lang w:val="en-US" w:eastAsia="zh-CN"/>
                    </w:rPr>
                  </w:pPr>
                  <w:r>
                    <w:rPr>
                      <w:rFonts w:hint="eastAsia" w:cs="Times New Roman"/>
                      <w:spacing w:val="-3"/>
                      <w:sz w:val="21"/>
                      <w:szCs w:val="21"/>
                      <w:lang w:val="en-US" w:eastAsia="zh-CN"/>
                    </w:rPr>
                    <w:t>1000</w:t>
                  </w:r>
                </w:p>
              </w:tc>
              <w:tc>
                <w:tcPr>
                  <w:tcW w:w="1626" w:type="dxa"/>
                  <w:vAlign w:val="center"/>
                </w:tcPr>
                <w:p w14:paraId="22A7A44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3"/>
                      <w:sz w:val="21"/>
                      <w:szCs w:val="21"/>
                      <w:lang w:val="en-US" w:eastAsia="zh-CN"/>
                    </w:rPr>
                  </w:pPr>
                  <w:r>
                    <w:rPr>
                      <w:rFonts w:hint="eastAsia" w:cs="Times New Roman"/>
                      <w:spacing w:val="-3"/>
                      <w:sz w:val="21"/>
                      <w:szCs w:val="21"/>
                      <w:lang w:val="en-US" w:eastAsia="zh-CN"/>
                    </w:rPr>
                    <w:t>0.346</w:t>
                  </w:r>
                </w:p>
              </w:tc>
              <w:tc>
                <w:tcPr>
                  <w:tcW w:w="1626" w:type="dxa"/>
                  <w:vAlign w:val="center"/>
                </w:tcPr>
                <w:p w14:paraId="2448809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3"/>
                      <w:sz w:val="21"/>
                      <w:szCs w:val="21"/>
                    </w:rPr>
                  </w:pPr>
                  <w:r>
                    <w:rPr>
                      <w:rFonts w:hint="eastAsia" w:cs="Times New Roman"/>
                      <w:spacing w:val="-4"/>
                      <w:sz w:val="21"/>
                      <w:szCs w:val="21"/>
                      <w:lang w:val="en-US" w:eastAsia="zh-CN"/>
                    </w:rPr>
                    <w:t>达标</w:t>
                  </w:r>
                </w:p>
              </w:tc>
            </w:tr>
            <w:tr w14:paraId="0F2B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6BF5CCE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悬浮物</w:t>
                  </w:r>
                </w:p>
              </w:tc>
              <w:tc>
                <w:tcPr>
                  <w:tcW w:w="1626" w:type="dxa"/>
                  <w:vAlign w:val="center"/>
                </w:tcPr>
                <w:p w14:paraId="35F364E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6B827C3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w:t>
                  </w:r>
                </w:p>
              </w:tc>
              <w:tc>
                <w:tcPr>
                  <w:tcW w:w="1626" w:type="dxa"/>
                  <w:vAlign w:val="center"/>
                </w:tcPr>
                <w:p w14:paraId="25E1124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z w:val="21"/>
                      <w:szCs w:val="21"/>
                      <w:lang w:val="en-US" w:eastAsia="zh-CN"/>
                    </w:rPr>
                  </w:pPr>
                  <w:r>
                    <w:rPr>
                      <w:rFonts w:hint="eastAsia" w:cs="Times New Roman"/>
                      <w:sz w:val="21"/>
                      <w:szCs w:val="21"/>
                      <w:lang w:val="en-US" w:eastAsia="zh-CN"/>
                    </w:rPr>
                    <w:t>/</w:t>
                  </w:r>
                </w:p>
              </w:tc>
              <w:tc>
                <w:tcPr>
                  <w:tcW w:w="1626" w:type="dxa"/>
                  <w:vAlign w:val="center"/>
                </w:tcPr>
                <w:p w14:paraId="06253EC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z w:val="21"/>
                      <w:szCs w:val="21"/>
                      <w:lang w:val="en-US" w:eastAsia="zh-CN"/>
                    </w:rPr>
                  </w:pPr>
                  <w:r>
                    <w:rPr>
                      <w:rFonts w:hint="eastAsia" w:cs="Times New Roman"/>
                      <w:sz w:val="21"/>
                      <w:szCs w:val="21"/>
                      <w:lang w:val="en-US" w:eastAsia="zh-CN"/>
                    </w:rPr>
                    <w:t>/</w:t>
                  </w:r>
                </w:p>
              </w:tc>
              <w:tc>
                <w:tcPr>
                  <w:tcW w:w="1626" w:type="dxa"/>
                  <w:vAlign w:val="center"/>
                </w:tcPr>
                <w:p w14:paraId="750FA97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z w:val="21"/>
                      <w:szCs w:val="21"/>
                      <w:lang w:val="en-US" w:eastAsia="zh-CN"/>
                    </w:rPr>
                  </w:pPr>
                  <w:r>
                    <w:rPr>
                      <w:rFonts w:hint="eastAsia" w:cs="Times New Roman"/>
                      <w:sz w:val="21"/>
                      <w:szCs w:val="21"/>
                      <w:lang w:val="en-US" w:eastAsia="zh-CN"/>
                    </w:rPr>
                    <w:t>/</w:t>
                  </w:r>
                </w:p>
              </w:tc>
            </w:tr>
            <w:tr w14:paraId="1DFC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729C617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氨氮</w:t>
                  </w:r>
                </w:p>
              </w:tc>
              <w:tc>
                <w:tcPr>
                  <w:tcW w:w="1626" w:type="dxa"/>
                  <w:vAlign w:val="center"/>
                </w:tcPr>
                <w:p w14:paraId="0CE0310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50C09A1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0.077</w:t>
                  </w:r>
                </w:p>
              </w:tc>
              <w:tc>
                <w:tcPr>
                  <w:tcW w:w="1626" w:type="dxa"/>
                  <w:vAlign w:val="center"/>
                </w:tcPr>
                <w:p w14:paraId="16D43BD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0.5</w:t>
                  </w:r>
                </w:p>
              </w:tc>
              <w:tc>
                <w:tcPr>
                  <w:tcW w:w="1626" w:type="dxa"/>
                  <w:vAlign w:val="center"/>
                </w:tcPr>
                <w:p w14:paraId="4F7590B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0.154</w:t>
                  </w:r>
                </w:p>
              </w:tc>
              <w:tc>
                <w:tcPr>
                  <w:tcW w:w="1626" w:type="dxa"/>
                  <w:vAlign w:val="center"/>
                </w:tcPr>
                <w:p w14:paraId="1506667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rPr>
                  </w:pPr>
                  <w:r>
                    <w:rPr>
                      <w:rFonts w:hint="eastAsia" w:cs="Times New Roman"/>
                      <w:spacing w:val="-4"/>
                      <w:sz w:val="21"/>
                      <w:szCs w:val="21"/>
                      <w:lang w:val="en-US" w:eastAsia="zh-CN"/>
                    </w:rPr>
                    <w:t>达标</w:t>
                  </w:r>
                </w:p>
              </w:tc>
            </w:tr>
            <w:tr w14:paraId="3CD7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3D2B9D1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z w:val="21"/>
                      <w:szCs w:val="21"/>
                      <w:lang w:eastAsia="zh-CN"/>
                    </w:rPr>
                  </w:pPr>
                  <w:r>
                    <w:rPr>
                      <w:rFonts w:hint="default" w:ascii="Times New Roman" w:hAnsi="Times New Roman" w:eastAsia="宋体" w:cs="Times New Roman"/>
                      <w:spacing w:val="9"/>
                      <w:sz w:val="21"/>
                      <w:szCs w:val="21"/>
                    </w:rPr>
                    <w:t>铬</w:t>
                  </w:r>
                  <w:r>
                    <w:rPr>
                      <w:rFonts w:hint="eastAsia" w:cs="Times New Roman"/>
                      <w:spacing w:val="9"/>
                      <w:sz w:val="21"/>
                      <w:szCs w:val="21"/>
                      <w:lang w:eastAsia="zh-CN"/>
                    </w:rPr>
                    <w:t>（</w:t>
                  </w:r>
                  <w:r>
                    <w:rPr>
                      <w:rFonts w:hint="default" w:ascii="Times New Roman" w:hAnsi="Times New Roman" w:eastAsia="宋体" w:cs="Times New Roman"/>
                      <w:spacing w:val="9"/>
                      <w:sz w:val="21"/>
                      <w:szCs w:val="21"/>
                    </w:rPr>
                    <w:t>六价</w:t>
                  </w:r>
                  <w:r>
                    <w:rPr>
                      <w:rFonts w:hint="eastAsia" w:cs="Times New Roman"/>
                      <w:spacing w:val="9"/>
                      <w:sz w:val="21"/>
                      <w:szCs w:val="21"/>
                      <w:lang w:eastAsia="zh-CN"/>
                    </w:rPr>
                    <w:t>）</w:t>
                  </w:r>
                </w:p>
              </w:tc>
              <w:tc>
                <w:tcPr>
                  <w:tcW w:w="1626" w:type="dxa"/>
                  <w:vAlign w:val="center"/>
                </w:tcPr>
                <w:p w14:paraId="3CA224E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62227F7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1C0C5D2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0.05</w:t>
                  </w:r>
                </w:p>
              </w:tc>
              <w:tc>
                <w:tcPr>
                  <w:tcW w:w="1626" w:type="dxa"/>
                  <w:vAlign w:val="center"/>
                </w:tcPr>
                <w:p w14:paraId="06433B6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0A681EA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4D0F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7913D31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挥发酚</w:t>
                  </w:r>
                </w:p>
              </w:tc>
              <w:tc>
                <w:tcPr>
                  <w:tcW w:w="1626" w:type="dxa"/>
                  <w:vAlign w:val="center"/>
                </w:tcPr>
                <w:p w14:paraId="4836A39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7A5C129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5E52DC1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0.002</w:t>
                  </w:r>
                </w:p>
              </w:tc>
              <w:tc>
                <w:tcPr>
                  <w:tcW w:w="1626" w:type="dxa"/>
                  <w:vAlign w:val="center"/>
                </w:tcPr>
                <w:p w14:paraId="4FD9AE4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182F62B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4FBF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740F456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氰化物</w:t>
                  </w:r>
                </w:p>
              </w:tc>
              <w:tc>
                <w:tcPr>
                  <w:tcW w:w="1626" w:type="dxa"/>
                  <w:vAlign w:val="center"/>
                </w:tcPr>
                <w:p w14:paraId="4CCCA81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690AA5D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0BD5675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0.05</w:t>
                  </w:r>
                </w:p>
              </w:tc>
              <w:tc>
                <w:tcPr>
                  <w:tcW w:w="1626" w:type="dxa"/>
                  <w:vAlign w:val="center"/>
                </w:tcPr>
                <w:p w14:paraId="7F6E62F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5C892B4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09E6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2BEE768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阴离子表面活性剂</w:t>
                  </w:r>
                </w:p>
              </w:tc>
              <w:tc>
                <w:tcPr>
                  <w:tcW w:w="1626" w:type="dxa"/>
                  <w:vAlign w:val="center"/>
                </w:tcPr>
                <w:p w14:paraId="4ADBBE9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22F39AD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207E522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0.3</w:t>
                  </w:r>
                </w:p>
              </w:tc>
              <w:tc>
                <w:tcPr>
                  <w:tcW w:w="1626" w:type="dxa"/>
                  <w:vAlign w:val="center"/>
                </w:tcPr>
                <w:p w14:paraId="2E0D316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46FF839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5DBA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4CE7204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亚硝酸盐氮</w:t>
                  </w:r>
                </w:p>
              </w:tc>
              <w:tc>
                <w:tcPr>
                  <w:tcW w:w="1626" w:type="dxa"/>
                  <w:vAlign w:val="center"/>
                </w:tcPr>
                <w:p w14:paraId="059F764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7EAEEE5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08E538C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1.00</w:t>
                  </w:r>
                </w:p>
              </w:tc>
              <w:tc>
                <w:tcPr>
                  <w:tcW w:w="1626" w:type="dxa"/>
                  <w:vAlign w:val="center"/>
                </w:tcPr>
                <w:p w14:paraId="0A11F10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67EA1A8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500D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67CED5F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硫化物</w:t>
                  </w:r>
                </w:p>
              </w:tc>
              <w:tc>
                <w:tcPr>
                  <w:tcW w:w="1626" w:type="dxa"/>
                  <w:vAlign w:val="center"/>
                </w:tcPr>
                <w:p w14:paraId="4E5FF58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0838C60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7DEC713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0.02</w:t>
                  </w:r>
                </w:p>
              </w:tc>
              <w:tc>
                <w:tcPr>
                  <w:tcW w:w="1626" w:type="dxa"/>
                  <w:vAlign w:val="center"/>
                </w:tcPr>
                <w:p w14:paraId="4CAF89C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23AF7B2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55D9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38DEAA4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石油类</w:t>
                  </w:r>
                </w:p>
              </w:tc>
              <w:tc>
                <w:tcPr>
                  <w:tcW w:w="1626" w:type="dxa"/>
                  <w:vAlign w:val="center"/>
                </w:tcPr>
                <w:p w14:paraId="205D553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6523FD3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0160E63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473E20A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1D6E23D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582B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21F1BE3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4"/>
                      <w:sz w:val="21"/>
                      <w:szCs w:val="21"/>
                    </w:rPr>
                    <w:t>总氮</w:t>
                  </w:r>
                </w:p>
              </w:tc>
              <w:tc>
                <w:tcPr>
                  <w:tcW w:w="1626" w:type="dxa"/>
                  <w:vAlign w:val="center"/>
                </w:tcPr>
                <w:p w14:paraId="4B4E901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7655998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0.85</w:t>
                  </w:r>
                </w:p>
              </w:tc>
              <w:tc>
                <w:tcPr>
                  <w:tcW w:w="1626" w:type="dxa"/>
                  <w:vAlign w:val="center"/>
                </w:tcPr>
                <w:p w14:paraId="680858C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w:t>
                  </w:r>
                </w:p>
              </w:tc>
              <w:tc>
                <w:tcPr>
                  <w:tcW w:w="1626" w:type="dxa"/>
                  <w:vAlign w:val="center"/>
                </w:tcPr>
                <w:p w14:paraId="0A53A1B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w:t>
                  </w:r>
                </w:p>
              </w:tc>
              <w:tc>
                <w:tcPr>
                  <w:tcW w:w="1626" w:type="dxa"/>
                  <w:vAlign w:val="center"/>
                </w:tcPr>
                <w:p w14:paraId="3E228D6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w:t>
                  </w:r>
                </w:p>
              </w:tc>
            </w:tr>
            <w:tr w14:paraId="52E4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2222623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氟离子</w:t>
                  </w:r>
                </w:p>
              </w:tc>
              <w:tc>
                <w:tcPr>
                  <w:tcW w:w="1626" w:type="dxa"/>
                  <w:vAlign w:val="center"/>
                </w:tcPr>
                <w:p w14:paraId="629775B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2734773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0.138</w:t>
                  </w:r>
                </w:p>
              </w:tc>
              <w:tc>
                <w:tcPr>
                  <w:tcW w:w="1626" w:type="dxa"/>
                  <w:vAlign w:val="center"/>
                </w:tcPr>
                <w:p w14:paraId="3312AFF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1.0</w:t>
                  </w:r>
                </w:p>
              </w:tc>
              <w:tc>
                <w:tcPr>
                  <w:tcW w:w="1626" w:type="dxa"/>
                  <w:vAlign w:val="center"/>
                </w:tcPr>
                <w:p w14:paraId="482170B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0.138</w:t>
                  </w:r>
                </w:p>
              </w:tc>
              <w:tc>
                <w:tcPr>
                  <w:tcW w:w="1626" w:type="dxa"/>
                  <w:vAlign w:val="center"/>
                </w:tcPr>
                <w:p w14:paraId="3F858EE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rPr>
                  </w:pPr>
                  <w:r>
                    <w:rPr>
                      <w:rFonts w:hint="eastAsia" w:cs="Times New Roman"/>
                      <w:spacing w:val="-4"/>
                      <w:sz w:val="21"/>
                      <w:szCs w:val="21"/>
                      <w:lang w:val="en-US" w:eastAsia="zh-CN"/>
                    </w:rPr>
                    <w:t>达标</w:t>
                  </w:r>
                </w:p>
              </w:tc>
            </w:tr>
            <w:tr w14:paraId="6189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199C73D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z w:val="21"/>
                      <w:szCs w:val="21"/>
                      <w:lang w:eastAsia="zh-CN"/>
                    </w:rPr>
                  </w:pPr>
                  <w:r>
                    <w:rPr>
                      <w:rFonts w:hint="default" w:ascii="Times New Roman" w:hAnsi="Times New Roman" w:eastAsia="宋体" w:cs="Times New Roman"/>
                      <w:spacing w:val="6"/>
                      <w:sz w:val="21"/>
                      <w:szCs w:val="21"/>
                    </w:rPr>
                    <w:t>硝酸根</w:t>
                  </w:r>
                  <w:r>
                    <w:rPr>
                      <w:rFonts w:hint="eastAsia" w:cs="Times New Roman"/>
                      <w:spacing w:val="6"/>
                      <w:sz w:val="21"/>
                      <w:szCs w:val="21"/>
                      <w:lang w:eastAsia="zh-CN"/>
                    </w:rPr>
                    <w:t>（</w:t>
                  </w:r>
                  <w:r>
                    <w:rPr>
                      <w:rFonts w:hint="default" w:ascii="Times New Roman" w:hAnsi="Times New Roman" w:eastAsia="宋体" w:cs="Times New Roman"/>
                      <w:spacing w:val="6"/>
                      <w:sz w:val="21"/>
                      <w:szCs w:val="21"/>
                    </w:rPr>
                    <w:t>以N计</w:t>
                  </w:r>
                  <w:r>
                    <w:rPr>
                      <w:rFonts w:hint="eastAsia" w:cs="Times New Roman"/>
                      <w:spacing w:val="6"/>
                      <w:sz w:val="21"/>
                      <w:szCs w:val="21"/>
                      <w:lang w:eastAsia="zh-CN"/>
                    </w:rPr>
                    <w:t>）</w:t>
                  </w:r>
                </w:p>
              </w:tc>
              <w:tc>
                <w:tcPr>
                  <w:tcW w:w="1626" w:type="dxa"/>
                  <w:vAlign w:val="center"/>
                </w:tcPr>
                <w:p w14:paraId="68EDDD6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43C4774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0.110</w:t>
                  </w:r>
                </w:p>
              </w:tc>
              <w:tc>
                <w:tcPr>
                  <w:tcW w:w="1626" w:type="dxa"/>
                  <w:vAlign w:val="center"/>
                </w:tcPr>
                <w:p w14:paraId="2F6BEC9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20.0</w:t>
                  </w:r>
                </w:p>
              </w:tc>
              <w:tc>
                <w:tcPr>
                  <w:tcW w:w="1626" w:type="dxa"/>
                  <w:vAlign w:val="center"/>
                </w:tcPr>
                <w:p w14:paraId="3ED833F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0.0055</w:t>
                  </w:r>
                </w:p>
              </w:tc>
              <w:tc>
                <w:tcPr>
                  <w:tcW w:w="1626" w:type="dxa"/>
                  <w:vAlign w:val="center"/>
                </w:tcPr>
                <w:p w14:paraId="1572BA3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rPr>
                  </w:pPr>
                  <w:r>
                    <w:rPr>
                      <w:rFonts w:hint="eastAsia" w:cs="Times New Roman"/>
                      <w:spacing w:val="-4"/>
                      <w:sz w:val="21"/>
                      <w:szCs w:val="21"/>
                      <w:lang w:val="en-US" w:eastAsia="zh-CN"/>
                    </w:rPr>
                    <w:t>达标</w:t>
                  </w:r>
                </w:p>
              </w:tc>
            </w:tr>
            <w:tr w14:paraId="2B44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1D87AFE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氯化物</w:t>
                  </w:r>
                </w:p>
              </w:tc>
              <w:tc>
                <w:tcPr>
                  <w:tcW w:w="1626" w:type="dxa"/>
                  <w:vAlign w:val="center"/>
                </w:tcPr>
                <w:p w14:paraId="5FEA1B6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3CF71AD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20.5</w:t>
                  </w:r>
                </w:p>
              </w:tc>
              <w:tc>
                <w:tcPr>
                  <w:tcW w:w="1626" w:type="dxa"/>
                  <w:vAlign w:val="center"/>
                </w:tcPr>
                <w:p w14:paraId="24283F8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3"/>
                      <w:sz w:val="21"/>
                      <w:szCs w:val="21"/>
                      <w:lang w:val="en-US" w:eastAsia="zh-CN"/>
                    </w:rPr>
                  </w:pPr>
                  <w:r>
                    <w:rPr>
                      <w:rFonts w:hint="eastAsia" w:cs="Times New Roman"/>
                      <w:spacing w:val="-3"/>
                      <w:sz w:val="21"/>
                      <w:szCs w:val="21"/>
                      <w:lang w:val="en-US" w:eastAsia="zh-CN"/>
                    </w:rPr>
                    <w:t>250</w:t>
                  </w:r>
                </w:p>
              </w:tc>
              <w:tc>
                <w:tcPr>
                  <w:tcW w:w="1626" w:type="dxa"/>
                  <w:vAlign w:val="center"/>
                </w:tcPr>
                <w:p w14:paraId="5137AA9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3"/>
                      <w:sz w:val="21"/>
                      <w:szCs w:val="21"/>
                      <w:lang w:val="en-US" w:eastAsia="zh-CN"/>
                    </w:rPr>
                  </w:pPr>
                  <w:r>
                    <w:rPr>
                      <w:rFonts w:hint="eastAsia" w:cs="Times New Roman"/>
                      <w:spacing w:val="-3"/>
                      <w:sz w:val="21"/>
                      <w:szCs w:val="21"/>
                      <w:lang w:val="en-US" w:eastAsia="zh-CN"/>
                    </w:rPr>
                    <w:t>0.082</w:t>
                  </w:r>
                </w:p>
              </w:tc>
              <w:tc>
                <w:tcPr>
                  <w:tcW w:w="1626" w:type="dxa"/>
                  <w:vAlign w:val="center"/>
                </w:tcPr>
                <w:p w14:paraId="6CB6EE9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3"/>
                      <w:sz w:val="21"/>
                      <w:szCs w:val="21"/>
                    </w:rPr>
                  </w:pPr>
                  <w:r>
                    <w:rPr>
                      <w:rFonts w:hint="eastAsia" w:cs="Times New Roman"/>
                      <w:spacing w:val="-4"/>
                      <w:sz w:val="21"/>
                      <w:szCs w:val="21"/>
                      <w:lang w:val="en-US" w:eastAsia="zh-CN"/>
                    </w:rPr>
                    <w:t>达标</w:t>
                  </w:r>
                </w:p>
              </w:tc>
            </w:tr>
            <w:tr w14:paraId="1039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4E44E5C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硫酸根</w:t>
                  </w:r>
                </w:p>
              </w:tc>
              <w:tc>
                <w:tcPr>
                  <w:tcW w:w="1626" w:type="dxa"/>
                  <w:vAlign w:val="center"/>
                </w:tcPr>
                <w:p w14:paraId="28AA610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38C9F18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12.8</w:t>
                  </w:r>
                </w:p>
              </w:tc>
              <w:tc>
                <w:tcPr>
                  <w:tcW w:w="1626" w:type="dxa"/>
                  <w:vAlign w:val="center"/>
                </w:tcPr>
                <w:p w14:paraId="6223D5B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5"/>
                      <w:sz w:val="21"/>
                      <w:szCs w:val="21"/>
                      <w:lang w:val="en-US" w:eastAsia="zh-CN"/>
                    </w:rPr>
                  </w:pPr>
                  <w:r>
                    <w:rPr>
                      <w:rFonts w:hint="eastAsia" w:cs="Times New Roman"/>
                      <w:spacing w:val="-5"/>
                      <w:sz w:val="21"/>
                      <w:szCs w:val="21"/>
                      <w:lang w:val="en-US" w:eastAsia="zh-CN"/>
                    </w:rPr>
                    <w:t>250</w:t>
                  </w:r>
                </w:p>
              </w:tc>
              <w:tc>
                <w:tcPr>
                  <w:tcW w:w="1626" w:type="dxa"/>
                  <w:vAlign w:val="center"/>
                </w:tcPr>
                <w:p w14:paraId="6E9D129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5"/>
                      <w:sz w:val="21"/>
                      <w:szCs w:val="21"/>
                      <w:lang w:val="en-US" w:eastAsia="zh-CN"/>
                    </w:rPr>
                  </w:pPr>
                  <w:r>
                    <w:rPr>
                      <w:rFonts w:hint="eastAsia" w:cs="Times New Roman"/>
                      <w:spacing w:val="-5"/>
                      <w:sz w:val="21"/>
                      <w:szCs w:val="21"/>
                      <w:lang w:val="en-US" w:eastAsia="zh-CN"/>
                    </w:rPr>
                    <w:t>0.0512</w:t>
                  </w:r>
                </w:p>
              </w:tc>
              <w:tc>
                <w:tcPr>
                  <w:tcW w:w="1626" w:type="dxa"/>
                  <w:vAlign w:val="center"/>
                </w:tcPr>
                <w:p w14:paraId="06FFE72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5"/>
                      <w:sz w:val="21"/>
                      <w:szCs w:val="21"/>
                    </w:rPr>
                  </w:pPr>
                  <w:r>
                    <w:rPr>
                      <w:rFonts w:hint="eastAsia" w:cs="Times New Roman"/>
                      <w:spacing w:val="-4"/>
                      <w:sz w:val="21"/>
                      <w:szCs w:val="21"/>
                      <w:lang w:val="en-US" w:eastAsia="zh-CN"/>
                    </w:rPr>
                    <w:t>达标</w:t>
                  </w:r>
                </w:p>
              </w:tc>
            </w:tr>
            <w:tr w14:paraId="7034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7CDA70F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碘化物</w:t>
                  </w:r>
                </w:p>
              </w:tc>
              <w:tc>
                <w:tcPr>
                  <w:tcW w:w="1626" w:type="dxa"/>
                  <w:vAlign w:val="center"/>
                </w:tcPr>
                <w:p w14:paraId="53232E1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075FFF6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0.013</w:t>
                  </w:r>
                </w:p>
              </w:tc>
              <w:tc>
                <w:tcPr>
                  <w:tcW w:w="1626" w:type="dxa"/>
                  <w:vAlign w:val="center"/>
                </w:tcPr>
                <w:p w14:paraId="0D50310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0.08</w:t>
                  </w:r>
                </w:p>
              </w:tc>
              <w:tc>
                <w:tcPr>
                  <w:tcW w:w="1626" w:type="dxa"/>
                  <w:vAlign w:val="center"/>
                </w:tcPr>
                <w:p w14:paraId="4E26908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0.1625</w:t>
                  </w:r>
                </w:p>
              </w:tc>
              <w:tc>
                <w:tcPr>
                  <w:tcW w:w="1626" w:type="dxa"/>
                  <w:vAlign w:val="center"/>
                </w:tcPr>
                <w:p w14:paraId="22E8E03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rPr>
                  </w:pPr>
                  <w:r>
                    <w:rPr>
                      <w:rFonts w:hint="eastAsia" w:cs="Times New Roman"/>
                      <w:spacing w:val="-4"/>
                      <w:sz w:val="21"/>
                      <w:szCs w:val="21"/>
                      <w:lang w:val="en-US" w:eastAsia="zh-CN"/>
                    </w:rPr>
                    <w:t>达标</w:t>
                  </w:r>
                </w:p>
              </w:tc>
            </w:tr>
            <w:tr w14:paraId="1FF9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1B9A049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汞</w:t>
                  </w:r>
                </w:p>
              </w:tc>
              <w:tc>
                <w:tcPr>
                  <w:tcW w:w="1626" w:type="dxa"/>
                  <w:vAlign w:val="center"/>
                </w:tcPr>
                <w:p w14:paraId="0C34BCB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1626" w:type="dxa"/>
                  <w:vAlign w:val="center"/>
                </w:tcPr>
                <w:p w14:paraId="6686614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0C295C3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1</w:t>
                  </w:r>
                </w:p>
              </w:tc>
              <w:tc>
                <w:tcPr>
                  <w:tcW w:w="1626" w:type="dxa"/>
                  <w:vAlign w:val="center"/>
                </w:tcPr>
                <w:p w14:paraId="1FEAA55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66D5F7F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580C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0CA9C9C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砷</w:t>
                  </w:r>
                </w:p>
              </w:tc>
              <w:tc>
                <w:tcPr>
                  <w:tcW w:w="1626" w:type="dxa"/>
                  <w:vAlign w:val="center"/>
                </w:tcPr>
                <w:p w14:paraId="217F0E3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1626" w:type="dxa"/>
                  <w:vAlign w:val="center"/>
                </w:tcPr>
                <w:p w14:paraId="3FE411E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354A5AD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10</w:t>
                  </w:r>
                </w:p>
              </w:tc>
              <w:tc>
                <w:tcPr>
                  <w:tcW w:w="1626" w:type="dxa"/>
                  <w:vAlign w:val="center"/>
                </w:tcPr>
                <w:p w14:paraId="05FA35A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4E08417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2171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46AC1FE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硒</w:t>
                  </w:r>
                </w:p>
              </w:tc>
              <w:tc>
                <w:tcPr>
                  <w:tcW w:w="1626" w:type="dxa"/>
                  <w:vAlign w:val="center"/>
                </w:tcPr>
                <w:p w14:paraId="6732DE4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1626" w:type="dxa"/>
                  <w:vAlign w:val="center"/>
                </w:tcPr>
                <w:p w14:paraId="7274BD3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0E8428B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10</w:t>
                  </w:r>
                </w:p>
              </w:tc>
              <w:tc>
                <w:tcPr>
                  <w:tcW w:w="1626" w:type="dxa"/>
                  <w:vAlign w:val="center"/>
                </w:tcPr>
                <w:p w14:paraId="14A901B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49028E0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3904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1BA6CF4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铅</w:t>
                  </w:r>
                </w:p>
              </w:tc>
              <w:tc>
                <w:tcPr>
                  <w:tcW w:w="1626" w:type="dxa"/>
                  <w:vAlign w:val="center"/>
                </w:tcPr>
                <w:p w14:paraId="22541DF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1626" w:type="dxa"/>
                  <w:vAlign w:val="center"/>
                </w:tcPr>
                <w:p w14:paraId="60818A9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4.5</w:t>
                  </w:r>
                </w:p>
              </w:tc>
              <w:tc>
                <w:tcPr>
                  <w:tcW w:w="1626" w:type="dxa"/>
                  <w:vAlign w:val="center"/>
                </w:tcPr>
                <w:p w14:paraId="7137DA6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10</w:t>
                  </w:r>
                </w:p>
              </w:tc>
              <w:tc>
                <w:tcPr>
                  <w:tcW w:w="1626" w:type="dxa"/>
                  <w:vAlign w:val="center"/>
                </w:tcPr>
                <w:p w14:paraId="11FE11B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lang w:val="en-US" w:eastAsia="zh-CN"/>
                    </w:rPr>
                  </w:pPr>
                  <w:r>
                    <w:rPr>
                      <w:rFonts w:hint="eastAsia" w:cs="Times New Roman"/>
                      <w:spacing w:val="-2"/>
                      <w:sz w:val="21"/>
                      <w:szCs w:val="21"/>
                      <w:lang w:val="en-US" w:eastAsia="zh-CN"/>
                    </w:rPr>
                    <w:t>0.45</w:t>
                  </w:r>
                </w:p>
              </w:tc>
              <w:tc>
                <w:tcPr>
                  <w:tcW w:w="1626" w:type="dxa"/>
                  <w:vAlign w:val="center"/>
                </w:tcPr>
                <w:p w14:paraId="03DCF7A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2"/>
                      <w:sz w:val="21"/>
                      <w:szCs w:val="21"/>
                    </w:rPr>
                  </w:pPr>
                  <w:r>
                    <w:rPr>
                      <w:rFonts w:hint="eastAsia" w:cs="Times New Roman"/>
                      <w:spacing w:val="-4"/>
                      <w:sz w:val="21"/>
                      <w:szCs w:val="21"/>
                      <w:lang w:val="en-US" w:eastAsia="zh-CN"/>
                    </w:rPr>
                    <w:t>达标</w:t>
                  </w:r>
                </w:p>
              </w:tc>
            </w:tr>
            <w:tr w14:paraId="41E9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215B1C9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镉</w:t>
                  </w:r>
                </w:p>
              </w:tc>
              <w:tc>
                <w:tcPr>
                  <w:tcW w:w="1626" w:type="dxa"/>
                  <w:vAlign w:val="center"/>
                </w:tcPr>
                <w:p w14:paraId="03FE9B3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1626" w:type="dxa"/>
                  <w:vAlign w:val="center"/>
                </w:tcPr>
                <w:p w14:paraId="069D524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09D98F4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5</w:t>
                  </w:r>
                </w:p>
              </w:tc>
              <w:tc>
                <w:tcPr>
                  <w:tcW w:w="1626" w:type="dxa"/>
                  <w:vAlign w:val="center"/>
                </w:tcPr>
                <w:p w14:paraId="4B22671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58B6247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0536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0D3129B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锌</w:t>
                  </w:r>
                </w:p>
              </w:tc>
              <w:tc>
                <w:tcPr>
                  <w:tcW w:w="1626" w:type="dxa"/>
                  <w:vAlign w:val="center"/>
                </w:tcPr>
                <w:p w14:paraId="4B7F92F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6684990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4214650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1.00</w:t>
                  </w:r>
                </w:p>
              </w:tc>
              <w:tc>
                <w:tcPr>
                  <w:tcW w:w="1626" w:type="dxa"/>
                  <w:vAlign w:val="center"/>
                </w:tcPr>
                <w:p w14:paraId="180924E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69A6835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4F2C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026FFD3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铁</w:t>
                  </w:r>
                </w:p>
              </w:tc>
              <w:tc>
                <w:tcPr>
                  <w:tcW w:w="1626" w:type="dxa"/>
                  <w:vAlign w:val="center"/>
                </w:tcPr>
                <w:p w14:paraId="21AD7CD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1713580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45C0556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0.3</w:t>
                  </w:r>
                </w:p>
              </w:tc>
              <w:tc>
                <w:tcPr>
                  <w:tcW w:w="1626" w:type="dxa"/>
                  <w:vAlign w:val="center"/>
                </w:tcPr>
                <w:p w14:paraId="0F2876F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2F63DEF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5881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1B0D5EF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锰</w:t>
                  </w:r>
                </w:p>
              </w:tc>
              <w:tc>
                <w:tcPr>
                  <w:tcW w:w="1626" w:type="dxa"/>
                  <w:vAlign w:val="center"/>
                </w:tcPr>
                <w:p w14:paraId="0B83CFF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406D0AC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5BBD632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0.10</w:t>
                  </w:r>
                </w:p>
              </w:tc>
              <w:tc>
                <w:tcPr>
                  <w:tcW w:w="1626" w:type="dxa"/>
                  <w:vAlign w:val="center"/>
                </w:tcPr>
                <w:p w14:paraId="4670D3C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45159A5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76E1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02A06D8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铜</w:t>
                  </w:r>
                </w:p>
              </w:tc>
              <w:tc>
                <w:tcPr>
                  <w:tcW w:w="1626" w:type="dxa"/>
                  <w:vAlign w:val="center"/>
                </w:tcPr>
                <w:p w14:paraId="4456D77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01AB49F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0F29828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1.00</w:t>
                  </w:r>
                </w:p>
              </w:tc>
              <w:tc>
                <w:tcPr>
                  <w:tcW w:w="1626" w:type="dxa"/>
                  <w:vAlign w:val="center"/>
                </w:tcPr>
                <w:p w14:paraId="4076072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52EED32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51DB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39600EA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钠</w:t>
                  </w:r>
                </w:p>
              </w:tc>
              <w:tc>
                <w:tcPr>
                  <w:tcW w:w="1626" w:type="dxa"/>
                  <w:vAlign w:val="center"/>
                </w:tcPr>
                <w:p w14:paraId="4610C22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41CE4FA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11.0</w:t>
                  </w:r>
                </w:p>
              </w:tc>
              <w:tc>
                <w:tcPr>
                  <w:tcW w:w="1626" w:type="dxa"/>
                  <w:vAlign w:val="center"/>
                </w:tcPr>
                <w:p w14:paraId="5BB9E75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5"/>
                      <w:sz w:val="21"/>
                      <w:szCs w:val="21"/>
                      <w:lang w:val="en-US" w:eastAsia="zh-CN"/>
                    </w:rPr>
                  </w:pPr>
                  <w:r>
                    <w:rPr>
                      <w:rFonts w:hint="eastAsia" w:cs="Times New Roman"/>
                      <w:spacing w:val="-5"/>
                      <w:sz w:val="21"/>
                      <w:szCs w:val="21"/>
                      <w:lang w:val="en-US" w:eastAsia="zh-CN"/>
                    </w:rPr>
                    <w:t>200</w:t>
                  </w:r>
                </w:p>
              </w:tc>
              <w:tc>
                <w:tcPr>
                  <w:tcW w:w="1626" w:type="dxa"/>
                  <w:vAlign w:val="center"/>
                </w:tcPr>
                <w:p w14:paraId="4E4098E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5"/>
                      <w:sz w:val="21"/>
                      <w:szCs w:val="21"/>
                      <w:lang w:val="en-US" w:eastAsia="zh-CN"/>
                    </w:rPr>
                  </w:pPr>
                  <w:r>
                    <w:rPr>
                      <w:rFonts w:hint="eastAsia" w:cs="Times New Roman"/>
                      <w:spacing w:val="-5"/>
                      <w:sz w:val="21"/>
                      <w:szCs w:val="21"/>
                      <w:lang w:val="en-US" w:eastAsia="zh-CN"/>
                    </w:rPr>
                    <w:t>0.055</w:t>
                  </w:r>
                </w:p>
              </w:tc>
              <w:tc>
                <w:tcPr>
                  <w:tcW w:w="1626" w:type="dxa"/>
                  <w:vAlign w:val="center"/>
                </w:tcPr>
                <w:p w14:paraId="7C707F7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5"/>
                      <w:sz w:val="21"/>
                      <w:szCs w:val="21"/>
                      <w:lang w:val="en-US" w:eastAsia="zh-CN"/>
                    </w:rPr>
                  </w:pPr>
                  <w:r>
                    <w:rPr>
                      <w:rFonts w:hint="eastAsia" w:cs="Times New Roman"/>
                      <w:spacing w:val="-4"/>
                      <w:sz w:val="21"/>
                      <w:szCs w:val="21"/>
                      <w:lang w:val="en-US" w:eastAsia="zh-CN"/>
                    </w:rPr>
                    <w:t>达标</w:t>
                  </w:r>
                </w:p>
              </w:tc>
            </w:tr>
            <w:tr w14:paraId="1E3D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08475B7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铝</w:t>
                  </w:r>
                </w:p>
              </w:tc>
              <w:tc>
                <w:tcPr>
                  <w:tcW w:w="1626" w:type="dxa"/>
                  <w:vAlign w:val="center"/>
                </w:tcPr>
                <w:p w14:paraId="7FCBDDA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17FEE84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25498FF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0.20</w:t>
                  </w:r>
                </w:p>
              </w:tc>
              <w:tc>
                <w:tcPr>
                  <w:tcW w:w="1626" w:type="dxa"/>
                  <w:vAlign w:val="center"/>
                </w:tcPr>
                <w:p w14:paraId="677EB71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0285D93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177A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2694EEC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镍</w:t>
                  </w:r>
                </w:p>
              </w:tc>
              <w:tc>
                <w:tcPr>
                  <w:tcW w:w="1626" w:type="dxa"/>
                  <w:vAlign w:val="center"/>
                </w:tcPr>
                <w:p w14:paraId="402F157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4FFA0DD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23556F1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0.02</w:t>
                  </w:r>
                </w:p>
              </w:tc>
              <w:tc>
                <w:tcPr>
                  <w:tcW w:w="1626" w:type="dxa"/>
                  <w:vAlign w:val="center"/>
                </w:tcPr>
                <w:p w14:paraId="2C5A1CEE">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6F83A48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648B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5F13F03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银</w:t>
                  </w:r>
                </w:p>
              </w:tc>
              <w:tc>
                <w:tcPr>
                  <w:tcW w:w="1626" w:type="dxa"/>
                  <w:vAlign w:val="center"/>
                </w:tcPr>
                <w:p w14:paraId="0093EF8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00BBA52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00A1E99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0.05</w:t>
                  </w:r>
                </w:p>
              </w:tc>
              <w:tc>
                <w:tcPr>
                  <w:tcW w:w="1626" w:type="dxa"/>
                  <w:vAlign w:val="center"/>
                </w:tcPr>
                <w:p w14:paraId="333BF9B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6F5E927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3AEE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20CB1BC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9"/>
                      <w:sz w:val="21"/>
                      <w:szCs w:val="21"/>
                    </w:rPr>
                    <w:t>磷(总磷)</w:t>
                  </w:r>
                </w:p>
              </w:tc>
              <w:tc>
                <w:tcPr>
                  <w:tcW w:w="1626" w:type="dxa"/>
                  <w:vAlign w:val="center"/>
                </w:tcPr>
                <w:p w14:paraId="3868E0D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mg/L</w:t>
                  </w:r>
                </w:p>
              </w:tc>
              <w:tc>
                <w:tcPr>
                  <w:tcW w:w="1626" w:type="dxa"/>
                  <w:vAlign w:val="center"/>
                </w:tcPr>
                <w:p w14:paraId="5F04614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66CBA26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4D0312D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256C6C3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488F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003B5D8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氯仿</w:t>
                  </w:r>
                </w:p>
              </w:tc>
              <w:tc>
                <w:tcPr>
                  <w:tcW w:w="1626" w:type="dxa"/>
                  <w:vAlign w:val="center"/>
                </w:tcPr>
                <w:p w14:paraId="38268B50">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1626" w:type="dxa"/>
                  <w:vAlign w:val="center"/>
                </w:tcPr>
                <w:p w14:paraId="51C055CD">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4D33C90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60</w:t>
                  </w:r>
                </w:p>
              </w:tc>
              <w:tc>
                <w:tcPr>
                  <w:tcW w:w="1626" w:type="dxa"/>
                  <w:vAlign w:val="center"/>
                </w:tcPr>
                <w:p w14:paraId="2D480B8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6498A91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3D18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39D633B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四氯化碳</w:t>
                  </w:r>
                </w:p>
              </w:tc>
              <w:tc>
                <w:tcPr>
                  <w:tcW w:w="1626" w:type="dxa"/>
                  <w:vAlign w:val="center"/>
                </w:tcPr>
                <w:p w14:paraId="4C3B1CC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1626" w:type="dxa"/>
                  <w:vAlign w:val="center"/>
                </w:tcPr>
                <w:p w14:paraId="00C95DB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59B978D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2.0</w:t>
                  </w:r>
                </w:p>
              </w:tc>
              <w:tc>
                <w:tcPr>
                  <w:tcW w:w="1626" w:type="dxa"/>
                  <w:vAlign w:val="center"/>
                </w:tcPr>
                <w:p w14:paraId="6D69825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4302092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640C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1DD29DC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苯</w:t>
                  </w:r>
                </w:p>
              </w:tc>
              <w:tc>
                <w:tcPr>
                  <w:tcW w:w="1626" w:type="dxa"/>
                  <w:vAlign w:val="center"/>
                </w:tcPr>
                <w:p w14:paraId="51671E0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1626" w:type="dxa"/>
                  <w:vAlign w:val="center"/>
                </w:tcPr>
                <w:p w14:paraId="1D937CF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72EE16B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10.0</w:t>
                  </w:r>
                </w:p>
              </w:tc>
              <w:tc>
                <w:tcPr>
                  <w:tcW w:w="1626" w:type="dxa"/>
                  <w:vAlign w:val="center"/>
                </w:tcPr>
                <w:p w14:paraId="1FFC209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6B29F30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r w14:paraId="1E40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26" w:type="dxa"/>
                  <w:vAlign w:val="center"/>
                </w:tcPr>
                <w:p w14:paraId="26A93AA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5"/>
                      <w:sz w:val="21"/>
                      <w:szCs w:val="21"/>
                    </w:rPr>
                    <w:t>甲苯</w:t>
                  </w:r>
                </w:p>
              </w:tc>
              <w:tc>
                <w:tcPr>
                  <w:tcW w:w="1626" w:type="dxa"/>
                  <w:vAlign w:val="center"/>
                </w:tcPr>
                <w:p w14:paraId="3320579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μg/L</w:t>
                  </w:r>
                </w:p>
              </w:tc>
              <w:tc>
                <w:tcPr>
                  <w:tcW w:w="1626" w:type="dxa"/>
                  <w:vAlign w:val="center"/>
                </w:tcPr>
                <w:p w14:paraId="6A64262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未检出</w:t>
                  </w:r>
                </w:p>
              </w:tc>
              <w:tc>
                <w:tcPr>
                  <w:tcW w:w="1626" w:type="dxa"/>
                  <w:vAlign w:val="center"/>
                </w:tcPr>
                <w:p w14:paraId="38B9D9B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700</w:t>
                  </w:r>
                </w:p>
              </w:tc>
              <w:tc>
                <w:tcPr>
                  <w:tcW w:w="1626" w:type="dxa"/>
                  <w:vAlign w:val="center"/>
                </w:tcPr>
                <w:p w14:paraId="72879D9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c>
                <w:tcPr>
                  <w:tcW w:w="1626" w:type="dxa"/>
                  <w:vAlign w:val="center"/>
                </w:tcPr>
                <w:p w14:paraId="6479702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spacing w:val="8"/>
                      <w:sz w:val="21"/>
                      <w:szCs w:val="21"/>
                      <w:lang w:val="en-US" w:eastAsia="zh-CN"/>
                    </w:rPr>
                  </w:pPr>
                  <w:r>
                    <w:rPr>
                      <w:rFonts w:hint="eastAsia" w:cs="Times New Roman"/>
                      <w:spacing w:val="8"/>
                      <w:sz w:val="21"/>
                      <w:szCs w:val="21"/>
                      <w:lang w:val="en-US" w:eastAsia="zh-CN"/>
                    </w:rPr>
                    <w:t>/</w:t>
                  </w:r>
                </w:p>
              </w:tc>
            </w:tr>
          </w:tbl>
          <w:p w14:paraId="2BCDC9BC">
            <w:pPr>
              <w:rPr>
                <w:rFonts w:hint="default" w:ascii="Times New Roman" w:hAnsi="Times New Roman" w:cs="Times New Roman"/>
                <w:b w:val="0"/>
                <w:bCs/>
                <w:color w:val="000000" w:themeColor="text1"/>
                <w14:textFill>
                  <w14:solidFill>
                    <w14:schemeClr w14:val="tx1"/>
                  </w14:solidFill>
                </w14:textFill>
              </w:rPr>
            </w:pPr>
            <w:r>
              <w:rPr>
                <w:rFonts w:ascii="Times New Roman" w:hAnsi="Times New Roman" w:eastAsia="宋体" w:cs="Times New Roman"/>
                <w:bCs/>
                <w:color w:val="000000" w:themeColor="text1"/>
                <w:szCs w:val="24"/>
                <w:highlight w:val="none"/>
                <w14:textFill>
                  <w14:solidFill>
                    <w14:schemeClr w14:val="tx1"/>
                  </w14:solidFill>
                </w14:textFill>
              </w:rPr>
              <w:t>根据上述检测结果可知，</w:t>
            </w:r>
            <w:r>
              <w:rPr>
                <w:rFonts w:hint="eastAsia" w:cs="Times New Roman"/>
                <w:bCs/>
                <w:color w:val="000000" w:themeColor="text1"/>
                <w:szCs w:val="24"/>
                <w:highlight w:val="none"/>
                <w:lang w:val="en-US" w:eastAsia="zh-CN"/>
                <w14:textFill>
                  <w14:solidFill>
                    <w14:schemeClr w14:val="tx1"/>
                  </w14:solidFill>
                </w14:textFill>
              </w:rPr>
              <w:t>污染因子均满足《地下水质量标准》（GB/T14848-2017）中</w:t>
            </w:r>
            <w:r>
              <w:rPr>
                <w:rFonts w:hint="default" w:ascii="Times New Roman" w:hAnsi="Times New Roman" w:cs="Times New Roman"/>
                <w:color w:val="000000" w:themeColor="text1"/>
                <w:lang w:val="en-US" w:eastAsia="zh-CN"/>
                <w14:textFill>
                  <w14:solidFill>
                    <w14:schemeClr w14:val="tx1"/>
                  </w14:solidFill>
                </w14:textFill>
              </w:rPr>
              <w:t>Ⅲ</w:t>
            </w:r>
            <w:r>
              <w:rPr>
                <w:rFonts w:hint="eastAsia"/>
                <w:color w:val="000000" w:themeColor="text1"/>
                <w:lang w:val="en-US" w:eastAsia="zh-CN"/>
                <w14:textFill>
                  <w14:solidFill>
                    <w14:schemeClr w14:val="tx1"/>
                  </w14:solidFill>
                </w14:textFill>
              </w:rPr>
              <w:t>类水质</w:t>
            </w:r>
            <w:r>
              <w:rPr>
                <w:rFonts w:hint="eastAsia" w:cs="Times New Roman"/>
                <w:bCs/>
                <w:color w:val="000000" w:themeColor="text1"/>
                <w:szCs w:val="24"/>
                <w:highlight w:val="none"/>
                <w:lang w:val="en-US" w:eastAsia="zh-CN"/>
                <w14:textFill>
                  <w14:solidFill>
                    <w14:schemeClr w14:val="tx1"/>
                  </w14:solidFill>
                </w14:textFill>
              </w:rPr>
              <w:t>标准限值要求</w:t>
            </w:r>
            <w:r>
              <w:rPr>
                <w:rFonts w:hint="eastAsia" w:eastAsia="宋体" w:cs="Times New Roman"/>
                <w:bCs/>
                <w:color w:val="000000" w:themeColor="text1"/>
                <w:szCs w:val="24"/>
                <w:highlight w:val="none"/>
                <w:lang w:val="en-US" w:eastAsia="zh-CN"/>
                <w14:textFill>
                  <w14:solidFill>
                    <w14:schemeClr w14:val="tx1"/>
                  </w14:solidFill>
                </w14:textFill>
              </w:rPr>
              <w:t>。</w:t>
            </w:r>
            <w:r>
              <w:rPr>
                <w:rFonts w:hint="eastAsia" w:cs="Times New Roman"/>
                <w:bCs/>
                <w:color w:val="000000" w:themeColor="text1"/>
                <w:szCs w:val="24"/>
                <w:highlight w:val="none"/>
                <w:lang w:val="en-US" w:eastAsia="zh-CN"/>
                <w14:textFill>
                  <w14:solidFill>
                    <w14:schemeClr w14:val="tx1"/>
                  </w14:solidFill>
                </w14:textFill>
              </w:rPr>
              <w:t>因此，项目区域的地下水环境质量良好</w:t>
            </w:r>
            <w:r>
              <w:rPr>
                <w:rFonts w:hint="default" w:ascii="Times New Roman" w:hAnsi="Times New Roman" w:cs="Times New Roman"/>
                <w:b w:val="0"/>
                <w:bCs/>
                <w:color w:val="000000" w:themeColor="text1"/>
                <w14:textFill>
                  <w14:solidFill>
                    <w14:schemeClr w14:val="tx1"/>
                  </w14:solidFill>
                </w14:textFill>
              </w:rPr>
              <w:t>。</w:t>
            </w:r>
          </w:p>
          <w:p w14:paraId="5F60C210">
            <w:pPr>
              <w:pStyle w:val="4"/>
              <w:numPr>
                <w:ilvl w:val="0"/>
                <w:numId w:val="9"/>
              </w:numPr>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土壤</w:t>
            </w:r>
            <w:r>
              <w:rPr>
                <w:rFonts w:hint="eastAsia" w:cs="Times New Roman"/>
                <w:color w:val="000000" w:themeColor="text1"/>
                <w:lang w:val="en-US" w:eastAsia="zh-CN"/>
                <w14:textFill>
                  <w14:solidFill>
                    <w14:schemeClr w14:val="tx1"/>
                  </w14:solidFill>
                </w14:textFill>
              </w:rPr>
              <w:t>环境</w:t>
            </w:r>
          </w:p>
          <w:p w14:paraId="09E53035">
            <w:pPr>
              <w:ind w:firstLine="48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由于本项目排放二噁英及重金属，考虑大气沉降可能对土壤产生一定的影响，因此，本项目在厂区内设置1个土壤监测点位作为项目土壤背景值。委托四川锡水金山环保科技有限公司2026年6月22日对项目区东南侧进行土壤检测，检测报告编号为</w:t>
            </w:r>
            <w:r>
              <w:rPr>
                <w:rFonts w:hint="eastAsia" w:cs="Times New Roman"/>
                <w:color w:val="000000" w:themeColor="text1"/>
                <w14:textFill>
                  <w14:solidFill>
                    <w14:schemeClr w14:val="tx1"/>
                  </w14:solidFill>
                </w14:textFill>
              </w:rPr>
              <w:t>锡环检字（2026）第0631901号</w:t>
            </w:r>
            <w:r>
              <w:rPr>
                <w:rFonts w:hint="eastAsia" w:cs="Times New Roman"/>
                <w:color w:val="000000" w:themeColor="text1"/>
                <w:lang w:eastAsia="zh-CN"/>
                <w14:textFill>
                  <w14:solidFill>
                    <w14:schemeClr w14:val="tx1"/>
                  </w14:solidFill>
                </w14:textFill>
              </w:rPr>
              <w:t>。</w:t>
            </w:r>
          </w:p>
          <w:p w14:paraId="0DBBD172">
            <w:pPr>
              <w:keepNext/>
              <w:keepLines/>
              <w:widowControl w:val="0"/>
              <w:autoSpaceDE w:val="0"/>
              <w:autoSpaceDN w:val="0"/>
              <w:spacing w:line="360" w:lineRule="auto"/>
              <w:ind w:firstLine="482" w:firstLineChars="200"/>
              <w:jc w:val="both"/>
              <w:rPr>
                <w:rFonts w:hint="eastAsia" w:cs="Times New Roman"/>
                <w:b/>
                <w:bCs/>
                <w:color w:val="000000" w:themeColor="text1"/>
                <w:kern w:val="2"/>
                <w:sz w:val="24"/>
                <w:szCs w:val="22"/>
                <w:highlight w:val="none"/>
                <w:lang w:val="en-US" w:eastAsia="zh-CN" w:bidi="ar-SA"/>
                <w14:textFill>
                  <w14:solidFill>
                    <w14:schemeClr w14:val="tx1"/>
                  </w14:solidFill>
                </w14:textFill>
              </w:rPr>
            </w:pPr>
            <w:r>
              <w:rPr>
                <w:rFonts w:hint="eastAsia" w:cs="Times New Roman"/>
                <w:b/>
                <w:bCs/>
                <w:color w:val="000000" w:themeColor="text1"/>
                <w:kern w:val="2"/>
                <w:sz w:val="24"/>
                <w:szCs w:val="22"/>
                <w:highlight w:val="none"/>
                <w:lang w:val="en-US" w:eastAsia="zh-CN" w:bidi="ar-SA"/>
                <w14:textFill>
                  <w14:solidFill>
                    <w14:schemeClr w14:val="tx1"/>
                  </w14:solidFill>
                </w14:textFill>
              </w:rPr>
              <w:t>①监测布点情况</w:t>
            </w:r>
          </w:p>
          <w:p w14:paraId="6A85BD9F">
            <w:pPr>
              <w:keepNext/>
              <w:keepLines/>
              <w:widowControl w:val="0"/>
              <w:autoSpaceDE w:val="0"/>
              <w:autoSpaceDN w:val="0"/>
              <w:spacing w:line="360" w:lineRule="auto"/>
              <w:ind w:firstLine="480" w:firstLineChars="200"/>
              <w:jc w:val="both"/>
              <w:rPr>
                <w:rFonts w:hint="default" w:cs="Times New Roman"/>
                <w:b w:val="0"/>
                <w:bCs w:val="0"/>
                <w:color w:val="000000" w:themeColor="text1"/>
                <w:kern w:val="2"/>
                <w:sz w:val="24"/>
                <w:szCs w:val="22"/>
                <w:highlight w:val="none"/>
                <w:lang w:val="en-US" w:eastAsia="zh-CN" w:bidi="ar-SA"/>
                <w14:textFill>
                  <w14:solidFill>
                    <w14:schemeClr w14:val="tx1"/>
                  </w14:solidFill>
                </w14:textFill>
              </w:rPr>
            </w:pPr>
            <w:r>
              <w:rPr>
                <w:rFonts w:hint="eastAsia" w:cs="Times New Roman"/>
                <w:b w:val="0"/>
                <w:bCs w:val="0"/>
                <w:color w:val="000000" w:themeColor="text1"/>
                <w:kern w:val="2"/>
                <w:sz w:val="24"/>
                <w:szCs w:val="22"/>
                <w:highlight w:val="none"/>
                <w:lang w:val="en-US" w:eastAsia="zh-CN" w:bidi="ar-SA"/>
                <w14:textFill>
                  <w14:solidFill>
                    <w14:schemeClr w14:val="tx1"/>
                  </w14:solidFill>
                </w14:textFill>
              </w:rPr>
              <w:t>监测布点情况如下表。</w:t>
            </w:r>
          </w:p>
          <w:p w14:paraId="2639F9D9">
            <w:pPr>
              <w:keepNext/>
              <w:keepLines/>
              <w:widowControl w:val="0"/>
              <w:autoSpaceDE w:val="0"/>
              <w:autoSpaceDN w:val="0"/>
              <w:spacing w:line="360" w:lineRule="exact"/>
              <w:ind w:firstLine="0" w:firstLineChars="0"/>
              <w:jc w:val="cente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表3-</w:t>
            </w:r>
            <w:r>
              <w:rPr>
                <w:rFonts w:hint="eastAsia" w:cs="Times New Roman"/>
                <w:b/>
                <w:bCs/>
                <w:color w:val="000000" w:themeColor="text1"/>
                <w:kern w:val="2"/>
                <w:sz w:val="21"/>
                <w:szCs w:val="20"/>
                <w:highlight w:val="none"/>
                <w:lang w:val="en-US" w:eastAsia="zh-CN" w:bidi="ar-SA"/>
                <w14:textFill>
                  <w14:solidFill>
                    <w14:schemeClr w14:val="tx1"/>
                  </w14:solidFill>
                </w14:textFill>
              </w:rPr>
              <w:t>6</w:t>
            </w: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 xml:space="preserve"> </w:t>
            </w:r>
            <w:r>
              <w:rPr>
                <w:rFonts w:hint="eastAsia" w:cs="Times New Roman"/>
                <w:b/>
                <w:bCs/>
                <w:color w:val="000000" w:themeColor="text1"/>
                <w:kern w:val="2"/>
                <w:sz w:val="21"/>
                <w:szCs w:val="20"/>
                <w:highlight w:val="none"/>
                <w:lang w:val="en-US" w:eastAsia="zh-CN" w:bidi="ar-SA"/>
                <w14:textFill>
                  <w14:solidFill>
                    <w14:schemeClr w14:val="tx1"/>
                  </w14:solidFill>
                </w14:textFill>
              </w:rPr>
              <w:t>监测布点情况表</w:t>
            </w:r>
          </w:p>
          <w:tbl>
            <w:tblPr>
              <w:tblStyle w:val="29"/>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289"/>
              <w:gridCol w:w="6606"/>
              <w:gridCol w:w="1162"/>
            </w:tblGrid>
            <w:tr w14:paraId="3B7F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68" w:type="pct"/>
                  <w:noWrap w:val="0"/>
                  <w:vAlign w:val="center"/>
                </w:tcPr>
                <w:p w14:paraId="129E3561">
                  <w:pPr>
                    <w:pStyle w:val="72"/>
                    <w:bidi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编号</w:t>
                  </w:r>
                </w:p>
              </w:tc>
              <w:tc>
                <w:tcPr>
                  <w:tcW w:w="659" w:type="pct"/>
                  <w:noWrap w:val="0"/>
                  <w:vAlign w:val="center"/>
                </w:tcPr>
                <w:p w14:paraId="22BD0AD1">
                  <w:pPr>
                    <w:pStyle w:val="72"/>
                    <w:bidi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监测点名称</w:t>
                  </w:r>
                </w:p>
              </w:tc>
              <w:tc>
                <w:tcPr>
                  <w:tcW w:w="3378" w:type="pct"/>
                  <w:noWrap w:val="0"/>
                  <w:vAlign w:val="center"/>
                </w:tcPr>
                <w:p w14:paraId="5006B8EB">
                  <w:pPr>
                    <w:pStyle w:val="72"/>
                    <w:bidi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监测项目</w:t>
                  </w:r>
                </w:p>
              </w:tc>
              <w:tc>
                <w:tcPr>
                  <w:tcW w:w="594" w:type="pct"/>
                  <w:noWrap w:val="0"/>
                  <w:vAlign w:val="center"/>
                </w:tcPr>
                <w:p w14:paraId="646AAE73">
                  <w:pPr>
                    <w:pStyle w:val="72"/>
                    <w:bidi w:val="0"/>
                    <w:spacing w:line="240" w:lineRule="auto"/>
                    <w:ind w:firstLine="0" w:firstLineChars="0"/>
                    <w:jc w:val="center"/>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监测频次</w:t>
                  </w:r>
                </w:p>
              </w:tc>
            </w:tr>
            <w:tr w14:paraId="1123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68" w:type="pct"/>
                  <w:noWrap w:val="0"/>
                  <w:vAlign w:val="center"/>
                </w:tcPr>
                <w:p w14:paraId="5C15CCF1">
                  <w:pPr>
                    <w:pStyle w:val="72"/>
                    <w:bidi w:val="0"/>
                    <w:spacing w:line="240" w:lineRule="auto"/>
                    <w:ind w:firstLine="0" w:firstLineChars="0"/>
                    <w:jc w:val="center"/>
                    <w:rPr>
                      <w:rFonts w:hint="default"/>
                      <w:color w:val="000000" w:themeColor="text1"/>
                      <w:sz w:val="21"/>
                      <w:szCs w:val="21"/>
                      <w:lang w:val="en-US"/>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p>
              </w:tc>
              <w:tc>
                <w:tcPr>
                  <w:tcW w:w="659" w:type="pct"/>
                  <w:noWrap w:val="0"/>
                  <w:vAlign w:val="center"/>
                </w:tcPr>
                <w:p w14:paraId="7AA78AD9">
                  <w:pPr>
                    <w:pStyle w:val="72"/>
                    <w:bidi w:val="0"/>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1#项目区东南侧背景值监测点</w:t>
                  </w:r>
                </w:p>
              </w:tc>
              <w:tc>
                <w:tcPr>
                  <w:tcW w:w="3378" w:type="pct"/>
                  <w:noWrap w:val="0"/>
                  <w:vAlign w:val="center"/>
                </w:tcPr>
                <w:p w14:paraId="2C3A8AB0">
                  <w:pPr>
                    <w:pStyle w:val="72"/>
                    <w:bidi w:val="0"/>
                    <w:spacing w:line="240" w:lineRule="auto"/>
                    <w:ind w:firstLine="0" w:firstLineChars="0"/>
                    <w:jc w:val="both"/>
                    <w:rPr>
                      <w:rFonts w:hint="eastAsia"/>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表层样（0-0.2m）:</w:t>
                  </w:r>
                </w:p>
                <w:p w14:paraId="06E448FB">
                  <w:pPr>
                    <w:pStyle w:val="72"/>
                    <w:bidi w:val="0"/>
                    <w:spacing w:line="240" w:lineRule="auto"/>
                    <w:ind w:firstLine="0" w:firstLineChars="0"/>
                    <w:jc w:val="both"/>
                    <w:rPr>
                      <w:rFonts w:hint="default"/>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pH</w:t>
                  </w: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石油烃（C</w:t>
                  </w:r>
                  <w:r>
                    <w:rPr>
                      <w:rFonts w:hint="default" w:ascii="Times New Roman" w:hAnsi="Times New Roman" w:eastAsia="宋体" w:cs="Times New Roman"/>
                      <w:b w:val="0"/>
                      <w:bCs/>
                      <w:color w:val="000000" w:themeColor="text1"/>
                      <w:sz w:val="21"/>
                      <w:szCs w:val="21"/>
                      <w:highlight w:val="none"/>
                      <w:vertAlign w:val="subscript"/>
                      <w:lang w:val="en-US" w:eastAsia="zh-CN" w:bidi="ar"/>
                      <w14:textFill>
                        <w14:solidFill>
                          <w14:schemeClr w14:val="tx1"/>
                        </w14:solidFill>
                      </w14:textFill>
                    </w:rPr>
                    <w:t>10</w:t>
                  </w: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-C</w:t>
                  </w:r>
                  <w:r>
                    <w:rPr>
                      <w:rFonts w:hint="default" w:ascii="Times New Roman" w:hAnsi="Times New Roman" w:eastAsia="宋体" w:cs="Times New Roman"/>
                      <w:b w:val="0"/>
                      <w:bCs/>
                      <w:color w:val="000000" w:themeColor="text1"/>
                      <w:sz w:val="21"/>
                      <w:szCs w:val="21"/>
                      <w:highlight w:val="none"/>
                      <w:vertAlign w:val="subscript"/>
                      <w:lang w:val="en-US" w:eastAsia="zh-CN" w:bidi="ar"/>
                      <w14:textFill>
                        <w14:solidFill>
                          <w14:schemeClr w14:val="tx1"/>
                        </w14:solidFill>
                      </w14:textFill>
                    </w:rPr>
                    <w:t>40</w:t>
                  </w: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氟化物（总氟化物）、</w:t>
                  </w: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钡（总钡）、</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镉（总镉）、铅（总铅）、铜（总铜）、镍（总镍）、六价铬、汞（总汞）、砷（总砷）、</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锑（总锑）、</w:t>
                  </w:r>
                  <w:r>
                    <w:rPr>
                      <w:rFonts w:hint="default" w:ascii="Times New Roman" w:hAnsi="Times New Roman" w:eastAsia="宋体" w:cs="Times New Roman"/>
                      <w:color w:val="000000" w:themeColor="text1"/>
                      <w:sz w:val="21"/>
                      <w:szCs w:val="21"/>
                      <w:highlight w:val="none"/>
                      <w14:textFill>
                        <w14:solidFill>
                          <w14:schemeClr w14:val="tx1"/>
                        </w14:solidFill>
                      </w14:textFill>
                    </w:rPr>
                    <w:t>氯甲烷</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氯乙烯</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1,1-二氯乙烯</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二氯甲烷</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反式-1,2-二氯乙烯</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1,1-二氯乙烷</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顺式-1,2-二氯乙烯</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氯仿</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1,1,1-三氯乙烷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四氯化碳</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1,2-二氯乙烷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三氯乙烯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1,2-二氯丙烷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甲苯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1,1,2-三氯乙烷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四氯乙烯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氯苯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1,1,1,2-四氯乙烷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乙苯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间,对-二甲苯</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邻-二甲苯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苯乙烯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1,1,2,2-四氯乙烷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1,2,3-三氯丙烷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1,4-二氯苯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1,2-二氯苯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2-氯苯酚</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萘</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苯并(a)蒽</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䓛</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苯并(b)荧蒽</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苯并(k)荧蒽</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苯并(a)芘</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茚并(1,2,3-cd)芘</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二苯并(ah)蒽</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硝基苯</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苯胺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*、二噁英类*</w:t>
                  </w:r>
                </w:p>
              </w:tc>
              <w:tc>
                <w:tcPr>
                  <w:tcW w:w="594" w:type="pct"/>
                  <w:noWrap w:val="0"/>
                  <w:vAlign w:val="center"/>
                </w:tcPr>
                <w:p w14:paraId="6E21C660">
                  <w:pPr>
                    <w:pStyle w:val="72"/>
                    <w:bidi w:val="0"/>
                    <w:spacing w:line="240" w:lineRule="auto"/>
                    <w:ind w:firstLine="0" w:firstLineChars="0"/>
                    <w:jc w:val="center"/>
                    <w:rPr>
                      <w:rFonts w:hint="default"/>
                      <w:b/>
                      <w:bCs/>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监测1天，1天1次</w:t>
                  </w:r>
                </w:p>
              </w:tc>
            </w:tr>
          </w:tbl>
          <w:p w14:paraId="6E58C368">
            <w:pPr>
              <w:keepNext/>
              <w:keepLines/>
              <w:widowControl w:val="0"/>
              <w:autoSpaceDE w:val="0"/>
              <w:autoSpaceDN w:val="0"/>
              <w:spacing w:line="360" w:lineRule="exact"/>
              <w:ind w:firstLine="482" w:firstLineChars="200"/>
              <w:jc w:val="both"/>
              <w:rPr>
                <w:rFonts w:hint="eastAsia" w:cs="Times New Roman"/>
                <w:b/>
                <w:bCs/>
                <w:color w:val="000000" w:themeColor="text1"/>
                <w:kern w:val="2"/>
                <w:sz w:val="24"/>
                <w:szCs w:val="22"/>
                <w:highlight w:val="none"/>
                <w:lang w:val="en-US" w:eastAsia="zh-CN" w:bidi="ar-SA"/>
                <w14:textFill>
                  <w14:solidFill>
                    <w14:schemeClr w14:val="tx1"/>
                  </w14:solidFill>
                </w14:textFill>
              </w:rPr>
            </w:pPr>
            <w:r>
              <w:rPr>
                <w:rFonts w:hint="eastAsia" w:cs="Times New Roman"/>
                <w:b/>
                <w:bCs/>
                <w:color w:val="000000" w:themeColor="text1"/>
                <w:kern w:val="2"/>
                <w:sz w:val="24"/>
                <w:szCs w:val="22"/>
                <w:highlight w:val="none"/>
                <w:lang w:val="en-US" w:eastAsia="zh-CN" w:bidi="ar-SA"/>
                <w14:textFill>
                  <w14:solidFill>
                    <w14:schemeClr w14:val="tx1"/>
                  </w14:solidFill>
                </w14:textFill>
              </w:rPr>
              <w:t>②监测结果</w:t>
            </w:r>
          </w:p>
          <w:p w14:paraId="18E7F78E">
            <w:pPr>
              <w:pStyle w:val="19"/>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监测结果见下表。</w:t>
            </w:r>
          </w:p>
          <w:p w14:paraId="53554B92">
            <w:pPr>
              <w:keepNext/>
              <w:keepLines/>
              <w:widowControl w:val="0"/>
              <w:autoSpaceDE w:val="0"/>
              <w:autoSpaceDN w:val="0"/>
              <w:spacing w:line="360" w:lineRule="exact"/>
              <w:ind w:firstLine="0" w:firstLineChars="0"/>
              <w:jc w:val="center"/>
              <w:rPr>
                <w:rFonts w:hint="eastAsia" w:cs="Times New Roman"/>
                <w:b/>
                <w:bCs/>
                <w:color w:val="000000" w:themeColor="text1"/>
                <w:kern w:val="2"/>
                <w:sz w:val="21"/>
                <w:szCs w:val="20"/>
                <w:highlight w:val="none"/>
                <w:lang w:val="en-US" w:eastAsia="zh-CN" w:bidi="ar-SA"/>
                <w14:textFill>
                  <w14:solidFill>
                    <w14:schemeClr w14:val="tx1"/>
                  </w14:solidFill>
                </w14:textFill>
              </w:rPr>
            </w:pPr>
          </w:p>
          <w:p w14:paraId="623DFD3C">
            <w:pPr>
              <w:keepNext/>
              <w:keepLines/>
              <w:widowControl w:val="0"/>
              <w:autoSpaceDE w:val="0"/>
              <w:autoSpaceDN w:val="0"/>
              <w:spacing w:line="360" w:lineRule="exact"/>
              <w:ind w:firstLine="0" w:firstLineChars="0"/>
              <w:jc w:val="cente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pPr>
            <w:r>
              <w:rPr>
                <w:rFonts w:hint="eastAsia" w:cs="Times New Roman"/>
                <w:b/>
                <w:bCs/>
                <w:color w:val="000000" w:themeColor="text1"/>
                <w:kern w:val="2"/>
                <w:sz w:val="21"/>
                <w:szCs w:val="20"/>
                <w:highlight w:val="none"/>
                <w:lang w:val="en-US" w:eastAsia="zh-CN" w:bidi="ar-SA"/>
                <w14:textFill>
                  <w14:solidFill>
                    <w14:schemeClr w14:val="tx1"/>
                  </w14:solidFill>
                </w14:textFill>
              </w:rPr>
              <w:t xml:space="preserve">表3-7 </w:t>
            </w: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土壤环境质量现状监测结果</w:t>
            </w:r>
          </w:p>
          <w:tbl>
            <w:tblPr>
              <w:tblStyle w:val="29"/>
              <w:tblW w:w="9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970"/>
              <w:gridCol w:w="1351"/>
              <w:gridCol w:w="2579"/>
              <w:gridCol w:w="1110"/>
              <w:gridCol w:w="2070"/>
              <w:gridCol w:w="1671"/>
            </w:tblGrid>
            <w:tr w14:paraId="4E83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blHeader/>
                <w:jc w:val="center"/>
              </w:trPr>
              <w:tc>
                <w:tcPr>
                  <w:tcW w:w="970" w:type="dxa"/>
                  <w:noWrap w:val="0"/>
                  <w:vAlign w:val="center"/>
                </w:tcPr>
                <w:p w14:paraId="624BDDA5">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采样日期</w:t>
                  </w:r>
                </w:p>
              </w:tc>
              <w:tc>
                <w:tcPr>
                  <w:tcW w:w="1351" w:type="dxa"/>
                  <w:noWrap w:val="0"/>
                  <w:vAlign w:val="center"/>
                </w:tcPr>
                <w:p w14:paraId="3E7C4921">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监测点位</w:t>
                  </w:r>
                </w:p>
              </w:tc>
              <w:tc>
                <w:tcPr>
                  <w:tcW w:w="2579" w:type="dxa"/>
                  <w:noWrap w:val="0"/>
                  <w:vAlign w:val="center"/>
                </w:tcPr>
                <w:p w14:paraId="29FAFF9C">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检测项目</w:t>
                  </w:r>
                </w:p>
              </w:tc>
              <w:tc>
                <w:tcPr>
                  <w:tcW w:w="1110" w:type="dxa"/>
                  <w:noWrap w:val="0"/>
                  <w:vAlign w:val="center"/>
                </w:tcPr>
                <w:p w14:paraId="3A6DEFCF">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单位</w:t>
                  </w:r>
                </w:p>
              </w:tc>
              <w:tc>
                <w:tcPr>
                  <w:tcW w:w="2070" w:type="dxa"/>
                  <w:noWrap w:val="0"/>
                  <w:vAlign w:val="center"/>
                </w:tcPr>
                <w:p w14:paraId="7C097546">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检测结果</w:t>
                  </w:r>
                </w:p>
              </w:tc>
              <w:tc>
                <w:tcPr>
                  <w:tcW w:w="1671" w:type="dxa"/>
                  <w:noWrap w:val="0"/>
                  <w:vAlign w:val="center"/>
                </w:tcPr>
                <w:p w14:paraId="17BF1669">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标准限值（</w:t>
                  </w:r>
                  <w:r>
                    <w:rPr>
                      <w:rFonts w:hint="default" w:ascii="Times New Roman" w:hAnsi="Times New Roman" w:eastAsia="宋体" w:cs="Times New Roman"/>
                      <w:b/>
                      <w:bCs w:val="0"/>
                      <w:color w:val="000000" w:themeColor="text1"/>
                      <w:kern w:val="0"/>
                      <w:sz w:val="21"/>
                      <w:szCs w:val="21"/>
                      <w:highlight w:val="none"/>
                      <w:lang w:val="en-US" w:eastAsia="zh-CN" w:bidi="ar"/>
                      <w14:textFill>
                        <w14:solidFill>
                          <w14:schemeClr w14:val="tx1"/>
                        </w14:solidFill>
                      </w14:textFill>
                    </w:rPr>
                    <w:t>mg/kg</w:t>
                  </w: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w:t>
                  </w:r>
                </w:p>
              </w:tc>
            </w:tr>
            <w:tr w14:paraId="2768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restart"/>
                  <w:noWrap w:val="0"/>
                  <w:vAlign w:val="center"/>
                </w:tcPr>
                <w:p w14:paraId="18FD677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6月22日</w:t>
                  </w:r>
                </w:p>
              </w:tc>
              <w:tc>
                <w:tcPr>
                  <w:tcW w:w="1351" w:type="dxa"/>
                  <w:vMerge w:val="restart"/>
                  <w:noWrap w:val="0"/>
                  <w:vAlign w:val="center"/>
                </w:tcPr>
                <w:p w14:paraId="3583667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instrText xml:space="preserve"> REF 土壤1 \h \* MERGEFORMAT</w:instrTex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1#项目区东南侧背景值监测点</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fldChar w:fldCharType="end"/>
                  </w:r>
                </w:p>
              </w:tc>
              <w:tc>
                <w:tcPr>
                  <w:tcW w:w="2579" w:type="dxa"/>
                  <w:noWrap w:val="0"/>
                  <w:vAlign w:val="center"/>
                </w:tcPr>
                <w:p w14:paraId="12845460">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pH</w:t>
                  </w:r>
                </w:p>
              </w:tc>
              <w:tc>
                <w:tcPr>
                  <w:tcW w:w="1110" w:type="dxa"/>
                  <w:noWrap w:val="0"/>
                  <w:vAlign w:val="center"/>
                </w:tcPr>
                <w:p w14:paraId="35D71A4A">
                  <w:pPr>
                    <w:pStyle w:val="25"/>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无量纲</w:t>
                  </w:r>
                </w:p>
              </w:tc>
              <w:tc>
                <w:tcPr>
                  <w:tcW w:w="2070" w:type="dxa"/>
                  <w:noWrap w:val="0"/>
                  <w:vAlign w:val="center"/>
                </w:tcPr>
                <w:p w14:paraId="73AF247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7.18</w:t>
                  </w:r>
                </w:p>
              </w:tc>
              <w:tc>
                <w:tcPr>
                  <w:tcW w:w="1671" w:type="dxa"/>
                  <w:noWrap w:val="0"/>
                  <w:vAlign w:val="center"/>
                </w:tcPr>
                <w:p w14:paraId="11D45A80">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w:t>
                  </w:r>
                </w:p>
              </w:tc>
            </w:tr>
            <w:tr w14:paraId="425F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FB738B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6BF0616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F964F7C">
                  <w:pPr>
                    <w:keepNext w:val="0"/>
                    <w:keepLines w:val="0"/>
                    <w:pageBreakBefore w:val="0"/>
                    <w:widowControl w:val="0"/>
                    <w:tabs>
                      <w:tab w:val="left" w:pos="1890"/>
                    </w:tabs>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石油烃（C</w:t>
                  </w:r>
                  <w:r>
                    <w:rPr>
                      <w:rFonts w:hint="default" w:ascii="Times New Roman" w:hAnsi="Times New Roman" w:eastAsia="宋体" w:cs="Times New Roman"/>
                      <w:color w:val="000000" w:themeColor="text1"/>
                      <w:sz w:val="21"/>
                      <w:szCs w:val="21"/>
                      <w:highlight w:val="none"/>
                      <w:vertAlign w:val="subscript"/>
                      <w:lang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-C</w:t>
                  </w:r>
                  <w:r>
                    <w:rPr>
                      <w:rFonts w:hint="default" w:ascii="Times New Roman" w:hAnsi="Times New Roman" w:eastAsia="宋体" w:cs="Times New Roman"/>
                      <w:color w:val="000000" w:themeColor="text1"/>
                      <w:sz w:val="21"/>
                      <w:szCs w:val="21"/>
                      <w:highlight w:val="none"/>
                      <w:vertAlign w:val="subscript"/>
                      <w:lang w:eastAsia="zh-CN"/>
                      <w14:textFill>
                        <w14:solidFill>
                          <w14:schemeClr w14:val="tx1"/>
                        </w14:solidFill>
                      </w14:textFill>
                    </w:rPr>
                    <w:t>40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1110" w:type="dxa"/>
                  <w:noWrap w:val="0"/>
                  <w:vAlign w:val="center"/>
                </w:tcPr>
                <w:p w14:paraId="0028D6A7">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08B6711A">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13</w:t>
                  </w:r>
                </w:p>
              </w:tc>
              <w:tc>
                <w:tcPr>
                  <w:tcW w:w="1671" w:type="dxa"/>
                  <w:noWrap w:val="0"/>
                  <w:vAlign w:val="center"/>
                </w:tcPr>
                <w:p w14:paraId="0AF733A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4500</w:t>
                  </w:r>
                </w:p>
              </w:tc>
            </w:tr>
            <w:tr w14:paraId="3372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319BC22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78E9E8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C56B3AE">
                  <w:pPr>
                    <w:keepNext w:val="0"/>
                    <w:keepLines w:val="0"/>
                    <w:pageBreakBefore w:val="0"/>
                    <w:widowControl w:val="0"/>
                    <w:tabs>
                      <w:tab w:val="left" w:pos="1890"/>
                    </w:tabs>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氟化物（总氟化物）</w:t>
                  </w:r>
                </w:p>
              </w:tc>
              <w:tc>
                <w:tcPr>
                  <w:tcW w:w="1110" w:type="dxa"/>
                  <w:noWrap w:val="0"/>
                  <w:vAlign w:val="center"/>
                </w:tcPr>
                <w:p w14:paraId="1134C199">
                  <w:pPr>
                    <w:pStyle w:val="25"/>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1495994E">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1.44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r>
                    <w:rPr>
                      <w:rFonts w:hint="eastAsia"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3</w:t>
                  </w:r>
                </w:p>
              </w:tc>
              <w:tc>
                <w:tcPr>
                  <w:tcW w:w="1671" w:type="dxa"/>
                  <w:noWrap w:val="0"/>
                  <w:vAlign w:val="center"/>
                </w:tcPr>
                <w:p w14:paraId="3176C52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16022</w:t>
                  </w:r>
                </w:p>
              </w:tc>
            </w:tr>
            <w:tr w14:paraId="2AE7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126DE5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B04F82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B2201EB">
                  <w:pPr>
                    <w:keepNext w:val="0"/>
                    <w:keepLines w:val="0"/>
                    <w:pageBreakBefore w:val="0"/>
                    <w:widowControl/>
                    <w:suppressLineNumbers w:val="0"/>
                    <w:tabs>
                      <w:tab w:val="left" w:pos="1890"/>
                    </w:tabs>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钡（总钡）</w:t>
                  </w:r>
                </w:p>
              </w:tc>
              <w:tc>
                <w:tcPr>
                  <w:tcW w:w="1110" w:type="dxa"/>
                  <w:noWrap w:val="0"/>
                  <w:vAlign w:val="center"/>
                </w:tcPr>
                <w:p w14:paraId="1FB68847">
                  <w:pPr>
                    <w:keepNext w:val="0"/>
                    <w:keepLines w:val="0"/>
                    <w:pageBreakBefore w:val="0"/>
                    <w:widowControl/>
                    <w:kinsoku/>
                    <w:wordWrap/>
                    <w:overflowPunct/>
                    <w:topLinePunct w:val="0"/>
                    <w:autoSpaceDE/>
                    <w:autoSpaceDN/>
                    <w:bidi w:val="0"/>
                    <w:adjustRightInd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g/kg</w:t>
                  </w:r>
                </w:p>
              </w:tc>
              <w:tc>
                <w:tcPr>
                  <w:tcW w:w="2070" w:type="dxa"/>
                  <w:noWrap w:val="0"/>
                  <w:vAlign w:val="center"/>
                </w:tcPr>
                <w:p w14:paraId="0E14D335">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0.38</w:t>
                  </w:r>
                </w:p>
              </w:tc>
              <w:tc>
                <w:tcPr>
                  <w:tcW w:w="1671" w:type="dxa"/>
                  <w:noWrap w:val="0"/>
                  <w:vAlign w:val="center"/>
                </w:tcPr>
                <w:p w14:paraId="6E96933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8660</w:t>
                  </w:r>
                </w:p>
              </w:tc>
            </w:tr>
            <w:tr w14:paraId="7E99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C31E82A">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637BDA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294FA3E">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镉（总镉）</w:t>
                  </w:r>
                </w:p>
              </w:tc>
              <w:tc>
                <w:tcPr>
                  <w:tcW w:w="1110" w:type="dxa"/>
                  <w:noWrap w:val="0"/>
                  <w:vAlign w:val="center"/>
                </w:tcPr>
                <w:p w14:paraId="2536805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5B1876D2">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0.40</w:t>
                  </w:r>
                </w:p>
              </w:tc>
              <w:tc>
                <w:tcPr>
                  <w:tcW w:w="1671" w:type="dxa"/>
                  <w:noWrap w:val="0"/>
                  <w:vAlign w:val="center"/>
                </w:tcPr>
                <w:p w14:paraId="6204364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65</w:t>
                  </w:r>
                </w:p>
              </w:tc>
            </w:tr>
            <w:tr w14:paraId="078D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F97B84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557AB07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3DFA3E1F">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铅（总铅）</w:t>
                  </w:r>
                </w:p>
              </w:tc>
              <w:tc>
                <w:tcPr>
                  <w:tcW w:w="1110" w:type="dxa"/>
                  <w:noWrap w:val="0"/>
                  <w:vAlign w:val="center"/>
                </w:tcPr>
                <w:p w14:paraId="33A7D61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320796F7">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227</w:t>
                  </w:r>
                </w:p>
              </w:tc>
              <w:tc>
                <w:tcPr>
                  <w:tcW w:w="1671" w:type="dxa"/>
                  <w:noWrap w:val="0"/>
                  <w:vAlign w:val="center"/>
                </w:tcPr>
                <w:p w14:paraId="669FD38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800</w:t>
                  </w:r>
                </w:p>
              </w:tc>
            </w:tr>
            <w:tr w14:paraId="54C5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52C981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91DCDD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14EDB95">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铜（总铜）</w:t>
                  </w:r>
                </w:p>
              </w:tc>
              <w:tc>
                <w:tcPr>
                  <w:tcW w:w="1110" w:type="dxa"/>
                  <w:noWrap w:val="0"/>
                  <w:vAlign w:val="center"/>
                </w:tcPr>
                <w:p w14:paraId="3823006D">
                  <w:pPr>
                    <w:keepNext w:val="0"/>
                    <w:keepLines w:val="0"/>
                    <w:pageBreakBefore w:val="0"/>
                    <w:kinsoku/>
                    <w:wordWrap/>
                    <w:overflowPunct/>
                    <w:topLinePunct w:val="0"/>
                    <w:autoSpaceDE/>
                    <w:autoSpaceDN/>
                    <w:bidi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5B861D5F">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33</w:t>
                  </w:r>
                </w:p>
              </w:tc>
              <w:tc>
                <w:tcPr>
                  <w:tcW w:w="1671" w:type="dxa"/>
                  <w:noWrap w:val="0"/>
                  <w:vAlign w:val="center"/>
                </w:tcPr>
                <w:p w14:paraId="0C8CAFB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18000</w:t>
                  </w:r>
                </w:p>
              </w:tc>
            </w:tr>
            <w:tr w14:paraId="461D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361DFE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2675D8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F228ADE">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eastAsia="zh-CN" w:bidi="ar"/>
                      <w14:textFill>
                        <w14:solidFill>
                          <w14:schemeClr w14:val="tx1"/>
                        </w14:solidFill>
                      </w14:textFill>
                    </w:rPr>
                    <w:t>镍（总镍）</w:t>
                  </w:r>
                </w:p>
              </w:tc>
              <w:tc>
                <w:tcPr>
                  <w:tcW w:w="1110" w:type="dxa"/>
                  <w:noWrap w:val="0"/>
                  <w:vAlign w:val="center"/>
                </w:tcPr>
                <w:p w14:paraId="3C010C9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20E5D006">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32</w:t>
                  </w:r>
                </w:p>
              </w:tc>
              <w:tc>
                <w:tcPr>
                  <w:tcW w:w="1671" w:type="dxa"/>
                  <w:noWrap w:val="0"/>
                  <w:vAlign w:val="center"/>
                </w:tcPr>
                <w:p w14:paraId="511D749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w:t>
                  </w:r>
                </w:p>
              </w:tc>
            </w:tr>
            <w:tr w14:paraId="2FC1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1950DC9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792128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15309BD7">
                  <w:pPr>
                    <w:keepNext w:val="0"/>
                    <w:keepLines w:val="0"/>
                    <w:pageBreakBefore w:val="0"/>
                    <w:kinsoku/>
                    <w:wordWrap/>
                    <w:overflowPunct/>
                    <w:topLinePunct w:val="0"/>
                    <w:autoSpaceDE/>
                    <w:autoSpaceDN/>
                    <w:bidi w:val="0"/>
                    <w:snapToGrid/>
                    <w:spacing w:beforeAutospacing="0" w:afterAutospacing="0" w:line="240" w:lineRule="auto"/>
                    <w:ind w:firstLine="0" w:firstLineChars="0"/>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六价铬</w:t>
                  </w:r>
                </w:p>
              </w:tc>
              <w:tc>
                <w:tcPr>
                  <w:tcW w:w="1110" w:type="dxa"/>
                  <w:noWrap w:val="0"/>
                  <w:vAlign w:val="center"/>
                </w:tcPr>
                <w:p w14:paraId="45CFC36B">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5884BC5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37DD336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5.7</w:t>
                  </w:r>
                </w:p>
              </w:tc>
            </w:tr>
            <w:tr w14:paraId="23FD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B67CAF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451837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ABFE2E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bidi="ar"/>
                      <w14:textFill>
                        <w14:solidFill>
                          <w14:schemeClr w14:val="tx1"/>
                        </w14:solidFill>
                      </w14:textFill>
                    </w:rPr>
                    <w:t>汞（总汞）</w:t>
                  </w:r>
                </w:p>
              </w:tc>
              <w:tc>
                <w:tcPr>
                  <w:tcW w:w="1110" w:type="dxa"/>
                  <w:noWrap w:val="0"/>
                  <w:vAlign w:val="center"/>
                </w:tcPr>
                <w:p w14:paraId="08A5CA3B">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2744C98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0.186</w:t>
                  </w:r>
                </w:p>
              </w:tc>
              <w:tc>
                <w:tcPr>
                  <w:tcW w:w="1671" w:type="dxa"/>
                  <w:noWrap w:val="0"/>
                  <w:vAlign w:val="center"/>
                </w:tcPr>
                <w:p w14:paraId="6DDDA885">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38</w:t>
                  </w:r>
                </w:p>
              </w:tc>
            </w:tr>
            <w:tr w14:paraId="3A62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5A0ADC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351" w:type="dxa"/>
                  <w:vMerge w:val="continue"/>
                  <w:noWrap w:val="0"/>
                  <w:vAlign w:val="center"/>
                </w:tcPr>
                <w:p w14:paraId="3D39190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579" w:type="dxa"/>
                  <w:noWrap w:val="0"/>
                  <w:vAlign w:val="center"/>
                </w:tcPr>
                <w:p w14:paraId="47CA232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bidi="ar"/>
                      <w14:textFill>
                        <w14:solidFill>
                          <w14:schemeClr w14:val="tx1"/>
                        </w14:solidFill>
                      </w14:textFill>
                    </w:rPr>
                    <w:t>砷（总砷）</w:t>
                  </w:r>
                </w:p>
              </w:tc>
              <w:tc>
                <w:tcPr>
                  <w:tcW w:w="1110" w:type="dxa"/>
                  <w:noWrap w:val="0"/>
                  <w:vAlign w:val="center"/>
                </w:tcPr>
                <w:p w14:paraId="079A06BF">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02C300F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19.4</w:t>
                  </w:r>
                </w:p>
              </w:tc>
              <w:tc>
                <w:tcPr>
                  <w:tcW w:w="1671" w:type="dxa"/>
                  <w:noWrap w:val="0"/>
                  <w:vAlign w:val="center"/>
                </w:tcPr>
                <w:p w14:paraId="2BDBFEF9">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60</w:t>
                  </w:r>
                </w:p>
              </w:tc>
            </w:tr>
            <w:tr w14:paraId="05E9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1FBAEA9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9373A0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4A7CF0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锑（总锑）</w:t>
                  </w:r>
                </w:p>
              </w:tc>
              <w:tc>
                <w:tcPr>
                  <w:tcW w:w="1110" w:type="dxa"/>
                  <w:noWrap w:val="0"/>
                  <w:vAlign w:val="center"/>
                </w:tcPr>
                <w:p w14:paraId="0105589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7839067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0.066</w:t>
                  </w:r>
                </w:p>
              </w:tc>
              <w:tc>
                <w:tcPr>
                  <w:tcW w:w="1671" w:type="dxa"/>
                  <w:noWrap w:val="0"/>
                  <w:vAlign w:val="center"/>
                </w:tcPr>
                <w:p w14:paraId="33490E37">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180</w:t>
                  </w:r>
                </w:p>
              </w:tc>
            </w:tr>
            <w:tr w14:paraId="2E94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3B66DE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51B60D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595098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氯甲烷</w:t>
                  </w:r>
                </w:p>
              </w:tc>
              <w:tc>
                <w:tcPr>
                  <w:tcW w:w="1110" w:type="dxa"/>
                  <w:noWrap w:val="0"/>
                  <w:vAlign w:val="center"/>
                </w:tcPr>
                <w:p w14:paraId="5193938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3DB2B86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884E1C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37</w:t>
                  </w:r>
                </w:p>
              </w:tc>
            </w:tr>
            <w:tr w14:paraId="50E1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433253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414B68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716681F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氯乙烯</w:t>
                  </w:r>
                </w:p>
              </w:tc>
              <w:tc>
                <w:tcPr>
                  <w:tcW w:w="1110" w:type="dxa"/>
                  <w:noWrap w:val="0"/>
                  <w:vAlign w:val="center"/>
                </w:tcPr>
                <w:p w14:paraId="01A8DE0C">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7E11B0D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0819555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0.43</w:t>
                  </w:r>
                </w:p>
              </w:tc>
            </w:tr>
            <w:tr w14:paraId="5AA9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A8CD4F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117A52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F76DE4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1,1-二氯乙烯</w:t>
                  </w:r>
                </w:p>
              </w:tc>
              <w:tc>
                <w:tcPr>
                  <w:tcW w:w="1110" w:type="dxa"/>
                  <w:noWrap w:val="0"/>
                  <w:vAlign w:val="center"/>
                </w:tcPr>
                <w:p w14:paraId="45A38C6F">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736D4F4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7A6C218">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66</w:t>
                  </w:r>
                </w:p>
              </w:tc>
            </w:tr>
            <w:tr w14:paraId="649B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8D9380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6411680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198966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二氯甲烷</w:t>
                  </w:r>
                </w:p>
              </w:tc>
              <w:tc>
                <w:tcPr>
                  <w:tcW w:w="1110" w:type="dxa"/>
                  <w:noWrap w:val="0"/>
                  <w:vAlign w:val="center"/>
                </w:tcPr>
                <w:p w14:paraId="0831BF83">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0711DDC8">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06601435">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616</w:t>
                  </w:r>
                </w:p>
              </w:tc>
            </w:tr>
            <w:tr w14:paraId="71A8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1C8A06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2E7318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550902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反式-1,2-二氯乙烯</w:t>
                  </w:r>
                </w:p>
              </w:tc>
              <w:tc>
                <w:tcPr>
                  <w:tcW w:w="1110" w:type="dxa"/>
                  <w:noWrap w:val="0"/>
                  <w:vAlign w:val="center"/>
                </w:tcPr>
                <w:p w14:paraId="79652D85">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6F494F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9DA351A">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54</w:t>
                  </w:r>
                </w:p>
              </w:tc>
            </w:tr>
            <w:tr w14:paraId="03FB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3ABF03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6B4958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72A8CB6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1,1-二氯乙烷</w:t>
                  </w:r>
                </w:p>
              </w:tc>
              <w:tc>
                <w:tcPr>
                  <w:tcW w:w="1110" w:type="dxa"/>
                  <w:noWrap w:val="0"/>
                  <w:vAlign w:val="center"/>
                </w:tcPr>
                <w:p w14:paraId="7A112CCA">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0A94BDC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01184EF">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9</w:t>
                  </w:r>
                </w:p>
              </w:tc>
            </w:tr>
            <w:tr w14:paraId="3352C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8710EE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C7973C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7A33869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顺式-1,2-二氯乙烯</w:t>
                  </w:r>
                </w:p>
              </w:tc>
              <w:tc>
                <w:tcPr>
                  <w:tcW w:w="1110" w:type="dxa"/>
                  <w:noWrap w:val="0"/>
                  <w:vAlign w:val="center"/>
                </w:tcPr>
                <w:p w14:paraId="7FF1C58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66BA970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3B248F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596</w:t>
                  </w:r>
                </w:p>
              </w:tc>
            </w:tr>
            <w:tr w14:paraId="6691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A47847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7F8BAD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BAF561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氯仿</w:t>
                  </w:r>
                </w:p>
              </w:tc>
              <w:tc>
                <w:tcPr>
                  <w:tcW w:w="1110" w:type="dxa"/>
                  <w:noWrap w:val="0"/>
                  <w:vAlign w:val="center"/>
                </w:tcPr>
                <w:p w14:paraId="58300825">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6E797A8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780476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0.9</w:t>
                  </w:r>
                </w:p>
              </w:tc>
            </w:tr>
            <w:tr w14:paraId="4FCD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410CC3E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9E8B3D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14009A6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1,1,1-三氯乙烷</w:t>
                  </w:r>
                </w:p>
              </w:tc>
              <w:tc>
                <w:tcPr>
                  <w:tcW w:w="1110" w:type="dxa"/>
                  <w:noWrap w:val="0"/>
                  <w:vAlign w:val="center"/>
                </w:tcPr>
                <w:p w14:paraId="7FBB4034">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43C100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3FE15E1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840</w:t>
                  </w:r>
                </w:p>
              </w:tc>
            </w:tr>
            <w:tr w14:paraId="215C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3738436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FA51BE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304367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四氯化碳</w:t>
                  </w:r>
                </w:p>
              </w:tc>
              <w:tc>
                <w:tcPr>
                  <w:tcW w:w="1110" w:type="dxa"/>
                  <w:noWrap w:val="0"/>
                  <w:vAlign w:val="center"/>
                </w:tcPr>
                <w:p w14:paraId="35B60BFB">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D65197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02F79E3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r>
            <w:tr w14:paraId="1675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A6CF65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DA095E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E3AFCE4">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w:t>
                  </w:r>
                </w:p>
              </w:tc>
              <w:tc>
                <w:tcPr>
                  <w:tcW w:w="1110" w:type="dxa"/>
                  <w:noWrap w:val="0"/>
                  <w:vAlign w:val="center"/>
                </w:tcPr>
                <w:p w14:paraId="3E71AFEE">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04FB3E9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264B0C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4</w:t>
                  </w:r>
                </w:p>
              </w:tc>
            </w:tr>
            <w:tr w14:paraId="7BCF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3F4DC31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30AC6E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0C4259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1,2-二氯乙烷</w:t>
                  </w:r>
                </w:p>
              </w:tc>
              <w:tc>
                <w:tcPr>
                  <w:tcW w:w="1110" w:type="dxa"/>
                  <w:noWrap w:val="0"/>
                  <w:vAlign w:val="center"/>
                </w:tcPr>
                <w:p w14:paraId="14B2DE21">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239199A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C31E30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w:t>
                  </w:r>
                </w:p>
              </w:tc>
            </w:tr>
            <w:tr w14:paraId="6462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126349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7DB81B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3EE986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三氯乙烯</w:t>
                  </w:r>
                </w:p>
              </w:tc>
              <w:tc>
                <w:tcPr>
                  <w:tcW w:w="1110" w:type="dxa"/>
                  <w:noWrap w:val="0"/>
                  <w:vAlign w:val="center"/>
                </w:tcPr>
                <w:p w14:paraId="48BA849E">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1E3BDDF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372430A">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r>
            <w:tr w14:paraId="6C38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DAC318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9A57D4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432CF3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1,2-二氯丙烷</w:t>
                  </w:r>
                </w:p>
              </w:tc>
              <w:tc>
                <w:tcPr>
                  <w:tcW w:w="1110" w:type="dxa"/>
                  <w:noWrap w:val="0"/>
                  <w:vAlign w:val="center"/>
                </w:tcPr>
                <w:p w14:paraId="28671AFC">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1B5E495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66F120F7">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w:t>
                  </w:r>
                </w:p>
              </w:tc>
            </w:tr>
            <w:tr w14:paraId="7497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DA9B44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03FAD4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A9BB35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甲苯</w:t>
                  </w:r>
                </w:p>
              </w:tc>
              <w:tc>
                <w:tcPr>
                  <w:tcW w:w="1110" w:type="dxa"/>
                  <w:noWrap w:val="0"/>
                  <w:vAlign w:val="center"/>
                </w:tcPr>
                <w:p w14:paraId="0A6C6F0B">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27C42428">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56E69EA">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1200</w:t>
                  </w:r>
                </w:p>
              </w:tc>
            </w:tr>
            <w:tr w14:paraId="08D6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868460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974661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EEDBE2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1,1,2-三氯乙烷</w:t>
                  </w:r>
                </w:p>
              </w:tc>
              <w:tc>
                <w:tcPr>
                  <w:tcW w:w="1110" w:type="dxa"/>
                  <w:noWrap w:val="0"/>
                  <w:vAlign w:val="center"/>
                </w:tcPr>
                <w:p w14:paraId="15ED5AB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782621AF">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E8368FB">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r>
            <w:tr w14:paraId="595E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95D316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F28548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E1C8C8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四氯乙烯</w:t>
                  </w:r>
                </w:p>
              </w:tc>
              <w:tc>
                <w:tcPr>
                  <w:tcW w:w="1110" w:type="dxa"/>
                  <w:noWrap w:val="0"/>
                  <w:vAlign w:val="center"/>
                </w:tcPr>
                <w:p w14:paraId="43679BB0">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00615500">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33BB59D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53</w:t>
                  </w:r>
                </w:p>
              </w:tc>
            </w:tr>
            <w:tr w14:paraId="69F2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E4F9E5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DA964A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F8F918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氯苯</w:t>
                  </w:r>
                </w:p>
              </w:tc>
              <w:tc>
                <w:tcPr>
                  <w:tcW w:w="1110" w:type="dxa"/>
                  <w:noWrap w:val="0"/>
                  <w:vAlign w:val="center"/>
                </w:tcPr>
                <w:p w14:paraId="4FA77A4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8C8F46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828F29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270</w:t>
                  </w:r>
                </w:p>
              </w:tc>
            </w:tr>
            <w:tr w14:paraId="23B8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A474C8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384DCA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FA10594">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1,1,1,2-四氯乙烷</w:t>
                  </w:r>
                </w:p>
              </w:tc>
              <w:tc>
                <w:tcPr>
                  <w:tcW w:w="1110" w:type="dxa"/>
                  <w:noWrap w:val="0"/>
                  <w:vAlign w:val="center"/>
                </w:tcPr>
                <w:p w14:paraId="6554B9C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28E1290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AEFE49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10</w:t>
                  </w:r>
                </w:p>
              </w:tc>
            </w:tr>
            <w:tr w14:paraId="7D33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3FC45F9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5EB2E77A">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39C69E0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乙苯</w:t>
                  </w:r>
                </w:p>
              </w:tc>
              <w:tc>
                <w:tcPr>
                  <w:tcW w:w="1110" w:type="dxa"/>
                  <w:noWrap w:val="0"/>
                  <w:vAlign w:val="center"/>
                </w:tcPr>
                <w:p w14:paraId="639848A0">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51F2620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DE01335">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r>
            <w:tr w14:paraId="5183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60F7F2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69D331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CC6AD9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间,对-二甲苯</w:t>
                  </w:r>
                </w:p>
              </w:tc>
              <w:tc>
                <w:tcPr>
                  <w:tcW w:w="1110" w:type="dxa"/>
                  <w:noWrap w:val="0"/>
                  <w:vAlign w:val="center"/>
                </w:tcPr>
                <w:p w14:paraId="26C67A67">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3B1DAC9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28E96E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570</w:t>
                  </w:r>
                </w:p>
              </w:tc>
            </w:tr>
            <w:tr w14:paraId="4027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35505D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DBF207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7B78E20">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邻-二甲苯</w:t>
                  </w:r>
                </w:p>
              </w:tc>
              <w:tc>
                <w:tcPr>
                  <w:tcW w:w="1110" w:type="dxa"/>
                  <w:noWrap w:val="0"/>
                  <w:vAlign w:val="center"/>
                </w:tcPr>
                <w:p w14:paraId="2A5F7BA2">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311B3BF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6159D5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640</w:t>
                  </w:r>
                </w:p>
              </w:tc>
            </w:tr>
            <w:tr w14:paraId="6115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EF3871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C1BB22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31DBC778">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苯乙烯</w:t>
                  </w:r>
                </w:p>
              </w:tc>
              <w:tc>
                <w:tcPr>
                  <w:tcW w:w="1110" w:type="dxa"/>
                  <w:noWrap w:val="0"/>
                  <w:vAlign w:val="center"/>
                </w:tcPr>
                <w:p w14:paraId="18E99C4E">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15B0B71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73CB1C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1290</w:t>
                  </w:r>
                </w:p>
              </w:tc>
            </w:tr>
            <w:tr w14:paraId="6A6E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D0A994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DD2C05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778334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1,1,2,2-四氯乙烷</w:t>
                  </w:r>
                </w:p>
              </w:tc>
              <w:tc>
                <w:tcPr>
                  <w:tcW w:w="1110" w:type="dxa"/>
                  <w:noWrap w:val="0"/>
                  <w:vAlign w:val="center"/>
                </w:tcPr>
                <w:p w14:paraId="21581827">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77981B70">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2A177EB0">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6.8</w:t>
                  </w:r>
                </w:p>
              </w:tc>
            </w:tr>
            <w:tr w14:paraId="18B2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92D64D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351" w:type="dxa"/>
                  <w:vMerge w:val="continue"/>
                  <w:noWrap w:val="0"/>
                  <w:vAlign w:val="center"/>
                </w:tcPr>
                <w:p w14:paraId="1F78BA0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579" w:type="dxa"/>
                  <w:noWrap w:val="0"/>
                  <w:vAlign w:val="center"/>
                </w:tcPr>
                <w:p w14:paraId="091EED4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1,2,3-三氯丙烷</w:t>
                  </w:r>
                </w:p>
              </w:tc>
              <w:tc>
                <w:tcPr>
                  <w:tcW w:w="1110" w:type="dxa"/>
                  <w:noWrap w:val="0"/>
                  <w:vAlign w:val="center"/>
                </w:tcPr>
                <w:p w14:paraId="7FB19DB3">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2D7468DA">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2059CDF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0.5</w:t>
                  </w:r>
                </w:p>
              </w:tc>
            </w:tr>
            <w:tr w14:paraId="3FF4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B6D3BF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DF6F73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864260F">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1,4-二氯苯</w:t>
                  </w:r>
                </w:p>
              </w:tc>
              <w:tc>
                <w:tcPr>
                  <w:tcW w:w="1110" w:type="dxa"/>
                  <w:noWrap w:val="0"/>
                  <w:vAlign w:val="center"/>
                </w:tcPr>
                <w:p w14:paraId="1E22FE67">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64952288">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646F3F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20</w:t>
                  </w:r>
                </w:p>
              </w:tc>
            </w:tr>
            <w:tr w14:paraId="3D33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4C2457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color w:val="000000" w:themeColor="text1"/>
                      <w:lang w:val="en-US" w:eastAsia="zh-CN"/>
                      <w14:textFill>
                        <w14:solidFill>
                          <w14:schemeClr w14:val="tx1"/>
                        </w14:solidFill>
                      </w14:textFill>
                    </w:rPr>
                  </w:pPr>
                </w:p>
              </w:tc>
              <w:tc>
                <w:tcPr>
                  <w:tcW w:w="1351" w:type="dxa"/>
                  <w:vMerge w:val="continue"/>
                  <w:noWrap w:val="0"/>
                  <w:vAlign w:val="center"/>
                </w:tcPr>
                <w:p w14:paraId="497E764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color w:val="000000" w:themeColor="text1"/>
                      <w:lang w:val="en-US" w:eastAsia="zh-CN"/>
                      <w14:textFill>
                        <w14:solidFill>
                          <w14:schemeClr w14:val="tx1"/>
                        </w14:solidFill>
                      </w14:textFill>
                    </w:rPr>
                  </w:pPr>
                </w:p>
              </w:tc>
              <w:tc>
                <w:tcPr>
                  <w:tcW w:w="2579" w:type="dxa"/>
                  <w:noWrap w:val="0"/>
                  <w:vAlign w:val="center"/>
                </w:tcPr>
                <w:p w14:paraId="06A0C3F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1,2-二氯苯</w:t>
                  </w:r>
                </w:p>
              </w:tc>
              <w:tc>
                <w:tcPr>
                  <w:tcW w:w="1110" w:type="dxa"/>
                  <w:noWrap w:val="0"/>
                  <w:vAlign w:val="center"/>
                </w:tcPr>
                <w:p w14:paraId="0ED41435">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5CB435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2F77F8F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560</w:t>
                  </w:r>
                </w:p>
              </w:tc>
            </w:tr>
            <w:tr w14:paraId="450D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0217BE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33B7C7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7B4189A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2-氯苯酚</w:t>
                  </w:r>
                </w:p>
              </w:tc>
              <w:tc>
                <w:tcPr>
                  <w:tcW w:w="1110" w:type="dxa"/>
                  <w:noWrap w:val="0"/>
                  <w:vAlign w:val="center"/>
                </w:tcPr>
                <w:p w14:paraId="79BF4A71">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4C920D1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ECCF9FF">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2256</w:t>
                  </w:r>
                </w:p>
              </w:tc>
            </w:tr>
            <w:tr w14:paraId="2DD7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7BA75D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C8C8DF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65A130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萘</w:t>
                  </w:r>
                </w:p>
              </w:tc>
              <w:tc>
                <w:tcPr>
                  <w:tcW w:w="1110" w:type="dxa"/>
                  <w:noWrap w:val="0"/>
                  <w:vAlign w:val="center"/>
                </w:tcPr>
                <w:p w14:paraId="59395C53">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1940178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694AACC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70</w:t>
                  </w:r>
                </w:p>
              </w:tc>
            </w:tr>
            <w:tr w14:paraId="3564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4F3A52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D42A71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18D148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苯并(a)蒽</w:t>
                  </w:r>
                </w:p>
              </w:tc>
              <w:tc>
                <w:tcPr>
                  <w:tcW w:w="1110" w:type="dxa"/>
                  <w:noWrap w:val="0"/>
                  <w:vAlign w:val="center"/>
                </w:tcPr>
                <w:p w14:paraId="53479604">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19A6C17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F3B8BF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6B49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24325A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9BA949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1C50B4A8">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䓛</w:t>
                  </w:r>
                </w:p>
              </w:tc>
              <w:tc>
                <w:tcPr>
                  <w:tcW w:w="1110" w:type="dxa"/>
                  <w:noWrap w:val="0"/>
                  <w:vAlign w:val="center"/>
                </w:tcPr>
                <w:p w14:paraId="099396B3">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6940980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EC5604B">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1293</w:t>
                  </w:r>
                </w:p>
              </w:tc>
            </w:tr>
            <w:tr w14:paraId="6172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D1FBF8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44B4FB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2D1188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苯并(b)荧蒽</w:t>
                  </w:r>
                </w:p>
              </w:tc>
              <w:tc>
                <w:tcPr>
                  <w:tcW w:w="1110" w:type="dxa"/>
                  <w:noWrap w:val="0"/>
                  <w:vAlign w:val="center"/>
                </w:tcPr>
                <w:p w14:paraId="2E456F3D">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5775E6C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5C99EF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6238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480A46C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B114CA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803CB0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苯并(k)荧蒽</w:t>
                  </w:r>
                </w:p>
              </w:tc>
              <w:tc>
                <w:tcPr>
                  <w:tcW w:w="1110" w:type="dxa"/>
                  <w:noWrap w:val="0"/>
                  <w:vAlign w:val="center"/>
                </w:tcPr>
                <w:p w14:paraId="4A10A81B">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6CE35A2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DB3432E">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151</w:t>
                  </w:r>
                </w:p>
              </w:tc>
            </w:tr>
            <w:tr w14:paraId="1647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16CA81E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9B5BCC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F1F13B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苯并(a)芘</w:t>
                  </w:r>
                </w:p>
              </w:tc>
              <w:tc>
                <w:tcPr>
                  <w:tcW w:w="1110" w:type="dxa"/>
                  <w:noWrap w:val="0"/>
                  <w:vAlign w:val="center"/>
                </w:tcPr>
                <w:p w14:paraId="08CADF94">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45F68F90">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219769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4F8E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C168B3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DA2C40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A698EB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茚并(1,2,3-cd)芘</w:t>
                  </w:r>
                </w:p>
              </w:tc>
              <w:tc>
                <w:tcPr>
                  <w:tcW w:w="1110" w:type="dxa"/>
                  <w:noWrap w:val="0"/>
                  <w:vAlign w:val="center"/>
                </w:tcPr>
                <w:p w14:paraId="4F3198C5">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4313E7E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087C53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6E29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8C4C27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B07106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9D9AFE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二苯并(ah)蒽</w:t>
                  </w:r>
                </w:p>
              </w:tc>
              <w:tc>
                <w:tcPr>
                  <w:tcW w:w="1110" w:type="dxa"/>
                  <w:noWrap w:val="0"/>
                  <w:vAlign w:val="center"/>
                </w:tcPr>
                <w:p w14:paraId="02E08BDD">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70FB735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3871EAF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49DD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40D1A2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62299D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84B0C2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硝基苯</w:t>
                  </w:r>
                </w:p>
              </w:tc>
              <w:tc>
                <w:tcPr>
                  <w:tcW w:w="1110" w:type="dxa"/>
                  <w:noWrap w:val="0"/>
                  <w:vAlign w:val="center"/>
                </w:tcPr>
                <w:p w14:paraId="2D2141ED">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7F4DA90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257E4B2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76</w:t>
                  </w:r>
                </w:p>
              </w:tc>
            </w:tr>
            <w:tr w14:paraId="7D25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C67F29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604D381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8A0199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苯胺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110" w:type="dxa"/>
                  <w:noWrap w:val="0"/>
                  <w:vAlign w:val="center"/>
                </w:tcPr>
                <w:p w14:paraId="09B3F0F7">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μg/kg</w:t>
                  </w:r>
                </w:p>
              </w:tc>
              <w:tc>
                <w:tcPr>
                  <w:tcW w:w="2070" w:type="dxa"/>
                  <w:noWrap w:val="0"/>
                  <w:vAlign w:val="center"/>
                </w:tcPr>
                <w:p w14:paraId="4ADD254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1671" w:type="dxa"/>
                  <w:noWrap w:val="0"/>
                  <w:vAlign w:val="center"/>
                </w:tcPr>
                <w:p w14:paraId="3C8C9A7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260</w:t>
                  </w:r>
                </w:p>
              </w:tc>
            </w:tr>
            <w:tr w14:paraId="6074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9BA1A2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FBBF3D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F8D5EB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二噁英类*</w:t>
                  </w:r>
                </w:p>
              </w:tc>
              <w:tc>
                <w:tcPr>
                  <w:tcW w:w="1110" w:type="dxa"/>
                  <w:noWrap w:val="0"/>
                  <w:vAlign w:val="center"/>
                </w:tcPr>
                <w:p w14:paraId="55A2E996">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ng TEQ/kg</w:t>
                  </w:r>
                </w:p>
              </w:tc>
              <w:tc>
                <w:tcPr>
                  <w:tcW w:w="2070" w:type="dxa"/>
                  <w:noWrap w:val="0"/>
                  <w:vAlign w:val="center"/>
                </w:tcPr>
                <w:p w14:paraId="7C5EC14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0.142</w:t>
                  </w:r>
                </w:p>
              </w:tc>
              <w:tc>
                <w:tcPr>
                  <w:tcW w:w="1671" w:type="dxa"/>
                  <w:noWrap w:val="0"/>
                  <w:vAlign w:val="center"/>
                </w:tcPr>
                <w:p w14:paraId="0C9B9F7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-5</w:t>
                  </w:r>
                </w:p>
              </w:tc>
            </w:tr>
          </w:tbl>
          <w:p w14:paraId="65A6BD83">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③评价方法</w:t>
            </w:r>
          </w:p>
          <w:p w14:paraId="5EB05629">
            <w:pPr>
              <w:pStyle w:val="19"/>
              <w:ind w:firstLine="496"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根据《环境影响评价技术导则 土壤环境（试行）》（</w:t>
            </w:r>
            <w:r>
              <w:rPr>
                <w:rFonts w:hint="default" w:ascii="Times New Roman" w:hAnsi="Times New Roman" w:cs="Times New Roman"/>
                <w:color w:val="000000" w:themeColor="text1"/>
                <w:lang w:val="en-US" w:eastAsia="zh-CN"/>
                <w14:textFill>
                  <w14:solidFill>
                    <w14:schemeClr w14:val="tx1"/>
                  </w14:solidFill>
                </w14:textFill>
              </w:rPr>
              <w:t>HJ964-2018</w:t>
            </w:r>
            <w:r>
              <w:rPr>
                <w:rFonts w:hint="eastAsia" w:cs="Times New Roman"/>
                <w:color w:val="000000" w:themeColor="text1"/>
                <w:lang w:val="en-US" w:eastAsia="zh-CN"/>
                <w14:textFill>
                  <w14:solidFill>
                    <w14:schemeClr w14:val="tx1"/>
                  </w14:solidFill>
                </w14:textFill>
              </w:rPr>
              <w:t>）中“</w:t>
            </w:r>
            <w:r>
              <w:rPr>
                <w:rFonts w:hint="default" w:ascii="Times New Roman" w:hAnsi="Times New Roman" w:cs="Times New Roman"/>
                <w:color w:val="000000" w:themeColor="text1"/>
                <w14:textFill>
                  <w14:solidFill>
                    <w14:schemeClr w14:val="tx1"/>
                  </w14:solidFill>
                </w14:textFill>
              </w:rPr>
              <w:t>7.5.3.1</w:t>
            </w:r>
            <w:r>
              <w:rPr>
                <w:rFonts w:hint="eastAsia" w:cs="Times New Roman"/>
                <w:color w:val="000000" w:themeColor="text1"/>
                <w14:textFill>
                  <w14:solidFill>
                    <w14:schemeClr w14:val="tx1"/>
                  </w14:solidFill>
                </w14:textFill>
              </w:rPr>
              <w:t>土壤环境质量现状评价应采用标准指数法，并进行统计分析，给出样本数量、最大值、最小值、均值、标准差、检出率和超标率、最大超标倍数等</w:t>
            </w:r>
            <w:r>
              <w:rPr>
                <w:rFonts w:hint="eastAsia" w:cs="Times New Roman"/>
                <w:color w:val="000000" w:themeColor="text1"/>
                <w:lang w:val="en-US" w:eastAsia="zh-CN"/>
                <w14:textFill>
                  <w14:solidFill>
                    <w14:schemeClr w14:val="tx1"/>
                  </w14:solidFill>
                </w14:textFill>
              </w:rPr>
              <w:t>”，因此，本次土壤环境质量现状评价采用标准指数法进行评价。</w:t>
            </w:r>
          </w:p>
          <w:p w14:paraId="01D0537E">
            <w:pPr>
              <w:spacing w:line="360" w:lineRule="auto"/>
              <w:ind w:firstLine="480" w:firstLineChars="200"/>
              <w:rPr>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单因子</w:t>
            </w:r>
            <w:r>
              <w:rPr>
                <w:color w:val="000000" w:themeColor="text1"/>
                <w:szCs w:val="21"/>
                <w14:textFill>
                  <w14:solidFill>
                    <w14:schemeClr w14:val="tx1"/>
                  </w14:solidFill>
                </w14:textFill>
              </w:rPr>
              <w:t>污染标准指数</w:t>
            </w:r>
            <w:r>
              <w:rPr>
                <w:rFonts w:hint="eastAsia"/>
                <w:color w:val="000000" w:themeColor="text1"/>
                <w:szCs w:val="21"/>
                <w:lang w:eastAsia="zh-CN"/>
                <w14:textFill>
                  <w14:solidFill>
                    <w14:schemeClr w14:val="tx1"/>
                  </w14:solidFill>
                </w14:textFill>
              </w:rPr>
              <w:t>计算公式</w:t>
            </w:r>
            <w:r>
              <w:rPr>
                <w:color w:val="000000" w:themeColor="text1"/>
                <w:szCs w:val="21"/>
                <w14:textFill>
                  <w14:solidFill>
                    <w14:schemeClr w14:val="tx1"/>
                  </w14:solidFill>
                </w14:textFill>
              </w:rPr>
              <w:t>为：</w:t>
            </w:r>
          </w:p>
          <w:p w14:paraId="6609F511">
            <w:pPr>
              <w:spacing w:line="360"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i/>
                <w:iCs/>
                <w:color w:val="000000" w:themeColor="text1"/>
                <w:szCs w:val="21"/>
                <w14:textFill>
                  <w14:solidFill>
                    <w14:schemeClr w14:val="tx1"/>
                  </w14:solidFill>
                </w14:textFill>
              </w:rPr>
              <w:t>S</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si</w:t>
            </w:r>
          </w:p>
          <w:p w14:paraId="33C4C20E">
            <w:pPr>
              <w:spacing w:line="360" w:lineRule="auto"/>
              <w:ind w:firstLine="48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式中：</w:t>
            </w:r>
            <w:r>
              <w:rPr>
                <w:rFonts w:hint="default" w:ascii="Times New Roman" w:hAnsi="Times New Roman" w:cs="Times New Roman"/>
                <w:i/>
                <w:iCs/>
                <w:color w:val="000000" w:themeColor="text1"/>
                <w:szCs w:val="21"/>
                <w14:textFill>
                  <w14:solidFill>
                    <w14:schemeClr w14:val="tx1"/>
                  </w14:solidFill>
                </w14:textFill>
              </w:rPr>
              <w:t>S</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color w:val="000000" w:themeColor="text1"/>
                <w:szCs w:val="21"/>
                <w14:textFill>
                  <w14:solidFill>
                    <w14:schemeClr w14:val="tx1"/>
                  </w14:solidFill>
                </w14:textFill>
              </w:rPr>
              <w:t>——地块中i在第j#监测点的单项标准指数，单项标准指数在0～1之间为达标，大于1则为超标；</w:t>
            </w:r>
          </w:p>
          <w:p w14:paraId="17CDA824">
            <w:pPr>
              <w:spacing w:line="360" w:lineRule="auto"/>
              <w:ind w:firstLine="1200" w:firstLineChars="5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color w:val="000000" w:themeColor="text1"/>
                <w:szCs w:val="21"/>
                <w14:textFill>
                  <w14:solidFill>
                    <w14:schemeClr w14:val="tx1"/>
                  </w14:solidFill>
                </w14:textFill>
              </w:rPr>
              <w:t>——污染因子i在第j#监测点污染物的浓度，mg/kg；</w:t>
            </w:r>
          </w:p>
          <w:p w14:paraId="2B6A7D4F">
            <w:pPr>
              <w:spacing w:line="360" w:lineRule="auto"/>
              <w:ind w:firstLine="1200" w:firstLineChars="5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si</w:t>
            </w:r>
            <w:r>
              <w:rPr>
                <w:rFonts w:hint="default" w:ascii="Times New Roman" w:hAnsi="Times New Roman" w:cs="Times New Roman"/>
                <w:color w:val="000000" w:themeColor="text1"/>
                <w:szCs w:val="21"/>
                <w14:textFill>
                  <w14:solidFill>
                    <w14:schemeClr w14:val="tx1"/>
                  </w14:solidFill>
                </w14:textFill>
              </w:rPr>
              <w:t>——污染因子i在第j#监测点的标准值，mg/kg。</w:t>
            </w:r>
          </w:p>
          <w:p w14:paraId="2BDE8B82">
            <w:pPr>
              <w:pStyle w:val="19"/>
              <w:ind w:left="398" w:leftChars="166" w:firstLine="0" w:firstLineChars="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Sij≤1表示未受污染；Sij&gt;1表示受到不同程度的污染，Sij值越大，污染越严重。</w:t>
            </w:r>
          </w:p>
          <w:p w14:paraId="57C4DE1B">
            <w:pPr>
              <w:pStyle w:val="19"/>
              <w:ind w:left="398" w:leftChars="166" w:firstLine="0" w:firstLineChars="0"/>
              <w:rPr>
                <w:rFonts w:hint="default" w:ascii="Times New Roman" w:hAnsi="Times New Roman" w:cs="Times New Roman"/>
                <w:b/>
                <w:bCs/>
                <w:color w:val="000000" w:themeColor="text1"/>
                <w:szCs w:val="21"/>
                <w:lang w:val="en-US" w:eastAsia="zh-CN"/>
                <w14:textFill>
                  <w14:solidFill>
                    <w14:schemeClr w14:val="tx1"/>
                  </w14:solidFill>
                </w14:textFill>
              </w:rPr>
            </w:pPr>
            <w:r>
              <w:rPr>
                <w:rFonts w:hint="default" w:ascii="Times New Roman" w:hAnsi="Times New Roman" w:cs="Times New Roman"/>
                <w:b/>
                <w:bCs/>
                <w:color w:val="000000" w:themeColor="text1"/>
                <w:szCs w:val="21"/>
                <w:lang w:eastAsia="zh-CN"/>
                <w14:textFill>
                  <w14:solidFill>
                    <w14:schemeClr w14:val="tx1"/>
                  </w14:solidFill>
                </w14:textFill>
              </w:rPr>
              <w:t>④</w:t>
            </w:r>
            <w:r>
              <w:rPr>
                <w:rFonts w:hint="default" w:ascii="Times New Roman" w:hAnsi="Times New Roman" w:cs="Times New Roman"/>
                <w:b/>
                <w:bCs/>
                <w:color w:val="000000" w:themeColor="text1"/>
                <w:szCs w:val="21"/>
                <w:lang w:val="en-US" w:eastAsia="zh-CN"/>
                <w14:textFill>
                  <w14:solidFill>
                    <w14:schemeClr w14:val="tx1"/>
                  </w14:solidFill>
                </w14:textFill>
              </w:rPr>
              <w:t>评价结果</w:t>
            </w:r>
          </w:p>
          <w:p w14:paraId="581648B3">
            <w:pPr>
              <w:pStyle w:val="73"/>
              <w:rPr>
                <w:color w:val="000000" w:themeColor="text1"/>
                <w:sz w:val="21"/>
                <w14:textFill>
                  <w14:solidFill>
                    <w14:schemeClr w14:val="tx1"/>
                  </w14:solidFill>
                </w14:textFill>
              </w:rPr>
            </w:pPr>
            <w:r>
              <w:rPr>
                <w:color w:val="000000" w:themeColor="text1"/>
                <w:sz w:val="21"/>
                <w14:textFill>
                  <w14:solidFill>
                    <w14:schemeClr w14:val="tx1"/>
                  </w14:solidFill>
                </w14:textFill>
              </w:rPr>
              <w:t>表3-</w:t>
            </w:r>
            <w:r>
              <w:rPr>
                <w:rFonts w:hint="eastAsia"/>
                <w:color w:val="000000" w:themeColor="text1"/>
                <w:sz w:val="21"/>
                <w:lang w:val="en-US" w:eastAsia="zh-CN"/>
                <w14:textFill>
                  <w14:solidFill>
                    <w14:schemeClr w14:val="tx1"/>
                  </w14:solidFill>
                </w14:textFill>
              </w:rPr>
              <w:t xml:space="preserve">8 </w:t>
            </w:r>
            <w:r>
              <w:rPr>
                <w:color w:val="000000" w:themeColor="text1"/>
                <w:sz w:val="21"/>
                <w14:textFill>
                  <w14:solidFill>
                    <w14:schemeClr w14:val="tx1"/>
                  </w14:solidFill>
                </w14:textFill>
              </w:rPr>
              <w:t>土壤环境</w:t>
            </w:r>
            <w:r>
              <w:rPr>
                <w:rFonts w:hint="eastAsia"/>
                <w:color w:val="000000" w:themeColor="text1"/>
                <w:sz w:val="21"/>
                <w:lang w:val="en-US" w:eastAsia="zh-CN"/>
                <w14:textFill>
                  <w14:solidFill>
                    <w14:schemeClr w14:val="tx1"/>
                  </w14:solidFill>
                </w14:textFill>
              </w:rPr>
              <w:t>现状评价</w:t>
            </w:r>
            <w:r>
              <w:rPr>
                <w:color w:val="000000" w:themeColor="text1"/>
                <w:sz w:val="21"/>
                <w14:textFill>
                  <w14:solidFill>
                    <w14:schemeClr w14:val="tx1"/>
                  </w14:solidFill>
                </w14:textFill>
              </w:rPr>
              <w:t>结果一览表</w:t>
            </w:r>
          </w:p>
          <w:tbl>
            <w:tblPr>
              <w:tblStyle w:val="29"/>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1"/>
              <w:gridCol w:w="1261"/>
              <w:gridCol w:w="1843"/>
              <w:gridCol w:w="1906"/>
              <w:gridCol w:w="1355"/>
              <w:gridCol w:w="1482"/>
            </w:tblGrid>
            <w:tr w14:paraId="4C0F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3" w:type="pct"/>
                  <w:vMerge w:val="restart"/>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89948BE">
                  <w:pPr>
                    <w:pStyle w:val="74"/>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rPr>
                      <w:b/>
                      <w:bCs/>
                      <w:color w:val="000000" w:themeColor="text1"/>
                      <w:kern w:val="0"/>
                      <w:sz w:val="21"/>
                      <w:szCs w:val="21"/>
                      <w14:textFill>
                        <w14:solidFill>
                          <w14:schemeClr w14:val="tx1"/>
                        </w14:solidFill>
                      </w14:textFill>
                    </w:rPr>
                  </w:pPr>
                </w:p>
                <w:p w14:paraId="2CA6541D">
                  <w:pPr>
                    <w:pStyle w:val="74"/>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mc:AlternateContent>
                      <mc:Choice Requires="wpsCustomData">
                        <wpsCustomData:diagonalParaType/>
                      </mc:Choice>
                    </mc:AlternateContent>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监测项目</w:t>
                  </w:r>
                </w:p>
                <w:p w14:paraId="6208BD9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right"/>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监测点位</w:t>
                  </w:r>
                </w:p>
              </w:tc>
              <w:tc>
                <w:tcPr>
                  <w:tcW w:w="645" w:type="pct"/>
                  <w:vMerge w:val="restart"/>
                  <w:vAlign w:val="center"/>
                </w:tcPr>
                <w:p w14:paraId="2D0A6A9C">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eastAsia="宋体"/>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单位</w:t>
                  </w:r>
                </w:p>
              </w:tc>
              <w:tc>
                <w:tcPr>
                  <w:tcW w:w="943" w:type="pct"/>
                  <w:vMerge w:val="restart"/>
                  <w:shd w:val="clear" w:color="auto" w:fill="auto"/>
                  <w:vAlign w:val="center"/>
                </w:tcPr>
                <w:p w14:paraId="3097180B">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ascii="Times New Roman" w:hAnsi="Times New Roman" w:eastAsia="宋体" w:cstheme="minorBidi"/>
                      <w:color w:val="000000" w:themeColor="text1"/>
                      <w:kern w:val="0"/>
                      <w:sz w:val="21"/>
                      <w:szCs w:val="21"/>
                      <w:lang w:val="en-US" w:eastAsia="zh-CN" w:bidi="ar-SA"/>
                      <w14:textFill>
                        <w14:solidFill>
                          <w14:schemeClr w14:val="tx1"/>
                        </w14:solidFill>
                      </w14:textFill>
                    </w:rPr>
                  </w:pPr>
                  <w:r>
                    <w:rPr>
                      <w:b/>
                      <w:bCs/>
                      <w:color w:val="000000" w:themeColor="text1"/>
                      <w:kern w:val="0"/>
                      <w:sz w:val="21"/>
                      <w:szCs w:val="21"/>
                      <w14:textFill>
                        <w14:solidFill>
                          <w14:schemeClr w14:val="tx1"/>
                        </w14:solidFill>
                      </w14:textFill>
                    </w:rPr>
                    <w:t>第二类用地筛选值</w:t>
                  </w:r>
                  <w:r>
                    <w:rPr>
                      <w:rFonts w:hint="eastAsia"/>
                      <w:b/>
                      <w:bCs/>
                      <w:color w:val="000000" w:themeColor="text1"/>
                      <w:kern w:val="0"/>
                      <w:sz w:val="21"/>
                      <w:szCs w:val="21"/>
                      <w:lang w:val="en-US" w:eastAsia="zh-CN"/>
                      <w14:textFill>
                        <w14:solidFill>
                          <w14:schemeClr w14:val="tx1"/>
                        </w14:solidFill>
                      </w14:textFill>
                    </w:rPr>
                    <w:t>mg/kg</w:t>
                  </w:r>
                </w:p>
              </w:tc>
              <w:tc>
                <w:tcPr>
                  <w:tcW w:w="1668" w:type="pct"/>
                  <w:gridSpan w:val="2"/>
                  <w:vAlign w:val="center"/>
                </w:tcPr>
                <w:p w14:paraId="54AA945E">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0</w:t>
                  </w:r>
                  <w:r>
                    <w:rPr>
                      <w:b/>
                      <w:bCs/>
                      <w:color w:val="000000" w:themeColor="text1"/>
                      <w:kern w:val="0"/>
                      <w:sz w:val="21"/>
                      <w:szCs w:val="21"/>
                      <w14:textFill>
                        <w14:solidFill>
                          <w14:schemeClr w14:val="tx1"/>
                        </w14:solidFill>
                      </w14:textFill>
                    </w:rPr>
                    <w:t>-0.2m</w:t>
                  </w:r>
                </w:p>
              </w:tc>
              <w:tc>
                <w:tcPr>
                  <w:tcW w:w="758" w:type="pct"/>
                  <w:vMerge w:val="restart"/>
                  <w:vAlign w:val="center"/>
                </w:tcPr>
                <w:p w14:paraId="173E95DB">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达标情况</w:t>
                  </w:r>
                </w:p>
              </w:tc>
            </w:tr>
            <w:tr w14:paraId="23AA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3" w:type="pct"/>
                  <w:vMerge w:val="continue"/>
                  <w:vAlign w:val="center"/>
                </w:tcPr>
                <w:p w14:paraId="5890C3AE">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p>
              </w:tc>
              <w:tc>
                <w:tcPr>
                  <w:tcW w:w="645" w:type="pct"/>
                  <w:vMerge w:val="continue"/>
                  <w:vAlign w:val="center"/>
                </w:tcPr>
                <w:p w14:paraId="35A03BC9">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p>
              </w:tc>
              <w:tc>
                <w:tcPr>
                  <w:tcW w:w="943" w:type="pct"/>
                  <w:vMerge w:val="continue"/>
                  <w:shd w:val="clear" w:color="auto" w:fill="auto"/>
                  <w:vAlign w:val="center"/>
                </w:tcPr>
                <w:p w14:paraId="4C2C10CE">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ascii="Times New Roman" w:hAnsi="Times New Roman" w:eastAsia="宋体" w:cstheme="minorBidi"/>
                      <w:color w:val="000000" w:themeColor="text1"/>
                      <w:kern w:val="0"/>
                      <w:sz w:val="21"/>
                      <w:szCs w:val="21"/>
                      <w:lang w:val="en-US" w:eastAsia="zh-CN" w:bidi="ar-SA"/>
                      <w14:textFill>
                        <w14:solidFill>
                          <w14:schemeClr w14:val="tx1"/>
                        </w14:solidFill>
                      </w14:textFill>
                    </w:rPr>
                  </w:pPr>
                </w:p>
              </w:tc>
              <w:tc>
                <w:tcPr>
                  <w:tcW w:w="975" w:type="pct"/>
                  <w:vAlign w:val="center"/>
                </w:tcPr>
                <w:p w14:paraId="1D3D2FA3">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检测值</w:t>
                  </w:r>
                </w:p>
              </w:tc>
              <w:tc>
                <w:tcPr>
                  <w:tcW w:w="693" w:type="pct"/>
                  <w:vAlign w:val="center"/>
                </w:tcPr>
                <w:p w14:paraId="7205312E">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S</w:t>
                  </w:r>
                  <w:r>
                    <w:rPr>
                      <w:b/>
                      <w:bCs/>
                      <w:color w:val="000000" w:themeColor="text1"/>
                      <w:kern w:val="0"/>
                      <w:sz w:val="21"/>
                      <w:szCs w:val="21"/>
                      <w:vertAlign w:val="subscript"/>
                      <w14:textFill>
                        <w14:solidFill>
                          <w14:schemeClr w14:val="tx1"/>
                        </w14:solidFill>
                      </w14:textFill>
                    </w:rPr>
                    <w:t>ij</w:t>
                  </w:r>
                  <w:r>
                    <w:rPr>
                      <w:b/>
                      <w:bCs/>
                      <w:color w:val="000000" w:themeColor="text1"/>
                      <w:kern w:val="0"/>
                      <w:sz w:val="21"/>
                      <w:szCs w:val="21"/>
                      <w14:textFill>
                        <w14:solidFill>
                          <w14:schemeClr w14:val="tx1"/>
                        </w14:solidFill>
                      </w14:textFill>
                    </w:rPr>
                    <w:t>值</w:t>
                  </w:r>
                </w:p>
              </w:tc>
              <w:tc>
                <w:tcPr>
                  <w:tcW w:w="758" w:type="pct"/>
                  <w:vMerge w:val="continue"/>
                  <w:vAlign w:val="center"/>
                </w:tcPr>
                <w:p w14:paraId="63B042C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b/>
                      <w:bCs/>
                      <w:color w:val="000000" w:themeColor="text1"/>
                      <w:kern w:val="0"/>
                      <w:sz w:val="21"/>
                      <w:szCs w:val="21"/>
                      <w:lang w:val="en-US"/>
                      <w14:textFill>
                        <w14:solidFill>
                          <w14:schemeClr w14:val="tx1"/>
                        </w14:solidFill>
                      </w14:textFill>
                    </w:rPr>
                  </w:pPr>
                </w:p>
              </w:tc>
            </w:tr>
            <w:tr w14:paraId="345D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7A4BCC1">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pH</w:t>
                  </w:r>
                </w:p>
              </w:tc>
              <w:tc>
                <w:tcPr>
                  <w:tcW w:w="645" w:type="pct"/>
                  <w:shd w:val="clear" w:color="auto" w:fill="auto"/>
                  <w:vAlign w:val="center"/>
                </w:tcPr>
                <w:p w14:paraId="009E0F59">
                  <w:pPr>
                    <w:pStyle w:val="25"/>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Cs/>
                      <w:color w:val="000000" w:themeColor="text1"/>
                      <w:kern w:val="0"/>
                      <w:sz w:val="21"/>
                      <w:szCs w:val="21"/>
                      <w:highlight w:val="none"/>
                      <w:lang w:val="nl-BE"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无量纲</w:t>
                  </w:r>
                </w:p>
              </w:tc>
              <w:tc>
                <w:tcPr>
                  <w:tcW w:w="943" w:type="pct"/>
                  <w:shd w:val="clear" w:color="auto" w:fill="auto"/>
                  <w:vAlign w:val="center"/>
                </w:tcPr>
                <w:p w14:paraId="5B81CF5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w:t>
                  </w:r>
                </w:p>
              </w:tc>
              <w:tc>
                <w:tcPr>
                  <w:tcW w:w="975" w:type="pct"/>
                  <w:shd w:val="clear" w:color="auto" w:fill="auto"/>
                  <w:vAlign w:val="center"/>
                </w:tcPr>
                <w:p w14:paraId="36D512F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7.18</w:t>
                  </w:r>
                </w:p>
              </w:tc>
              <w:tc>
                <w:tcPr>
                  <w:tcW w:w="693" w:type="pct"/>
                  <w:vAlign w:val="center"/>
                </w:tcPr>
                <w:p w14:paraId="7F9BC3A3">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c>
                <w:tcPr>
                  <w:tcW w:w="758" w:type="pct"/>
                  <w:vAlign w:val="center"/>
                </w:tcPr>
                <w:p w14:paraId="4DE67D99">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8CD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F24E0FA">
                  <w:pPr>
                    <w:keepNext w:val="0"/>
                    <w:keepLines w:val="0"/>
                    <w:pageBreakBefore w:val="0"/>
                    <w:widowControl w:val="0"/>
                    <w:tabs>
                      <w:tab w:val="left" w:pos="1890"/>
                    </w:tabs>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石油烃（C</w:t>
                  </w:r>
                  <w:r>
                    <w:rPr>
                      <w:rFonts w:hint="default" w:ascii="Times New Roman" w:hAnsi="Times New Roman" w:eastAsia="宋体" w:cs="Times New Roman"/>
                      <w:color w:val="000000" w:themeColor="text1"/>
                      <w:sz w:val="21"/>
                      <w:szCs w:val="21"/>
                      <w:highlight w:val="none"/>
                      <w:vertAlign w:val="subscript"/>
                      <w:lang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-C</w:t>
                  </w:r>
                  <w:r>
                    <w:rPr>
                      <w:rFonts w:hint="default" w:ascii="Times New Roman" w:hAnsi="Times New Roman" w:eastAsia="宋体" w:cs="Times New Roman"/>
                      <w:color w:val="000000" w:themeColor="text1"/>
                      <w:sz w:val="21"/>
                      <w:szCs w:val="21"/>
                      <w:highlight w:val="none"/>
                      <w:vertAlign w:val="subscript"/>
                      <w:lang w:eastAsia="zh-CN"/>
                      <w14:textFill>
                        <w14:solidFill>
                          <w14:schemeClr w14:val="tx1"/>
                        </w14:solidFill>
                      </w14:textFill>
                    </w:rPr>
                    <w:t>40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645" w:type="pct"/>
                  <w:shd w:val="clear" w:color="auto" w:fill="auto"/>
                  <w:vAlign w:val="center"/>
                </w:tcPr>
                <w:p w14:paraId="7A5EAEB1">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3D1989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4500</w:t>
                  </w:r>
                </w:p>
              </w:tc>
              <w:tc>
                <w:tcPr>
                  <w:tcW w:w="975" w:type="pct"/>
                  <w:shd w:val="clear" w:color="auto" w:fill="auto"/>
                  <w:vAlign w:val="center"/>
                </w:tcPr>
                <w:p w14:paraId="31E0A984">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13</w:t>
                  </w:r>
                </w:p>
              </w:tc>
              <w:tc>
                <w:tcPr>
                  <w:tcW w:w="693" w:type="pct"/>
                  <w:vAlign w:val="center"/>
                </w:tcPr>
                <w:p w14:paraId="14BF31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0.003</w:t>
                  </w:r>
                </w:p>
              </w:tc>
              <w:tc>
                <w:tcPr>
                  <w:tcW w:w="758" w:type="pct"/>
                  <w:vAlign w:val="center"/>
                </w:tcPr>
                <w:p w14:paraId="4F7269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7F62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29607D09">
                  <w:pPr>
                    <w:keepNext w:val="0"/>
                    <w:keepLines w:val="0"/>
                    <w:pageBreakBefore w:val="0"/>
                    <w:widowControl w:val="0"/>
                    <w:tabs>
                      <w:tab w:val="left" w:pos="1890"/>
                    </w:tabs>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氟化物（总氟化物）</w:t>
                  </w:r>
                </w:p>
              </w:tc>
              <w:tc>
                <w:tcPr>
                  <w:tcW w:w="645" w:type="pct"/>
                  <w:shd w:val="clear" w:color="auto" w:fill="auto"/>
                  <w:vAlign w:val="center"/>
                </w:tcPr>
                <w:p w14:paraId="2C8CFBA5">
                  <w:pPr>
                    <w:pStyle w:val="25"/>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DD9300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16022</w:t>
                  </w:r>
                </w:p>
              </w:tc>
              <w:tc>
                <w:tcPr>
                  <w:tcW w:w="975" w:type="pct"/>
                  <w:shd w:val="clear" w:color="auto" w:fill="auto"/>
                  <w:vAlign w:val="center"/>
                </w:tcPr>
                <w:p w14:paraId="064E0593">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1.44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r>
                    <w:rPr>
                      <w:rFonts w:hint="eastAsia"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3</w:t>
                  </w:r>
                </w:p>
              </w:tc>
              <w:tc>
                <w:tcPr>
                  <w:tcW w:w="693" w:type="pct"/>
                  <w:vAlign w:val="center"/>
                </w:tcPr>
                <w:p w14:paraId="1AFD9C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0.090</w:t>
                  </w:r>
                </w:p>
              </w:tc>
              <w:tc>
                <w:tcPr>
                  <w:tcW w:w="758" w:type="pct"/>
                  <w:vAlign w:val="center"/>
                </w:tcPr>
                <w:p w14:paraId="47F041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12CB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89A009F">
                  <w:pPr>
                    <w:keepNext w:val="0"/>
                    <w:keepLines w:val="0"/>
                    <w:pageBreakBefore w:val="0"/>
                    <w:widowControl/>
                    <w:suppressLineNumbers w:val="0"/>
                    <w:tabs>
                      <w:tab w:val="left" w:pos="1890"/>
                    </w:tabs>
                    <w:kinsoku/>
                    <w:wordWrap/>
                    <w:overflowPunct/>
                    <w:topLinePunct w:val="0"/>
                    <w:autoSpaceDE/>
                    <w:autoSpaceDN/>
                    <w:bidi w:val="0"/>
                    <w:snapToGrid/>
                    <w:spacing w:line="240" w:lineRule="auto"/>
                    <w:ind w:firstLine="0" w:firstLineChars="0"/>
                    <w:jc w:val="center"/>
                    <w:textAlignment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钡（总钡）</w:t>
                  </w:r>
                </w:p>
              </w:tc>
              <w:tc>
                <w:tcPr>
                  <w:tcW w:w="645" w:type="pct"/>
                  <w:shd w:val="clear" w:color="auto" w:fill="auto"/>
                  <w:vAlign w:val="center"/>
                </w:tcPr>
                <w:p w14:paraId="4834CB94">
                  <w:pPr>
                    <w:keepNext w:val="0"/>
                    <w:keepLines w:val="0"/>
                    <w:pageBreakBefore w:val="0"/>
                    <w:widowControl/>
                    <w:kinsoku/>
                    <w:wordWrap/>
                    <w:overflowPunct/>
                    <w:topLinePunct w:val="0"/>
                    <w:autoSpaceDE/>
                    <w:autoSpaceDN/>
                    <w:bidi w:val="0"/>
                    <w:adjustRightInd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g/kg</w:t>
                  </w:r>
                </w:p>
              </w:tc>
              <w:tc>
                <w:tcPr>
                  <w:tcW w:w="943" w:type="pct"/>
                  <w:shd w:val="clear" w:color="auto" w:fill="auto"/>
                  <w:vAlign w:val="center"/>
                </w:tcPr>
                <w:p w14:paraId="1678779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866</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0</w:t>
                  </w:r>
                </w:p>
              </w:tc>
              <w:tc>
                <w:tcPr>
                  <w:tcW w:w="975" w:type="pct"/>
                  <w:shd w:val="clear" w:color="auto" w:fill="auto"/>
                  <w:vAlign w:val="center"/>
                </w:tcPr>
                <w:p w14:paraId="51394306">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38</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p>
              </w:tc>
              <w:tc>
                <w:tcPr>
                  <w:tcW w:w="693" w:type="pct"/>
                  <w:vAlign w:val="center"/>
                </w:tcPr>
                <w:p w14:paraId="7895A9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0.044</w:t>
                  </w:r>
                </w:p>
              </w:tc>
              <w:tc>
                <w:tcPr>
                  <w:tcW w:w="758" w:type="pct"/>
                  <w:vAlign w:val="center"/>
                </w:tcPr>
                <w:p w14:paraId="66ABAF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5009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44F400E">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镉（总镉）</w:t>
                  </w:r>
                </w:p>
              </w:tc>
              <w:tc>
                <w:tcPr>
                  <w:tcW w:w="645" w:type="pct"/>
                  <w:shd w:val="clear" w:color="auto" w:fill="auto"/>
                  <w:vAlign w:val="center"/>
                </w:tcPr>
                <w:p w14:paraId="5E40805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8C07DA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65</w:t>
                  </w:r>
                </w:p>
              </w:tc>
              <w:tc>
                <w:tcPr>
                  <w:tcW w:w="975" w:type="pct"/>
                  <w:shd w:val="clear" w:color="auto" w:fill="auto"/>
                  <w:vAlign w:val="center"/>
                </w:tcPr>
                <w:p w14:paraId="1AF9E80D">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0.40</w:t>
                  </w:r>
                </w:p>
              </w:tc>
              <w:tc>
                <w:tcPr>
                  <w:tcW w:w="693" w:type="pct"/>
                  <w:vAlign w:val="center"/>
                </w:tcPr>
                <w:p w14:paraId="3399D0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0.006</w:t>
                  </w:r>
                </w:p>
              </w:tc>
              <w:tc>
                <w:tcPr>
                  <w:tcW w:w="758" w:type="pct"/>
                  <w:vAlign w:val="center"/>
                </w:tcPr>
                <w:p w14:paraId="4A4F65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48A8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7A45CE9">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铅（总铅）</w:t>
                  </w:r>
                </w:p>
              </w:tc>
              <w:tc>
                <w:tcPr>
                  <w:tcW w:w="645" w:type="pct"/>
                  <w:shd w:val="clear" w:color="auto" w:fill="auto"/>
                  <w:vAlign w:val="center"/>
                </w:tcPr>
                <w:p w14:paraId="7367785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6441D78">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800</w:t>
                  </w:r>
                </w:p>
              </w:tc>
              <w:tc>
                <w:tcPr>
                  <w:tcW w:w="975" w:type="pct"/>
                  <w:shd w:val="clear" w:color="auto" w:fill="auto"/>
                  <w:vAlign w:val="center"/>
                </w:tcPr>
                <w:p w14:paraId="30D5819D">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227</w:t>
                  </w:r>
                </w:p>
              </w:tc>
              <w:tc>
                <w:tcPr>
                  <w:tcW w:w="693" w:type="pct"/>
                  <w:vAlign w:val="center"/>
                </w:tcPr>
                <w:p w14:paraId="3871EC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0.284</w:t>
                  </w:r>
                </w:p>
              </w:tc>
              <w:tc>
                <w:tcPr>
                  <w:tcW w:w="758" w:type="pct"/>
                  <w:vAlign w:val="center"/>
                </w:tcPr>
                <w:p w14:paraId="222261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1FB9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C98038F">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铜（总铜）</w:t>
                  </w:r>
                </w:p>
              </w:tc>
              <w:tc>
                <w:tcPr>
                  <w:tcW w:w="645" w:type="pct"/>
                  <w:shd w:val="clear" w:color="auto" w:fill="auto"/>
                  <w:vAlign w:val="center"/>
                </w:tcPr>
                <w:p w14:paraId="7308038D">
                  <w:pPr>
                    <w:keepNext w:val="0"/>
                    <w:keepLines w:val="0"/>
                    <w:pageBreakBefore w:val="0"/>
                    <w:kinsoku/>
                    <w:wordWrap/>
                    <w:overflowPunct/>
                    <w:topLinePunct w:val="0"/>
                    <w:autoSpaceDE/>
                    <w:autoSpaceDN/>
                    <w:bidi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D4D5E4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18000</w:t>
                  </w:r>
                </w:p>
              </w:tc>
              <w:tc>
                <w:tcPr>
                  <w:tcW w:w="975" w:type="pct"/>
                  <w:shd w:val="clear" w:color="auto" w:fill="auto"/>
                  <w:vAlign w:val="center"/>
                </w:tcPr>
                <w:p w14:paraId="3D4D2112">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33</w:t>
                  </w:r>
                </w:p>
              </w:tc>
              <w:tc>
                <w:tcPr>
                  <w:tcW w:w="693" w:type="pct"/>
                  <w:vAlign w:val="center"/>
                </w:tcPr>
                <w:p w14:paraId="1731DB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0.002</w:t>
                  </w:r>
                </w:p>
              </w:tc>
              <w:tc>
                <w:tcPr>
                  <w:tcW w:w="758" w:type="pct"/>
                  <w:vAlign w:val="center"/>
                </w:tcPr>
                <w:p w14:paraId="75875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5DAF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6C8F987">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eastAsia="zh-CN" w:bidi="ar"/>
                      <w14:textFill>
                        <w14:solidFill>
                          <w14:schemeClr w14:val="tx1"/>
                        </w14:solidFill>
                      </w14:textFill>
                    </w:rPr>
                    <w:t>镍（总镍）</w:t>
                  </w:r>
                </w:p>
              </w:tc>
              <w:tc>
                <w:tcPr>
                  <w:tcW w:w="645" w:type="pct"/>
                  <w:shd w:val="clear" w:color="auto" w:fill="auto"/>
                  <w:vAlign w:val="center"/>
                </w:tcPr>
                <w:p w14:paraId="741266B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C91737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w:t>
                  </w:r>
                </w:p>
              </w:tc>
              <w:tc>
                <w:tcPr>
                  <w:tcW w:w="975" w:type="pct"/>
                  <w:shd w:val="clear" w:color="auto" w:fill="auto"/>
                  <w:vAlign w:val="center"/>
                </w:tcPr>
                <w:p w14:paraId="372A0251">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32</w:t>
                  </w:r>
                </w:p>
              </w:tc>
              <w:tc>
                <w:tcPr>
                  <w:tcW w:w="693" w:type="pct"/>
                  <w:vAlign w:val="center"/>
                </w:tcPr>
                <w:p w14:paraId="4E2489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0.036</w:t>
                  </w:r>
                </w:p>
              </w:tc>
              <w:tc>
                <w:tcPr>
                  <w:tcW w:w="758" w:type="pct"/>
                  <w:vAlign w:val="center"/>
                </w:tcPr>
                <w:p w14:paraId="61763B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3D3B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687EF44">
                  <w:pPr>
                    <w:keepNext w:val="0"/>
                    <w:keepLines w:val="0"/>
                    <w:pageBreakBefore w:val="0"/>
                    <w:kinsoku/>
                    <w:wordWrap/>
                    <w:overflowPunct/>
                    <w:topLinePunct w:val="0"/>
                    <w:autoSpaceDE/>
                    <w:autoSpaceDN/>
                    <w:bidi w:val="0"/>
                    <w:snapToGrid/>
                    <w:spacing w:beforeAutospacing="0" w:afterAutospacing="0" w:line="240" w:lineRule="auto"/>
                    <w:ind w:firstLine="0" w:firstLineChars="0"/>
                    <w:jc w:val="cente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六价铬</w:t>
                  </w:r>
                </w:p>
              </w:tc>
              <w:tc>
                <w:tcPr>
                  <w:tcW w:w="645" w:type="pct"/>
                  <w:shd w:val="clear" w:color="auto" w:fill="auto"/>
                  <w:vAlign w:val="center"/>
                </w:tcPr>
                <w:p w14:paraId="3EB7463F">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80275E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5.7</w:t>
                  </w:r>
                </w:p>
              </w:tc>
              <w:tc>
                <w:tcPr>
                  <w:tcW w:w="975" w:type="pct"/>
                  <w:shd w:val="clear" w:color="auto" w:fill="auto"/>
                  <w:vAlign w:val="center"/>
                </w:tcPr>
                <w:p w14:paraId="25FC6BB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038F3A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51BBF1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77D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89D874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bidi="ar"/>
                      <w14:textFill>
                        <w14:solidFill>
                          <w14:schemeClr w14:val="tx1"/>
                        </w14:solidFill>
                      </w14:textFill>
                    </w:rPr>
                    <w:t>汞（总汞）</w:t>
                  </w:r>
                </w:p>
              </w:tc>
              <w:tc>
                <w:tcPr>
                  <w:tcW w:w="645" w:type="pct"/>
                  <w:shd w:val="clear" w:color="auto" w:fill="auto"/>
                  <w:vAlign w:val="center"/>
                </w:tcPr>
                <w:p w14:paraId="7861FA94">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6C34CA72">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38</w:t>
                  </w:r>
                </w:p>
              </w:tc>
              <w:tc>
                <w:tcPr>
                  <w:tcW w:w="975" w:type="pct"/>
                  <w:shd w:val="clear" w:color="auto" w:fill="auto"/>
                  <w:vAlign w:val="center"/>
                </w:tcPr>
                <w:p w14:paraId="1ABC4CE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0.186</w:t>
                  </w:r>
                </w:p>
              </w:tc>
              <w:tc>
                <w:tcPr>
                  <w:tcW w:w="693" w:type="pct"/>
                  <w:shd w:val="clear" w:color="auto" w:fill="auto"/>
                  <w:vAlign w:val="center"/>
                </w:tcPr>
                <w:p w14:paraId="0BC5A1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0.005</w:t>
                  </w:r>
                </w:p>
              </w:tc>
              <w:tc>
                <w:tcPr>
                  <w:tcW w:w="758" w:type="pct"/>
                  <w:shd w:val="clear" w:color="auto" w:fill="auto"/>
                  <w:vAlign w:val="center"/>
                </w:tcPr>
                <w:p w14:paraId="3F3DA5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1A83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56D28C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bidi="ar"/>
                      <w14:textFill>
                        <w14:solidFill>
                          <w14:schemeClr w14:val="tx1"/>
                        </w14:solidFill>
                      </w14:textFill>
                    </w:rPr>
                    <w:t>砷（总砷）</w:t>
                  </w:r>
                </w:p>
              </w:tc>
              <w:tc>
                <w:tcPr>
                  <w:tcW w:w="645" w:type="pct"/>
                  <w:shd w:val="clear" w:color="auto" w:fill="auto"/>
                  <w:vAlign w:val="center"/>
                </w:tcPr>
                <w:p w14:paraId="0F084E12">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9716B98">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60</w:t>
                  </w:r>
                </w:p>
              </w:tc>
              <w:tc>
                <w:tcPr>
                  <w:tcW w:w="975" w:type="pct"/>
                  <w:shd w:val="clear" w:color="auto" w:fill="auto"/>
                  <w:vAlign w:val="center"/>
                </w:tcPr>
                <w:p w14:paraId="53FE59A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19.4</w:t>
                  </w:r>
                </w:p>
              </w:tc>
              <w:tc>
                <w:tcPr>
                  <w:tcW w:w="693" w:type="pct"/>
                  <w:shd w:val="clear" w:color="auto" w:fill="auto"/>
                  <w:vAlign w:val="center"/>
                </w:tcPr>
                <w:p w14:paraId="3FC3D3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0.323</w:t>
                  </w:r>
                </w:p>
              </w:tc>
              <w:tc>
                <w:tcPr>
                  <w:tcW w:w="758" w:type="pct"/>
                  <w:shd w:val="clear" w:color="auto" w:fill="auto"/>
                  <w:vAlign w:val="center"/>
                </w:tcPr>
                <w:p w14:paraId="44951E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3C9C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51D048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锑（总锑）</w:t>
                  </w:r>
                </w:p>
              </w:tc>
              <w:tc>
                <w:tcPr>
                  <w:tcW w:w="645" w:type="pct"/>
                  <w:shd w:val="clear" w:color="auto" w:fill="auto"/>
                  <w:vAlign w:val="center"/>
                </w:tcPr>
                <w:p w14:paraId="0C01AC9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D908C64">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180</w:t>
                  </w:r>
                </w:p>
              </w:tc>
              <w:tc>
                <w:tcPr>
                  <w:tcW w:w="975" w:type="pct"/>
                  <w:shd w:val="clear" w:color="auto" w:fill="auto"/>
                  <w:vAlign w:val="center"/>
                </w:tcPr>
                <w:p w14:paraId="3D19EC0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0.066</w:t>
                  </w:r>
                </w:p>
              </w:tc>
              <w:tc>
                <w:tcPr>
                  <w:tcW w:w="693" w:type="pct"/>
                  <w:vAlign w:val="center"/>
                </w:tcPr>
                <w:p w14:paraId="2B2541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0.0004</w:t>
                  </w:r>
                </w:p>
              </w:tc>
              <w:tc>
                <w:tcPr>
                  <w:tcW w:w="758" w:type="pct"/>
                  <w:vAlign w:val="center"/>
                </w:tcPr>
                <w:p w14:paraId="3E233F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683B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3EA66E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氯甲烷</w:t>
                  </w:r>
                </w:p>
              </w:tc>
              <w:tc>
                <w:tcPr>
                  <w:tcW w:w="645" w:type="pct"/>
                  <w:shd w:val="clear" w:color="auto" w:fill="auto"/>
                  <w:vAlign w:val="center"/>
                </w:tcPr>
                <w:p w14:paraId="410D5D37">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41D7EC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37</w:t>
                  </w:r>
                </w:p>
              </w:tc>
              <w:tc>
                <w:tcPr>
                  <w:tcW w:w="975" w:type="pct"/>
                  <w:shd w:val="clear" w:color="auto" w:fill="auto"/>
                  <w:vAlign w:val="center"/>
                </w:tcPr>
                <w:p w14:paraId="1976C30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6B15D9D">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D788E5B">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26E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CBEC99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氯乙烯</w:t>
                  </w:r>
                </w:p>
              </w:tc>
              <w:tc>
                <w:tcPr>
                  <w:tcW w:w="645" w:type="pct"/>
                  <w:shd w:val="clear" w:color="auto" w:fill="auto"/>
                  <w:vAlign w:val="center"/>
                </w:tcPr>
                <w:p w14:paraId="13EF98A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75EB23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0.43</w:t>
                  </w:r>
                </w:p>
              </w:tc>
              <w:tc>
                <w:tcPr>
                  <w:tcW w:w="975" w:type="pct"/>
                  <w:shd w:val="clear" w:color="auto" w:fill="auto"/>
                  <w:vAlign w:val="center"/>
                </w:tcPr>
                <w:p w14:paraId="36C52BB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C77A726">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3F1813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0A21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903A0A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eastAsia"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1,1-二氯乙烯</w:t>
                  </w:r>
                </w:p>
              </w:tc>
              <w:tc>
                <w:tcPr>
                  <w:tcW w:w="645" w:type="pct"/>
                  <w:shd w:val="clear" w:color="auto" w:fill="auto"/>
                  <w:vAlign w:val="center"/>
                </w:tcPr>
                <w:p w14:paraId="65836100">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9BB04D0">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66</w:t>
                  </w:r>
                </w:p>
              </w:tc>
              <w:tc>
                <w:tcPr>
                  <w:tcW w:w="975" w:type="pct"/>
                  <w:shd w:val="clear" w:color="auto" w:fill="auto"/>
                  <w:vAlign w:val="center"/>
                </w:tcPr>
                <w:p w14:paraId="12D38C6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4C0DBE8">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8AE601A">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617D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77071EA">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二氯甲烷</w:t>
                  </w:r>
                </w:p>
              </w:tc>
              <w:tc>
                <w:tcPr>
                  <w:tcW w:w="645" w:type="pct"/>
                  <w:shd w:val="clear" w:color="auto" w:fill="auto"/>
                  <w:vAlign w:val="center"/>
                </w:tcPr>
                <w:p w14:paraId="505D330A">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614E410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616</w:t>
                  </w:r>
                </w:p>
              </w:tc>
              <w:tc>
                <w:tcPr>
                  <w:tcW w:w="975" w:type="pct"/>
                  <w:shd w:val="clear" w:color="auto" w:fill="auto"/>
                  <w:vAlign w:val="center"/>
                </w:tcPr>
                <w:p w14:paraId="2449D81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01A59378">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1367279">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ECF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23881944">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反式-1,2-二氯乙烯</w:t>
                  </w:r>
                </w:p>
              </w:tc>
              <w:tc>
                <w:tcPr>
                  <w:tcW w:w="645" w:type="pct"/>
                  <w:shd w:val="clear" w:color="auto" w:fill="auto"/>
                  <w:vAlign w:val="center"/>
                </w:tcPr>
                <w:p w14:paraId="5B192A53">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F452E3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54</w:t>
                  </w:r>
                </w:p>
              </w:tc>
              <w:tc>
                <w:tcPr>
                  <w:tcW w:w="975" w:type="pct"/>
                  <w:shd w:val="clear" w:color="auto" w:fill="auto"/>
                  <w:vAlign w:val="center"/>
                </w:tcPr>
                <w:p w14:paraId="12D7AC9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0F17D2E">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0BE85B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7B52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3E58D8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1,1-二氯乙烷</w:t>
                  </w:r>
                </w:p>
              </w:tc>
              <w:tc>
                <w:tcPr>
                  <w:tcW w:w="645" w:type="pct"/>
                  <w:shd w:val="clear" w:color="auto" w:fill="auto"/>
                  <w:vAlign w:val="center"/>
                </w:tcPr>
                <w:p w14:paraId="7B2B1E8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24CFBF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9</w:t>
                  </w:r>
                </w:p>
              </w:tc>
              <w:tc>
                <w:tcPr>
                  <w:tcW w:w="975" w:type="pct"/>
                  <w:shd w:val="clear" w:color="auto" w:fill="auto"/>
                  <w:vAlign w:val="center"/>
                </w:tcPr>
                <w:p w14:paraId="572D749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D87489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A98277A">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5311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357A994">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顺式-1,2-二氯乙烯</w:t>
                  </w:r>
                </w:p>
              </w:tc>
              <w:tc>
                <w:tcPr>
                  <w:tcW w:w="645" w:type="pct"/>
                  <w:shd w:val="clear" w:color="auto" w:fill="auto"/>
                  <w:vAlign w:val="center"/>
                </w:tcPr>
                <w:p w14:paraId="1E78480D">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9EC069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596</w:t>
                  </w:r>
                </w:p>
              </w:tc>
              <w:tc>
                <w:tcPr>
                  <w:tcW w:w="975" w:type="pct"/>
                  <w:shd w:val="clear" w:color="auto" w:fill="auto"/>
                  <w:vAlign w:val="center"/>
                </w:tcPr>
                <w:p w14:paraId="2C892B3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9060AFE">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82A0E78">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A30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ADF1EE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氯仿</w:t>
                  </w:r>
                </w:p>
              </w:tc>
              <w:tc>
                <w:tcPr>
                  <w:tcW w:w="645" w:type="pct"/>
                  <w:shd w:val="clear" w:color="auto" w:fill="auto"/>
                  <w:vAlign w:val="center"/>
                </w:tcPr>
                <w:p w14:paraId="02B47F1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D41007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0.9</w:t>
                  </w:r>
                </w:p>
              </w:tc>
              <w:tc>
                <w:tcPr>
                  <w:tcW w:w="975" w:type="pct"/>
                  <w:shd w:val="clear" w:color="auto" w:fill="auto"/>
                  <w:vAlign w:val="center"/>
                </w:tcPr>
                <w:p w14:paraId="0941C6F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C1DD4F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984FCB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34C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B1FBF9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1,1,1-三氯乙烷</w:t>
                  </w:r>
                </w:p>
              </w:tc>
              <w:tc>
                <w:tcPr>
                  <w:tcW w:w="645" w:type="pct"/>
                  <w:shd w:val="clear" w:color="auto" w:fill="auto"/>
                  <w:vAlign w:val="center"/>
                </w:tcPr>
                <w:p w14:paraId="0D9F10A2">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6FA5A6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840</w:t>
                  </w:r>
                </w:p>
              </w:tc>
              <w:tc>
                <w:tcPr>
                  <w:tcW w:w="975" w:type="pct"/>
                  <w:shd w:val="clear" w:color="auto" w:fill="auto"/>
                  <w:vAlign w:val="center"/>
                </w:tcPr>
                <w:p w14:paraId="145FF51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48B1AADD">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C969AA6">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A6E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FE34FD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四氯化碳</w:t>
                  </w:r>
                </w:p>
              </w:tc>
              <w:tc>
                <w:tcPr>
                  <w:tcW w:w="645" w:type="pct"/>
                  <w:shd w:val="clear" w:color="auto" w:fill="auto"/>
                  <w:vAlign w:val="center"/>
                </w:tcPr>
                <w:p w14:paraId="32F796F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656E9A05">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c>
                <w:tcPr>
                  <w:tcW w:w="975" w:type="pct"/>
                  <w:shd w:val="clear" w:color="auto" w:fill="auto"/>
                  <w:vAlign w:val="center"/>
                </w:tcPr>
                <w:p w14:paraId="730EF29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775B00F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EC9290B">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77BF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83481E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w:t>
                  </w:r>
                </w:p>
              </w:tc>
              <w:tc>
                <w:tcPr>
                  <w:tcW w:w="645" w:type="pct"/>
                  <w:shd w:val="clear" w:color="auto" w:fill="auto"/>
                  <w:vAlign w:val="center"/>
                </w:tcPr>
                <w:p w14:paraId="51F4DDDE">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54B1ED8">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4</w:t>
                  </w:r>
                </w:p>
              </w:tc>
              <w:tc>
                <w:tcPr>
                  <w:tcW w:w="975" w:type="pct"/>
                  <w:shd w:val="clear" w:color="auto" w:fill="auto"/>
                  <w:vAlign w:val="center"/>
                </w:tcPr>
                <w:p w14:paraId="4C7B845F">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4ADD11B6">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790FF70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08A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42C71E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1,2-二氯乙烷</w:t>
                  </w:r>
                </w:p>
              </w:tc>
              <w:tc>
                <w:tcPr>
                  <w:tcW w:w="645" w:type="pct"/>
                  <w:shd w:val="clear" w:color="auto" w:fill="auto"/>
                  <w:vAlign w:val="center"/>
                </w:tcPr>
                <w:p w14:paraId="60D0668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5E71CB4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w:t>
                  </w:r>
                </w:p>
              </w:tc>
              <w:tc>
                <w:tcPr>
                  <w:tcW w:w="975" w:type="pct"/>
                  <w:shd w:val="clear" w:color="auto" w:fill="auto"/>
                  <w:vAlign w:val="center"/>
                </w:tcPr>
                <w:p w14:paraId="0293C3E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4B827E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4A8C7BD">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7020F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3EEACC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三氯乙烯</w:t>
                  </w:r>
                </w:p>
              </w:tc>
              <w:tc>
                <w:tcPr>
                  <w:tcW w:w="645" w:type="pct"/>
                  <w:shd w:val="clear" w:color="auto" w:fill="auto"/>
                  <w:vAlign w:val="center"/>
                </w:tcPr>
                <w:p w14:paraId="4D6F7172">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881401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c>
                <w:tcPr>
                  <w:tcW w:w="975" w:type="pct"/>
                  <w:shd w:val="clear" w:color="auto" w:fill="auto"/>
                  <w:vAlign w:val="center"/>
                </w:tcPr>
                <w:p w14:paraId="4D7DFBD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4A1E751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CAEC590">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7240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77FE28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1,2-二氯丙烷</w:t>
                  </w:r>
                </w:p>
              </w:tc>
              <w:tc>
                <w:tcPr>
                  <w:tcW w:w="645" w:type="pct"/>
                  <w:shd w:val="clear" w:color="auto" w:fill="auto"/>
                  <w:vAlign w:val="center"/>
                </w:tcPr>
                <w:p w14:paraId="01A57E0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FA45C4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w:t>
                  </w:r>
                </w:p>
              </w:tc>
              <w:tc>
                <w:tcPr>
                  <w:tcW w:w="975" w:type="pct"/>
                  <w:shd w:val="clear" w:color="auto" w:fill="auto"/>
                  <w:vAlign w:val="center"/>
                </w:tcPr>
                <w:p w14:paraId="61E439A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B754D39">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34A4F89">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4E0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8B7571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甲苯</w:t>
                  </w:r>
                </w:p>
              </w:tc>
              <w:tc>
                <w:tcPr>
                  <w:tcW w:w="645" w:type="pct"/>
                  <w:shd w:val="clear" w:color="auto" w:fill="auto"/>
                  <w:vAlign w:val="center"/>
                </w:tcPr>
                <w:p w14:paraId="625DA086">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607C3DB">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1200</w:t>
                  </w:r>
                </w:p>
              </w:tc>
              <w:tc>
                <w:tcPr>
                  <w:tcW w:w="975" w:type="pct"/>
                  <w:shd w:val="clear" w:color="auto" w:fill="auto"/>
                  <w:vAlign w:val="center"/>
                </w:tcPr>
                <w:p w14:paraId="144EB0A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EF2349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74A5455">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2FC6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E2F498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1,1,2-三氯乙烷</w:t>
                  </w:r>
                </w:p>
              </w:tc>
              <w:tc>
                <w:tcPr>
                  <w:tcW w:w="645" w:type="pct"/>
                  <w:shd w:val="clear" w:color="auto" w:fill="auto"/>
                  <w:vAlign w:val="center"/>
                </w:tcPr>
                <w:p w14:paraId="1376C20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68E2DC0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c>
                <w:tcPr>
                  <w:tcW w:w="975" w:type="pct"/>
                  <w:shd w:val="clear" w:color="auto" w:fill="auto"/>
                  <w:vAlign w:val="center"/>
                </w:tcPr>
                <w:p w14:paraId="6CE1ABC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4B6338E1">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29D5DD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8C3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02415E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四氯乙烯</w:t>
                  </w:r>
                </w:p>
              </w:tc>
              <w:tc>
                <w:tcPr>
                  <w:tcW w:w="645" w:type="pct"/>
                  <w:shd w:val="clear" w:color="auto" w:fill="auto"/>
                  <w:vAlign w:val="center"/>
                </w:tcPr>
                <w:p w14:paraId="64F2035F">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50C3C2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53</w:t>
                  </w:r>
                </w:p>
              </w:tc>
              <w:tc>
                <w:tcPr>
                  <w:tcW w:w="975" w:type="pct"/>
                  <w:shd w:val="clear" w:color="auto" w:fill="auto"/>
                  <w:vAlign w:val="center"/>
                </w:tcPr>
                <w:p w14:paraId="432FB39F">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78A7531E">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432426D">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39B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5D21E3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氯苯</w:t>
                  </w:r>
                </w:p>
              </w:tc>
              <w:tc>
                <w:tcPr>
                  <w:tcW w:w="645" w:type="pct"/>
                  <w:shd w:val="clear" w:color="auto" w:fill="auto"/>
                  <w:vAlign w:val="center"/>
                </w:tcPr>
                <w:p w14:paraId="4BF12B9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2C04A6F">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270</w:t>
                  </w:r>
                </w:p>
              </w:tc>
              <w:tc>
                <w:tcPr>
                  <w:tcW w:w="975" w:type="pct"/>
                  <w:shd w:val="clear" w:color="auto" w:fill="auto"/>
                  <w:vAlign w:val="center"/>
                </w:tcPr>
                <w:p w14:paraId="2D3AE78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74317CB">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7AD741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2C4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A5C062A">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1,1,1,2-四氯乙烷</w:t>
                  </w:r>
                </w:p>
              </w:tc>
              <w:tc>
                <w:tcPr>
                  <w:tcW w:w="645" w:type="pct"/>
                  <w:shd w:val="clear" w:color="auto" w:fill="auto"/>
                  <w:vAlign w:val="center"/>
                </w:tcPr>
                <w:p w14:paraId="340DFC3C">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CE22A2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10</w:t>
                  </w:r>
                </w:p>
              </w:tc>
              <w:tc>
                <w:tcPr>
                  <w:tcW w:w="975" w:type="pct"/>
                  <w:shd w:val="clear" w:color="auto" w:fill="auto"/>
                  <w:vAlign w:val="center"/>
                </w:tcPr>
                <w:p w14:paraId="17B6BE2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211302C">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6746B8C">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688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D8F890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乙苯</w:t>
                  </w:r>
                </w:p>
              </w:tc>
              <w:tc>
                <w:tcPr>
                  <w:tcW w:w="645" w:type="pct"/>
                  <w:shd w:val="clear" w:color="auto" w:fill="auto"/>
                  <w:vAlign w:val="center"/>
                </w:tcPr>
                <w:p w14:paraId="0A2E14C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ED6C69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c>
                <w:tcPr>
                  <w:tcW w:w="975" w:type="pct"/>
                  <w:shd w:val="clear" w:color="auto" w:fill="auto"/>
                  <w:vAlign w:val="center"/>
                </w:tcPr>
                <w:p w14:paraId="39AD922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EE830FE">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A395AE1">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B00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23AF19F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间,对-二甲苯</w:t>
                  </w:r>
                </w:p>
              </w:tc>
              <w:tc>
                <w:tcPr>
                  <w:tcW w:w="645" w:type="pct"/>
                  <w:shd w:val="clear" w:color="auto" w:fill="auto"/>
                  <w:vAlign w:val="center"/>
                </w:tcPr>
                <w:p w14:paraId="560E3621">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F8AEC4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570</w:t>
                  </w:r>
                </w:p>
              </w:tc>
              <w:tc>
                <w:tcPr>
                  <w:tcW w:w="975" w:type="pct"/>
                  <w:shd w:val="clear" w:color="auto" w:fill="auto"/>
                  <w:vAlign w:val="center"/>
                </w:tcPr>
                <w:p w14:paraId="23A28B0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67FBE1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01B1B1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5C7A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3290022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邻-二甲苯</w:t>
                  </w:r>
                </w:p>
              </w:tc>
              <w:tc>
                <w:tcPr>
                  <w:tcW w:w="645" w:type="pct"/>
                  <w:shd w:val="clear" w:color="auto" w:fill="auto"/>
                  <w:vAlign w:val="center"/>
                </w:tcPr>
                <w:p w14:paraId="3A678BA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37E1A1AA">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640</w:t>
                  </w:r>
                </w:p>
              </w:tc>
              <w:tc>
                <w:tcPr>
                  <w:tcW w:w="975" w:type="pct"/>
                  <w:shd w:val="clear" w:color="auto" w:fill="auto"/>
                  <w:vAlign w:val="center"/>
                </w:tcPr>
                <w:p w14:paraId="7458C40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8AE323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37A1B28">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EB5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5FB69A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苯乙烯</w:t>
                  </w:r>
                </w:p>
              </w:tc>
              <w:tc>
                <w:tcPr>
                  <w:tcW w:w="645" w:type="pct"/>
                  <w:shd w:val="clear" w:color="auto" w:fill="auto"/>
                  <w:vAlign w:val="center"/>
                </w:tcPr>
                <w:p w14:paraId="1C479308">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F79E607">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1290</w:t>
                  </w:r>
                </w:p>
              </w:tc>
              <w:tc>
                <w:tcPr>
                  <w:tcW w:w="975" w:type="pct"/>
                  <w:shd w:val="clear" w:color="auto" w:fill="auto"/>
                  <w:vAlign w:val="center"/>
                </w:tcPr>
                <w:p w14:paraId="7FCDC7C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5B77E4ED">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ABDC1A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6991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81D33B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1,1,2,2-四氯乙烷</w:t>
                  </w:r>
                </w:p>
              </w:tc>
              <w:tc>
                <w:tcPr>
                  <w:tcW w:w="645" w:type="pct"/>
                  <w:shd w:val="clear" w:color="auto" w:fill="auto"/>
                  <w:vAlign w:val="center"/>
                </w:tcPr>
                <w:p w14:paraId="4A9E2C6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CFA019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6.8</w:t>
                  </w:r>
                </w:p>
              </w:tc>
              <w:tc>
                <w:tcPr>
                  <w:tcW w:w="975" w:type="pct"/>
                  <w:shd w:val="clear" w:color="auto" w:fill="auto"/>
                  <w:vAlign w:val="center"/>
                </w:tcPr>
                <w:p w14:paraId="1979948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55EF2D8D">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FB12D1C">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571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18C673A">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1,2,3-三氯丙烷</w:t>
                  </w:r>
                </w:p>
              </w:tc>
              <w:tc>
                <w:tcPr>
                  <w:tcW w:w="645" w:type="pct"/>
                  <w:shd w:val="clear" w:color="auto" w:fill="auto"/>
                  <w:vAlign w:val="center"/>
                </w:tcPr>
                <w:p w14:paraId="5CC0CB40">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59C766D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0.5</w:t>
                  </w:r>
                </w:p>
              </w:tc>
              <w:tc>
                <w:tcPr>
                  <w:tcW w:w="975" w:type="pct"/>
                  <w:shd w:val="clear" w:color="auto" w:fill="auto"/>
                  <w:vAlign w:val="center"/>
                </w:tcPr>
                <w:p w14:paraId="662B511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F9948FC">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1BD778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466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776A8A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1,4-二氯苯</w:t>
                  </w:r>
                </w:p>
              </w:tc>
              <w:tc>
                <w:tcPr>
                  <w:tcW w:w="645" w:type="pct"/>
                  <w:shd w:val="clear" w:color="auto" w:fill="auto"/>
                  <w:vAlign w:val="center"/>
                </w:tcPr>
                <w:p w14:paraId="2BCB4E3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864EF4B">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20</w:t>
                  </w:r>
                </w:p>
              </w:tc>
              <w:tc>
                <w:tcPr>
                  <w:tcW w:w="975" w:type="pct"/>
                  <w:shd w:val="clear" w:color="auto" w:fill="auto"/>
                  <w:vAlign w:val="center"/>
                </w:tcPr>
                <w:p w14:paraId="0C1575C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7A15B866">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C81678B">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8A4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F49C24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1,2-二氯苯</w:t>
                  </w:r>
                </w:p>
              </w:tc>
              <w:tc>
                <w:tcPr>
                  <w:tcW w:w="645" w:type="pct"/>
                  <w:shd w:val="clear" w:color="auto" w:fill="auto"/>
                  <w:vAlign w:val="center"/>
                </w:tcPr>
                <w:p w14:paraId="4EA56FFD">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E1FA08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560</w:t>
                  </w:r>
                </w:p>
              </w:tc>
              <w:tc>
                <w:tcPr>
                  <w:tcW w:w="975" w:type="pct"/>
                  <w:shd w:val="clear" w:color="auto" w:fill="auto"/>
                  <w:vAlign w:val="center"/>
                </w:tcPr>
                <w:p w14:paraId="321C047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7FC727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6AD391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0F38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123F0B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2-氯苯酚</w:t>
                  </w:r>
                </w:p>
              </w:tc>
              <w:tc>
                <w:tcPr>
                  <w:tcW w:w="645" w:type="pct"/>
                  <w:shd w:val="clear" w:color="auto" w:fill="auto"/>
                  <w:vAlign w:val="center"/>
                </w:tcPr>
                <w:p w14:paraId="03FE4774">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39877E9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2256</w:t>
                  </w:r>
                </w:p>
              </w:tc>
              <w:tc>
                <w:tcPr>
                  <w:tcW w:w="975" w:type="pct"/>
                  <w:shd w:val="clear" w:color="auto" w:fill="auto"/>
                  <w:vAlign w:val="center"/>
                </w:tcPr>
                <w:p w14:paraId="5BAFFE1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85A80B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78E0AA96">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6D23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3B1B8B6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萘</w:t>
                  </w:r>
                </w:p>
              </w:tc>
              <w:tc>
                <w:tcPr>
                  <w:tcW w:w="645" w:type="pct"/>
                  <w:shd w:val="clear" w:color="auto" w:fill="auto"/>
                  <w:vAlign w:val="center"/>
                </w:tcPr>
                <w:p w14:paraId="3F9EEE02">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D9FE10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70</w:t>
                  </w:r>
                </w:p>
              </w:tc>
              <w:tc>
                <w:tcPr>
                  <w:tcW w:w="975" w:type="pct"/>
                  <w:shd w:val="clear" w:color="auto" w:fill="auto"/>
                  <w:vAlign w:val="center"/>
                </w:tcPr>
                <w:p w14:paraId="01D4116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0497CB3">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51B66AE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0633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322BF65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苯并(a)蒽</w:t>
                  </w:r>
                </w:p>
              </w:tc>
              <w:tc>
                <w:tcPr>
                  <w:tcW w:w="645" w:type="pct"/>
                  <w:shd w:val="clear" w:color="auto" w:fill="auto"/>
                  <w:vAlign w:val="center"/>
                </w:tcPr>
                <w:p w14:paraId="442021EE">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56299AF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2A81C1E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4A92D09">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CB6F995">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23BB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1BE5F7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䓛</w:t>
                  </w:r>
                </w:p>
              </w:tc>
              <w:tc>
                <w:tcPr>
                  <w:tcW w:w="645" w:type="pct"/>
                  <w:shd w:val="clear" w:color="auto" w:fill="auto"/>
                  <w:vAlign w:val="center"/>
                </w:tcPr>
                <w:p w14:paraId="2A764D58">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79D0F98">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1293</w:t>
                  </w:r>
                </w:p>
              </w:tc>
              <w:tc>
                <w:tcPr>
                  <w:tcW w:w="975" w:type="pct"/>
                  <w:shd w:val="clear" w:color="auto" w:fill="auto"/>
                  <w:vAlign w:val="center"/>
                </w:tcPr>
                <w:p w14:paraId="02DD35F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563A5CC">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D711D0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62A1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EC6EA9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苯并(b)荧蒽</w:t>
                  </w:r>
                </w:p>
              </w:tc>
              <w:tc>
                <w:tcPr>
                  <w:tcW w:w="645" w:type="pct"/>
                  <w:shd w:val="clear" w:color="auto" w:fill="auto"/>
                  <w:vAlign w:val="center"/>
                </w:tcPr>
                <w:p w14:paraId="79F1E739">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57610E2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2B18B17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06136AF0">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CED3F53">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2EF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495341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eastAsia"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苯并(k)荧蒽</w:t>
                  </w:r>
                </w:p>
              </w:tc>
              <w:tc>
                <w:tcPr>
                  <w:tcW w:w="645" w:type="pct"/>
                  <w:shd w:val="clear" w:color="auto" w:fill="auto"/>
                  <w:vAlign w:val="center"/>
                </w:tcPr>
                <w:p w14:paraId="487AAD08">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017DDC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151</w:t>
                  </w:r>
                </w:p>
              </w:tc>
              <w:tc>
                <w:tcPr>
                  <w:tcW w:w="975" w:type="pct"/>
                  <w:shd w:val="clear" w:color="auto" w:fill="auto"/>
                  <w:vAlign w:val="center"/>
                </w:tcPr>
                <w:p w14:paraId="3C61DC48">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547836E5">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AD6DD3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454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9C5089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苯并(a)芘</w:t>
                  </w:r>
                </w:p>
              </w:tc>
              <w:tc>
                <w:tcPr>
                  <w:tcW w:w="645" w:type="pct"/>
                  <w:shd w:val="clear" w:color="auto" w:fill="auto"/>
                  <w:vAlign w:val="center"/>
                </w:tcPr>
                <w:p w14:paraId="79D3A9EB">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09ECBE7">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5167805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6F58EA9">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66C5A80">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BCB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50C423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茚并(1,2,3-cd)芘</w:t>
                  </w:r>
                </w:p>
              </w:tc>
              <w:tc>
                <w:tcPr>
                  <w:tcW w:w="645" w:type="pct"/>
                  <w:shd w:val="clear" w:color="auto" w:fill="auto"/>
                  <w:vAlign w:val="center"/>
                </w:tcPr>
                <w:p w14:paraId="1D0EE8A9">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2475B0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6FFBA92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53DE8C7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E001076">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0278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0C8BF7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二苯并(ah)蒽</w:t>
                  </w:r>
                </w:p>
              </w:tc>
              <w:tc>
                <w:tcPr>
                  <w:tcW w:w="645" w:type="pct"/>
                  <w:shd w:val="clear" w:color="auto" w:fill="auto"/>
                  <w:vAlign w:val="center"/>
                </w:tcPr>
                <w:p w14:paraId="028B8CB5">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BB90F4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6F0308C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26D5485">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9CD126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F29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8B8AC8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硝基苯</w:t>
                  </w:r>
                </w:p>
              </w:tc>
              <w:tc>
                <w:tcPr>
                  <w:tcW w:w="645" w:type="pct"/>
                  <w:shd w:val="clear" w:color="auto" w:fill="auto"/>
                  <w:vAlign w:val="center"/>
                </w:tcPr>
                <w:p w14:paraId="47D5ED6B">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3D2A64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76</w:t>
                  </w:r>
                </w:p>
              </w:tc>
              <w:tc>
                <w:tcPr>
                  <w:tcW w:w="975" w:type="pct"/>
                  <w:shd w:val="clear" w:color="auto" w:fill="auto"/>
                  <w:vAlign w:val="center"/>
                </w:tcPr>
                <w:p w14:paraId="588DE73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CEAAD7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89AB00B">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31C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4101A2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苯胺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645" w:type="pct"/>
                  <w:shd w:val="clear" w:color="auto" w:fill="auto"/>
                  <w:vAlign w:val="center"/>
                </w:tcPr>
                <w:p w14:paraId="42308176">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g/kg</w:t>
                  </w:r>
                </w:p>
              </w:tc>
              <w:tc>
                <w:tcPr>
                  <w:tcW w:w="943" w:type="pct"/>
                  <w:shd w:val="clear" w:color="auto" w:fill="auto"/>
                  <w:vAlign w:val="center"/>
                </w:tcPr>
                <w:p w14:paraId="5B8223CE">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260</w:t>
                  </w:r>
                </w:p>
              </w:tc>
              <w:tc>
                <w:tcPr>
                  <w:tcW w:w="975" w:type="pct"/>
                  <w:shd w:val="clear" w:color="auto" w:fill="auto"/>
                  <w:vAlign w:val="center"/>
                </w:tcPr>
                <w:p w14:paraId="7538FBF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5</w:t>
                  </w:r>
                </w:p>
              </w:tc>
              <w:tc>
                <w:tcPr>
                  <w:tcW w:w="693" w:type="pct"/>
                </w:tcPr>
                <w:p w14:paraId="3E183A7A">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1.82E-05</w:t>
                  </w:r>
                </w:p>
              </w:tc>
              <w:tc>
                <w:tcPr>
                  <w:tcW w:w="758" w:type="pct"/>
                </w:tcPr>
                <w:p w14:paraId="445F6910">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296E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2B9DF2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二噁英类*</w:t>
                  </w:r>
                </w:p>
              </w:tc>
              <w:tc>
                <w:tcPr>
                  <w:tcW w:w="645" w:type="pct"/>
                  <w:shd w:val="clear" w:color="auto" w:fill="auto"/>
                  <w:vAlign w:val="center"/>
                </w:tcPr>
                <w:p w14:paraId="73184DC3">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b w:val="0"/>
                      <w:bCs/>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ngTEQ/kg</w:t>
                  </w:r>
                </w:p>
              </w:tc>
              <w:tc>
                <w:tcPr>
                  <w:tcW w:w="943" w:type="pct"/>
                  <w:shd w:val="clear" w:color="auto" w:fill="auto"/>
                  <w:vAlign w:val="center"/>
                </w:tcPr>
                <w:p w14:paraId="5419BFA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-5</w:t>
                  </w:r>
                </w:p>
              </w:tc>
              <w:tc>
                <w:tcPr>
                  <w:tcW w:w="975" w:type="pct"/>
                  <w:shd w:val="clear" w:color="auto" w:fill="auto"/>
                  <w:vAlign w:val="center"/>
                </w:tcPr>
                <w:p w14:paraId="0F74C04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eastAsia" w:cs="Times New Roman"/>
                      <w:bCs/>
                      <w:color w:val="000000" w:themeColor="text1"/>
                      <w:kern w:val="2"/>
                      <w:sz w:val="21"/>
                      <w:szCs w:val="21"/>
                      <w:highlight w:val="none"/>
                      <w:lang w:val="en-US" w:eastAsia="zh-CN" w:bidi="ar"/>
                      <w14:textFill>
                        <w14:solidFill>
                          <w14:schemeClr w14:val="tx1"/>
                        </w14:solidFill>
                      </w14:textFill>
                    </w:rPr>
                    <w:t>0.142</w:t>
                  </w:r>
                </w:p>
              </w:tc>
              <w:tc>
                <w:tcPr>
                  <w:tcW w:w="693" w:type="pct"/>
                </w:tcPr>
                <w:p w14:paraId="31B8D7D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3.55E-04</w:t>
                  </w:r>
                </w:p>
              </w:tc>
              <w:tc>
                <w:tcPr>
                  <w:tcW w:w="758" w:type="pct"/>
                </w:tcPr>
                <w:p w14:paraId="18BA7105">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bl>
          <w:p w14:paraId="0F207C94">
            <w:pPr>
              <w:ind w:firstLine="480"/>
              <w:rPr>
                <w:rFonts w:hint="default" w:ascii="Times New Roman" w:hAnsi="Times New Roman" w:cs="Times New Roman"/>
                <w:color w:val="000000" w:themeColor="text1"/>
                <w14:textFill>
                  <w14:solidFill>
                    <w14:schemeClr w14:val="tx1"/>
                  </w14:solidFill>
                </w14:textFill>
              </w:rPr>
            </w:pPr>
            <w:r>
              <w:rPr>
                <w:rFonts w:ascii="Times New Roman" w:hAnsi="Times New Roman" w:eastAsia="宋体" w:cs="Times New Roman"/>
                <w:bCs/>
                <w:color w:val="000000" w:themeColor="text1"/>
                <w:szCs w:val="24"/>
                <w:highlight w:val="none"/>
                <w14:textFill>
                  <w14:solidFill>
                    <w14:schemeClr w14:val="tx1"/>
                  </w14:solidFill>
                </w14:textFill>
              </w:rPr>
              <w:t>根据上述检测结果可知，</w:t>
            </w:r>
            <w:r>
              <w:rPr>
                <w:rFonts w:hint="eastAsia" w:ascii="Times New Roman" w:hAnsi="Times New Roman" w:eastAsia="宋体"/>
                <w:color w:val="000000" w:themeColor="text1"/>
                <w:highlight w:val="none"/>
                <w:lang w:val="en-US" w:eastAsia="zh-CN"/>
                <w14:textFill>
                  <w14:solidFill>
                    <w14:schemeClr w14:val="tx1"/>
                  </w14:solidFill>
                </w14:textFill>
              </w:rPr>
              <w:t>钡、氟化物</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满足</w:t>
            </w:r>
            <w:r>
              <w:rPr>
                <w:rFonts w:hint="default" w:ascii="Times New Roman" w:hAnsi="Times New Roman" w:eastAsia="宋体" w:cs="Times New Roman"/>
                <w:bCs/>
                <w:color w:val="000000" w:themeColor="text1"/>
                <w:szCs w:val="24"/>
                <w:highlight w:val="none"/>
                <w14:textFill>
                  <w14:solidFill>
                    <w14:schemeClr w14:val="tx1"/>
                  </w14:solidFill>
                </w14:textFill>
              </w:rPr>
              <w:t>《四川省建设用地土壤污染风险管控标准》（DB51</w:t>
            </w:r>
            <w:r>
              <w:rPr>
                <w:rFonts w:hint="eastAsia" w:cs="Times New Roman"/>
                <w:bCs/>
                <w:color w:val="000000" w:themeColor="text1"/>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zCs w:val="24"/>
                <w:highlight w:val="none"/>
                <w14:textFill>
                  <w14:solidFill>
                    <w14:schemeClr w14:val="tx1"/>
                  </w14:solidFill>
                </w14:textFill>
              </w:rPr>
              <w:t>2978-2023）二类建设用地土壤污染风险筛选值</w:t>
            </w:r>
            <w:r>
              <w:rPr>
                <w:rFonts w:hint="eastAsia" w:ascii="Times New Roman" w:hAnsi="Times New Roman" w:eastAsia="宋体" w:cs="Times New Roman"/>
                <w:bCs/>
                <w:color w:val="000000" w:themeColor="text1"/>
                <w:szCs w:val="24"/>
                <w:highlight w:val="none"/>
                <w:lang w:val="en-US" w:eastAsia="zh-CN"/>
                <w14:textFill>
                  <w14:solidFill>
                    <w14:schemeClr w14:val="tx1"/>
                  </w14:solidFill>
                </w14:textFill>
              </w:rPr>
              <w:t>要求</w:t>
            </w:r>
            <w:r>
              <w:rPr>
                <w:rFonts w:hint="default" w:ascii="Times New Roman" w:hAnsi="Times New Roman" w:eastAsia="宋体" w:cs="Times New Roman"/>
                <w:color w:val="000000" w:themeColor="text1"/>
                <w:highlight w:val="none"/>
                <w:lang w:val="en-US" w:eastAsia="zh-CN"/>
                <w14:textFill>
                  <w14:solidFill>
                    <w14:schemeClr w14:val="tx1"/>
                  </w14:solidFill>
                </w14:textFill>
              </w:rPr>
              <w:t>，其余指标</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szCs w:val="24"/>
                <w:highlight w:val="none"/>
                <w14:textFill>
                  <w14:solidFill>
                    <w14:schemeClr w14:val="tx1"/>
                  </w14:solidFill>
                </w14:textFill>
              </w:rPr>
              <w:t>《土壤环境</w:t>
            </w:r>
            <w:r>
              <w:rPr>
                <w:rFonts w:hint="default" w:ascii="Times New Roman" w:hAnsi="Times New Roman" w:eastAsia="宋体" w:cs="Times New Roman"/>
                <w:bCs/>
                <w:color w:val="000000" w:themeColor="text1"/>
                <w:szCs w:val="24"/>
                <w:highlight w:val="none"/>
                <w14:textFill>
                  <w14:solidFill>
                    <w14:schemeClr w14:val="tx1"/>
                  </w14:solidFill>
                </w14:textFill>
              </w:rPr>
              <w:t>质量 建设用地土壤污染风险管控标准（试行）》（GB36600-2018）第二类建设用地土壤污染风险筛选值</w:t>
            </w:r>
            <w:r>
              <w:rPr>
                <w:rFonts w:hint="eastAsia" w:ascii="Times New Roman" w:hAnsi="Times New Roman" w:eastAsia="宋体" w:cs="Times New Roman"/>
                <w:bCs/>
                <w:color w:val="000000" w:themeColor="text1"/>
                <w:szCs w:val="24"/>
                <w:highlight w:val="none"/>
                <w:lang w:val="en-US" w:eastAsia="zh-CN"/>
                <w14:textFill>
                  <w14:solidFill>
                    <w14:schemeClr w14:val="tx1"/>
                  </w14:solidFill>
                </w14:textFill>
              </w:rPr>
              <w:t>指标</w:t>
            </w:r>
            <w:r>
              <w:rPr>
                <w:rFonts w:hint="eastAsia" w:eastAsia="宋体" w:cs="Times New Roman"/>
                <w:bCs/>
                <w:color w:val="000000" w:themeColor="text1"/>
                <w:szCs w:val="24"/>
                <w:highlight w:val="none"/>
                <w:lang w:val="en-US" w:eastAsia="zh-CN"/>
                <w14:textFill>
                  <w14:solidFill>
                    <w14:schemeClr w14:val="tx1"/>
                  </w14:solidFill>
                </w14:textFill>
              </w:rPr>
              <w:t>。</w:t>
            </w:r>
            <w:r>
              <w:rPr>
                <w:rFonts w:hint="eastAsia" w:cs="Times New Roman"/>
                <w:bCs/>
                <w:color w:val="000000" w:themeColor="text1"/>
                <w:szCs w:val="24"/>
                <w:highlight w:val="none"/>
                <w:lang w:val="en-US" w:eastAsia="zh-CN"/>
                <w14:textFill>
                  <w14:solidFill>
                    <w14:schemeClr w14:val="tx1"/>
                  </w14:solidFill>
                </w14:textFill>
              </w:rPr>
              <w:t>因此，项目区域的土壤环境质量良好。</w:t>
            </w:r>
          </w:p>
        </w:tc>
      </w:tr>
      <w:tr w14:paraId="5B4F5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13" w:type="pct"/>
            <w:shd w:val="clear" w:color="auto" w:fill="auto"/>
            <w:tcMar>
              <w:top w:w="16" w:type="dxa"/>
              <w:left w:w="16" w:type="dxa"/>
              <w:right w:w="16" w:type="dxa"/>
            </w:tcMar>
            <w:vAlign w:val="center"/>
          </w:tcPr>
          <w:p w14:paraId="60E1F745">
            <w:pPr>
              <w:pStyle w:val="27"/>
              <w:ind w:firstLine="0" w:firstLineChars="0"/>
              <w:rPr>
                <w:rFonts w:hint="default" w:ascii="Times New Roman" w:hAnsi="Times New Roman" w:eastAsia="宋体"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cs="Times New Roman"/>
                <w:color w:val="000000" w:themeColor="text1"/>
                <w:sz w:val="24"/>
                <w:szCs w:val="28"/>
                <w14:textFill>
                  <w14:solidFill>
                    <w14:schemeClr w14:val="tx1"/>
                  </w14:solidFill>
                </w14:textFill>
              </w:rPr>
              <w:t>环境保护目标</w:t>
            </w:r>
          </w:p>
        </w:tc>
        <w:tc>
          <w:tcPr>
            <w:tcW w:w="4786" w:type="pct"/>
            <w:shd w:val="clear" w:color="auto" w:fill="auto"/>
            <w:vAlign w:val="center"/>
          </w:tcPr>
          <w:p w14:paraId="2FC46D98">
            <w:pPr>
              <w:pStyle w:val="4"/>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1、主要环境保护目标</w:t>
            </w:r>
          </w:p>
          <w:p w14:paraId="414AFFBC">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）大气环境保护目标</w:t>
            </w:r>
          </w:p>
          <w:p w14:paraId="6EE75DB3">
            <w:pPr>
              <w:pStyle w:val="70"/>
              <w:adjustRightInd w:val="0"/>
              <w:snapToGrid w:val="0"/>
              <w:ind w:firstLine="480"/>
              <w:rPr>
                <w:rFonts w:hint="default"/>
                <w:color w:val="000000" w:themeColor="text1"/>
                <w:lang w:val="en-US"/>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本项目设置了大气专项评价，经过大气预测，评价等级为二级，根据《环境影响评价技术导则 大气环境</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》（HJ2.2-2018）</w:t>
            </w:r>
            <w:r>
              <w:rPr>
                <w:rFonts w:hint="eastAsia" w:ascii="宋体" w:hAnsi="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5.4.2二级评价项目大气环境影响评价范围边长取5km</w:t>
            </w:r>
            <w:r>
              <w:rPr>
                <w:rFonts w:hint="eastAsia" w:ascii="宋体" w:hAnsi="宋体" w:cs="宋体"/>
                <w:color w:val="000000" w:themeColor="text1"/>
                <w:kern w:val="0"/>
                <w:sz w:val="24"/>
                <w:szCs w:val="24"/>
                <w:lang w:val="en-US" w:eastAsia="zh-CN" w:bidi="ar"/>
                <w14:textFill>
                  <w14:solidFill>
                    <w14:schemeClr w14:val="tx1"/>
                  </w14:solidFill>
                </w14:textFill>
              </w:rPr>
              <w:t>”，因此，</w:t>
            </w:r>
            <w:r>
              <w:rPr>
                <w:rFonts w:hint="default" w:ascii="Times New Roman" w:hAnsi="Times New Roman" w:eastAsia="宋体" w:cs="Times New Roman"/>
                <w:color w:val="000000" w:themeColor="text1"/>
                <w:spacing w:val="4"/>
                <w:sz w:val="24"/>
                <w:szCs w:val="24"/>
                <w14:textFill>
                  <w14:solidFill>
                    <w14:schemeClr w14:val="tx1"/>
                  </w14:solidFill>
                </w14:textFill>
              </w:rPr>
              <w:t>本次大气环境影响评价范围确定为以厂址为中心</w:t>
            </w:r>
            <w:r>
              <w:rPr>
                <w:rFonts w:hint="eastAsia" w:ascii="Times New Roman" w:hAnsi="Times New Roman" w:cs="Times New Roman"/>
                <w:color w:val="000000" w:themeColor="text1"/>
                <w:spacing w:val="4"/>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4"/>
                <w:sz w:val="24"/>
                <w:szCs w:val="24"/>
                <w14:textFill>
                  <w14:solidFill>
                    <w14:schemeClr w14:val="tx1"/>
                  </w14:solidFill>
                </w14:textFill>
              </w:rPr>
              <w:t>边长为</w:t>
            </w:r>
            <w:r>
              <w:rPr>
                <w:rFonts w:hint="eastAsia" w:cs="Times New Roman"/>
                <w:color w:val="000000" w:themeColor="text1"/>
                <w:spacing w:val="4"/>
                <w:sz w:val="24"/>
                <w:szCs w:val="24"/>
                <w:lang w:val="en-US" w:eastAsia="zh-CN"/>
                <w14:textFill>
                  <w14:solidFill>
                    <w14:schemeClr w14:val="tx1"/>
                  </w14:solidFill>
                </w14:textFill>
              </w:rPr>
              <w:t>5k</w:t>
            </w:r>
            <w:r>
              <w:rPr>
                <w:rFonts w:hint="default" w:ascii="Times New Roman" w:hAnsi="Times New Roman" w:eastAsia="宋体" w:cs="Times New Roman"/>
                <w:color w:val="000000" w:themeColor="text1"/>
                <w:spacing w:val="4"/>
                <w:sz w:val="24"/>
                <w:szCs w:val="24"/>
                <w14:textFill>
                  <w14:solidFill>
                    <w14:schemeClr w14:val="tx1"/>
                  </w14:solidFill>
                </w14:textFill>
              </w:rPr>
              <w:t>m</w:t>
            </w:r>
            <w:r>
              <w:rPr>
                <w:rFonts w:hint="eastAsia" w:ascii="Times New Roman" w:hAnsi="Times New Roman" w:cs="Times New Roman"/>
                <w:color w:val="000000" w:themeColor="text1"/>
                <w:spacing w:val="4"/>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4"/>
                <w:sz w:val="24"/>
                <w:szCs w:val="24"/>
                <w14:textFill>
                  <w14:solidFill>
                    <w14:schemeClr w14:val="tx1"/>
                  </w14:solidFill>
                </w14:textFill>
              </w:rPr>
              <w:t>面积</w:t>
            </w:r>
            <w:r>
              <w:rPr>
                <w:rFonts w:hint="eastAsia" w:cs="Times New Roman"/>
                <w:color w:val="000000" w:themeColor="text1"/>
                <w:spacing w:val="4"/>
                <w:sz w:val="24"/>
                <w:szCs w:val="24"/>
                <w:lang w:val="en-US" w:eastAsia="zh-CN"/>
                <w14:textFill>
                  <w14:solidFill>
                    <w14:schemeClr w14:val="tx1"/>
                  </w14:solidFill>
                </w14:textFill>
              </w:rPr>
              <w:t>25</w:t>
            </w:r>
            <w:r>
              <w:rPr>
                <w:rFonts w:hint="default" w:ascii="Times New Roman" w:hAnsi="Times New Roman" w:eastAsia="宋体" w:cs="Times New Roman"/>
                <w:color w:val="000000" w:themeColor="text1"/>
                <w:spacing w:val="4"/>
                <w:sz w:val="24"/>
                <w:szCs w:val="24"/>
                <w14:textFill>
                  <w14:solidFill>
                    <w14:schemeClr w14:val="tx1"/>
                  </w14:solidFill>
                </w14:textFill>
              </w:rPr>
              <w:t>km</w:t>
            </w:r>
            <w:r>
              <w:rPr>
                <w:rFonts w:hint="default" w:ascii="Times New Roman" w:hAnsi="Times New Roman" w:eastAsia="宋体" w:cs="Times New Roman"/>
                <w:color w:val="000000" w:themeColor="text1"/>
                <w:spacing w:val="4"/>
                <w:sz w:val="24"/>
                <w:szCs w:val="24"/>
                <w:vertAlign w:val="superscript"/>
                <w14:textFill>
                  <w14:solidFill>
                    <w14:schemeClr w14:val="tx1"/>
                  </w14:solidFill>
                </w14:textFill>
              </w:rPr>
              <w:t>2</w:t>
            </w:r>
            <w:r>
              <w:rPr>
                <w:rFonts w:hint="default" w:ascii="Times New Roman" w:hAnsi="Times New Roman" w:eastAsia="宋体" w:cs="Times New Roman"/>
                <w:color w:val="000000" w:themeColor="text1"/>
                <w:spacing w:val="-29"/>
                <w:sz w:val="24"/>
                <w:szCs w:val="24"/>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评价</w:t>
            </w:r>
            <w:r>
              <w:rPr>
                <w:rFonts w:hint="eastAsia" w:ascii="宋体" w:hAnsi="宋体" w:cs="宋体"/>
                <w:color w:val="000000" w:themeColor="text1"/>
                <w:kern w:val="0"/>
                <w:sz w:val="24"/>
                <w:szCs w:val="24"/>
                <w:lang w:val="en-US" w:eastAsia="zh-CN" w:bidi="ar"/>
                <w14:textFill>
                  <w14:solidFill>
                    <w14:schemeClr w14:val="tx1"/>
                  </w14:solidFill>
                </w14:textFill>
              </w:rPr>
              <w:t>范围</w:t>
            </w:r>
            <w:r>
              <w:rPr>
                <w:rFonts w:hint="eastAsia" w:ascii="宋体" w:hAnsi="宋体" w:eastAsia="宋体" w:cs="宋体"/>
                <w:color w:val="000000" w:themeColor="text1"/>
                <w:kern w:val="0"/>
                <w:sz w:val="24"/>
                <w:szCs w:val="24"/>
                <w:lang w:val="en-US" w:eastAsia="zh-CN" w:bidi="ar"/>
                <w14:textFill>
                  <w14:solidFill>
                    <w14:schemeClr w14:val="tx1"/>
                  </w14:solidFill>
                </w14:textFill>
              </w:rPr>
              <w:t>内</w:t>
            </w:r>
            <w:r>
              <w:rPr>
                <w:rFonts w:hint="eastAsia" w:ascii="宋体" w:hAnsi="宋体" w:cs="宋体"/>
                <w:color w:val="000000" w:themeColor="text1"/>
                <w:kern w:val="0"/>
                <w:sz w:val="24"/>
                <w:szCs w:val="24"/>
                <w:lang w:val="en-US" w:eastAsia="zh-CN" w:bidi="ar"/>
                <w14:textFill>
                  <w14:solidFill>
                    <w14:schemeClr w14:val="tx1"/>
                  </w14:solidFill>
                </w14:textFill>
              </w:rPr>
              <w:t>无</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GB3095</w:t>
            </w:r>
            <w:r>
              <w:rPr>
                <w:rFonts w:hint="eastAsia" w:ascii="宋体" w:hAnsi="宋体" w:cs="宋体"/>
                <w:color w:val="000000" w:themeColor="text1"/>
                <w:kern w:val="0"/>
                <w:sz w:val="24"/>
                <w:szCs w:val="24"/>
                <w:lang w:val="en-US" w:eastAsia="zh-CN" w:bidi="ar"/>
                <w14:textFill>
                  <w14:solidFill>
                    <w14:schemeClr w14:val="tx1"/>
                  </w14:solidFill>
                </w14:textFill>
              </w:rPr>
              <w:t>中划为一类区的自然保护区、风景名胜区和其他需要特殊保护的区域，</w:t>
            </w:r>
            <w:r>
              <w:rPr>
                <w:rFonts w:hint="eastAsia" w:ascii="宋体" w:hAnsi="宋体" w:eastAsia="宋体" w:cs="宋体"/>
                <w:color w:val="000000" w:themeColor="text1"/>
                <w:kern w:val="0"/>
                <w:sz w:val="24"/>
                <w:szCs w:val="24"/>
                <w:lang w:val="en-US" w:eastAsia="zh-CN" w:bidi="ar"/>
                <w14:textFill>
                  <w14:solidFill>
                    <w14:schemeClr w14:val="tx1"/>
                  </w14:solidFill>
                </w14:textFill>
              </w:rPr>
              <w:t>大气环境保护目标为居</w:t>
            </w:r>
            <w:r>
              <w:rPr>
                <w:rFonts w:hint="eastAsia" w:ascii="宋体" w:hAnsi="宋体" w:cs="宋体"/>
                <w:color w:val="000000" w:themeColor="text1"/>
                <w:kern w:val="0"/>
                <w:sz w:val="24"/>
                <w:szCs w:val="24"/>
                <w:lang w:val="en-US" w:eastAsia="zh-CN" w:bidi="ar"/>
                <w14:textFill>
                  <w14:solidFill>
                    <w14:schemeClr w14:val="tx1"/>
                  </w14:solidFill>
                </w14:textFill>
              </w:rPr>
              <w:t>住区、学校及农村地区中人群较集中的区域。</w:t>
            </w:r>
          </w:p>
          <w:p w14:paraId="257BD977">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w:t>
            </w:r>
            <w:r>
              <w:rPr>
                <w:rFonts w:hint="eastAsia" w:ascii="宋体" w:hAnsi="宋体" w:eastAsia="宋体" w:cs="宋体"/>
                <w:color w:val="000000" w:themeColor="text1"/>
                <w:kern w:val="0"/>
                <w:sz w:val="24"/>
                <w:szCs w:val="24"/>
                <w:lang w:val="en-US" w:eastAsia="zh-CN" w:bidi="ar"/>
                <w14:textFill>
                  <w14:solidFill>
                    <w14:schemeClr w14:val="tx1"/>
                  </w14:solidFill>
                </w14:textFill>
              </w:rPr>
              <w:t>）声环境保护目标</w:t>
            </w:r>
          </w:p>
          <w:p w14:paraId="72168295">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项目厂界外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50m</w:t>
            </w:r>
            <w:r>
              <w:rPr>
                <w:rFonts w:hint="eastAsia" w:ascii="宋体" w:hAnsi="宋体" w:eastAsia="宋体" w:cs="宋体"/>
                <w:color w:val="000000" w:themeColor="text1"/>
                <w:kern w:val="0"/>
                <w:sz w:val="24"/>
                <w:szCs w:val="24"/>
                <w:lang w:val="en-US" w:eastAsia="zh-CN" w:bidi="ar"/>
                <w14:textFill>
                  <w14:solidFill>
                    <w14:schemeClr w14:val="tx1"/>
                  </w14:solidFill>
                </w14:textFill>
              </w:rPr>
              <w:t>无声环境保护目标。</w:t>
            </w:r>
          </w:p>
          <w:p w14:paraId="20738D3F">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地表水</w:t>
            </w:r>
            <w:r>
              <w:rPr>
                <w:rFonts w:hint="eastAsia" w:ascii="宋体" w:hAnsi="宋体" w:eastAsia="宋体" w:cs="宋体"/>
                <w:color w:val="000000" w:themeColor="text1"/>
                <w:kern w:val="0"/>
                <w:sz w:val="24"/>
                <w:szCs w:val="24"/>
                <w:lang w:val="en-US" w:eastAsia="zh-CN" w:bidi="ar"/>
                <w14:textFill>
                  <w14:solidFill>
                    <w14:schemeClr w14:val="tx1"/>
                  </w14:solidFill>
                </w14:textFill>
              </w:rPr>
              <w:t>环境保护目标</w:t>
            </w:r>
          </w:p>
          <w:p w14:paraId="3BF02E5D">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项目雨污分流，</w:t>
            </w:r>
            <w:r>
              <w:rPr>
                <w:rFonts w:hint="eastAsia" w:ascii="宋体" w:hAnsi="宋体" w:cs="宋体"/>
                <w:color w:val="000000" w:themeColor="text1"/>
                <w:kern w:val="0"/>
                <w:sz w:val="24"/>
                <w:szCs w:val="24"/>
                <w:lang w:val="en-US" w:eastAsia="zh-CN" w:bidi="ar"/>
                <w14:textFill>
                  <w14:solidFill>
                    <w14:schemeClr w14:val="tx1"/>
                  </w14:solidFill>
                </w14:textFill>
              </w:rPr>
              <w:t>仅生活污水</w:t>
            </w:r>
            <w:r>
              <w:rPr>
                <w:rFonts w:hint="eastAsia" w:ascii="宋体" w:hAnsi="宋体" w:eastAsia="宋体" w:cs="宋体"/>
                <w:color w:val="000000" w:themeColor="text1"/>
                <w:kern w:val="0"/>
                <w:sz w:val="24"/>
                <w:szCs w:val="24"/>
                <w:lang w:val="en-US" w:eastAsia="zh-CN" w:bidi="ar"/>
                <w14:textFill>
                  <w14:solidFill>
                    <w14:schemeClr w14:val="tx1"/>
                  </w14:solidFill>
                </w14:textFill>
              </w:rPr>
              <w:t>排入市政管网，送星光园区污水处理厂进一步处理</w:t>
            </w:r>
            <w:r>
              <w:rPr>
                <w:rFonts w:hint="eastAsia" w:ascii="宋体" w:hAnsi="宋体" w:cs="宋体"/>
                <w:color w:val="000000" w:themeColor="text1"/>
                <w:kern w:val="0"/>
                <w:sz w:val="24"/>
                <w:szCs w:val="24"/>
                <w:lang w:val="en-US" w:eastAsia="zh-CN" w:bidi="ar"/>
                <w14:textFill>
                  <w14:solidFill>
                    <w14:schemeClr w14:val="tx1"/>
                  </w14:solidFill>
                </w14:textFill>
              </w:rPr>
              <w:t>。项目</w:t>
            </w:r>
            <w:r>
              <w:rPr>
                <w:rFonts w:hint="eastAsia" w:ascii="宋体" w:hAnsi="宋体" w:eastAsia="宋体" w:cs="宋体"/>
                <w:color w:val="000000" w:themeColor="text1"/>
                <w:kern w:val="0"/>
                <w:sz w:val="24"/>
                <w:szCs w:val="24"/>
                <w:lang w:val="en-US" w:eastAsia="zh-CN" w:bidi="ar"/>
                <w14:textFill>
                  <w14:solidFill>
                    <w14:schemeClr w14:val="tx1"/>
                  </w14:solidFill>
                </w14:textFill>
              </w:rPr>
              <w:t>周边</w:t>
            </w:r>
            <w:r>
              <w:rPr>
                <w:rFonts w:hint="eastAsia" w:ascii="宋体" w:hAnsi="宋体" w:cs="宋体"/>
                <w:color w:val="000000" w:themeColor="text1"/>
                <w:kern w:val="0"/>
                <w:sz w:val="24"/>
                <w:szCs w:val="24"/>
                <w:lang w:val="en-US" w:eastAsia="zh-CN" w:bidi="ar"/>
                <w14:textFill>
                  <w14:solidFill>
                    <w14:schemeClr w14:val="tx1"/>
                  </w14:solidFill>
                </w14:textFill>
              </w:rPr>
              <w:t>的地表水环境保护目标</w:t>
            </w:r>
            <w:r>
              <w:rPr>
                <w:rFonts w:hint="eastAsia" w:ascii="宋体" w:hAnsi="宋体" w:eastAsia="宋体" w:cs="宋体"/>
                <w:color w:val="000000" w:themeColor="text1"/>
                <w:kern w:val="0"/>
                <w:sz w:val="24"/>
                <w:szCs w:val="24"/>
                <w:lang w:val="en-US" w:eastAsia="zh-CN" w:bidi="ar"/>
                <w14:textFill>
                  <w14:solidFill>
                    <w14:schemeClr w14:val="tx1"/>
                  </w14:solidFill>
                </w14:textFill>
              </w:rPr>
              <w:t>为</w:t>
            </w:r>
            <w:r>
              <w:rPr>
                <w:rFonts w:hint="eastAsia" w:ascii="宋体" w:hAnsi="宋体" w:cs="宋体"/>
                <w:color w:val="000000" w:themeColor="text1"/>
                <w:kern w:val="0"/>
                <w:sz w:val="24"/>
                <w:szCs w:val="24"/>
                <w:lang w:val="en-US" w:eastAsia="zh-CN" w:bidi="ar"/>
                <w14:textFill>
                  <w14:solidFill>
                    <w14:schemeClr w14:val="tx1"/>
                  </w14:solidFill>
                </w14:textFill>
              </w:rPr>
              <w:t>西南侧的</w:t>
            </w:r>
            <w:r>
              <w:rPr>
                <w:rFonts w:hint="eastAsia" w:ascii="宋体" w:hAnsi="宋体" w:eastAsia="宋体" w:cs="宋体"/>
                <w:color w:val="000000" w:themeColor="text1"/>
                <w:kern w:val="0"/>
                <w:sz w:val="24"/>
                <w:szCs w:val="24"/>
                <w:lang w:val="en-US" w:eastAsia="zh-CN" w:bidi="ar"/>
                <w14:textFill>
                  <w14:solidFill>
                    <w14:schemeClr w14:val="tx1"/>
                  </w14:solidFill>
                </w14:textFill>
              </w:rPr>
              <w:t>巴河。</w:t>
            </w:r>
          </w:p>
          <w:p w14:paraId="081EB5A3">
            <w:pPr>
              <w:keepNext w:val="0"/>
              <w:keepLines w:val="0"/>
              <w:widowControl/>
              <w:suppressLineNumbers w:val="0"/>
              <w:jc w:val="left"/>
              <w:rPr>
                <w:rFonts w:hint="eastAsia" w:ascii="宋体" w:hAnsi="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4</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地下水环境保护目标</w:t>
            </w:r>
          </w:p>
          <w:p w14:paraId="44D1148F">
            <w:pPr>
              <w:keepNext w:val="0"/>
              <w:keepLines w:val="0"/>
              <w:widowControl/>
              <w:suppressLineNumbers w:val="0"/>
              <w:ind w:firstLine="480" w:firstLineChars="200"/>
              <w:jc w:val="left"/>
              <w:rPr>
                <w:rFonts w:hint="default" w:ascii="宋体" w:hAnsi="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项目厂界外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500m</w:t>
            </w:r>
            <w:r>
              <w:rPr>
                <w:rFonts w:hint="eastAsia" w:ascii="宋体" w:hAnsi="宋体" w:eastAsia="宋体" w:cs="宋体"/>
                <w:color w:val="000000" w:themeColor="text1"/>
                <w:kern w:val="0"/>
                <w:sz w:val="24"/>
                <w:szCs w:val="24"/>
                <w:lang w:val="en-US" w:eastAsia="zh-CN" w:bidi="ar"/>
                <w14:textFill>
                  <w14:solidFill>
                    <w14:schemeClr w14:val="tx1"/>
                  </w14:solidFill>
                </w14:textFill>
              </w:rPr>
              <w:t>范围内无地下水集中式饮用水水源和热水、矿泉水、温泉等特殊地下水资源。</w:t>
            </w:r>
          </w:p>
          <w:p w14:paraId="18598D41">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（5）土壤环境保护目标</w:t>
            </w:r>
          </w:p>
          <w:p w14:paraId="521F6E95">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项目周边主要的土壤环境保护目标为东北侧的耕地。</w:t>
            </w:r>
          </w:p>
          <w:p w14:paraId="491A00A6">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（6）环境风险保护目标</w:t>
            </w:r>
          </w:p>
          <w:p w14:paraId="2168C31E">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本项目设置了环境风险专项评价。根据环境风险专项评价可知，本项目的环境风险等级为</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大气二级评价、地表水简单分析、地下水简单分析。因此，本项目环境风险评价范围为项目边界5km范围。本项目环境风险保护目标为5km评价范围内的居民和学校。</w:t>
            </w:r>
          </w:p>
          <w:p w14:paraId="57AC7DF6">
            <w:pPr>
              <w:keepNext w:val="0"/>
              <w:keepLines w:val="0"/>
              <w:widowControl/>
              <w:suppressLineNumbers w:val="0"/>
              <w:jc w:val="left"/>
              <w:rPr>
                <w:color w:val="000000" w:themeColor="text1"/>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生态</w:t>
            </w:r>
            <w:r>
              <w:rPr>
                <w:rFonts w:hint="eastAsia" w:ascii="宋体" w:hAnsi="宋体" w:eastAsia="宋体" w:cs="宋体"/>
                <w:color w:val="000000" w:themeColor="text1"/>
                <w:kern w:val="0"/>
                <w:sz w:val="24"/>
                <w:szCs w:val="24"/>
                <w:lang w:val="en-US" w:eastAsia="zh-CN" w:bidi="ar"/>
                <w14:textFill>
                  <w14:solidFill>
                    <w14:schemeClr w14:val="tx1"/>
                  </w14:solidFill>
                </w14:textFill>
              </w:rPr>
              <w:t>环境保护目标</w:t>
            </w:r>
          </w:p>
          <w:p w14:paraId="1F8C4CC6">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项目位于工业园区内，周边均为工业企业，自然生态环境受人类活动干扰很大，区域内无自然保护区、无列入国家及地方保护名录的珍稀濒危动植物及古、大、珍、奇树木分布。</w:t>
            </w:r>
          </w:p>
          <w:p w14:paraId="0F359D97">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项目区域范围内不涉及自然保护区、风景名胜区等重要的生态环境区域。根据工程性质、污染物排放特征及所在地区情况，项目区周边环境保护目标与项目的位置关系以及环境保护要求如下。</w:t>
            </w:r>
          </w:p>
          <w:p w14:paraId="0CC68EF7">
            <w:pPr>
              <w:pStyle w:val="12"/>
              <w:keepNex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t xml:space="preserve"> 环境保护目标一览表</w:t>
            </w:r>
          </w:p>
          <w:tbl>
            <w:tblPr>
              <w:tblStyle w:val="29"/>
              <w:tblW w:w="49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69"/>
              <w:gridCol w:w="1162"/>
              <w:gridCol w:w="1242"/>
              <w:gridCol w:w="1121"/>
              <w:gridCol w:w="957"/>
              <w:gridCol w:w="1059"/>
              <w:gridCol w:w="617"/>
              <w:gridCol w:w="1004"/>
              <w:gridCol w:w="1536"/>
            </w:tblGrid>
            <w:tr w14:paraId="3052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restart"/>
                  <w:vAlign w:val="center"/>
                </w:tcPr>
                <w:p w14:paraId="01D6A70C">
                  <w:pPr>
                    <w:pStyle w:val="51"/>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环境要素</w:t>
                  </w:r>
                </w:p>
              </w:tc>
              <w:tc>
                <w:tcPr>
                  <w:tcW w:w="595" w:type="pct"/>
                  <w:vMerge w:val="restart"/>
                  <w:vAlign w:val="center"/>
                </w:tcPr>
                <w:p w14:paraId="46493865">
                  <w:pPr>
                    <w:pStyle w:val="51"/>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保护目标</w:t>
                  </w:r>
                </w:p>
                <w:p w14:paraId="7D068FDC">
                  <w:pPr>
                    <w:pStyle w:val="51"/>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名称</w:t>
                  </w:r>
                </w:p>
              </w:tc>
              <w:tc>
                <w:tcPr>
                  <w:tcW w:w="1210" w:type="pct"/>
                  <w:gridSpan w:val="2"/>
                  <w:vAlign w:val="center"/>
                </w:tcPr>
                <w:p w14:paraId="23123926">
                  <w:pPr>
                    <w:pStyle w:val="51"/>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中心地理坐标</w:t>
                  </w:r>
                </w:p>
              </w:tc>
              <w:tc>
                <w:tcPr>
                  <w:tcW w:w="490" w:type="pct"/>
                  <w:vMerge w:val="restart"/>
                  <w:vAlign w:val="center"/>
                </w:tcPr>
                <w:p w14:paraId="6E752280">
                  <w:pPr>
                    <w:pStyle w:val="51"/>
                    <w:rPr>
                      <w:rFonts w:hint="default" w:ascii="Times New Roman" w:hAnsi="Times New Roman" w:cs="Times New Roman"/>
                      <w:color w:val="000000" w:themeColor="text1"/>
                      <w:sz w:val="21"/>
                      <w:szCs w:val="21"/>
                      <w:lang w:val="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相对厂址</w:t>
                  </w:r>
                  <w:r>
                    <w:rPr>
                      <w:rFonts w:hint="default" w:ascii="Times New Roman" w:hAnsi="Times New Roman" w:cs="Times New Roman"/>
                      <w:color w:val="000000" w:themeColor="text1"/>
                      <w:sz w:val="21"/>
                      <w:szCs w:val="21"/>
                      <w:lang w:val="zh-CN"/>
                      <w14:textFill>
                        <w14:solidFill>
                          <w14:schemeClr w14:val="tx1"/>
                        </w14:solidFill>
                      </w14:textFill>
                    </w:rPr>
                    <w:t>距离</w:t>
                  </w:r>
                  <w:r>
                    <w:rPr>
                      <w:rFonts w:hint="eastAsia" w:cs="Times New Roman"/>
                      <w:color w:val="000000" w:themeColor="text1"/>
                      <w:sz w:val="21"/>
                      <w:szCs w:val="21"/>
                      <w:lang w:val="en-US" w:eastAsia="zh-CN"/>
                      <w14:textFill>
                        <w14:solidFill>
                          <w14:schemeClr w14:val="tx1"/>
                        </w14:solidFill>
                      </w14:textFill>
                    </w:rPr>
                    <w:t>/m</w:t>
                  </w:r>
                </w:p>
              </w:tc>
              <w:tc>
                <w:tcPr>
                  <w:tcW w:w="542" w:type="pct"/>
                  <w:vMerge w:val="restart"/>
                  <w:vAlign w:val="center"/>
                </w:tcPr>
                <w:p w14:paraId="040E8FC1">
                  <w:pPr>
                    <w:pStyle w:val="51"/>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相对厂址方位</w:t>
                  </w:r>
                </w:p>
              </w:tc>
              <w:tc>
                <w:tcPr>
                  <w:tcW w:w="312" w:type="pct"/>
                  <w:vMerge w:val="restart"/>
                  <w:vAlign w:val="center"/>
                </w:tcPr>
                <w:p w14:paraId="32CA6F89">
                  <w:pPr>
                    <w:pStyle w:val="51"/>
                    <w:rPr>
                      <w:rFonts w:hint="default" w:ascii="Times New Roman" w:hAnsi="Times New Roman" w:cs="Times New Roman"/>
                      <w:color w:val="000000" w:themeColor="text1"/>
                      <w:sz w:val="21"/>
                      <w:szCs w:val="21"/>
                      <w:lang w:val="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保护对象</w:t>
                  </w:r>
                </w:p>
              </w:tc>
              <w:tc>
                <w:tcPr>
                  <w:tcW w:w="514" w:type="pct"/>
                  <w:vMerge w:val="restart"/>
                  <w:vAlign w:val="center"/>
                </w:tcPr>
                <w:p w14:paraId="6E778901">
                  <w:pPr>
                    <w:pStyle w:val="51"/>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保护</w:t>
                  </w:r>
                </w:p>
                <w:p w14:paraId="18B8F23E">
                  <w:pPr>
                    <w:pStyle w:val="51"/>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内容</w:t>
                  </w:r>
                </w:p>
              </w:tc>
              <w:tc>
                <w:tcPr>
                  <w:tcW w:w="785" w:type="pct"/>
                  <w:vMerge w:val="restart"/>
                  <w:vAlign w:val="center"/>
                </w:tcPr>
                <w:p w14:paraId="042C401D">
                  <w:pPr>
                    <w:pStyle w:val="51"/>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环境功能</w:t>
                  </w:r>
                  <w:r>
                    <w:rPr>
                      <w:rFonts w:hint="eastAsia" w:cs="Times New Roman"/>
                      <w:color w:val="000000" w:themeColor="text1"/>
                      <w:sz w:val="21"/>
                      <w:szCs w:val="21"/>
                      <w:lang w:val="en-US" w:eastAsia="zh-CN"/>
                      <w14:textFill>
                        <w14:solidFill>
                          <w14:schemeClr w14:val="tx1"/>
                        </w14:solidFill>
                      </w14:textFill>
                    </w:rPr>
                    <w:t>区</w:t>
                  </w:r>
                </w:p>
              </w:tc>
            </w:tr>
            <w:tr w14:paraId="7142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52B2CA4A">
                  <w:pPr>
                    <w:pStyle w:val="51"/>
                    <w:rPr>
                      <w:color w:val="000000" w:themeColor="text1"/>
                      <w:sz w:val="21"/>
                      <w:szCs w:val="21"/>
                      <w14:textFill>
                        <w14:solidFill>
                          <w14:schemeClr w14:val="tx1"/>
                        </w14:solidFill>
                      </w14:textFill>
                    </w:rPr>
                  </w:pPr>
                </w:p>
              </w:tc>
              <w:tc>
                <w:tcPr>
                  <w:tcW w:w="595" w:type="pct"/>
                  <w:vMerge w:val="continue"/>
                  <w:vAlign w:val="center"/>
                </w:tcPr>
                <w:p w14:paraId="4F19D369">
                  <w:pPr>
                    <w:pStyle w:val="51"/>
                    <w:rPr>
                      <w:color w:val="000000" w:themeColor="text1"/>
                      <w:sz w:val="21"/>
                      <w:szCs w:val="21"/>
                      <w14:textFill>
                        <w14:solidFill>
                          <w14:schemeClr w14:val="tx1"/>
                        </w14:solidFill>
                      </w14:textFill>
                    </w:rPr>
                  </w:pPr>
                </w:p>
              </w:tc>
              <w:tc>
                <w:tcPr>
                  <w:tcW w:w="636" w:type="pct"/>
                  <w:vAlign w:val="center"/>
                </w:tcPr>
                <w:p w14:paraId="52168B44">
                  <w:pPr>
                    <w:pStyle w:val="51"/>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X</w:t>
                  </w:r>
                </w:p>
              </w:tc>
              <w:tc>
                <w:tcPr>
                  <w:tcW w:w="573" w:type="pct"/>
                  <w:vAlign w:val="center"/>
                </w:tcPr>
                <w:p w14:paraId="2F79245B">
                  <w:pPr>
                    <w:pStyle w:val="51"/>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Y</w:t>
                  </w:r>
                </w:p>
              </w:tc>
              <w:tc>
                <w:tcPr>
                  <w:tcW w:w="490" w:type="pct"/>
                  <w:vMerge w:val="continue"/>
                  <w:vAlign w:val="center"/>
                </w:tcPr>
                <w:p w14:paraId="513B53B8">
                  <w:pPr>
                    <w:pStyle w:val="51"/>
                    <w:rPr>
                      <w:rFonts w:hint="default" w:ascii="Times New Roman" w:hAnsi="Times New Roman" w:cs="Times New Roman"/>
                      <w:color w:val="000000" w:themeColor="text1"/>
                      <w:sz w:val="21"/>
                      <w:szCs w:val="21"/>
                      <w14:textFill>
                        <w14:solidFill>
                          <w14:schemeClr w14:val="tx1"/>
                        </w14:solidFill>
                      </w14:textFill>
                    </w:rPr>
                  </w:pPr>
                </w:p>
              </w:tc>
              <w:tc>
                <w:tcPr>
                  <w:tcW w:w="542" w:type="pct"/>
                  <w:vMerge w:val="continue"/>
                  <w:vAlign w:val="center"/>
                </w:tcPr>
                <w:p w14:paraId="12540F61">
                  <w:pPr>
                    <w:pStyle w:val="51"/>
                    <w:rPr>
                      <w:rFonts w:hint="default" w:ascii="Times New Roman" w:hAnsi="Times New Roman" w:cs="Times New Roman"/>
                      <w:color w:val="000000" w:themeColor="text1"/>
                      <w:sz w:val="21"/>
                      <w:szCs w:val="21"/>
                      <w14:textFill>
                        <w14:solidFill>
                          <w14:schemeClr w14:val="tx1"/>
                        </w14:solidFill>
                      </w14:textFill>
                    </w:rPr>
                  </w:pPr>
                </w:p>
              </w:tc>
              <w:tc>
                <w:tcPr>
                  <w:tcW w:w="312" w:type="pct"/>
                  <w:vMerge w:val="continue"/>
                  <w:vAlign w:val="center"/>
                </w:tcPr>
                <w:p w14:paraId="282F834B">
                  <w:pPr>
                    <w:pStyle w:val="51"/>
                    <w:rPr>
                      <w:rFonts w:hint="default" w:ascii="Times New Roman" w:hAnsi="Times New Roman" w:cs="Times New Roman"/>
                      <w:color w:val="000000" w:themeColor="text1"/>
                      <w:sz w:val="21"/>
                      <w:szCs w:val="21"/>
                      <w14:textFill>
                        <w14:solidFill>
                          <w14:schemeClr w14:val="tx1"/>
                        </w14:solidFill>
                      </w14:textFill>
                    </w:rPr>
                  </w:pPr>
                </w:p>
              </w:tc>
              <w:tc>
                <w:tcPr>
                  <w:tcW w:w="514" w:type="pct"/>
                  <w:vMerge w:val="continue"/>
                  <w:vAlign w:val="center"/>
                </w:tcPr>
                <w:p w14:paraId="719F2CBA">
                  <w:pPr>
                    <w:pStyle w:val="51"/>
                    <w:rPr>
                      <w:rFonts w:hint="default" w:ascii="Times New Roman" w:hAnsi="Times New Roman" w:cs="Times New Roman"/>
                      <w:color w:val="000000" w:themeColor="text1"/>
                      <w:sz w:val="21"/>
                      <w:szCs w:val="21"/>
                      <w14:textFill>
                        <w14:solidFill>
                          <w14:schemeClr w14:val="tx1"/>
                        </w14:solidFill>
                      </w14:textFill>
                    </w:rPr>
                  </w:pPr>
                </w:p>
              </w:tc>
              <w:tc>
                <w:tcPr>
                  <w:tcW w:w="785" w:type="pct"/>
                  <w:vMerge w:val="continue"/>
                  <w:vAlign w:val="center"/>
                </w:tcPr>
                <w:p w14:paraId="52333FD9">
                  <w:pPr>
                    <w:pStyle w:val="51"/>
                    <w:rPr>
                      <w:rFonts w:hint="default" w:ascii="Times New Roman" w:hAnsi="Times New Roman" w:cs="Times New Roman"/>
                      <w:color w:val="000000" w:themeColor="text1"/>
                      <w:sz w:val="21"/>
                      <w:szCs w:val="21"/>
                      <w14:textFill>
                        <w14:solidFill>
                          <w14:schemeClr w14:val="tx1"/>
                        </w14:solidFill>
                      </w14:textFill>
                    </w:rPr>
                  </w:pPr>
                </w:p>
              </w:tc>
            </w:tr>
            <w:tr w14:paraId="359F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restart"/>
                  <w:vAlign w:val="center"/>
                </w:tcPr>
                <w:p w14:paraId="10F975BF">
                  <w:pPr>
                    <w:pStyle w:val="13"/>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环境空气</w:t>
                  </w:r>
                </w:p>
              </w:tc>
              <w:tc>
                <w:tcPr>
                  <w:tcW w:w="595" w:type="pct"/>
                  <w:shd w:val="clear" w:color="auto" w:fill="auto"/>
                  <w:vAlign w:val="center"/>
                </w:tcPr>
                <w:p w14:paraId="04E41B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居民点3</w:t>
                  </w:r>
                </w:p>
              </w:tc>
              <w:tc>
                <w:tcPr>
                  <w:tcW w:w="636" w:type="pct"/>
                  <w:shd w:val="clear" w:color="auto" w:fill="auto"/>
                  <w:vAlign w:val="center"/>
                </w:tcPr>
                <w:p w14:paraId="68D6B4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609.25</w:t>
                  </w:r>
                </w:p>
              </w:tc>
              <w:tc>
                <w:tcPr>
                  <w:tcW w:w="573" w:type="pct"/>
                  <w:shd w:val="clear" w:color="auto" w:fill="auto"/>
                  <w:vAlign w:val="center"/>
                </w:tcPr>
                <w:p w14:paraId="2981FD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-231.07</w:t>
                  </w:r>
                </w:p>
              </w:tc>
              <w:tc>
                <w:tcPr>
                  <w:tcW w:w="490" w:type="pct"/>
                  <w:shd w:val="clear" w:color="auto" w:fill="auto"/>
                  <w:vAlign w:val="center"/>
                </w:tcPr>
                <w:p w14:paraId="4EB1C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651</w:t>
                  </w:r>
                </w:p>
              </w:tc>
              <w:tc>
                <w:tcPr>
                  <w:tcW w:w="542" w:type="pct"/>
                  <w:shd w:val="clear" w:color="auto" w:fill="auto"/>
                  <w:vAlign w:val="center"/>
                </w:tcPr>
                <w:p w14:paraId="06FE51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ESE</w:t>
                  </w:r>
                </w:p>
              </w:tc>
              <w:tc>
                <w:tcPr>
                  <w:tcW w:w="312" w:type="pct"/>
                  <w:shd w:val="clear" w:color="auto" w:fill="auto"/>
                  <w:vAlign w:val="center"/>
                </w:tcPr>
                <w:p w14:paraId="236AF7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3DEF0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约45人</w:t>
                  </w:r>
                </w:p>
              </w:tc>
              <w:tc>
                <w:tcPr>
                  <w:tcW w:w="785" w:type="pct"/>
                  <w:vMerge w:val="restart"/>
                  <w:vAlign w:val="center"/>
                </w:tcPr>
                <w:p w14:paraId="71516390">
                  <w:pPr>
                    <w:pStyle w:val="13"/>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GB3095-2026</w:t>
                  </w:r>
                  <w:r>
                    <w:rPr>
                      <w:rFonts w:hint="default" w:ascii="Times New Roman" w:hAnsi="Times New Roman" w:cs="Times New Roman"/>
                      <w:color w:val="000000" w:themeColor="text1"/>
                      <w:sz w:val="21"/>
                      <w:szCs w:val="21"/>
                      <w14:textFill>
                        <w14:solidFill>
                          <w14:schemeClr w14:val="tx1"/>
                        </w14:solidFill>
                      </w14:textFill>
                    </w:rPr>
                    <w:t>大气环境质量二类功能区</w:t>
                  </w:r>
                </w:p>
              </w:tc>
            </w:tr>
            <w:tr w14:paraId="69E4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5E7D1F39">
                  <w:pPr>
                    <w:pStyle w:val="13"/>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7D9474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居民点1</w:t>
                  </w:r>
                </w:p>
              </w:tc>
              <w:tc>
                <w:tcPr>
                  <w:tcW w:w="636" w:type="pct"/>
                  <w:shd w:val="clear" w:color="auto" w:fill="auto"/>
                  <w:vAlign w:val="center"/>
                </w:tcPr>
                <w:p w14:paraId="23BBD8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-226.52</w:t>
                  </w:r>
                </w:p>
              </w:tc>
              <w:tc>
                <w:tcPr>
                  <w:tcW w:w="573" w:type="pct"/>
                  <w:shd w:val="clear" w:color="auto" w:fill="auto"/>
                  <w:vAlign w:val="center"/>
                </w:tcPr>
                <w:p w14:paraId="2A0DEB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463.21</w:t>
                  </w:r>
                </w:p>
              </w:tc>
              <w:tc>
                <w:tcPr>
                  <w:tcW w:w="490" w:type="pct"/>
                  <w:shd w:val="clear" w:color="auto" w:fill="auto"/>
                  <w:vAlign w:val="center"/>
                </w:tcPr>
                <w:p w14:paraId="5AC5FE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515</w:t>
                  </w:r>
                </w:p>
              </w:tc>
              <w:tc>
                <w:tcPr>
                  <w:tcW w:w="542" w:type="pct"/>
                  <w:shd w:val="clear" w:color="auto" w:fill="auto"/>
                  <w:vAlign w:val="center"/>
                </w:tcPr>
                <w:p w14:paraId="45989F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312" w:type="pct"/>
                  <w:shd w:val="clear" w:color="auto" w:fill="auto"/>
                  <w:vAlign w:val="center"/>
                </w:tcPr>
                <w:p w14:paraId="4A1B39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4E35AF4">
                  <w:pPr>
                    <w:pStyle w:val="13"/>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约24人</w:t>
                  </w:r>
                </w:p>
              </w:tc>
              <w:tc>
                <w:tcPr>
                  <w:tcW w:w="785" w:type="pct"/>
                  <w:vMerge w:val="continue"/>
                  <w:vAlign w:val="center"/>
                </w:tcPr>
                <w:p w14:paraId="7A37C6A7">
                  <w:pPr>
                    <w:pStyle w:val="13"/>
                    <w:rPr>
                      <w:rFonts w:hint="default" w:ascii="Times New Roman" w:hAnsi="Times New Roman" w:cs="Times New Roman"/>
                      <w:color w:val="000000" w:themeColor="text1"/>
                      <w:sz w:val="21"/>
                      <w:szCs w:val="21"/>
                      <w14:textFill>
                        <w14:solidFill>
                          <w14:schemeClr w14:val="tx1"/>
                        </w14:solidFill>
                      </w14:textFill>
                    </w:rPr>
                  </w:pPr>
                </w:p>
              </w:tc>
            </w:tr>
            <w:tr w14:paraId="6E87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65B56A52">
                  <w:pPr>
                    <w:pStyle w:val="13"/>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0CF954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居民点2</w:t>
                  </w:r>
                </w:p>
              </w:tc>
              <w:tc>
                <w:tcPr>
                  <w:tcW w:w="636" w:type="pct"/>
                  <w:shd w:val="clear" w:color="auto" w:fill="auto"/>
                  <w:vAlign w:val="center"/>
                </w:tcPr>
                <w:p w14:paraId="714497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413.97</w:t>
                  </w:r>
                </w:p>
              </w:tc>
              <w:tc>
                <w:tcPr>
                  <w:tcW w:w="573" w:type="pct"/>
                  <w:shd w:val="clear" w:color="auto" w:fill="auto"/>
                  <w:vAlign w:val="center"/>
                </w:tcPr>
                <w:p w14:paraId="602E71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359.26</w:t>
                  </w:r>
                </w:p>
              </w:tc>
              <w:tc>
                <w:tcPr>
                  <w:tcW w:w="490" w:type="pct"/>
                  <w:shd w:val="clear" w:color="auto" w:fill="auto"/>
                  <w:vAlign w:val="center"/>
                </w:tcPr>
                <w:p w14:paraId="745B79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548</w:t>
                  </w:r>
                </w:p>
              </w:tc>
              <w:tc>
                <w:tcPr>
                  <w:tcW w:w="542" w:type="pct"/>
                  <w:shd w:val="clear" w:color="auto" w:fill="auto"/>
                  <w:vAlign w:val="center"/>
                </w:tcPr>
                <w:p w14:paraId="1DF0AE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312" w:type="pct"/>
                  <w:shd w:val="clear" w:color="auto" w:fill="auto"/>
                  <w:vAlign w:val="center"/>
                </w:tcPr>
                <w:p w14:paraId="3FAB4A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136EF77">
                  <w:pPr>
                    <w:pStyle w:val="13"/>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约51人</w:t>
                  </w:r>
                </w:p>
              </w:tc>
              <w:tc>
                <w:tcPr>
                  <w:tcW w:w="785" w:type="pct"/>
                  <w:vMerge w:val="continue"/>
                  <w:vAlign w:val="center"/>
                </w:tcPr>
                <w:p w14:paraId="13E61D5E">
                  <w:pPr>
                    <w:pStyle w:val="13"/>
                    <w:rPr>
                      <w:rFonts w:hint="default" w:ascii="Times New Roman" w:hAnsi="Times New Roman" w:cs="Times New Roman"/>
                      <w:color w:val="000000" w:themeColor="text1"/>
                      <w:sz w:val="21"/>
                      <w:szCs w:val="21"/>
                      <w14:textFill>
                        <w14:solidFill>
                          <w14:schemeClr w14:val="tx1"/>
                        </w14:solidFill>
                      </w14:textFill>
                    </w:rPr>
                  </w:pPr>
                </w:p>
              </w:tc>
            </w:tr>
            <w:tr w14:paraId="1218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679DFB1C">
                  <w:pPr>
                    <w:pStyle w:val="13"/>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096DAB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双星社区</w:t>
                  </w:r>
                </w:p>
              </w:tc>
              <w:tc>
                <w:tcPr>
                  <w:tcW w:w="636" w:type="pct"/>
                  <w:shd w:val="clear" w:color="auto" w:fill="auto"/>
                  <w:vAlign w:val="center"/>
                </w:tcPr>
                <w:p w14:paraId="5E1E08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-854.28</w:t>
                  </w:r>
                </w:p>
              </w:tc>
              <w:tc>
                <w:tcPr>
                  <w:tcW w:w="573" w:type="pct"/>
                  <w:shd w:val="clear" w:color="auto" w:fill="auto"/>
                  <w:vAlign w:val="center"/>
                </w:tcPr>
                <w:p w14:paraId="5D99F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230.49</w:t>
                  </w:r>
                </w:p>
              </w:tc>
              <w:tc>
                <w:tcPr>
                  <w:tcW w:w="490" w:type="pct"/>
                  <w:shd w:val="clear" w:color="auto" w:fill="auto"/>
                  <w:vAlign w:val="center"/>
                </w:tcPr>
                <w:p w14:paraId="5DDBA5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884</w:t>
                  </w:r>
                </w:p>
              </w:tc>
              <w:tc>
                <w:tcPr>
                  <w:tcW w:w="542" w:type="pct"/>
                  <w:shd w:val="clear" w:color="auto" w:fill="auto"/>
                  <w:vAlign w:val="center"/>
                </w:tcPr>
                <w:p w14:paraId="315244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312" w:type="pct"/>
                  <w:shd w:val="clear" w:color="auto" w:fill="auto"/>
                  <w:vAlign w:val="center"/>
                </w:tcPr>
                <w:p w14:paraId="51010C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64E125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约500人</w:t>
                  </w:r>
                </w:p>
              </w:tc>
              <w:tc>
                <w:tcPr>
                  <w:tcW w:w="785" w:type="pct"/>
                  <w:vMerge w:val="continue"/>
                  <w:vAlign w:val="center"/>
                </w:tcPr>
                <w:p w14:paraId="651CAB11">
                  <w:pPr>
                    <w:pStyle w:val="13"/>
                    <w:rPr>
                      <w:rFonts w:hint="default" w:ascii="Times New Roman" w:hAnsi="Times New Roman" w:cs="Times New Roman"/>
                      <w:color w:val="000000" w:themeColor="text1"/>
                      <w:sz w:val="21"/>
                      <w:szCs w:val="21"/>
                      <w14:textFill>
                        <w14:solidFill>
                          <w14:schemeClr w14:val="tx1"/>
                        </w14:solidFill>
                      </w14:textFill>
                    </w:rPr>
                  </w:pPr>
                </w:p>
              </w:tc>
            </w:tr>
            <w:tr w14:paraId="310F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68F3F066">
                  <w:pPr>
                    <w:pStyle w:val="13"/>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6C236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歇凉树</w:t>
                  </w:r>
                </w:p>
              </w:tc>
              <w:tc>
                <w:tcPr>
                  <w:tcW w:w="636" w:type="pct"/>
                  <w:shd w:val="clear" w:color="auto" w:fill="auto"/>
                  <w:vAlign w:val="center"/>
                </w:tcPr>
                <w:p w14:paraId="697E8B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-1410.53</w:t>
                  </w:r>
                </w:p>
              </w:tc>
              <w:tc>
                <w:tcPr>
                  <w:tcW w:w="573" w:type="pct"/>
                  <w:shd w:val="clear" w:color="auto" w:fill="auto"/>
                  <w:vAlign w:val="center"/>
                </w:tcPr>
                <w:p w14:paraId="1AA58A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703.81</w:t>
                  </w:r>
                </w:p>
              </w:tc>
              <w:tc>
                <w:tcPr>
                  <w:tcW w:w="490" w:type="pct"/>
                  <w:shd w:val="clear" w:color="auto" w:fill="auto"/>
                  <w:vAlign w:val="center"/>
                </w:tcPr>
                <w:p w14:paraId="17775C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1576</w:t>
                  </w:r>
                </w:p>
              </w:tc>
              <w:tc>
                <w:tcPr>
                  <w:tcW w:w="542" w:type="pct"/>
                  <w:shd w:val="clear" w:color="auto" w:fill="auto"/>
                  <w:vAlign w:val="center"/>
                </w:tcPr>
                <w:p w14:paraId="5B81E3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312" w:type="pct"/>
                  <w:shd w:val="clear" w:color="auto" w:fill="auto"/>
                  <w:vAlign w:val="center"/>
                </w:tcPr>
                <w:p w14:paraId="1CF747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38B8BB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约160人</w:t>
                  </w:r>
                </w:p>
              </w:tc>
              <w:tc>
                <w:tcPr>
                  <w:tcW w:w="785" w:type="pct"/>
                  <w:vMerge w:val="continue"/>
                  <w:vAlign w:val="center"/>
                </w:tcPr>
                <w:p w14:paraId="1D235849">
                  <w:pPr>
                    <w:pStyle w:val="13"/>
                    <w:rPr>
                      <w:rFonts w:hint="default" w:ascii="Times New Roman" w:hAnsi="Times New Roman" w:cs="Times New Roman"/>
                      <w:color w:val="000000" w:themeColor="text1"/>
                      <w:sz w:val="21"/>
                      <w:szCs w:val="21"/>
                      <w14:textFill>
                        <w14:solidFill>
                          <w14:schemeClr w14:val="tx1"/>
                        </w14:solidFill>
                      </w14:textFill>
                    </w:rPr>
                  </w:pPr>
                </w:p>
              </w:tc>
            </w:tr>
            <w:tr w14:paraId="068B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60278D32">
                  <w:pPr>
                    <w:pStyle w:val="13"/>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7D4F14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居民点4</w:t>
                  </w:r>
                </w:p>
              </w:tc>
              <w:tc>
                <w:tcPr>
                  <w:tcW w:w="636" w:type="pct"/>
                  <w:shd w:val="clear" w:color="auto" w:fill="auto"/>
                  <w:vAlign w:val="center"/>
                </w:tcPr>
                <w:p w14:paraId="0114DB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-299.34</w:t>
                  </w:r>
                </w:p>
              </w:tc>
              <w:tc>
                <w:tcPr>
                  <w:tcW w:w="573" w:type="pct"/>
                  <w:shd w:val="clear" w:color="auto" w:fill="auto"/>
                  <w:vAlign w:val="center"/>
                </w:tcPr>
                <w:p w14:paraId="412FF4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-21.57</w:t>
                  </w:r>
                </w:p>
              </w:tc>
              <w:tc>
                <w:tcPr>
                  <w:tcW w:w="490" w:type="pct"/>
                  <w:shd w:val="clear" w:color="auto" w:fill="auto"/>
                  <w:vAlign w:val="center"/>
                </w:tcPr>
                <w:p w14:paraId="13ABE3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300</w:t>
                  </w:r>
                </w:p>
              </w:tc>
              <w:tc>
                <w:tcPr>
                  <w:tcW w:w="542" w:type="pct"/>
                  <w:shd w:val="clear" w:color="auto" w:fill="auto"/>
                  <w:vAlign w:val="center"/>
                </w:tcPr>
                <w:p w14:paraId="0CB377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w:t>
                  </w:r>
                </w:p>
              </w:tc>
              <w:tc>
                <w:tcPr>
                  <w:tcW w:w="312" w:type="pct"/>
                  <w:shd w:val="clear" w:color="auto" w:fill="auto"/>
                  <w:vAlign w:val="center"/>
                </w:tcPr>
                <w:p w14:paraId="736B94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4BE8C85">
                  <w:pPr>
                    <w:pStyle w:val="13"/>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约36人</w:t>
                  </w:r>
                </w:p>
              </w:tc>
              <w:tc>
                <w:tcPr>
                  <w:tcW w:w="785" w:type="pct"/>
                  <w:vMerge w:val="continue"/>
                  <w:vAlign w:val="center"/>
                </w:tcPr>
                <w:p w14:paraId="59F682F5">
                  <w:pPr>
                    <w:pStyle w:val="13"/>
                    <w:rPr>
                      <w:rFonts w:hint="default" w:ascii="Times New Roman" w:hAnsi="Times New Roman" w:cs="Times New Roman"/>
                      <w:color w:val="000000" w:themeColor="text1"/>
                      <w:sz w:val="21"/>
                      <w:szCs w:val="21"/>
                      <w14:textFill>
                        <w14:solidFill>
                          <w14:schemeClr w14:val="tx1"/>
                        </w14:solidFill>
                      </w14:textFill>
                    </w:rPr>
                  </w:pPr>
                </w:p>
              </w:tc>
            </w:tr>
            <w:tr w14:paraId="59195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0CE27984">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44E4BD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居民点5</w:t>
                  </w:r>
                </w:p>
              </w:tc>
              <w:tc>
                <w:tcPr>
                  <w:tcW w:w="636" w:type="pct"/>
                  <w:shd w:val="clear" w:color="auto" w:fill="auto"/>
                  <w:vAlign w:val="center"/>
                </w:tcPr>
                <w:p w14:paraId="060C62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-443.83</w:t>
                  </w:r>
                </w:p>
              </w:tc>
              <w:tc>
                <w:tcPr>
                  <w:tcW w:w="573" w:type="pct"/>
                  <w:shd w:val="clear" w:color="auto" w:fill="auto"/>
                  <w:vAlign w:val="center"/>
                </w:tcPr>
                <w:p w14:paraId="2930A1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339.41</w:t>
                  </w:r>
                </w:p>
              </w:tc>
              <w:tc>
                <w:tcPr>
                  <w:tcW w:w="490" w:type="pct"/>
                  <w:shd w:val="clear" w:color="auto" w:fill="auto"/>
                  <w:vAlign w:val="center"/>
                </w:tcPr>
                <w:p w14:paraId="1C398A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558</w:t>
                  </w:r>
                </w:p>
              </w:tc>
              <w:tc>
                <w:tcPr>
                  <w:tcW w:w="542" w:type="pct"/>
                  <w:shd w:val="clear" w:color="auto" w:fill="auto"/>
                  <w:vAlign w:val="center"/>
                </w:tcPr>
                <w:p w14:paraId="62D5EB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312" w:type="pct"/>
                  <w:shd w:val="clear" w:color="auto" w:fill="auto"/>
                  <w:vAlign w:val="center"/>
                </w:tcPr>
                <w:p w14:paraId="15E41A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40C2D660">
                  <w:pPr>
                    <w:pStyle w:val="13"/>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约21人</w:t>
                  </w:r>
                </w:p>
              </w:tc>
              <w:tc>
                <w:tcPr>
                  <w:tcW w:w="785" w:type="pct"/>
                  <w:vMerge w:val="continue"/>
                  <w:vAlign w:val="center"/>
                </w:tcPr>
                <w:p w14:paraId="19F9547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6E9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23D0DEC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7E7342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平昌县星光实验学校</w:t>
                  </w:r>
                </w:p>
              </w:tc>
              <w:tc>
                <w:tcPr>
                  <w:tcW w:w="636" w:type="pct"/>
                  <w:shd w:val="clear" w:color="auto" w:fill="auto"/>
                  <w:vAlign w:val="center"/>
                </w:tcPr>
                <w:p w14:paraId="62FE77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-480.84</w:t>
                  </w:r>
                </w:p>
              </w:tc>
              <w:tc>
                <w:tcPr>
                  <w:tcW w:w="573" w:type="pct"/>
                  <w:shd w:val="clear" w:color="auto" w:fill="auto"/>
                  <w:vAlign w:val="center"/>
                </w:tcPr>
                <w:p w14:paraId="2CA0AB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146.92</w:t>
                  </w:r>
                </w:p>
              </w:tc>
              <w:tc>
                <w:tcPr>
                  <w:tcW w:w="490" w:type="pct"/>
                  <w:shd w:val="clear" w:color="auto" w:fill="auto"/>
                  <w:vAlign w:val="center"/>
                </w:tcPr>
                <w:p w14:paraId="0A0528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502</w:t>
                  </w:r>
                </w:p>
              </w:tc>
              <w:tc>
                <w:tcPr>
                  <w:tcW w:w="542" w:type="pct"/>
                  <w:shd w:val="clear" w:color="auto" w:fill="auto"/>
                  <w:vAlign w:val="center"/>
                </w:tcPr>
                <w:p w14:paraId="7F7150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312" w:type="pct"/>
                  <w:shd w:val="clear" w:color="auto" w:fill="auto"/>
                  <w:vAlign w:val="center"/>
                </w:tcPr>
                <w:p w14:paraId="4CEF8C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学校</w:t>
                  </w:r>
                </w:p>
              </w:tc>
              <w:tc>
                <w:tcPr>
                  <w:tcW w:w="514" w:type="pct"/>
                  <w:shd w:val="clear" w:color="auto" w:fill="auto"/>
                  <w:vAlign w:val="center"/>
                </w:tcPr>
                <w:p w14:paraId="53CC4D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约1500人</w:t>
                  </w:r>
                </w:p>
              </w:tc>
              <w:tc>
                <w:tcPr>
                  <w:tcW w:w="785" w:type="pct"/>
                  <w:vMerge w:val="continue"/>
                  <w:vAlign w:val="center"/>
                </w:tcPr>
                <w:p w14:paraId="05CFC09E">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98F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1624C9CE">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4BF6D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高冠村</w:t>
                  </w:r>
                </w:p>
              </w:tc>
              <w:tc>
                <w:tcPr>
                  <w:tcW w:w="636" w:type="pct"/>
                  <w:shd w:val="clear" w:color="auto" w:fill="auto"/>
                  <w:vAlign w:val="center"/>
                </w:tcPr>
                <w:p w14:paraId="49C54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2249.71</w:t>
                  </w:r>
                </w:p>
              </w:tc>
              <w:tc>
                <w:tcPr>
                  <w:tcW w:w="573" w:type="pct"/>
                  <w:shd w:val="clear" w:color="auto" w:fill="auto"/>
                  <w:vAlign w:val="center"/>
                </w:tcPr>
                <w:p w14:paraId="2034CF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615.05</w:t>
                  </w:r>
                </w:p>
              </w:tc>
              <w:tc>
                <w:tcPr>
                  <w:tcW w:w="490" w:type="pct"/>
                  <w:shd w:val="clear" w:color="auto" w:fill="auto"/>
                  <w:vAlign w:val="center"/>
                </w:tcPr>
                <w:p w14:paraId="1D37AE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2332</w:t>
                  </w:r>
                </w:p>
              </w:tc>
              <w:tc>
                <w:tcPr>
                  <w:tcW w:w="542" w:type="pct"/>
                  <w:shd w:val="clear" w:color="auto" w:fill="auto"/>
                  <w:vAlign w:val="center"/>
                </w:tcPr>
                <w:p w14:paraId="79822B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312" w:type="pct"/>
                  <w:shd w:val="clear" w:color="auto" w:fill="auto"/>
                  <w:vAlign w:val="center"/>
                </w:tcPr>
                <w:p w14:paraId="44D57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9DD27E1">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约220人</w:t>
                  </w:r>
                </w:p>
              </w:tc>
              <w:tc>
                <w:tcPr>
                  <w:tcW w:w="785" w:type="pct"/>
                  <w:vMerge w:val="continue"/>
                  <w:vAlign w:val="center"/>
                </w:tcPr>
                <w:p w14:paraId="0841040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E57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3748F004">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3EAC8A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吴家沟</w:t>
                  </w:r>
                </w:p>
              </w:tc>
              <w:tc>
                <w:tcPr>
                  <w:tcW w:w="636" w:type="pct"/>
                  <w:shd w:val="clear" w:color="auto" w:fill="auto"/>
                  <w:vAlign w:val="center"/>
                </w:tcPr>
                <w:p w14:paraId="457C14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2137.73</w:t>
                  </w:r>
                </w:p>
              </w:tc>
              <w:tc>
                <w:tcPr>
                  <w:tcW w:w="573" w:type="pct"/>
                  <w:shd w:val="clear" w:color="auto" w:fill="auto"/>
                  <w:vAlign w:val="center"/>
                </w:tcPr>
                <w:p w14:paraId="61B19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1477.88</w:t>
                  </w:r>
                </w:p>
              </w:tc>
              <w:tc>
                <w:tcPr>
                  <w:tcW w:w="490" w:type="pct"/>
                  <w:shd w:val="clear" w:color="auto" w:fill="auto"/>
                  <w:vAlign w:val="center"/>
                </w:tcPr>
                <w:p w14:paraId="688EC6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2598</w:t>
                  </w:r>
                </w:p>
              </w:tc>
              <w:tc>
                <w:tcPr>
                  <w:tcW w:w="542" w:type="pct"/>
                  <w:shd w:val="clear" w:color="auto" w:fill="auto"/>
                  <w:vAlign w:val="center"/>
                </w:tcPr>
                <w:p w14:paraId="004E7B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312" w:type="pct"/>
                  <w:shd w:val="clear" w:color="auto" w:fill="auto"/>
                  <w:vAlign w:val="center"/>
                </w:tcPr>
                <w:p w14:paraId="72B1E3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7E057483">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约135人</w:t>
                  </w:r>
                </w:p>
              </w:tc>
              <w:tc>
                <w:tcPr>
                  <w:tcW w:w="785" w:type="pct"/>
                  <w:vMerge w:val="continue"/>
                  <w:vAlign w:val="center"/>
                </w:tcPr>
                <w:p w14:paraId="2E138A17">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276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72D5066A">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75B879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孙家山</w:t>
                  </w:r>
                </w:p>
              </w:tc>
              <w:tc>
                <w:tcPr>
                  <w:tcW w:w="636" w:type="pct"/>
                  <w:shd w:val="clear" w:color="auto" w:fill="auto"/>
                  <w:vAlign w:val="center"/>
                </w:tcPr>
                <w:p w14:paraId="4200BE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2073.25</w:t>
                  </w:r>
                </w:p>
              </w:tc>
              <w:tc>
                <w:tcPr>
                  <w:tcW w:w="573" w:type="pct"/>
                  <w:shd w:val="clear" w:color="auto" w:fill="auto"/>
                  <w:vAlign w:val="center"/>
                </w:tcPr>
                <w:p w14:paraId="3A37B3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-65.18</w:t>
                  </w:r>
                </w:p>
              </w:tc>
              <w:tc>
                <w:tcPr>
                  <w:tcW w:w="490" w:type="pct"/>
                  <w:shd w:val="clear" w:color="auto" w:fill="auto"/>
                  <w:vAlign w:val="center"/>
                </w:tcPr>
                <w:p w14:paraId="01A749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2074</w:t>
                  </w:r>
                </w:p>
              </w:tc>
              <w:tc>
                <w:tcPr>
                  <w:tcW w:w="542" w:type="pct"/>
                  <w:shd w:val="clear" w:color="auto" w:fill="auto"/>
                  <w:vAlign w:val="center"/>
                </w:tcPr>
                <w:p w14:paraId="25B1C6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w:t>
                  </w:r>
                </w:p>
              </w:tc>
              <w:tc>
                <w:tcPr>
                  <w:tcW w:w="312" w:type="pct"/>
                  <w:shd w:val="clear" w:color="auto" w:fill="auto"/>
                  <w:vAlign w:val="center"/>
                </w:tcPr>
                <w:p w14:paraId="1FCFE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0FCD0414">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约330人</w:t>
                  </w:r>
                </w:p>
              </w:tc>
              <w:tc>
                <w:tcPr>
                  <w:tcW w:w="785" w:type="pct"/>
                  <w:vMerge w:val="continue"/>
                  <w:vAlign w:val="center"/>
                </w:tcPr>
                <w:p w14:paraId="7DA5EF0F">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4CA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573E9D8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5891BD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土桥子</w:t>
                  </w:r>
                </w:p>
              </w:tc>
              <w:tc>
                <w:tcPr>
                  <w:tcW w:w="636" w:type="pct"/>
                  <w:shd w:val="clear" w:color="auto" w:fill="auto"/>
                  <w:vAlign w:val="center"/>
                </w:tcPr>
                <w:p w14:paraId="6AE5EB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1959.68</w:t>
                  </w:r>
                </w:p>
              </w:tc>
              <w:tc>
                <w:tcPr>
                  <w:tcW w:w="573" w:type="pct"/>
                  <w:shd w:val="clear" w:color="auto" w:fill="auto"/>
                  <w:vAlign w:val="center"/>
                </w:tcPr>
                <w:p w14:paraId="03FBC4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842.25</w:t>
                  </w:r>
                </w:p>
              </w:tc>
              <w:tc>
                <w:tcPr>
                  <w:tcW w:w="490" w:type="pct"/>
                  <w:shd w:val="clear" w:color="auto" w:fill="auto"/>
                  <w:vAlign w:val="center"/>
                </w:tcPr>
                <w:p w14:paraId="543D8A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2133</w:t>
                  </w:r>
                </w:p>
              </w:tc>
              <w:tc>
                <w:tcPr>
                  <w:tcW w:w="542" w:type="pct"/>
                  <w:shd w:val="clear" w:color="auto" w:fill="auto"/>
                  <w:vAlign w:val="center"/>
                </w:tcPr>
                <w:p w14:paraId="7ACA21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312" w:type="pct"/>
                  <w:shd w:val="clear" w:color="auto" w:fill="auto"/>
                  <w:vAlign w:val="center"/>
                </w:tcPr>
                <w:p w14:paraId="75EB8B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195C4062">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约280人</w:t>
                  </w:r>
                </w:p>
              </w:tc>
              <w:tc>
                <w:tcPr>
                  <w:tcW w:w="785" w:type="pct"/>
                  <w:vMerge w:val="continue"/>
                  <w:vAlign w:val="center"/>
                </w:tcPr>
                <w:p w14:paraId="722DCC3D">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597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351A0939">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118C3E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北沙村</w:t>
                  </w:r>
                </w:p>
              </w:tc>
              <w:tc>
                <w:tcPr>
                  <w:tcW w:w="636" w:type="pct"/>
                  <w:shd w:val="clear" w:color="auto" w:fill="auto"/>
                  <w:vAlign w:val="center"/>
                </w:tcPr>
                <w:p w14:paraId="2148A8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1814.64</w:t>
                  </w:r>
                </w:p>
              </w:tc>
              <w:tc>
                <w:tcPr>
                  <w:tcW w:w="573" w:type="pct"/>
                  <w:shd w:val="clear" w:color="auto" w:fill="auto"/>
                  <w:vAlign w:val="center"/>
                </w:tcPr>
                <w:p w14:paraId="2B6EE6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-1434.35</w:t>
                  </w:r>
                </w:p>
              </w:tc>
              <w:tc>
                <w:tcPr>
                  <w:tcW w:w="490" w:type="pct"/>
                  <w:shd w:val="clear" w:color="auto" w:fill="auto"/>
                  <w:vAlign w:val="center"/>
                </w:tcPr>
                <w:p w14:paraId="0D1EB3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2313</w:t>
                  </w:r>
                </w:p>
              </w:tc>
              <w:tc>
                <w:tcPr>
                  <w:tcW w:w="542" w:type="pct"/>
                  <w:shd w:val="clear" w:color="auto" w:fill="auto"/>
                  <w:vAlign w:val="center"/>
                </w:tcPr>
                <w:p w14:paraId="52D553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SE</w:t>
                  </w:r>
                </w:p>
              </w:tc>
              <w:tc>
                <w:tcPr>
                  <w:tcW w:w="312" w:type="pct"/>
                  <w:shd w:val="clear" w:color="auto" w:fill="auto"/>
                  <w:vAlign w:val="center"/>
                </w:tcPr>
                <w:p w14:paraId="1E653C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681F1BAD">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约266人</w:t>
                  </w:r>
                </w:p>
              </w:tc>
              <w:tc>
                <w:tcPr>
                  <w:tcW w:w="785" w:type="pct"/>
                  <w:vMerge w:val="continue"/>
                  <w:vAlign w:val="center"/>
                </w:tcPr>
                <w:p w14:paraId="6601A0CA">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F41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1E4ED43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546D13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大宁村</w:t>
                  </w:r>
                </w:p>
              </w:tc>
              <w:tc>
                <w:tcPr>
                  <w:tcW w:w="636" w:type="pct"/>
                  <w:shd w:val="clear" w:color="auto" w:fill="auto"/>
                  <w:vAlign w:val="center"/>
                </w:tcPr>
                <w:p w14:paraId="129A49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1263.53</w:t>
                  </w:r>
                </w:p>
              </w:tc>
              <w:tc>
                <w:tcPr>
                  <w:tcW w:w="573" w:type="pct"/>
                  <w:shd w:val="clear" w:color="auto" w:fill="auto"/>
                  <w:vAlign w:val="center"/>
                </w:tcPr>
                <w:p w14:paraId="0743AE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2447.75</w:t>
                  </w:r>
                </w:p>
              </w:tc>
              <w:tc>
                <w:tcPr>
                  <w:tcW w:w="490" w:type="pct"/>
                  <w:shd w:val="clear" w:color="auto" w:fill="auto"/>
                  <w:vAlign w:val="center"/>
                </w:tcPr>
                <w:p w14:paraId="076805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2754</w:t>
                  </w:r>
                </w:p>
              </w:tc>
              <w:tc>
                <w:tcPr>
                  <w:tcW w:w="542" w:type="pct"/>
                  <w:shd w:val="clear" w:color="auto" w:fill="auto"/>
                  <w:vAlign w:val="center"/>
                </w:tcPr>
                <w:p w14:paraId="36E345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NNE</w:t>
                  </w:r>
                </w:p>
              </w:tc>
              <w:tc>
                <w:tcPr>
                  <w:tcW w:w="312" w:type="pct"/>
                  <w:shd w:val="clear" w:color="auto" w:fill="auto"/>
                  <w:vAlign w:val="center"/>
                </w:tcPr>
                <w:p w14:paraId="4E6760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CF4EB83">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约260人</w:t>
                  </w:r>
                </w:p>
              </w:tc>
              <w:tc>
                <w:tcPr>
                  <w:tcW w:w="785" w:type="pct"/>
                  <w:vMerge w:val="continue"/>
                  <w:vAlign w:val="center"/>
                </w:tcPr>
                <w:p w14:paraId="2547AFF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269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25AC83CD">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650929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王家梁</w:t>
                  </w:r>
                </w:p>
              </w:tc>
              <w:tc>
                <w:tcPr>
                  <w:tcW w:w="636" w:type="pct"/>
                  <w:shd w:val="clear" w:color="auto" w:fill="auto"/>
                  <w:vAlign w:val="center"/>
                </w:tcPr>
                <w:p w14:paraId="02EDD1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1087.69</w:t>
                  </w:r>
                </w:p>
              </w:tc>
              <w:tc>
                <w:tcPr>
                  <w:tcW w:w="573" w:type="pct"/>
                  <w:shd w:val="clear" w:color="auto" w:fill="auto"/>
                  <w:vAlign w:val="center"/>
                </w:tcPr>
                <w:p w14:paraId="7A5155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1734.54</w:t>
                  </w:r>
                </w:p>
              </w:tc>
              <w:tc>
                <w:tcPr>
                  <w:tcW w:w="490" w:type="pct"/>
                  <w:shd w:val="clear" w:color="auto" w:fill="auto"/>
                  <w:vAlign w:val="center"/>
                </w:tcPr>
                <w:p w14:paraId="65572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2047</w:t>
                  </w:r>
                </w:p>
              </w:tc>
              <w:tc>
                <w:tcPr>
                  <w:tcW w:w="542" w:type="pct"/>
                  <w:shd w:val="clear" w:color="auto" w:fill="auto"/>
                  <w:vAlign w:val="center"/>
                </w:tcPr>
                <w:p w14:paraId="4D5FAA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NNE</w:t>
                  </w:r>
                </w:p>
              </w:tc>
              <w:tc>
                <w:tcPr>
                  <w:tcW w:w="312" w:type="pct"/>
                  <w:shd w:val="clear" w:color="auto" w:fill="auto"/>
                  <w:vAlign w:val="center"/>
                </w:tcPr>
                <w:p w14:paraId="3016E0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69113ADD">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约180人</w:t>
                  </w:r>
                </w:p>
              </w:tc>
              <w:tc>
                <w:tcPr>
                  <w:tcW w:w="785" w:type="pct"/>
                  <w:vMerge w:val="continue"/>
                  <w:vAlign w:val="center"/>
                </w:tcPr>
                <w:p w14:paraId="4360411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E1E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22A22339">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43D1D9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何家山</w:t>
                  </w:r>
                </w:p>
              </w:tc>
              <w:tc>
                <w:tcPr>
                  <w:tcW w:w="636" w:type="pct"/>
                  <w:shd w:val="clear" w:color="auto" w:fill="auto"/>
                  <w:vAlign w:val="center"/>
                </w:tcPr>
                <w:p w14:paraId="67AC9A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1035.89</w:t>
                  </w:r>
                </w:p>
              </w:tc>
              <w:tc>
                <w:tcPr>
                  <w:tcW w:w="573" w:type="pct"/>
                  <w:shd w:val="clear" w:color="auto" w:fill="auto"/>
                  <w:vAlign w:val="center"/>
                </w:tcPr>
                <w:p w14:paraId="3F8B5B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-462.57</w:t>
                  </w:r>
                </w:p>
              </w:tc>
              <w:tc>
                <w:tcPr>
                  <w:tcW w:w="490" w:type="pct"/>
                  <w:shd w:val="clear" w:color="auto" w:fill="auto"/>
                  <w:vAlign w:val="center"/>
                </w:tcPr>
                <w:p w14:paraId="758EE7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1134</w:t>
                  </w:r>
                </w:p>
              </w:tc>
              <w:tc>
                <w:tcPr>
                  <w:tcW w:w="542" w:type="pct"/>
                  <w:shd w:val="clear" w:color="auto" w:fill="auto"/>
                  <w:vAlign w:val="center"/>
                </w:tcPr>
                <w:p w14:paraId="486531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ESE</w:t>
                  </w:r>
                </w:p>
              </w:tc>
              <w:tc>
                <w:tcPr>
                  <w:tcW w:w="312" w:type="pct"/>
                  <w:shd w:val="clear" w:color="auto" w:fill="auto"/>
                  <w:vAlign w:val="center"/>
                </w:tcPr>
                <w:p w14:paraId="22D72C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EF22AED">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约520人</w:t>
                  </w:r>
                </w:p>
              </w:tc>
              <w:tc>
                <w:tcPr>
                  <w:tcW w:w="785" w:type="pct"/>
                  <w:vMerge w:val="continue"/>
                  <w:vAlign w:val="center"/>
                </w:tcPr>
                <w:p w14:paraId="3761808B">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DAA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4B3BFEE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4FE13F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王棚院</w:t>
                  </w:r>
                </w:p>
              </w:tc>
              <w:tc>
                <w:tcPr>
                  <w:tcW w:w="636" w:type="pct"/>
                  <w:shd w:val="clear" w:color="auto" w:fill="auto"/>
                  <w:vAlign w:val="center"/>
                </w:tcPr>
                <w:p w14:paraId="4E7858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914.22</w:t>
                  </w:r>
                </w:p>
              </w:tc>
              <w:tc>
                <w:tcPr>
                  <w:tcW w:w="573" w:type="pct"/>
                  <w:shd w:val="clear" w:color="auto" w:fill="auto"/>
                  <w:vAlign w:val="center"/>
                </w:tcPr>
                <w:p w14:paraId="17F382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899.32</w:t>
                  </w:r>
                </w:p>
              </w:tc>
              <w:tc>
                <w:tcPr>
                  <w:tcW w:w="490" w:type="pct"/>
                  <w:shd w:val="clear" w:color="auto" w:fill="auto"/>
                  <w:vAlign w:val="center"/>
                </w:tcPr>
                <w:p w14:paraId="1CCD2E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1282</w:t>
                  </w:r>
                </w:p>
              </w:tc>
              <w:tc>
                <w:tcPr>
                  <w:tcW w:w="542" w:type="pct"/>
                  <w:shd w:val="clear" w:color="auto" w:fill="auto"/>
                  <w:vAlign w:val="center"/>
                </w:tcPr>
                <w:p w14:paraId="6DE252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312" w:type="pct"/>
                  <w:shd w:val="clear" w:color="auto" w:fill="auto"/>
                  <w:vAlign w:val="center"/>
                </w:tcPr>
                <w:p w14:paraId="6520A5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1FE437C6">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约400人</w:t>
                  </w:r>
                </w:p>
              </w:tc>
              <w:tc>
                <w:tcPr>
                  <w:tcW w:w="785" w:type="pct"/>
                  <w:vMerge w:val="continue"/>
                  <w:vAlign w:val="center"/>
                </w:tcPr>
                <w:p w14:paraId="7B19447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108D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23D55BA1">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3DE7DD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白顶子</w:t>
                  </w:r>
                </w:p>
              </w:tc>
              <w:tc>
                <w:tcPr>
                  <w:tcW w:w="636" w:type="pct"/>
                  <w:shd w:val="clear" w:color="auto" w:fill="auto"/>
                  <w:vAlign w:val="center"/>
                </w:tcPr>
                <w:p w14:paraId="02A1D7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827.8</w:t>
                  </w:r>
                </w:p>
              </w:tc>
              <w:tc>
                <w:tcPr>
                  <w:tcW w:w="573" w:type="pct"/>
                  <w:shd w:val="clear" w:color="auto" w:fill="auto"/>
                  <w:vAlign w:val="center"/>
                </w:tcPr>
                <w:p w14:paraId="0FA891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465.01</w:t>
                  </w:r>
                </w:p>
              </w:tc>
              <w:tc>
                <w:tcPr>
                  <w:tcW w:w="490" w:type="pct"/>
                  <w:shd w:val="clear" w:color="auto" w:fill="auto"/>
                  <w:vAlign w:val="center"/>
                </w:tcPr>
                <w:p w14:paraId="760687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949</w:t>
                  </w:r>
                </w:p>
              </w:tc>
              <w:tc>
                <w:tcPr>
                  <w:tcW w:w="542" w:type="pct"/>
                  <w:shd w:val="clear" w:color="auto" w:fill="auto"/>
                  <w:vAlign w:val="center"/>
                </w:tcPr>
                <w:p w14:paraId="20C5FD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312" w:type="pct"/>
                  <w:shd w:val="clear" w:color="auto" w:fill="auto"/>
                  <w:vAlign w:val="center"/>
                </w:tcPr>
                <w:p w14:paraId="32ADFD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783AC85E">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105</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75DBCF5B">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3CA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604372C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5E048B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字石板</w:t>
                  </w:r>
                </w:p>
              </w:tc>
              <w:tc>
                <w:tcPr>
                  <w:tcW w:w="636" w:type="pct"/>
                  <w:shd w:val="clear" w:color="auto" w:fill="auto"/>
                  <w:vAlign w:val="center"/>
                </w:tcPr>
                <w:p w14:paraId="35D276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584.68</w:t>
                  </w:r>
                </w:p>
              </w:tc>
              <w:tc>
                <w:tcPr>
                  <w:tcW w:w="573" w:type="pct"/>
                  <w:shd w:val="clear" w:color="auto" w:fill="auto"/>
                  <w:vAlign w:val="center"/>
                </w:tcPr>
                <w:p w14:paraId="623D30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-1702.61</w:t>
                  </w:r>
                </w:p>
              </w:tc>
              <w:tc>
                <w:tcPr>
                  <w:tcW w:w="490" w:type="pct"/>
                  <w:shd w:val="clear" w:color="auto" w:fill="auto"/>
                  <w:vAlign w:val="center"/>
                </w:tcPr>
                <w:p w14:paraId="7ADEF1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1800</w:t>
                  </w:r>
                </w:p>
              </w:tc>
              <w:tc>
                <w:tcPr>
                  <w:tcW w:w="542" w:type="pct"/>
                  <w:shd w:val="clear" w:color="auto" w:fill="auto"/>
                  <w:vAlign w:val="center"/>
                </w:tcPr>
                <w:p w14:paraId="277D1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SSE</w:t>
                  </w:r>
                </w:p>
              </w:tc>
              <w:tc>
                <w:tcPr>
                  <w:tcW w:w="312" w:type="pct"/>
                  <w:shd w:val="clear" w:color="auto" w:fill="auto"/>
                  <w:vAlign w:val="center"/>
                </w:tcPr>
                <w:p w14:paraId="597D04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49C9FC8C">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约210人</w:t>
                  </w:r>
                </w:p>
              </w:tc>
              <w:tc>
                <w:tcPr>
                  <w:tcW w:w="785" w:type="pct"/>
                  <w:vMerge w:val="continue"/>
                  <w:vAlign w:val="center"/>
                </w:tcPr>
                <w:p w14:paraId="44FC0AF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3AFE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11893E1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4A63FB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梅垭村</w:t>
                  </w:r>
                </w:p>
              </w:tc>
              <w:tc>
                <w:tcPr>
                  <w:tcW w:w="636" w:type="pct"/>
                  <w:shd w:val="clear" w:color="auto" w:fill="auto"/>
                  <w:vAlign w:val="center"/>
                </w:tcPr>
                <w:p w14:paraId="2297EF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195.88</w:t>
                  </w:r>
                </w:p>
              </w:tc>
              <w:tc>
                <w:tcPr>
                  <w:tcW w:w="573" w:type="pct"/>
                  <w:shd w:val="clear" w:color="auto" w:fill="auto"/>
                  <w:vAlign w:val="center"/>
                </w:tcPr>
                <w:p w14:paraId="1BDD8C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-1244.4</w:t>
                  </w:r>
                </w:p>
              </w:tc>
              <w:tc>
                <w:tcPr>
                  <w:tcW w:w="490" w:type="pct"/>
                  <w:shd w:val="clear" w:color="auto" w:fill="auto"/>
                  <w:vAlign w:val="center"/>
                </w:tcPr>
                <w:p w14:paraId="769FA9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1259</w:t>
                  </w:r>
                </w:p>
              </w:tc>
              <w:tc>
                <w:tcPr>
                  <w:tcW w:w="542" w:type="pct"/>
                  <w:shd w:val="clear" w:color="auto" w:fill="auto"/>
                  <w:vAlign w:val="center"/>
                </w:tcPr>
                <w:p w14:paraId="4FCAAD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t>
                  </w:r>
                </w:p>
              </w:tc>
              <w:tc>
                <w:tcPr>
                  <w:tcW w:w="312" w:type="pct"/>
                  <w:shd w:val="clear" w:color="auto" w:fill="auto"/>
                  <w:vAlign w:val="center"/>
                </w:tcPr>
                <w:p w14:paraId="2F49D4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AE20FC4">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约180人</w:t>
                  </w:r>
                </w:p>
              </w:tc>
              <w:tc>
                <w:tcPr>
                  <w:tcW w:w="785" w:type="pct"/>
                  <w:vMerge w:val="continue"/>
                  <w:vAlign w:val="center"/>
                </w:tcPr>
                <w:p w14:paraId="4DB684E2">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371F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5AB99D7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04AC8C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老屋坝</w:t>
                  </w:r>
                </w:p>
              </w:tc>
              <w:tc>
                <w:tcPr>
                  <w:tcW w:w="636" w:type="pct"/>
                  <w:shd w:val="clear" w:color="auto" w:fill="auto"/>
                  <w:vAlign w:val="center"/>
                </w:tcPr>
                <w:p w14:paraId="6D3BB3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-230.08</w:t>
                  </w:r>
                </w:p>
              </w:tc>
              <w:tc>
                <w:tcPr>
                  <w:tcW w:w="573" w:type="pct"/>
                  <w:shd w:val="clear" w:color="auto" w:fill="auto"/>
                  <w:vAlign w:val="center"/>
                </w:tcPr>
                <w:p w14:paraId="1176B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1120.85</w:t>
                  </w:r>
                </w:p>
              </w:tc>
              <w:tc>
                <w:tcPr>
                  <w:tcW w:w="490" w:type="pct"/>
                  <w:shd w:val="clear" w:color="auto" w:fill="auto"/>
                  <w:vAlign w:val="center"/>
                </w:tcPr>
                <w:p w14:paraId="2454C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1144</w:t>
                  </w:r>
                </w:p>
              </w:tc>
              <w:tc>
                <w:tcPr>
                  <w:tcW w:w="542" w:type="pct"/>
                  <w:shd w:val="clear" w:color="auto" w:fill="auto"/>
                  <w:vAlign w:val="center"/>
                </w:tcPr>
                <w:p w14:paraId="2EC3F7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312" w:type="pct"/>
                  <w:shd w:val="clear" w:color="auto" w:fill="auto"/>
                  <w:vAlign w:val="center"/>
                </w:tcPr>
                <w:p w14:paraId="26621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7D8CDDA8">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120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496DECCB">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127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3255F13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753ADE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袁家山</w:t>
                  </w:r>
                </w:p>
              </w:tc>
              <w:tc>
                <w:tcPr>
                  <w:tcW w:w="636" w:type="pct"/>
                  <w:shd w:val="clear" w:color="auto" w:fill="auto"/>
                  <w:vAlign w:val="center"/>
                </w:tcPr>
                <w:p w14:paraId="699002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-183.37</w:t>
                  </w:r>
                </w:p>
              </w:tc>
              <w:tc>
                <w:tcPr>
                  <w:tcW w:w="573" w:type="pct"/>
                  <w:shd w:val="clear" w:color="auto" w:fill="auto"/>
                  <w:vAlign w:val="center"/>
                </w:tcPr>
                <w:p w14:paraId="7B8FEC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-1274</w:t>
                  </w:r>
                </w:p>
              </w:tc>
              <w:tc>
                <w:tcPr>
                  <w:tcW w:w="490" w:type="pct"/>
                  <w:shd w:val="clear" w:color="auto" w:fill="auto"/>
                  <w:vAlign w:val="center"/>
                </w:tcPr>
                <w:p w14:paraId="6FFBBD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1287</w:t>
                  </w:r>
                </w:p>
              </w:tc>
              <w:tc>
                <w:tcPr>
                  <w:tcW w:w="542" w:type="pct"/>
                  <w:shd w:val="clear" w:color="auto" w:fill="auto"/>
                  <w:vAlign w:val="center"/>
                </w:tcPr>
                <w:p w14:paraId="5CAF2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t>
                  </w:r>
                </w:p>
              </w:tc>
              <w:tc>
                <w:tcPr>
                  <w:tcW w:w="312" w:type="pct"/>
                  <w:shd w:val="clear" w:color="auto" w:fill="auto"/>
                  <w:vAlign w:val="center"/>
                </w:tcPr>
                <w:p w14:paraId="78885A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33CE83D4">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约190人</w:t>
                  </w:r>
                </w:p>
              </w:tc>
              <w:tc>
                <w:tcPr>
                  <w:tcW w:w="785" w:type="pct"/>
                  <w:vMerge w:val="continue"/>
                  <w:vAlign w:val="center"/>
                </w:tcPr>
                <w:p w14:paraId="35952C4E">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C08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00A398E1">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573101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临江村</w:t>
                  </w:r>
                </w:p>
              </w:tc>
              <w:tc>
                <w:tcPr>
                  <w:tcW w:w="636" w:type="pct"/>
                  <w:shd w:val="clear" w:color="auto" w:fill="auto"/>
                  <w:vAlign w:val="center"/>
                </w:tcPr>
                <w:p w14:paraId="7A6ED6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-625.66</w:t>
                  </w:r>
                </w:p>
              </w:tc>
              <w:tc>
                <w:tcPr>
                  <w:tcW w:w="573" w:type="pct"/>
                  <w:shd w:val="clear" w:color="auto" w:fill="auto"/>
                  <w:vAlign w:val="center"/>
                </w:tcPr>
                <w:p w14:paraId="0A81C6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1933.94</w:t>
                  </w:r>
                </w:p>
              </w:tc>
              <w:tc>
                <w:tcPr>
                  <w:tcW w:w="490" w:type="pct"/>
                  <w:shd w:val="clear" w:color="auto" w:fill="auto"/>
                  <w:vAlign w:val="center"/>
                </w:tcPr>
                <w:p w14:paraId="42868A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2032</w:t>
                  </w:r>
                </w:p>
              </w:tc>
              <w:tc>
                <w:tcPr>
                  <w:tcW w:w="542" w:type="pct"/>
                  <w:shd w:val="clear" w:color="auto" w:fill="auto"/>
                  <w:vAlign w:val="center"/>
                </w:tcPr>
                <w:p w14:paraId="6EE3C3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312" w:type="pct"/>
                  <w:shd w:val="clear" w:color="auto" w:fill="auto"/>
                  <w:vAlign w:val="center"/>
                </w:tcPr>
                <w:p w14:paraId="11F157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60B42EE6">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约170人</w:t>
                  </w:r>
                </w:p>
              </w:tc>
              <w:tc>
                <w:tcPr>
                  <w:tcW w:w="785" w:type="pct"/>
                  <w:vMerge w:val="continue"/>
                  <w:vAlign w:val="center"/>
                </w:tcPr>
                <w:p w14:paraId="18296B97">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30B9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1E12FA8F">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7E93BA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老鹰寨</w:t>
                  </w:r>
                </w:p>
              </w:tc>
              <w:tc>
                <w:tcPr>
                  <w:tcW w:w="636" w:type="pct"/>
                  <w:shd w:val="clear" w:color="auto" w:fill="auto"/>
                  <w:vAlign w:val="center"/>
                </w:tcPr>
                <w:p w14:paraId="65DDDC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-724.3</w:t>
                  </w:r>
                </w:p>
              </w:tc>
              <w:tc>
                <w:tcPr>
                  <w:tcW w:w="573" w:type="pct"/>
                  <w:shd w:val="clear" w:color="auto" w:fill="auto"/>
                  <w:vAlign w:val="center"/>
                </w:tcPr>
                <w:p w14:paraId="70AD3D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2087.3</w:t>
                  </w:r>
                </w:p>
              </w:tc>
              <w:tc>
                <w:tcPr>
                  <w:tcW w:w="490" w:type="pct"/>
                  <w:shd w:val="clear" w:color="auto" w:fill="auto"/>
                  <w:vAlign w:val="center"/>
                </w:tcPr>
                <w:p w14:paraId="263737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2209</w:t>
                  </w:r>
                </w:p>
              </w:tc>
              <w:tc>
                <w:tcPr>
                  <w:tcW w:w="542" w:type="pct"/>
                  <w:shd w:val="clear" w:color="auto" w:fill="auto"/>
                  <w:vAlign w:val="center"/>
                </w:tcPr>
                <w:p w14:paraId="7D945D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312" w:type="pct"/>
                  <w:shd w:val="clear" w:color="auto" w:fill="auto"/>
                  <w:vAlign w:val="center"/>
                </w:tcPr>
                <w:p w14:paraId="785AFA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121F581">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3E83015D">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2389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6D446692">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76FA31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杜家坝</w:t>
                  </w:r>
                </w:p>
              </w:tc>
              <w:tc>
                <w:tcPr>
                  <w:tcW w:w="636" w:type="pct"/>
                  <w:shd w:val="clear" w:color="auto" w:fill="auto"/>
                  <w:vAlign w:val="center"/>
                </w:tcPr>
                <w:p w14:paraId="6801DB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-938.51</w:t>
                  </w:r>
                </w:p>
              </w:tc>
              <w:tc>
                <w:tcPr>
                  <w:tcW w:w="573" w:type="pct"/>
                  <w:shd w:val="clear" w:color="auto" w:fill="auto"/>
                  <w:vAlign w:val="center"/>
                </w:tcPr>
                <w:p w14:paraId="1BDDA4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-1543.83</w:t>
                  </w:r>
                </w:p>
              </w:tc>
              <w:tc>
                <w:tcPr>
                  <w:tcW w:w="490" w:type="pct"/>
                  <w:shd w:val="clear" w:color="auto" w:fill="auto"/>
                  <w:vAlign w:val="center"/>
                </w:tcPr>
                <w:p w14:paraId="5CD07F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1806</w:t>
                  </w:r>
                </w:p>
              </w:tc>
              <w:tc>
                <w:tcPr>
                  <w:tcW w:w="542" w:type="pct"/>
                  <w:shd w:val="clear" w:color="auto" w:fill="auto"/>
                  <w:vAlign w:val="center"/>
                </w:tcPr>
                <w:p w14:paraId="447393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SSW</w:t>
                  </w:r>
                </w:p>
              </w:tc>
              <w:tc>
                <w:tcPr>
                  <w:tcW w:w="312" w:type="pct"/>
                  <w:shd w:val="clear" w:color="auto" w:fill="auto"/>
                  <w:vAlign w:val="center"/>
                </w:tcPr>
                <w:p w14:paraId="14DA2E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4D56BF0A">
                  <w:pPr>
                    <w:pStyle w:val="13"/>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3376C658">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EB9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691E90FB">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034579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方家坝</w:t>
                  </w:r>
                </w:p>
              </w:tc>
              <w:tc>
                <w:tcPr>
                  <w:tcW w:w="636" w:type="pct"/>
                  <w:shd w:val="clear" w:color="auto" w:fill="auto"/>
                  <w:vAlign w:val="center"/>
                </w:tcPr>
                <w:p w14:paraId="75EDB8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-1092.66</w:t>
                  </w:r>
                </w:p>
              </w:tc>
              <w:tc>
                <w:tcPr>
                  <w:tcW w:w="573" w:type="pct"/>
                  <w:shd w:val="clear" w:color="auto" w:fill="auto"/>
                  <w:vAlign w:val="center"/>
                </w:tcPr>
                <w:p w14:paraId="3D3A67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1503.25</w:t>
                  </w:r>
                </w:p>
              </w:tc>
              <w:tc>
                <w:tcPr>
                  <w:tcW w:w="490" w:type="pct"/>
                  <w:shd w:val="clear" w:color="auto" w:fill="auto"/>
                  <w:vAlign w:val="center"/>
                </w:tcPr>
                <w:p w14:paraId="0CB402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1858</w:t>
                  </w:r>
                </w:p>
              </w:tc>
              <w:tc>
                <w:tcPr>
                  <w:tcW w:w="542" w:type="pct"/>
                  <w:shd w:val="clear" w:color="auto" w:fill="auto"/>
                  <w:vAlign w:val="center"/>
                </w:tcPr>
                <w:p w14:paraId="70B576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312" w:type="pct"/>
                  <w:shd w:val="clear" w:color="auto" w:fill="auto"/>
                  <w:vAlign w:val="center"/>
                </w:tcPr>
                <w:p w14:paraId="28817E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37E752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0465DA2D">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DBD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4BF7031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073E11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风滩村</w:t>
                  </w:r>
                </w:p>
              </w:tc>
              <w:tc>
                <w:tcPr>
                  <w:tcW w:w="636" w:type="pct"/>
                  <w:shd w:val="clear" w:color="auto" w:fill="auto"/>
                  <w:vAlign w:val="center"/>
                </w:tcPr>
                <w:p w14:paraId="12703A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-1028.06</w:t>
                  </w:r>
                </w:p>
              </w:tc>
              <w:tc>
                <w:tcPr>
                  <w:tcW w:w="573" w:type="pct"/>
                  <w:shd w:val="clear" w:color="auto" w:fill="auto"/>
                  <w:vAlign w:val="center"/>
                </w:tcPr>
                <w:p w14:paraId="318CFE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-1822.69</w:t>
                  </w:r>
                </w:p>
              </w:tc>
              <w:tc>
                <w:tcPr>
                  <w:tcW w:w="490" w:type="pct"/>
                  <w:shd w:val="clear" w:color="auto" w:fill="auto"/>
                  <w:vAlign w:val="center"/>
                </w:tcPr>
                <w:p w14:paraId="10F051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2092</w:t>
                  </w:r>
                </w:p>
              </w:tc>
              <w:tc>
                <w:tcPr>
                  <w:tcW w:w="542" w:type="pct"/>
                  <w:shd w:val="clear" w:color="auto" w:fill="auto"/>
                  <w:vAlign w:val="center"/>
                </w:tcPr>
                <w:p w14:paraId="6DDC89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SSW</w:t>
                  </w:r>
                </w:p>
              </w:tc>
              <w:tc>
                <w:tcPr>
                  <w:tcW w:w="312" w:type="pct"/>
                  <w:shd w:val="clear" w:color="auto" w:fill="auto"/>
                  <w:vAlign w:val="center"/>
                </w:tcPr>
                <w:p w14:paraId="2F8749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72694C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210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314F23B6">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835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2AE7DE61">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46B243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尉家溪</w:t>
                  </w:r>
                </w:p>
              </w:tc>
              <w:tc>
                <w:tcPr>
                  <w:tcW w:w="636" w:type="pct"/>
                  <w:shd w:val="clear" w:color="auto" w:fill="auto"/>
                  <w:vAlign w:val="center"/>
                </w:tcPr>
                <w:p w14:paraId="61D32D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-1636.99</w:t>
                  </w:r>
                </w:p>
              </w:tc>
              <w:tc>
                <w:tcPr>
                  <w:tcW w:w="573" w:type="pct"/>
                  <w:shd w:val="clear" w:color="auto" w:fill="auto"/>
                  <w:vAlign w:val="center"/>
                </w:tcPr>
                <w:p w14:paraId="0F9EE2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-322.3</w:t>
                  </w:r>
                </w:p>
              </w:tc>
              <w:tc>
                <w:tcPr>
                  <w:tcW w:w="490" w:type="pct"/>
                  <w:shd w:val="clear" w:color="auto" w:fill="auto"/>
                  <w:vAlign w:val="center"/>
                </w:tcPr>
                <w:p w14:paraId="6055CF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1668</w:t>
                  </w:r>
                </w:p>
              </w:tc>
              <w:tc>
                <w:tcPr>
                  <w:tcW w:w="542" w:type="pct"/>
                  <w:shd w:val="clear" w:color="auto" w:fill="auto"/>
                  <w:vAlign w:val="center"/>
                </w:tcPr>
                <w:p w14:paraId="6B5103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w:t>
                  </w:r>
                </w:p>
              </w:tc>
              <w:tc>
                <w:tcPr>
                  <w:tcW w:w="312" w:type="pct"/>
                  <w:shd w:val="clear" w:color="auto" w:fill="auto"/>
                  <w:vAlign w:val="center"/>
                </w:tcPr>
                <w:p w14:paraId="087D26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005A84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4E939D43">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FCD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1FC55874">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4C2F04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雷坡石</w:t>
                  </w:r>
                </w:p>
              </w:tc>
              <w:tc>
                <w:tcPr>
                  <w:tcW w:w="636" w:type="pct"/>
                  <w:shd w:val="clear" w:color="auto" w:fill="auto"/>
                  <w:vAlign w:val="center"/>
                </w:tcPr>
                <w:p w14:paraId="2394DE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-1878.19</w:t>
                  </w:r>
                </w:p>
              </w:tc>
              <w:tc>
                <w:tcPr>
                  <w:tcW w:w="573" w:type="pct"/>
                  <w:shd w:val="clear" w:color="auto" w:fill="auto"/>
                  <w:vAlign w:val="center"/>
                </w:tcPr>
                <w:p w14:paraId="1B8421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-2094.29</w:t>
                  </w:r>
                </w:p>
              </w:tc>
              <w:tc>
                <w:tcPr>
                  <w:tcW w:w="490" w:type="pct"/>
                  <w:shd w:val="clear" w:color="auto" w:fill="auto"/>
                  <w:vAlign w:val="center"/>
                </w:tcPr>
                <w:p w14:paraId="5C5AC7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281</w:t>
                  </w:r>
                  <w:r>
                    <w:rPr>
                      <w:rFonts w:hint="eastAsia" w:ascii="Times New Roman" w:hAnsi="Times New Roman" w:cs="Times New Roman"/>
                      <w:sz w:val="21"/>
                      <w:szCs w:val="21"/>
                      <w:lang w:val="en-US" w:eastAsia="zh-CN"/>
                    </w:rPr>
                    <w:t>3</w:t>
                  </w:r>
                </w:p>
              </w:tc>
              <w:tc>
                <w:tcPr>
                  <w:tcW w:w="542" w:type="pct"/>
                  <w:shd w:val="clear" w:color="auto" w:fill="auto"/>
                  <w:vAlign w:val="center"/>
                </w:tcPr>
                <w:p w14:paraId="49F54F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w:t>
                  </w:r>
                </w:p>
              </w:tc>
              <w:tc>
                <w:tcPr>
                  <w:tcW w:w="312" w:type="pct"/>
                  <w:shd w:val="clear" w:color="auto" w:fill="auto"/>
                  <w:vAlign w:val="center"/>
                </w:tcPr>
                <w:p w14:paraId="787FE4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EDC2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350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13AD2FA5">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B48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695950E7">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297B9D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狮子滩</w:t>
                  </w:r>
                </w:p>
              </w:tc>
              <w:tc>
                <w:tcPr>
                  <w:tcW w:w="636" w:type="pct"/>
                  <w:shd w:val="clear" w:color="auto" w:fill="auto"/>
                  <w:vAlign w:val="center"/>
                </w:tcPr>
                <w:p w14:paraId="78FCED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-2244.91</w:t>
                  </w:r>
                </w:p>
              </w:tc>
              <w:tc>
                <w:tcPr>
                  <w:tcW w:w="573" w:type="pct"/>
                  <w:shd w:val="clear" w:color="auto" w:fill="auto"/>
                  <w:vAlign w:val="center"/>
                </w:tcPr>
                <w:p w14:paraId="721A8A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1618.06</w:t>
                  </w:r>
                </w:p>
              </w:tc>
              <w:tc>
                <w:tcPr>
                  <w:tcW w:w="490" w:type="pct"/>
                  <w:shd w:val="clear" w:color="auto" w:fill="auto"/>
                  <w:vAlign w:val="center"/>
                </w:tcPr>
                <w:p w14:paraId="55B342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2767</w:t>
                  </w:r>
                </w:p>
              </w:tc>
              <w:tc>
                <w:tcPr>
                  <w:tcW w:w="542" w:type="pct"/>
                  <w:shd w:val="clear" w:color="auto" w:fill="auto"/>
                  <w:vAlign w:val="center"/>
                </w:tcPr>
                <w:p w14:paraId="629E98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312" w:type="pct"/>
                  <w:shd w:val="clear" w:color="auto" w:fill="auto"/>
                  <w:vAlign w:val="center"/>
                </w:tcPr>
                <w:p w14:paraId="089F98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11C244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180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49CB84DE">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466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148988E0">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5" w:type="pct"/>
                  <w:shd w:val="clear" w:color="auto" w:fill="auto"/>
                  <w:vAlign w:val="center"/>
                </w:tcPr>
                <w:p w14:paraId="68517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马鞍石</w:t>
                  </w:r>
                </w:p>
              </w:tc>
              <w:tc>
                <w:tcPr>
                  <w:tcW w:w="636" w:type="pct"/>
                  <w:shd w:val="clear" w:color="auto" w:fill="auto"/>
                  <w:vAlign w:val="center"/>
                </w:tcPr>
                <w:p w14:paraId="779DED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-2376.13</w:t>
                  </w:r>
                </w:p>
              </w:tc>
              <w:tc>
                <w:tcPr>
                  <w:tcW w:w="573" w:type="pct"/>
                  <w:shd w:val="clear" w:color="auto" w:fill="auto"/>
                  <w:vAlign w:val="center"/>
                </w:tcPr>
                <w:p w14:paraId="4EDF0B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-894.93</w:t>
                  </w:r>
                </w:p>
              </w:tc>
              <w:tc>
                <w:tcPr>
                  <w:tcW w:w="490" w:type="pct"/>
                  <w:shd w:val="clear" w:color="auto" w:fill="auto"/>
                  <w:vAlign w:val="center"/>
                </w:tcPr>
                <w:p w14:paraId="70BD58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2539</w:t>
                  </w:r>
                </w:p>
              </w:tc>
              <w:tc>
                <w:tcPr>
                  <w:tcW w:w="542" w:type="pct"/>
                  <w:shd w:val="clear" w:color="auto" w:fill="auto"/>
                  <w:vAlign w:val="center"/>
                </w:tcPr>
                <w:p w14:paraId="0F76B6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WSW</w:t>
                  </w:r>
                </w:p>
              </w:tc>
              <w:tc>
                <w:tcPr>
                  <w:tcW w:w="312" w:type="pct"/>
                  <w:shd w:val="clear" w:color="auto" w:fill="auto"/>
                  <w:vAlign w:val="center"/>
                </w:tcPr>
                <w:p w14:paraId="7A54AE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FA958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85" w:type="pct"/>
                  <w:vMerge w:val="continue"/>
                  <w:vAlign w:val="center"/>
                </w:tcPr>
                <w:p w14:paraId="7A8B30F0">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C0B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Merge w:val="continue"/>
                  <w:vAlign w:val="center"/>
                </w:tcPr>
                <w:p w14:paraId="3B0D762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3152" w:type="pct"/>
                  <w:gridSpan w:val="6"/>
                  <w:shd w:val="clear" w:color="auto" w:fill="auto"/>
                  <w:vAlign w:val="center"/>
                </w:tcPr>
                <w:p w14:paraId="3A2D57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合计</w:t>
                  </w:r>
                </w:p>
              </w:tc>
              <w:tc>
                <w:tcPr>
                  <w:tcW w:w="514" w:type="pct"/>
                  <w:shd w:val="clear" w:color="auto" w:fill="auto"/>
                  <w:vAlign w:val="center"/>
                </w:tcPr>
                <w:p w14:paraId="6483F9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约7423人</w:t>
                  </w:r>
                </w:p>
              </w:tc>
              <w:tc>
                <w:tcPr>
                  <w:tcW w:w="785" w:type="pct"/>
                  <w:vMerge w:val="continue"/>
                  <w:vAlign w:val="center"/>
                </w:tcPr>
                <w:p w14:paraId="5672A884">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7F2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Align w:val="center"/>
                </w:tcPr>
                <w:p w14:paraId="3D522176">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土壤环境</w:t>
                  </w:r>
                </w:p>
              </w:tc>
              <w:tc>
                <w:tcPr>
                  <w:tcW w:w="595" w:type="pct"/>
                  <w:vAlign w:val="center"/>
                </w:tcPr>
                <w:p w14:paraId="6C61260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耕地</w:t>
                  </w:r>
                </w:p>
              </w:tc>
              <w:tc>
                <w:tcPr>
                  <w:tcW w:w="636" w:type="pct"/>
                  <w:vAlign w:val="center"/>
                </w:tcPr>
                <w:p w14:paraId="6ABEEF7F">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107.141674</w:t>
                  </w:r>
                </w:p>
              </w:tc>
              <w:tc>
                <w:tcPr>
                  <w:tcW w:w="573" w:type="pct"/>
                  <w:vAlign w:val="center"/>
                </w:tcPr>
                <w:p w14:paraId="64D7CC7C">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31.534832</w:t>
                  </w:r>
                </w:p>
              </w:tc>
              <w:tc>
                <w:tcPr>
                  <w:tcW w:w="490" w:type="pct"/>
                  <w:vAlign w:val="center"/>
                </w:tcPr>
                <w:p w14:paraId="7D9AABC2">
                  <w:pPr>
                    <w:pStyle w:val="13"/>
                    <w:keepNext w:val="0"/>
                    <w:keepLines w:val="0"/>
                    <w:pageBreakBefore w:val="0"/>
                    <w:widowControl/>
                    <w:kinsoku/>
                    <w:wordWrap/>
                    <w:overflowPunct/>
                    <w:topLinePunct w:val="0"/>
                    <w:autoSpaceDE/>
                    <w:autoSpaceDN/>
                    <w:bidi w:val="0"/>
                    <w:spacing w:line="240" w:lineRule="auto"/>
                    <w:ind w:firstLine="0" w:firstLine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542" w:type="pct"/>
                  <w:vAlign w:val="center"/>
                </w:tcPr>
                <w:p w14:paraId="580B8E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334-638</w:t>
                  </w:r>
                </w:p>
              </w:tc>
              <w:tc>
                <w:tcPr>
                  <w:tcW w:w="312" w:type="pct"/>
                  <w:vAlign w:val="center"/>
                </w:tcPr>
                <w:p w14:paraId="59F2726F">
                  <w:pPr>
                    <w:pStyle w:val="13"/>
                    <w:keepNext w:val="0"/>
                    <w:keepLines w:val="0"/>
                    <w:pageBreakBefore w:val="0"/>
                    <w:widowControl/>
                    <w:kinsoku/>
                    <w:wordWrap/>
                    <w:overflowPunct/>
                    <w:topLinePunct w:val="0"/>
                    <w:autoSpaceDE/>
                    <w:autoSpaceDN/>
                    <w:bidi w:val="0"/>
                    <w:spacing w:line="240" w:lineRule="auto"/>
                    <w:ind w:firstLine="0" w:firstLine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农用地</w:t>
                  </w:r>
                </w:p>
              </w:tc>
              <w:tc>
                <w:tcPr>
                  <w:tcW w:w="514" w:type="pct"/>
                  <w:vAlign w:val="center"/>
                </w:tcPr>
                <w:p w14:paraId="203D39F0">
                  <w:pPr>
                    <w:pStyle w:val="13"/>
                    <w:keepNext w:val="0"/>
                    <w:keepLines w:val="0"/>
                    <w:pageBreakBefore w:val="0"/>
                    <w:widowControl/>
                    <w:kinsoku/>
                    <w:wordWrap/>
                    <w:overflowPunct/>
                    <w:topLinePunct w:val="0"/>
                    <w:autoSpaceDE/>
                    <w:autoSpaceDN/>
                    <w:bidi w:val="0"/>
                    <w:spacing w:line="240" w:lineRule="auto"/>
                    <w:ind w:firstLine="0" w:firstLine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785" w:type="pct"/>
                  <w:vAlign w:val="center"/>
                </w:tcPr>
                <w:p w14:paraId="1072A826">
                  <w:pPr>
                    <w:pStyle w:val="13"/>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GB15618-2018筛选值</w:t>
                  </w:r>
                </w:p>
              </w:tc>
            </w:tr>
            <w:tr w14:paraId="02B1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Align w:val="center"/>
                </w:tcPr>
                <w:p w14:paraId="041CC95F">
                  <w:pPr>
                    <w:pStyle w:val="13"/>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水环境</w:t>
                  </w:r>
                </w:p>
              </w:tc>
              <w:tc>
                <w:tcPr>
                  <w:tcW w:w="595" w:type="pct"/>
                  <w:vAlign w:val="center"/>
                </w:tcPr>
                <w:p w14:paraId="45E0DAEC">
                  <w:pPr>
                    <w:pStyle w:val="13"/>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巴河</w:t>
                  </w:r>
                </w:p>
              </w:tc>
              <w:tc>
                <w:tcPr>
                  <w:tcW w:w="1210" w:type="pct"/>
                  <w:gridSpan w:val="2"/>
                  <w:vAlign w:val="center"/>
                </w:tcPr>
                <w:p w14:paraId="1FA9614F">
                  <w:pPr>
                    <w:pStyle w:val="13"/>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490" w:type="pct"/>
                  <w:vAlign w:val="center"/>
                </w:tcPr>
                <w:p w14:paraId="4409C97D">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西南侧</w:t>
                  </w:r>
                </w:p>
              </w:tc>
              <w:tc>
                <w:tcPr>
                  <w:tcW w:w="542" w:type="pct"/>
                  <w:vAlign w:val="center"/>
                </w:tcPr>
                <w:p w14:paraId="6E94B12D">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540</w:t>
                  </w:r>
                </w:p>
              </w:tc>
              <w:tc>
                <w:tcPr>
                  <w:tcW w:w="827" w:type="pct"/>
                  <w:gridSpan w:val="2"/>
                  <w:vAlign w:val="center"/>
                </w:tcPr>
                <w:p w14:paraId="330FFD4A">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河流</w:t>
                  </w:r>
                </w:p>
              </w:tc>
              <w:tc>
                <w:tcPr>
                  <w:tcW w:w="785" w:type="pct"/>
                  <w:vAlign w:val="center"/>
                </w:tcPr>
                <w:p w14:paraId="567ACB7F">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GB3838-2002Ⅲ类水体</w:t>
                  </w:r>
                </w:p>
              </w:tc>
            </w:tr>
            <w:tr w14:paraId="6318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Align w:val="center"/>
                </w:tcPr>
                <w:p w14:paraId="105CE682">
                  <w:pPr>
                    <w:pStyle w:val="13"/>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声环境</w:t>
                  </w:r>
                </w:p>
              </w:tc>
              <w:tc>
                <w:tcPr>
                  <w:tcW w:w="4452" w:type="pct"/>
                  <w:gridSpan w:val="8"/>
                  <w:vAlign w:val="center"/>
                </w:tcPr>
                <w:p w14:paraId="5EE39BEA">
                  <w:pPr>
                    <w:pStyle w:val="13"/>
                    <w:rPr>
                      <w:rFonts w:hint="default" w:ascii="Times New Roman" w:hAnsi="Times New Roman" w:eastAsia="新宋体" w:cs="Times New Roman"/>
                      <w:color w:val="000000" w:themeColor="text1"/>
                      <w:sz w:val="21"/>
                      <w:szCs w:val="21"/>
                      <w14:textFill>
                        <w14:solidFill>
                          <w14:schemeClr w14:val="tx1"/>
                        </w14:solidFill>
                      </w14:textFill>
                    </w:rPr>
                  </w:pPr>
                  <w:r>
                    <w:rPr>
                      <w:rFonts w:hint="default" w:ascii="Times New Roman" w:hAnsi="Times New Roman" w:eastAsia="新宋体" w:cs="Times New Roman"/>
                      <w:color w:val="000000" w:themeColor="text1"/>
                      <w:sz w:val="21"/>
                      <w:szCs w:val="21"/>
                      <w14:textFill>
                        <w14:solidFill>
                          <w14:schemeClr w14:val="tx1"/>
                        </w14:solidFill>
                      </w14:textFill>
                    </w:rPr>
                    <w:t>厂界外50m范围内无声环境保护目标</w:t>
                  </w:r>
                </w:p>
              </w:tc>
            </w:tr>
            <w:tr w14:paraId="1855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Align w:val="center"/>
                </w:tcPr>
                <w:p w14:paraId="1DA3CED6">
                  <w:pPr>
                    <w:pStyle w:val="13"/>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地下水</w:t>
                  </w:r>
                </w:p>
                <w:p w14:paraId="7C2B9AEC">
                  <w:pPr>
                    <w:pStyle w:val="13"/>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w:t>
                  </w:r>
                </w:p>
              </w:tc>
              <w:tc>
                <w:tcPr>
                  <w:tcW w:w="4452" w:type="pct"/>
                  <w:gridSpan w:val="8"/>
                  <w:vAlign w:val="center"/>
                </w:tcPr>
                <w:p w14:paraId="1D253E54">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厂界外500米范围内无地下水集中式饮用水水源和热水、矿泉水、温泉等特殊地下水资源，无特定保护目标</w:t>
                  </w:r>
                </w:p>
              </w:tc>
            </w:tr>
            <w:tr w14:paraId="5C78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7" w:type="pct"/>
                  <w:vAlign w:val="center"/>
                </w:tcPr>
                <w:p w14:paraId="1230E207">
                  <w:pPr>
                    <w:pStyle w:val="13"/>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风险环境</w:t>
                  </w:r>
                </w:p>
              </w:tc>
              <w:tc>
                <w:tcPr>
                  <w:tcW w:w="4452" w:type="pct"/>
                  <w:gridSpan w:val="8"/>
                  <w:vAlign w:val="center"/>
                </w:tcPr>
                <w:p w14:paraId="7074C8D6">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详见环境风险专项评价</w:t>
                  </w:r>
                </w:p>
              </w:tc>
            </w:tr>
            <w:tr w14:paraId="4647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000" w:type="pct"/>
                  <w:gridSpan w:val="9"/>
                  <w:vAlign w:val="center"/>
                </w:tcPr>
                <w:p w14:paraId="660D8945">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注：根据《建设项目环境影响报告表编制技术指南（污染影响类）（试行）》，本项目不处于产业园区外，且不新增用地，无需明确生态环境保护目标</w:t>
                  </w:r>
                </w:p>
              </w:tc>
            </w:tr>
          </w:tbl>
          <w:p w14:paraId="6198EB1C">
            <w:pPr>
              <w:pStyle w:val="36"/>
              <w:rPr>
                <w:rFonts w:hint="default"/>
                <w:color w:val="000000" w:themeColor="text1"/>
                <w:lang w:val="en-US" w:eastAsia="zh-CN"/>
                <w14:textFill>
                  <w14:solidFill>
                    <w14:schemeClr w14:val="tx1"/>
                  </w14:solidFill>
                </w14:textFill>
              </w:rPr>
            </w:pPr>
          </w:p>
        </w:tc>
      </w:tr>
      <w:tr w14:paraId="0B7F1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13" w:type="pct"/>
            <w:tcMar>
              <w:top w:w="16" w:type="dxa"/>
              <w:left w:w="16" w:type="dxa"/>
              <w:right w:w="16" w:type="dxa"/>
            </w:tcMar>
            <w:vAlign w:val="center"/>
          </w:tcPr>
          <w:p w14:paraId="1D8D437A">
            <w:pPr>
              <w:pStyle w:val="2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4"/>
                <w:szCs w:val="28"/>
                <w14:textFill>
                  <w14:solidFill>
                    <w14:schemeClr w14:val="tx1"/>
                  </w14:solidFill>
                </w14:textFill>
              </w:rPr>
              <w:t>污染物排放控制标准</w:t>
            </w:r>
          </w:p>
        </w:tc>
        <w:tc>
          <w:tcPr>
            <w:tcW w:w="4786" w:type="pct"/>
            <w:vAlign w:val="center"/>
          </w:tcPr>
          <w:p w14:paraId="3BBC7228">
            <w:pPr>
              <w:pStyle w:val="4"/>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1、废气排放标准</w:t>
            </w:r>
          </w:p>
          <w:p w14:paraId="62149986">
            <w:pPr>
              <w:ind w:firstLine="48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（1）施工期</w:t>
            </w:r>
          </w:p>
          <w:p w14:paraId="4E3A9E85">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项目施工期施工场地扬尘执行《四川省施工场地扬尘排放标准》（DB51/2682-2020），</w:t>
            </w:r>
            <w:r>
              <w:rPr>
                <w:rFonts w:hint="default" w:ascii="Times New Roman" w:hAnsi="Times New Roman" w:cs="Times New Roman"/>
                <w:color w:val="000000" w:themeColor="text1"/>
                <w:kern w:val="0"/>
                <w:szCs w:val="21"/>
                <w14:textFill>
                  <w14:solidFill>
                    <w14:schemeClr w14:val="tx1"/>
                  </w14:solidFill>
                </w14:textFill>
              </w:rPr>
              <w:t>标准值如下表：</w:t>
            </w:r>
          </w:p>
          <w:p w14:paraId="1DFEFA75">
            <w:pPr>
              <w:pStyle w:val="12"/>
              <w:keepNext/>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 xml:space="preserve"> 四川省施工场地扬尘排放限值</w:t>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3938"/>
              <w:gridCol w:w="1720"/>
              <w:gridCol w:w="1834"/>
              <w:gridCol w:w="1183"/>
            </w:tblGrid>
            <w:tr w14:paraId="5F03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9" w:type="pct"/>
                  <w:vAlign w:val="center"/>
                </w:tcPr>
                <w:p w14:paraId="2971388E">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监测项目</w:t>
                  </w:r>
                </w:p>
              </w:tc>
              <w:tc>
                <w:tcPr>
                  <w:tcW w:w="2010" w:type="pct"/>
                  <w:vAlign w:val="center"/>
                </w:tcPr>
                <w:p w14:paraId="316D0368">
                  <w:pPr>
                    <w:pStyle w:val="5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区域</w:t>
                  </w:r>
                </w:p>
              </w:tc>
              <w:tc>
                <w:tcPr>
                  <w:tcW w:w="878" w:type="pct"/>
                  <w:vAlign w:val="center"/>
                </w:tcPr>
                <w:p w14:paraId="77937839">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施工阶段</w:t>
                  </w:r>
                </w:p>
              </w:tc>
              <w:tc>
                <w:tcPr>
                  <w:tcW w:w="936" w:type="pct"/>
                  <w:vAlign w:val="center"/>
                </w:tcPr>
                <w:p w14:paraId="6F781E56">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监测点排放限值</w:t>
                  </w:r>
                </w:p>
              </w:tc>
              <w:tc>
                <w:tcPr>
                  <w:tcW w:w="604" w:type="pct"/>
                  <w:vAlign w:val="center"/>
                </w:tcPr>
                <w:p w14:paraId="6E30BE5A">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监测时间</w:t>
                  </w:r>
                </w:p>
              </w:tc>
            </w:tr>
            <w:tr w14:paraId="4224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569" w:type="pct"/>
                  <w:vMerge w:val="restart"/>
                  <w:vAlign w:val="center"/>
                </w:tcPr>
                <w:p w14:paraId="7180782F">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总悬浮颗粒物（TSP）</w:t>
                  </w:r>
                </w:p>
              </w:tc>
              <w:tc>
                <w:tcPr>
                  <w:tcW w:w="2010" w:type="pct"/>
                  <w:vMerge w:val="restart"/>
                  <w:vAlign w:val="center"/>
                </w:tcPr>
                <w:p w14:paraId="65139AF9">
                  <w:pPr>
                    <w:pStyle w:val="13"/>
                    <w:rPr>
                      <w:rFonts w:hint="default" w:ascii="Times New Roman" w:hAnsi="Times New Roman"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成都市、自贡市、泸州市、德阳市、绵市：广元市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遂宁市、内江市、乐山市、</w:t>
                  </w:r>
                  <w:r>
                    <w:rPr>
                      <w:rFonts w:hint="default" w:cs="Times New Roman"/>
                      <w:color w:val="000000" w:themeColor="text1"/>
                      <w14:textFill>
                        <w14:solidFill>
                          <w14:schemeClr w14:val="tx1"/>
                        </w14:solidFill>
                      </w14:textFill>
                    </w:rPr>
                    <w:t>南充市、</w:t>
                  </w:r>
                  <w:r>
                    <w:rPr>
                      <w:rFonts w:hint="eastAsia" w:cs="Times New Roman"/>
                      <w:color w:val="000000" w:themeColor="text1"/>
                      <w:lang w:val="en-US" w:eastAsia="zh-CN"/>
                      <w14:textFill>
                        <w14:solidFill>
                          <w14:schemeClr w14:val="tx1"/>
                        </w14:solidFill>
                      </w14:textFill>
                    </w:rPr>
                    <w:t>宜宾市、</w:t>
                  </w:r>
                  <w:r>
                    <w:rPr>
                      <w:rFonts w:hint="default" w:cs="Times New Roman"/>
                      <w:color w:val="000000" w:themeColor="text1"/>
                      <w14:textFill>
                        <w14:solidFill>
                          <w14:schemeClr w14:val="tx1"/>
                        </w14:solidFill>
                      </w14:textFill>
                    </w:rPr>
                    <w:t>广安市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达州市、</w:t>
                  </w:r>
                  <w:r>
                    <w:rPr>
                      <w:rFonts w:hint="default" w:cs="Times New Roman"/>
                      <w:b/>
                      <w:bCs w:val="0"/>
                      <w:color w:val="000000" w:themeColor="text1"/>
                      <w14:textFill>
                        <w14:solidFill>
                          <w14:schemeClr w14:val="tx1"/>
                        </w14:solidFill>
                      </w14:textFill>
                    </w:rPr>
                    <w:t>巴中市</w:t>
                  </w:r>
                  <w:r>
                    <w:rPr>
                      <w:rFonts w:hint="default" w:cs="Times New Roman"/>
                      <w:color w:val="000000" w:themeColor="text1"/>
                      <w14:textFill>
                        <w14:solidFill>
                          <w14:schemeClr w14:val="tx1"/>
                        </w14:solidFill>
                      </w14:textFill>
                    </w:rPr>
                    <w:t>、雅安市、眉山市、资阳市</w:t>
                  </w:r>
                </w:p>
              </w:tc>
              <w:tc>
                <w:tcPr>
                  <w:tcW w:w="878" w:type="pct"/>
                  <w:vAlign w:val="center"/>
                </w:tcPr>
                <w:p w14:paraId="501856A8">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拆除工程/土石方开挖/土方回填</w:t>
                  </w:r>
                </w:p>
              </w:tc>
              <w:tc>
                <w:tcPr>
                  <w:tcW w:w="936" w:type="pct"/>
                  <w:vAlign w:val="center"/>
                </w:tcPr>
                <w:p w14:paraId="0C3BD0AC">
                  <w:pPr>
                    <w:pStyle w:val="13"/>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600</w:t>
                  </w:r>
                  <w:r>
                    <w:rPr>
                      <w:rFonts w:hint="default" w:ascii="Times New Roman" w:hAnsi="Times New Roman" w:cs="Times New Roman"/>
                      <w:color w:val="000000" w:themeColor="text1"/>
                      <w14:textFill>
                        <w14:solidFill>
                          <w14:schemeClr w14:val="tx1"/>
                        </w14:solidFill>
                      </w14:textFill>
                    </w:rPr>
                    <w:t>μg/m</w:t>
                  </w:r>
                  <w:r>
                    <w:rPr>
                      <w:rFonts w:hint="default" w:ascii="Times New Roman" w:hAnsi="Times New Roman" w:cs="Times New Roman"/>
                      <w:color w:val="000000" w:themeColor="text1"/>
                      <w:vertAlign w:val="superscript"/>
                      <w14:textFill>
                        <w14:solidFill>
                          <w14:schemeClr w14:val="tx1"/>
                        </w14:solidFill>
                      </w14:textFill>
                    </w:rPr>
                    <w:t>3</w:t>
                  </w:r>
                </w:p>
              </w:tc>
              <w:tc>
                <w:tcPr>
                  <w:tcW w:w="604" w:type="pct"/>
                  <w:vMerge w:val="restart"/>
                  <w:vAlign w:val="center"/>
                </w:tcPr>
                <w:p w14:paraId="4CACFC28">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自监测起持续15分钟</w:t>
                  </w:r>
                </w:p>
              </w:tc>
            </w:tr>
            <w:tr w14:paraId="3985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569" w:type="pct"/>
                  <w:vMerge w:val="continue"/>
                  <w:vAlign w:val="center"/>
                </w:tcPr>
                <w:p w14:paraId="24378983">
                  <w:pPr>
                    <w:pStyle w:val="13"/>
                    <w:rPr>
                      <w:rFonts w:hint="default" w:ascii="Times New Roman" w:hAnsi="Times New Roman" w:cs="Times New Roman"/>
                      <w:color w:val="000000" w:themeColor="text1"/>
                      <w14:textFill>
                        <w14:solidFill>
                          <w14:schemeClr w14:val="tx1"/>
                        </w14:solidFill>
                      </w14:textFill>
                    </w:rPr>
                  </w:pPr>
                </w:p>
              </w:tc>
              <w:tc>
                <w:tcPr>
                  <w:tcW w:w="2010" w:type="pct"/>
                  <w:vMerge w:val="continue"/>
                  <w:vAlign w:val="center"/>
                </w:tcPr>
                <w:p w14:paraId="173FD20C">
                  <w:pPr>
                    <w:pStyle w:val="13"/>
                    <w:rPr>
                      <w:rFonts w:hint="default" w:ascii="Times New Roman" w:hAnsi="Times New Roman" w:cs="Times New Roman"/>
                      <w:color w:val="000000" w:themeColor="text1"/>
                      <w14:textFill>
                        <w14:solidFill>
                          <w14:schemeClr w14:val="tx1"/>
                        </w14:solidFill>
                      </w14:textFill>
                    </w:rPr>
                  </w:pPr>
                </w:p>
              </w:tc>
              <w:tc>
                <w:tcPr>
                  <w:tcW w:w="878" w:type="pct"/>
                  <w:vAlign w:val="center"/>
                </w:tcPr>
                <w:p w14:paraId="01A32695">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其他工程阶段</w:t>
                  </w:r>
                </w:p>
              </w:tc>
              <w:tc>
                <w:tcPr>
                  <w:tcW w:w="936" w:type="pct"/>
                  <w:vAlign w:val="center"/>
                </w:tcPr>
                <w:p w14:paraId="6B0BDA3F">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250μg/m</w:t>
                  </w:r>
                  <w:r>
                    <w:rPr>
                      <w:rFonts w:hint="default" w:ascii="Times New Roman" w:hAnsi="Times New Roman" w:cs="Times New Roman"/>
                      <w:color w:val="000000" w:themeColor="text1"/>
                      <w:vertAlign w:val="superscript"/>
                      <w14:textFill>
                        <w14:solidFill>
                          <w14:schemeClr w14:val="tx1"/>
                        </w14:solidFill>
                      </w14:textFill>
                    </w:rPr>
                    <w:t>3</w:t>
                  </w:r>
                </w:p>
              </w:tc>
              <w:tc>
                <w:tcPr>
                  <w:tcW w:w="604" w:type="pct"/>
                  <w:vMerge w:val="continue"/>
                  <w:vAlign w:val="center"/>
                </w:tcPr>
                <w:p w14:paraId="40C0A4F7">
                  <w:pPr>
                    <w:pStyle w:val="13"/>
                    <w:rPr>
                      <w:rFonts w:hint="default" w:ascii="Times New Roman" w:hAnsi="Times New Roman" w:cs="Times New Roman"/>
                      <w:color w:val="000000" w:themeColor="text1"/>
                      <w14:textFill>
                        <w14:solidFill>
                          <w14:schemeClr w14:val="tx1"/>
                        </w14:solidFill>
                      </w14:textFill>
                    </w:rPr>
                  </w:pPr>
                </w:p>
              </w:tc>
            </w:tr>
          </w:tbl>
          <w:p w14:paraId="637BA124">
            <w:pPr>
              <w:ind w:firstLine="48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（2）营运期</w:t>
            </w:r>
          </w:p>
          <w:p w14:paraId="0236F89E">
            <w:pPr>
              <w:keepNext w:val="0"/>
              <w:keepLines w:val="0"/>
              <w:widowControl/>
              <w:suppressLineNumbers w:val="0"/>
              <w:jc w:val="left"/>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煅烧废气经</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旋风除尘器+布袋除尘器1#+活性炭喷射+布袋除尘器2#+</w:t>
            </w:r>
            <w:r>
              <w:rPr>
                <w:rFonts w:hint="eastAsia" w:cs="Times New Roman"/>
                <w:color w:val="000000" w:themeColor="text1"/>
                <w:kern w:val="0"/>
                <w:sz w:val="24"/>
                <w:szCs w:val="24"/>
                <w:lang w:val="en-US" w:eastAsia="zh-CN" w:bidi="ar"/>
                <w14:textFill>
                  <w14:solidFill>
                    <w14:schemeClr w14:val="tx1"/>
                  </w14:solidFill>
                </w14:textFill>
              </w:rPr>
              <w:t>2座脱酸塔</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处理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后经</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1根</w:t>
            </w:r>
            <w:r>
              <w:rPr>
                <w:rFonts w:hint="eastAsia" w:cs="Times New Roman"/>
                <w:color w:val="000000" w:themeColor="text1"/>
                <w:kern w:val="0"/>
                <w:sz w:val="24"/>
                <w:szCs w:val="24"/>
                <w:lang w:val="en-US" w:eastAsia="zh-CN" w:bidi="ar"/>
                <w14:textFill>
                  <w14:solidFill>
                    <w14:schemeClr w14:val="tx1"/>
                  </w14:solidFill>
                </w14:textFill>
              </w:rPr>
              <w:t>45m</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高排气筒</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DA001</w:t>
            </w:r>
            <w:r>
              <w:rPr>
                <w:rFonts w:hint="eastAsia"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排</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放</w:t>
            </w:r>
            <w:r>
              <w:rPr>
                <w:rFonts w:hint="eastAsia" w:cs="Times New Roman"/>
                <w:color w:val="000000" w:themeColor="text1"/>
                <w:kern w:val="0"/>
                <w:sz w:val="24"/>
                <w:szCs w:val="24"/>
                <w:lang w:val="en-US" w:eastAsia="zh-CN" w:bidi="ar"/>
                <w14:textFill>
                  <w14:solidFill>
                    <w14:schemeClr w14:val="tx1"/>
                  </w14:solidFill>
                </w14:textFill>
              </w:rPr>
              <w:t>。</w:t>
            </w:r>
          </w:p>
          <w:p w14:paraId="78228077">
            <w:pPr>
              <w:keepNext w:val="0"/>
              <w:keepLines w:val="0"/>
              <w:widowControl/>
              <w:suppressLineNumbers w:val="0"/>
              <w:ind w:firstLine="480" w:firstLineChars="200"/>
              <w:jc w:val="left"/>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本项目综合利用水基岩屑，采用回转窑</w:t>
            </w:r>
            <w:r>
              <w:rPr>
                <w:rFonts w:hint="eastAsia" w:cs="Times New Roman"/>
                <w:color w:val="000000" w:themeColor="text1"/>
                <w:sz w:val="24"/>
                <w:lang w:val="en-US" w:eastAsia="zh-CN"/>
                <w14:textFill>
                  <w14:solidFill>
                    <w14:schemeClr w14:val="tx1"/>
                  </w14:solidFill>
                </w14:textFill>
              </w:rPr>
              <w:t>干燥、预热、</w:t>
            </w:r>
            <w:r>
              <w:rPr>
                <w:rFonts w:hint="eastAsia" w:ascii="Times New Roman" w:hAnsi="Times New Roman" w:cs="Times New Roman"/>
                <w:color w:val="000000" w:themeColor="text1"/>
                <w:sz w:val="24"/>
                <w:lang w:val="en-US" w:eastAsia="zh-CN"/>
                <w14:textFill>
                  <w14:solidFill>
                    <w14:schemeClr w14:val="tx1"/>
                  </w14:solidFill>
                </w14:textFill>
              </w:rPr>
              <w:t>煅烧水基岩屑，将</w:t>
            </w:r>
            <w:r>
              <w:rPr>
                <w:rFonts w:hint="eastAsia" w:cs="Times New Roman"/>
                <w:color w:val="000000" w:themeColor="text1"/>
                <w:sz w:val="24"/>
                <w:lang w:val="en-US" w:eastAsia="zh-CN"/>
                <w14:textFill>
                  <w14:solidFill>
                    <w14:schemeClr w14:val="tx1"/>
                  </w14:solidFill>
                </w14:textFill>
              </w:rPr>
              <w:t>处理</w:t>
            </w:r>
            <w:r>
              <w:rPr>
                <w:rFonts w:hint="eastAsia" w:ascii="Times New Roman" w:hAnsi="Times New Roman" w:cs="Times New Roman"/>
                <w:color w:val="000000" w:themeColor="text1"/>
                <w:sz w:val="24"/>
                <w:lang w:val="en-US" w:eastAsia="zh-CN"/>
                <w14:textFill>
                  <w14:solidFill>
                    <w14:schemeClr w14:val="tx1"/>
                  </w14:solidFill>
                </w14:textFill>
              </w:rPr>
              <w:t>后的水基岩屑再配以水泥、砂石、固化剂、水等制成免烧砌块，整个生产过程是利用水基岩屑预处理后再生产免烧砌块，因此，项目主体属于砖瓦制造行业，排放标准执行砖瓦行业标准。</w:t>
            </w:r>
            <w:r>
              <w:rPr>
                <w:rFonts w:hint="eastAsia" w:cs="Times New Roman"/>
                <w:color w:val="000000" w:themeColor="text1"/>
                <w:sz w:val="24"/>
                <w:lang w:val="en-US" w:eastAsia="zh-CN"/>
                <w14:textFill>
                  <w14:solidFill>
                    <w14:schemeClr w14:val="tx1"/>
                  </w14:solidFill>
                </w14:textFill>
              </w:rPr>
              <w:t>本项目使用煅烧回转窑属于非金属焙（煅）烧炉窑，执行《工业炉窑大气污染物排放标准》（GB9078-1996）；</w:t>
            </w:r>
            <w:r>
              <w:rPr>
                <w:rFonts w:hint="eastAsia" w:ascii="Times New Roman" w:hAnsi="Times New Roman" w:cs="Times New Roman"/>
                <w:color w:val="000000" w:themeColor="text1"/>
                <w:sz w:val="24"/>
                <w:lang w:val="en-US" w:eastAsia="zh-CN"/>
                <w14:textFill>
                  <w14:solidFill>
                    <w14:schemeClr w14:val="tx1"/>
                  </w14:solidFill>
                </w14:textFill>
              </w:rPr>
              <w:t>同时</w:t>
            </w:r>
            <w:r>
              <w:rPr>
                <w:rFonts w:hint="eastAsia" w:cs="Times New Roman"/>
                <w:color w:val="000000" w:themeColor="text1"/>
                <w:sz w:val="24"/>
                <w:lang w:val="en-US" w:eastAsia="zh-CN"/>
                <w14:textFill>
                  <w14:solidFill>
                    <w14:schemeClr w14:val="tx1"/>
                  </w14:solidFill>
                </w14:textFill>
              </w:rPr>
              <w:t>参照</w:t>
            </w:r>
            <w:r>
              <w:rPr>
                <w:rFonts w:hint="eastAsia" w:ascii="Times New Roman" w:hAnsi="Times New Roman" w:cs="Times New Roman"/>
                <w:color w:val="000000" w:themeColor="text1"/>
                <w:sz w:val="24"/>
                <w:lang w:val="en-US" w:eastAsia="zh-CN"/>
                <w14:textFill>
                  <w14:solidFill>
                    <w14:schemeClr w14:val="tx1"/>
                  </w14:solidFill>
                </w14:textFill>
              </w:rPr>
              <w:t>《生活垃圾焚烧污染控制标准》（GB18485-2014）中适用范围“掺加生活垃圾质量超过入炉</w:t>
            </w:r>
            <w:r>
              <w:rPr>
                <w:rFonts w:hint="eastAsia" w:ascii="宋体" w:hAnsi="宋体" w:eastAsia="宋体" w:cs="宋体"/>
                <w:color w:val="000000" w:themeColor="text1"/>
                <w:sz w:val="24"/>
                <w:lang w:val="en-US" w:eastAsia="zh-CN"/>
                <w14:textFill>
                  <w14:solidFill>
                    <w14:schemeClr w14:val="tx1"/>
                  </w14:solidFill>
                </w14:textFill>
              </w:rPr>
              <w:t>(窑)</w:t>
            </w:r>
            <w:r>
              <w:rPr>
                <w:rFonts w:hint="eastAsia" w:ascii="Times New Roman" w:hAnsi="Times New Roman" w:cs="Times New Roman"/>
                <w:color w:val="000000" w:themeColor="text1"/>
                <w:sz w:val="24"/>
                <w:lang w:val="en-US" w:eastAsia="zh-CN"/>
                <w14:textFill>
                  <w14:solidFill>
                    <w14:schemeClr w14:val="tx1"/>
                  </w14:solidFill>
                </w14:textFill>
              </w:rPr>
              <w:t>物料总质量30%的工业窑炉以及生活污水处理设施产生的污泥、一般工业固体废物的专用焚烧炉的污染控制参照本标准执行”，本项目煅烧水基岩屑过程，与一般工业固体废物焚烧炉类似，因此，水基岩屑煅烧炉参照执行《生活垃圾焚烧污染控制标准》（GB18485-2014）。综合</w:t>
            </w:r>
            <w:r>
              <w:rPr>
                <w:rFonts w:hint="eastAsia" w:cs="Times New Roman"/>
                <w:color w:val="000000" w:themeColor="text1"/>
                <w:sz w:val="24"/>
                <w:lang w:val="en-US" w:eastAsia="zh-CN"/>
                <w14:textFill>
                  <w14:solidFill>
                    <w14:schemeClr w14:val="tx1"/>
                  </w14:solidFill>
                </w14:textFill>
              </w:rPr>
              <w:t>三</w:t>
            </w:r>
            <w:r>
              <w:rPr>
                <w:rFonts w:hint="eastAsia" w:ascii="Times New Roman" w:hAnsi="Times New Roman" w:cs="Times New Roman"/>
                <w:color w:val="000000" w:themeColor="text1"/>
                <w:sz w:val="24"/>
                <w:lang w:val="en-US" w:eastAsia="zh-CN"/>
                <w14:textFill>
                  <w14:solidFill>
                    <w14:schemeClr w14:val="tx1"/>
                  </w14:solidFill>
                </w14:textFill>
              </w:rPr>
              <w:t>个标准，为减小大气污染排放，</w:t>
            </w:r>
            <w:r>
              <w:rPr>
                <w:rFonts w:hint="eastAsia" w:cs="Times New Roman"/>
                <w:color w:val="000000" w:themeColor="text1"/>
                <w:sz w:val="24"/>
                <w:lang w:val="en-US" w:eastAsia="zh-CN"/>
                <w14:textFill>
                  <w14:solidFill>
                    <w14:schemeClr w14:val="tx1"/>
                  </w14:solidFill>
                </w14:textFill>
              </w:rPr>
              <w:t>且</w:t>
            </w:r>
            <w:r>
              <w:rPr>
                <w:rFonts w:hint="eastAsia"/>
                <w:lang w:eastAsia="zh-CN"/>
              </w:rPr>
              <w:t>根据《四川平昌经济开发区规划环评修编环境影响报告书》审查意见，星光机械制造产业园新引入项目执行最严格的行业排放控制要求，</w:t>
            </w:r>
            <w:r>
              <w:rPr>
                <w:rFonts w:hint="eastAsia"/>
                <w:lang w:val="en-US" w:eastAsia="zh-CN"/>
              </w:rPr>
              <w:t>因此，本项目</w:t>
            </w:r>
            <w:r>
              <w:rPr>
                <w:rFonts w:hint="eastAsia" w:ascii="Times New Roman" w:hAnsi="Times New Roman" w:cs="Times New Roman"/>
                <w:color w:val="000000" w:themeColor="text1"/>
                <w:sz w:val="24"/>
                <w:lang w:val="en-US" w:eastAsia="zh-CN"/>
                <w14:textFill>
                  <w14:solidFill>
                    <w14:schemeClr w14:val="tx1"/>
                  </w14:solidFill>
                </w14:textFill>
              </w:rPr>
              <w:t>污染因子</w:t>
            </w:r>
            <w:r>
              <w:rPr>
                <w:rFonts w:hint="eastAsia" w:cs="Times New Roman"/>
                <w:color w:val="000000" w:themeColor="text1"/>
                <w:sz w:val="24"/>
                <w:lang w:val="en-US" w:eastAsia="zh-CN"/>
                <w14:textFill>
                  <w14:solidFill>
                    <w14:schemeClr w14:val="tx1"/>
                  </w14:solidFill>
                </w14:textFill>
              </w:rPr>
              <w:t>排放限值</w:t>
            </w:r>
            <w:r>
              <w:rPr>
                <w:rFonts w:hint="eastAsia" w:ascii="Times New Roman" w:hAnsi="Times New Roman" w:cs="Times New Roman"/>
                <w:color w:val="000000" w:themeColor="text1"/>
                <w:sz w:val="24"/>
                <w:lang w:val="en-US" w:eastAsia="zh-CN"/>
                <w14:textFill>
                  <w14:solidFill>
                    <w14:schemeClr w14:val="tx1"/>
                  </w14:solidFill>
                </w14:textFill>
              </w:rPr>
              <w:t>取最严格的标准执行。</w:t>
            </w:r>
          </w:p>
          <w:p w14:paraId="1BC1A161">
            <w:pPr>
              <w:pStyle w:val="12"/>
              <w:keepNext/>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t xml:space="preserve"> </w:t>
            </w:r>
            <w:r>
              <w:rPr>
                <w:rFonts w:hint="eastAsia" w:cs="Times New Roman"/>
                <w:color w:val="000000" w:themeColor="text1"/>
                <w:lang w:eastAsia="zh-CN"/>
                <w14:textFill>
                  <w14:solidFill>
                    <w14:schemeClr w14:val="tx1"/>
                  </w14:solidFill>
                </w14:textFill>
              </w:rPr>
              <w:t>各排放标准</w:t>
            </w:r>
            <w:r>
              <w:rPr>
                <w:rFonts w:hint="default" w:ascii="Times New Roman" w:hAnsi="Times New Roman" w:cs="Times New Roman"/>
                <w:color w:val="000000" w:themeColor="text1"/>
                <w14:textFill>
                  <w14:solidFill>
                    <w14:schemeClr w14:val="tx1"/>
                  </w14:solidFill>
                </w14:textFill>
              </w:rPr>
              <w:t>污染物排放</w:t>
            </w:r>
            <w:r>
              <w:rPr>
                <w:rFonts w:hint="eastAsia" w:cs="Times New Roman"/>
                <w:color w:val="000000" w:themeColor="text1"/>
                <w:lang w:eastAsia="zh-CN"/>
                <w14:textFill>
                  <w14:solidFill>
                    <w14:schemeClr w14:val="tx1"/>
                  </w14:solidFill>
                </w14:textFill>
              </w:rPr>
              <w:t>浓度限值要求</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48"/>
              <w:gridCol w:w="2228"/>
              <w:gridCol w:w="1344"/>
              <w:gridCol w:w="1382"/>
              <w:gridCol w:w="990"/>
              <w:gridCol w:w="1144"/>
              <w:gridCol w:w="1954"/>
            </w:tblGrid>
            <w:tr w14:paraId="1AFD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Align w:val="center"/>
                </w:tcPr>
                <w:p w14:paraId="1649E458">
                  <w:pPr>
                    <w:pStyle w:val="51"/>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排气筒</w:t>
                  </w:r>
                </w:p>
              </w:tc>
              <w:tc>
                <w:tcPr>
                  <w:tcW w:w="1137" w:type="pct"/>
                  <w:vAlign w:val="center"/>
                </w:tcPr>
                <w:p w14:paraId="1233C700">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污染物名称</w:t>
                  </w:r>
                </w:p>
              </w:tc>
              <w:tc>
                <w:tcPr>
                  <w:tcW w:w="686" w:type="pct"/>
                  <w:vAlign w:val="center"/>
                </w:tcPr>
                <w:p w14:paraId="287CA83D">
                  <w:pPr>
                    <w:pStyle w:val="51"/>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取值时间</w:t>
                  </w:r>
                </w:p>
              </w:tc>
              <w:tc>
                <w:tcPr>
                  <w:tcW w:w="705" w:type="pct"/>
                  <w:vAlign w:val="center"/>
                </w:tcPr>
                <w:p w14:paraId="7579E0C5">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排放浓度</w:t>
                  </w:r>
                  <w:r>
                    <w:rPr>
                      <w:rFonts w:hint="eastAsia" w:cs="Times New Roman"/>
                      <w:color w:val="000000" w:themeColor="text1"/>
                      <w:sz w:val="21"/>
                      <w:szCs w:val="21"/>
                      <w:lang w:val="en-US" w:eastAsia="zh-CN"/>
                      <w14:textFill>
                        <w14:solidFill>
                          <w14:schemeClr w14:val="tx1"/>
                        </w14:solidFill>
                      </w14:textFill>
                    </w:rPr>
                    <w:t>限值</w:t>
                  </w:r>
                  <w:r>
                    <w:rPr>
                      <w:rFonts w:hint="default" w:ascii="Times New Roman" w:hAnsi="Times New Roman" w:cs="Times New Roman"/>
                      <w:bCs/>
                      <w:color w:val="000000" w:themeColor="text1"/>
                      <w:sz w:val="21"/>
                      <w:szCs w:val="21"/>
                      <w14:textFill>
                        <w14:solidFill>
                          <w14:schemeClr w14:val="tx1"/>
                        </w14:solidFill>
                      </w14:textFill>
                    </w:rPr>
                    <w:t>mg/m</w:t>
                  </w:r>
                  <w:r>
                    <w:rPr>
                      <w:rFonts w:hint="default" w:ascii="Times New Roman" w:hAnsi="Times New Roman" w:cs="Times New Roman"/>
                      <w:bCs/>
                      <w:color w:val="000000" w:themeColor="text1"/>
                      <w:sz w:val="21"/>
                      <w:szCs w:val="21"/>
                      <w:vertAlign w:val="superscript"/>
                      <w14:textFill>
                        <w14:solidFill>
                          <w14:schemeClr w14:val="tx1"/>
                        </w14:solidFill>
                      </w14:textFill>
                    </w:rPr>
                    <w:t>3</w:t>
                  </w:r>
                </w:p>
              </w:tc>
              <w:tc>
                <w:tcPr>
                  <w:tcW w:w="505" w:type="pct"/>
                  <w:vAlign w:val="center"/>
                </w:tcPr>
                <w:p w14:paraId="1F8155B0">
                  <w:pPr>
                    <w:pStyle w:val="51"/>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排放速率kg/h</w:t>
                  </w:r>
                </w:p>
              </w:tc>
              <w:tc>
                <w:tcPr>
                  <w:tcW w:w="584" w:type="pct"/>
                  <w:vAlign w:val="center"/>
                </w:tcPr>
                <w:p w14:paraId="036694B2">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Cs/>
                      <w:caps/>
                      <w:color w:val="000000" w:themeColor="text1"/>
                      <w:sz w:val="21"/>
                      <w:szCs w:val="21"/>
                      <w14:textFill>
                        <w14:solidFill>
                          <w14:schemeClr w14:val="tx1"/>
                        </w14:solidFill>
                      </w14:textFill>
                    </w:rPr>
                    <w:t>无组织排放浓度</w:t>
                  </w:r>
                  <w:r>
                    <w:rPr>
                      <w:rFonts w:hint="default" w:ascii="Times New Roman" w:hAnsi="Times New Roman" w:cs="Times New Roman"/>
                      <w:bCs/>
                      <w:color w:val="000000" w:themeColor="text1"/>
                      <w:sz w:val="21"/>
                      <w:szCs w:val="21"/>
                      <w14:textFill>
                        <w14:solidFill>
                          <w14:schemeClr w14:val="tx1"/>
                        </w14:solidFill>
                      </w14:textFill>
                    </w:rPr>
                    <w:t>mg/m</w:t>
                  </w:r>
                  <w:r>
                    <w:rPr>
                      <w:rFonts w:hint="default" w:ascii="Times New Roman" w:hAnsi="Times New Roman" w:cs="Times New Roman"/>
                      <w:bCs/>
                      <w:color w:val="000000" w:themeColor="text1"/>
                      <w:sz w:val="21"/>
                      <w:szCs w:val="21"/>
                      <w:vertAlign w:val="superscript"/>
                      <w14:textFill>
                        <w14:solidFill>
                          <w14:schemeClr w14:val="tx1"/>
                        </w14:solidFill>
                      </w14:textFill>
                    </w:rPr>
                    <w:t>3</w:t>
                  </w:r>
                </w:p>
              </w:tc>
              <w:tc>
                <w:tcPr>
                  <w:tcW w:w="997" w:type="pct"/>
                  <w:vAlign w:val="center"/>
                </w:tcPr>
                <w:p w14:paraId="7B23AA40">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排放标准</w:t>
                  </w:r>
                </w:p>
              </w:tc>
            </w:tr>
            <w:tr w14:paraId="7AEC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382" w:type="pct"/>
                  <w:vMerge w:val="restart"/>
                  <w:vAlign w:val="center"/>
                </w:tcPr>
                <w:p w14:paraId="2ABCB9FD">
                  <w:pPr>
                    <w:pStyle w:val="13"/>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DA001</w:t>
                  </w:r>
                </w:p>
              </w:tc>
              <w:tc>
                <w:tcPr>
                  <w:tcW w:w="1137" w:type="pct"/>
                  <w:vAlign w:val="center"/>
                </w:tcPr>
                <w:p w14:paraId="2E05AB1A">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氟化物</w:t>
                  </w:r>
                </w:p>
              </w:tc>
              <w:tc>
                <w:tcPr>
                  <w:tcW w:w="686" w:type="pct"/>
                  <w:vAlign w:val="center"/>
                </w:tcPr>
                <w:p w14:paraId="053BDEF9">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0A2C0FF8">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6</w:t>
                  </w:r>
                </w:p>
              </w:tc>
              <w:tc>
                <w:tcPr>
                  <w:tcW w:w="505" w:type="pct"/>
                  <w:vAlign w:val="center"/>
                </w:tcPr>
                <w:p w14:paraId="333E7715">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0F8D8A9E">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restart"/>
                  <w:vAlign w:val="center"/>
                </w:tcPr>
                <w:p w14:paraId="298558A7">
                  <w:pPr>
                    <w:pStyle w:val="13"/>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Cs w:val="0"/>
                      <w:color w:val="000000" w:themeColor="text1"/>
                      <w:szCs w:val="21"/>
                      <w14:textFill>
                        <w14:solidFill>
                          <w14:schemeClr w14:val="tx1"/>
                        </w14:solidFill>
                      </w14:textFill>
                    </w:rPr>
                    <w:t>《工业炉窑大气污染物排放标准》（GB9078-1996）</w:t>
                  </w:r>
                </w:p>
              </w:tc>
            </w:tr>
            <w:tr w14:paraId="46271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382" w:type="pct"/>
                  <w:vMerge w:val="continue"/>
                  <w:vAlign w:val="center"/>
                </w:tcPr>
                <w:p w14:paraId="2AF7DDD1">
                  <w:pPr>
                    <w:pStyle w:val="13"/>
                  </w:pPr>
                </w:p>
              </w:tc>
              <w:tc>
                <w:tcPr>
                  <w:tcW w:w="2228" w:type="dxa"/>
                  <w:vAlign w:val="center"/>
                </w:tcPr>
                <w:p w14:paraId="12C6ABED">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铅</w:t>
                  </w:r>
                </w:p>
              </w:tc>
              <w:tc>
                <w:tcPr>
                  <w:tcW w:w="1344" w:type="dxa"/>
                  <w:vAlign w:val="center"/>
                </w:tcPr>
                <w:p w14:paraId="2ACA3408">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1382" w:type="dxa"/>
                  <w:vAlign w:val="center"/>
                </w:tcPr>
                <w:p w14:paraId="21216CE5">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0.10</w:t>
                  </w:r>
                </w:p>
              </w:tc>
              <w:tc>
                <w:tcPr>
                  <w:tcW w:w="505" w:type="pct"/>
                  <w:vAlign w:val="center"/>
                </w:tcPr>
                <w:p w14:paraId="65FA0783">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7B4C7366">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5BC2EBC5">
                  <w:pPr>
                    <w:pStyle w:val="13"/>
                    <w:rPr>
                      <w:rFonts w:hint="eastAsia" w:cs="Times New Roman"/>
                      <w:b w:val="0"/>
                      <w:bCs w:val="0"/>
                      <w:color w:val="000000" w:themeColor="text1"/>
                      <w:sz w:val="21"/>
                      <w:szCs w:val="21"/>
                      <w:lang w:val="en-US" w:eastAsia="zh-CN"/>
                      <w14:textFill>
                        <w14:solidFill>
                          <w14:schemeClr w14:val="tx1"/>
                        </w14:solidFill>
                      </w14:textFill>
                    </w:rPr>
                  </w:pPr>
                </w:p>
              </w:tc>
            </w:tr>
            <w:tr w14:paraId="029C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382" w:type="pct"/>
                  <w:vMerge w:val="continue"/>
                  <w:vAlign w:val="center"/>
                </w:tcPr>
                <w:p w14:paraId="12DAE59E">
                  <w:pPr>
                    <w:pStyle w:val="13"/>
                    <w:rPr>
                      <w:rFonts w:hint="eastAsia" w:cs="Times New Roman"/>
                      <w:b w:val="0"/>
                      <w:bCs w:val="0"/>
                      <w:color w:val="000000" w:themeColor="text1"/>
                      <w:sz w:val="21"/>
                      <w:szCs w:val="21"/>
                      <w:lang w:val="en-US" w:eastAsia="zh-CN"/>
                      <w14:textFill>
                        <w14:solidFill>
                          <w14:schemeClr w14:val="tx1"/>
                        </w14:solidFill>
                      </w14:textFill>
                    </w:rPr>
                  </w:pPr>
                </w:p>
              </w:tc>
              <w:tc>
                <w:tcPr>
                  <w:tcW w:w="2228" w:type="dxa"/>
                  <w:vAlign w:val="center"/>
                </w:tcPr>
                <w:p w14:paraId="4C392F36">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汞</w:t>
                  </w:r>
                </w:p>
              </w:tc>
              <w:tc>
                <w:tcPr>
                  <w:tcW w:w="1344" w:type="dxa"/>
                  <w:vAlign w:val="center"/>
                </w:tcPr>
                <w:p w14:paraId="60B4AB48">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1382" w:type="dxa"/>
                  <w:vAlign w:val="center"/>
                </w:tcPr>
                <w:p w14:paraId="1B2F7085">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0.01</w:t>
                  </w:r>
                </w:p>
              </w:tc>
              <w:tc>
                <w:tcPr>
                  <w:tcW w:w="505" w:type="pct"/>
                  <w:vAlign w:val="center"/>
                </w:tcPr>
                <w:p w14:paraId="790D3A22">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1781E78D">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4A0AA7F7">
                  <w:pPr>
                    <w:pStyle w:val="13"/>
                    <w:rPr>
                      <w:rFonts w:hint="eastAsia" w:cs="Times New Roman"/>
                      <w:b w:val="0"/>
                      <w:bCs w:val="0"/>
                      <w:color w:val="000000" w:themeColor="text1"/>
                      <w:sz w:val="21"/>
                      <w:szCs w:val="21"/>
                      <w:lang w:val="en-US" w:eastAsia="zh-CN"/>
                      <w14:textFill>
                        <w14:solidFill>
                          <w14:schemeClr w14:val="tx1"/>
                        </w14:solidFill>
                      </w14:textFill>
                    </w:rPr>
                  </w:pPr>
                </w:p>
              </w:tc>
            </w:tr>
            <w:tr w14:paraId="25D2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3730F520">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Merge w:val="restart"/>
                  <w:vAlign w:val="center"/>
                </w:tcPr>
                <w:p w14:paraId="12582720">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颗粒物</w:t>
                  </w:r>
                </w:p>
              </w:tc>
              <w:tc>
                <w:tcPr>
                  <w:tcW w:w="686" w:type="pct"/>
                  <w:vAlign w:val="center"/>
                </w:tcPr>
                <w:p w14:paraId="59A7F54E">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05" w:type="pct"/>
                  <w:vAlign w:val="center"/>
                </w:tcPr>
                <w:p w14:paraId="605F872A">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w:t>
                  </w:r>
                </w:p>
              </w:tc>
              <w:tc>
                <w:tcPr>
                  <w:tcW w:w="505" w:type="pct"/>
                  <w:vMerge w:val="restart"/>
                  <w:vAlign w:val="center"/>
                </w:tcPr>
                <w:p w14:paraId="35290A3B">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Merge w:val="restart"/>
                  <w:vAlign w:val="center"/>
                </w:tcPr>
                <w:p w14:paraId="45194E88">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restart"/>
                  <w:vAlign w:val="center"/>
                </w:tcPr>
                <w:p w14:paraId="76359505">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《生活垃圾焚烧污染控制标准》（GB18485-2014）</w:t>
                  </w:r>
                </w:p>
              </w:tc>
            </w:tr>
            <w:tr w14:paraId="4ACE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10754150">
                  <w:pPr>
                    <w:pStyle w:val="13"/>
                    <w:rPr>
                      <w:color w:val="000000" w:themeColor="text1"/>
                      <w:sz w:val="21"/>
                      <w:szCs w:val="21"/>
                      <w14:textFill>
                        <w14:solidFill>
                          <w14:schemeClr w14:val="tx1"/>
                        </w14:solidFill>
                      </w14:textFill>
                    </w:rPr>
                  </w:pPr>
                </w:p>
              </w:tc>
              <w:tc>
                <w:tcPr>
                  <w:tcW w:w="1137" w:type="pct"/>
                  <w:vMerge w:val="continue"/>
                  <w:vAlign w:val="center"/>
                </w:tcPr>
                <w:p w14:paraId="464041EB">
                  <w:pPr>
                    <w:pStyle w:val="13"/>
                    <w:rPr>
                      <w:color w:val="000000" w:themeColor="text1"/>
                      <w:sz w:val="21"/>
                      <w:szCs w:val="21"/>
                      <w14:textFill>
                        <w14:solidFill>
                          <w14:schemeClr w14:val="tx1"/>
                        </w14:solidFill>
                      </w14:textFill>
                    </w:rPr>
                  </w:pPr>
                </w:p>
              </w:tc>
              <w:tc>
                <w:tcPr>
                  <w:tcW w:w="686" w:type="pct"/>
                  <w:vAlign w:val="center"/>
                </w:tcPr>
                <w:p w14:paraId="4CB7B7BF">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05" w:type="pct"/>
                  <w:vAlign w:val="center"/>
                </w:tcPr>
                <w:p w14:paraId="1F07B1AA">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20</w:t>
                  </w:r>
                </w:p>
              </w:tc>
              <w:tc>
                <w:tcPr>
                  <w:tcW w:w="505" w:type="pct"/>
                  <w:vMerge w:val="continue"/>
                  <w:vAlign w:val="center"/>
                </w:tcPr>
                <w:p w14:paraId="79D6591A">
                  <w:pPr>
                    <w:pStyle w:val="13"/>
                    <w:rPr>
                      <w:rFonts w:hint="eastAsia" w:cs="Times New Roman"/>
                      <w:b w:val="0"/>
                      <w:bCs w:val="0"/>
                      <w:color w:val="000000" w:themeColor="text1"/>
                      <w:sz w:val="21"/>
                      <w:szCs w:val="21"/>
                      <w:lang w:val="en-US" w:eastAsia="zh-CN"/>
                      <w14:textFill>
                        <w14:solidFill>
                          <w14:schemeClr w14:val="tx1"/>
                        </w14:solidFill>
                      </w14:textFill>
                    </w:rPr>
                  </w:pPr>
                </w:p>
              </w:tc>
              <w:tc>
                <w:tcPr>
                  <w:tcW w:w="584" w:type="pct"/>
                  <w:vMerge w:val="continue"/>
                  <w:vAlign w:val="center"/>
                </w:tcPr>
                <w:p w14:paraId="4772FC20">
                  <w:pPr>
                    <w:pStyle w:val="13"/>
                    <w:rPr>
                      <w:rFonts w:hint="eastAsia" w:cs="Times New Roman"/>
                      <w:b w:val="0"/>
                      <w:bCs w:val="0"/>
                      <w:color w:val="000000" w:themeColor="text1"/>
                      <w:sz w:val="21"/>
                      <w:szCs w:val="21"/>
                      <w:lang w:val="en-US" w:eastAsia="zh-CN"/>
                      <w14:textFill>
                        <w14:solidFill>
                          <w14:schemeClr w14:val="tx1"/>
                        </w14:solidFill>
                      </w14:textFill>
                    </w:rPr>
                  </w:pPr>
                </w:p>
              </w:tc>
              <w:tc>
                <w:tcPr>
                  <w:tcW w:w="997" w:type="pct"/>
                  <w:vMerge w:val="continue"/>
                  <w:vAlign w:val="center"/>
                </w:tcPr>
                <w:p w14:paraId="2E2EC754">
                  <w:pPr>
                    <w:pStyle w:val="13"/>
                    <w:rPr>
                      <w:rFonts w:hint="eastAsia" w:cs="Times New Roman"/>
                      <w:b w:val="0"/>
                      <w:bCs w:val="0"/>
                      <w:color w:val="000000" w:themeColor="text1"/>
                      <w:sz w:val="21"/>
                      <w:szCs w:val="21"/>
                      <w:lang w:val="en-US" w:eastAsia="zh-CN"/>
                      <w14:textFill>
                        <w14:solidFill>
                          <w14:schemeClr w14:val="tx1"/>
                        </w14:solidFill>
                      </w14:textFill>
                    </w:rPr>
                  </w:pPr>
                </w:p>
              </w:tc>
            </w:tr>
            <w:tr w14:paraId="1643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79F43CB5">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Merge w:val="restart"/>
                  <w:vAlign w:val="center"/>
                </w:tcPr>
                <w:p w14:paraId="60C273AD">
                  <w:pPr>
                    <w:pStyle w:val="13"/>
                    <w:ind w:firstLine="0" w:firstLineChars="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氮氧化物</w:t>
                  </w:r>
                </w:p>
              </w:tc>
              <w:tc>
                <w:tcPr>
                  <w:tcW w:w="686" w:type="pct"/>
                  <w:shd w:val="clear" w:color="auto" w:fill="auto"/>
                  <w:vAlign w:val="center"/>
                </w:tcPr>
                <w:p w14:paraId="7B0DD698">
                  <w:pPr>
                    <w:pStyle w:val="13"/>
                    <w:ind w:firstLine="0" w:firstLineChars="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05" w:type="pct"/>
                  <w:vAlign w:val="center"/>
                </w:tcPr>
                <w:p w14:paraId="5AA4A853">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300</w:t>
                  </w:r>
                </w:p>
              </w:tc>
              <w:tc>
                <w:tcPr>
                  <w:tcW w:w="505" w:type="pct"/>
                  <w:vMerge w:val="restart"/>
                  <w:shd w:val="clear" w:color="auto" w:fill="auto"/>
                  <w:vAlign w:val="center"/>
                </w:tcPr>
                <w:p w14:paraId="0CFC0989">
                  <w:pPr>
                    <w:pStyle w:val="13"/>
                    <w:ind w:firstLine="0" w:firstLineChars="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Merge w:val="restart"/>
                  <w:shd w:val="clear" w:color="auto" w:fill="auto"/>
                  <w:vAlign w:val="center"/>
                </w:tcPr>
                <w:p w14:paraId="31411731">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5D9950F8">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6BA99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5BBECF5E">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Merge w:val="continue"/>
                  <w:vAlign w:val="center"/>
                </w:tcPr>
                <w:p w14:paraId="7270A649">
                  <w:pPr>
                    <w:pStyle w:val="13"/>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p>
              </w:tc>
              <w:tc>
                <w:tcPr>
                  <w:tcW w:w="686" w:type="pct"/>
                  <w:shd w:val="clear" w:color="auto" w:fill="auto"/>
                  <w:vAlign w:val="center"/>
                </w:tcPr>
                <w:p w14:paraId="2E3EA094">
                  <w:pPr>
                    <w:pStyle w:val="13"/>
                    <w:ind w:firstLine="0" w:firstLineChars="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05" w:type="pct"/>
                  <w:vAlign w:val="center"/>
                </w:tcPr>
                <w:p w14:paraId="5594F22D">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250</w:t>
                  </w:r>
                </w:p>
              </w:tc>
              <w:tc>
                <w:tcPr>
                  <w:tcW w:w="505" w:type="pct"/>
                  <w:vMerge w:val="continue"/>
                  <w:vAlign w:val="center"/>
                </w:tcPr>
                <w:p w14:paraId="75B30DB0">
                  <w:pPr>
                    <w:pStyle w:val="13"/>
                    <w:rPr>
                      <w:rFonts w:hint="eastAsia" w:cs="Times New Roman"/>
                      <w:b w:val="0"/>
                      <w:bCs w:val="0"/>
                      <w:color w:val="000000" w:themeColor="text1"/>
                      <w:sz w:val="21"/>
                      <w:szCs w:val="21"/>
                      <w:lang w:val="en-US" w:eastAsia="zh-CN"/>
                      <w14:textFill>
                        <w14:solidFill>
                          <w14:schemeClr w14:val="tx1"/>
                        </w14:solidFill>
                      </w14:textFill>
                    </w:rPr>
                  </w:pPr>
                </w:p>
              </w:tc>
              <w:tc>
                <w:tcPr>
                  <w:tcW w:w="584" w:type="pct"/>
                  <w:vMerge w:val="continue"/>
                  <w:vAlign w:val="center"/>
                </w:tcPr>
                <w:p w14:paraId="453CEC9F">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c>
                <w:tcPr>
                  <w:tcW w:w="997" w:type="pct"/>
                  <w:vMerge w:val="continue"/>
                  <w:vAlign w:val="center"/>
                </w:tcPr>
                <w:p w14:paraId="4ED615E7">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32E69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77A1CCD3">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Merge w:val="restart"/>
                  <w:vAlign w:val="center"/>
                </w:tcPr>
                <w:p w14:paraId="66BE5066">
                  <w:pPr>
                    <w:pStyle w:val="13"/>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二氧化硫</w:t>
                  </w:r>
                </w:p>
              </w:tc>
              <w:tc>
                <w:tcPr>
                  <w:tcW w:w="686" w:type="pct"/>
                  <w:vAlign w:val="center"/>
                </w:tcPr>
                <w:p w14:paraId="2AED2DFA">
                  <w:pPr>
                    <w:pStyle w:val="13"/>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05" w:type="pct"/>
                  <w:vAlign w:val="center"/>
                </w:tcPr>
                <w:p w14:paraId="7DA8CFA8">
                  <w:pPr>
                    <w:pStyle w:val="13"/>
                    <w:ind w:firstLine="0" w:firstLineChars="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w:t>
                  </w:r>
                </w:p>
              </w:tc>
              <w:tc>
                <w:tcPr>
                  <w:tcW w:w="505" w:type="pct"/>
                  <w:vMerge w:val="restart"/>
                  <w:vAlign w:val="center"/>
                </w:tcPr>
                <w:p w14:paraId="58D0C609">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Merge w:val="restart"/>
                  <w:vAlign w:val="center"/>
                </w:tcPr>
                <w:p w14:paraId="0EFB25F2">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049F5DFB">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06B3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6B3E3713">
                  <w:pPr>
                    <w:pStyle w:val="13"/>
                    <w:rPr>
                      <w:color w:val="000000" w:themeColor="text1"/>
                      <w:sz w:val="21"/>
                      <w:szCs w:val="21"/>
                      <w14:textFill>
                        <w14:solidFill>
                          <w14:schemeClr w14:val="tx1"/>
                        </w14:solidFill>
                      </w14:textFill>
                    </w:rPr>
                  </w:pPr>
                </w:p>
              </w:tc>
              <w:tc>
                <w:tcPr>
                  <w:tcW w:w="1137" w:type="pct"/>
                  <w:vMerge w:val="continue"/>
                  <w:vAlign w:val="center"/>
                </w:tcPr>
                <w:p w14:paraId="5EB13177">
                  <w:pPr>
                    <w:pStyle w:val="13"/>
                    <w:rPr>
                      <w:color w:val="000000" w:themeColor="text1"/>
                      <w:sz w:val="21"/>
                      <w:szCs w:val="21"/>
                      <w14:textFill>
                        <w14:solidFill>
                          <w14:schemeClr w14:val="tx1"/>
                        </w14:solidFill>
                      </w14:textFill>
                    </w:rPr>
                  </w:pPr>
                </w:p>
              </w:tc>
              <w:tc>
                <w:tcPr>
                  <w:tcW w:w="686" w:type="pct"/>
                  <w:vAlign w:val="center"/>
                </w:tcPr>
                <w:p w14:paraId="16102701">
                  <w:pPr>
                    <w:pStyle w:val="13"/>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05" w:type="pct"/>
                  <w:vAlign w:val="center"/>
                </w:tcPr>
                <w:p w14:paraId="5EBC3C3B">
                  <w:pPr>
                    <w:pStyle w:val="13"/>
                    <w:ind w:firstLine="0" w:firstLineChars="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80</w:t>
                  </w:r>
                </w:p>
              </w:tc>
              <w:tc>
                <w:tcPr>
                  <w:tcW w:w="505" w:type="pct"/>
                  <w:vMerge w:val="continue"/>
                  <w:vAlign w:val="center"/>
                </w:tcPr>
                <w:p w14:paraId="652EFD04">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584" w:type="pct"/>
                  <w:vMerge w:val="continue"/>
                  <w:vAlign w:val="center"/>
                </w:tcPr>
                <w:p w14:paraId="421A5985">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997" w:type="pct"/>
                  <w:vMerge w:val="continue"/>
                  <w:vAlign w:val="center"/>
                </w:tcPr>
                <w:p w14:paraId="671D7775">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r>
            <w:tr w14:paraId="4A92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4EA097D9">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Merge w:val="restart"/>
                  <w:shd w:val="clear" w:color="auto" w:fill="auto"/>
                  <w:vAlign w:val="center"/>
                </w:tcPr>
                <w:p w14:paraId="7E6419CB">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氯化氢</w:t>
                  </w:r>
                </w:p>
              </w:tc>
              <w:tc>
                <w:tcPr>
                  <w:tcW w:w="686" w:type="pct"/>
                  <w:shd w:val="clear" w:color="auto" w:fill="auto"/>
                  <w:vAlign w:val="center"/>
                </w:tcPr>
                <w:p w14:paraId="39B9B4EF">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05" w:type="pct"/>
                  <w:shd w:val="clear" w:color="auto" w:fill="auto"/>
                  <w:vAlign w:val="center"/>
                </w:tcPr>
                <w:p w14:paraId="5101DECA">
                  <w:pPr>
                    <w:pStyle w:val="13"/>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cs="宋体"/>
                      <w:b w:val="0"/>
                      <w:bCs w:val="0"/>
                      <w:color w:val="000000" w:themeColor="text1"/>
                      <w:kern w:val="0"/>
                      <w:sz w:val="21"/>
                      <w:szCs w:val="21"/>
                      <w:lang w:val="en-US" w:eastAsia="zh-CN" w:bidi="ar-SA"/>
                      <w14:textFill>
                        <w14:solidFill>
                          <w14:schemeClr w14:val="tx1"/>
                        </w14:solidFill>
                      </w14:textFill>
                    </w:rPr>
                    <w:t>60</w:t>
                  </w:r>
                </w:p>
              </w:tc>
              <w:tc>
                <w:tcPr>
                  <w:tcW w:w="505" w:type="pct"/>
                  <w:vMerge w:val="restart"/>
                  <w:shd w:val="clear" w:color="auto" w:fill="auto"/>
                  <w:vAlign w:val="center"/>
                </w:tcPr>
                <w:p w14:paraId="53B96E45">
                  <w:pPr>
                    <w:pStyle w:val="13"/>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84" w:type="pct"/>
                  <w:vMerge w:val="restart"/>
                  <w:shd w:val="clear" w:color="auto" w:fill="auto"/>
                  <w:vAlign w:val="center"/>
                </w:tcPr>
                <w:p w14:paraId="74DC653A">
                  <w:pPr>
                    <w:pStyle w:val="13"/>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97" w:type="pct"/>
                  <w:vMerge w:val="continue"/>
                  <w:vAlign w:val="center"/>
                </w:tcPr>
                <w:p w14:paraId="49788278">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3115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60FF904E">
                  <w:pPr>
                    <w:pStyle w:val="13"/>
                    <w:ind w:firstLine="0" w:firstLineChars="0"/>
                    <w:rPr>
                      <w:color w:val="000000" w:themeColor="text1"/>
                      <w:sz w:val="21"/>
                      <w:szCs w:val="21"/>
                      <w14:textFill>
                        <w14:solidFill>
                          <w14:schemeClr w14:val="tx1"/>
                        </w14:solidFill>
                      </w14:textFill>
                    </w:rPr>
                  </w:pPr>
                </w:p>
              </w:tc>
              <w:tc>
                <w:tcPr>
                  <w:tcW w:w="1137" w:type="pct"/>
                  <w:vMerge w:val="continue"/>
                  <w:shd w:val="clear" w:color="auto" w:fill="auto"/>
                  <w:vAlign w:val="center"/>
                </w:tcPr>
                <w:p w14:paraId="32B27EA0">
                  <w:pPr>
                    <w:pStyle w:val="13"/>
                    <w:ind w:firstLine="0" w:firstLineChars="0"/>
                    <w:rPr>
                      <w:color w:val="000000" w:themeColor="text1"/>
                      <w:sz w:val="21"/>
                      <w:szCs w:val="21"/>
                      <w14:textFill>
                        <w14:solidFill>
                          <w14:schemeClr w14:val="tx1"/>
                        </w14:solidFill>
                      </w14:textFill>
                    </w:rPr>
                  </w:pPr>
                </w:p>
              </w:tc>
              <w:tc>
                <w:tcPr>
                  <w:tcW w:w="686" w:type="pct"/>
                  <w:shd w:val="clear" w:color="auto" w:fill="auto"/>
                  <w:vAlign w:val="center"/>
                </w:tcPr>
                <w:p w14:paraId="6A60CBE6">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05" w:type="pct"/>
                  <w:shd w:val="clear" w:color="auto" w:fill="auto"/>
                  <w:vAlign w:val="center"/>
                </w:tcPr>
                <w:p w14:paraId="3541B922">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50</w:t>
                  </w:r>
                </w:p>
              </w:tc>
              <w:tc>
                <w:tcPr>
                  <w:tcW w:w="505" w:type="pct"/>
                  <w:vMerge w:val="continue"/>
                  <w:shd w:val="clear" w:color="auto" w:fill="auto"/>
                  <w:vAlign w:val="center"/>
                </w:tcPr>
                <w:p w14:paraId="239D92E2">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p>
              </w:tc>
              <w:tc>
                <w:tcPr>
                  <w:tcW w:w="584" w:type="pct"/>
                  <w:vMerge w:val="continue"/>
                  <w:shd w:val="clear" w:color="auto" w:fill="auto"/>
                  <w:vAlign w:val="center"/>
                </w:tcPr>
                <w:p w14:paraId="146ACF81">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p>
              </w:tc>
              <w:tc>
                <w:tcPr>
                  <w:tcW w:w="997" w:type="pct"/>
                  <w:vMerge w:val="continue"/>
                  <w:vAlign w:val="center"/>
                </w:tcPr>
                <w:p w14:paraId="07FD102D">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p>
              </w:tc>
            </w:tr>
            <w:tr w14:paraId="7DE1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56711375">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11530AAC">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汞及其化合物</w:t>
                  </w:r>
                </w:p>
                <w:p w14:paraId="345E6069">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（以Hg计）</w:t>
                  </w:r>
                </w:p>
              </w:tc>
              <w:tc>
                <w:tcPr>
                  <w:tcW w:w="686" w:type="pct"/>
                  <w:shd w:val="clear" w:color="auto" w:fill="auto"/>
                  <w:vAlign w:val="center"/>
                </w:tcPr>
                <w:p w14:paraId="685589A6">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05" w:type="pct"/>
                  <w:shd w:val="clear" w:color="auto" w:fill="auto"/>
                  <w:vAlign w:val="center"/>
                </w:tcPr>
                <w:p w14:paraId="561BC245">
                  <w:pPr>
                    <w:pStyle w:val="13"/>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0.05</w:t>
                  </w:r>
                </w:p>
              </w:tc>
              <w:tc>
                <w:tcPr>
                  <w:tcW w:w="505" w:type="pct"/>
                  <w:shd w:val="clear" w:color="auto" w:fill="auto"/>
                  <w:vAlign w:val="center"/>
                </w:tcPr>
                <w:p w14:paraId="2207FEE1">
                  <w:pPr>
                    <w:pStyle w:val="13"/>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7874204C">
                  <w:pPr>
                    <w:pStyle w:val="13"/>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97" w:type="pct"/>
                  <w:vMerge w:val="continue"/>
                  <w:vAlign w:val="center"/>
                </w:tcPr>
                <w:p w14:paraId="61B0467D">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1B58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46ADFB94">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10D4B9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镉、铊</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以Cd+Tl计</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686" w:type="pct"/>
                  <w:shd w:val="clear" w:color="auto" w:fill="auto"/>
                  <w:vAlign w:val="center"/>
                </w:tcPr>
                <w:p w14:paraId="25C6075F">
                  <w:pPr>
                    <w:pStyle w:val="13"/>
                    <w:ind w:firstLine="0" w:firstLineChars="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05" w:type="pct"/>
                  <w:shd w:val="clear" w:color="auto" w:fill="auto"/>
                  <w:vAlign w:val="center"/>
                </w:tcPr>
                <w:p w14:paraId="00A15F64">
                  <w:pPr>
                    <w:pStyle w:val="13"/>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0.1</w:t>
                  </w:r>
                </w:p>
              </w:tc>
              <w:tc>
                <w:tcPr>
                  <w:tcW w:w="505" w:type="pct"/>
                  <w:shd w:val="clear" w:color="auto" w:fill="auto"/>
                  <w:vAlign w:val="center"/>
                </w:tcPr>
                <w:p w14:paraId="0F5CEBBB">
                  <w:pPr>
                    <w:pStyle w:val="13"/>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595F581A">
                  <w:pPr>
                    <w:pStyle w:val="13"/>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97" w:type="pct"/>
                  <w:vMerge w:val="continue"/>
                  <w:vAlign w:val="center"/>
                </w:tcPr>
                <w:p w14:paraId="2A065C1D">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3B2D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3A17FBE2">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3241E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锑、砷、铅、铬、钴、铜、锰、镍</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r>
                    <w:rPr>
                      <w:rFonts w:hint="eastAsia" w:cs="Times New Roman"/>
                      <w:b w:val="0"/>
                      <w:bCs w:val="0"/>
                      <w:color w:val="000000" w:themeColor="text1"/>
                      <w:sz w:val="21"/>
                      <w:szCs w:val="21"/>
                      <w:lang w:val="en-US" w:eastAsia="zh-CN"/>
                      <w14:textFill>
                        <w14:solidFill>
                          <w14:schemeClr w14:val="tx1"/>
                        </w14:solidFill>
                      </w14:textFill>
                    </w:rPr>
                    <w:t>（以</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Sb+As+Pb+Cr+</w:t>
                  </w:r>
                </w:p>
                <w:p w14:paraId="0E019B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Co+Cu+Mn+Ni计</w:t>
                  </w:r>
                  <w:r>
                    <w:rPr>
                      <w:rFonts w:hint="eastAsia" w:cs="Times New Roman"/>
                      <w:b w:val="0"/>
                      <w:bCs w:val="0"/>
                      <w:color w:val="000000" w:themeColor="text1"/>
                      <w:sz w:val="21"/>
                      <w:szCs w:val="21"/>
                      <w:lang w:val="en-US" w:eastAsia="zh-CN"/>
                      <w14:textFill>
                        <w14:solidFill>
                          <w14:schemeClr w14:val="tx1"/>
                        </w14:solidFill>
                      </w14:textFill>
                    </w:rPr>
                    <w:t>）</w:t>
                  </w:r>
                </w:p>
              </w:tc>
              <w:tc>
                <w:tcPr>
                  <w:tcW w:w="686" w:type="pct"/>
                  <w:shd w:val="clear" w:color="auto" w:fill="auto"/>
                  <w:vAlign w:val="center"/>
                </w:tcPr>
                <w:p w14:paraId="787682F1">
                  <w:pPr>
                    <w:pStyle w:val="13"/>
                    <w:ind w:firstLine="0" w:firstLineChars="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05" w:type="pct"/>
                  <w:shd w:val="clear" w:color="auto" w:fill="auto"/>
                  <w:vAlign w:val="center"/>
                </w:tcPr>
                <w:p w14:paraId="76B12202">
                  <w:pPr>
                    <w:pStyle w:val="13"/>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1.0</w:t>
                  </w:r>
                </w:p>
              </w:tc>
              <w:tc>
                <w:tcPr>
                  <w:tcW w:w="505" w:type="pct"/>
                  <w:shd w:val="clear" w:color="auto" w:fill="auto"/>
                  <w:vAlign w:val="center"/>
                </w:tcPr>
                <w:p w14:paraId="5ED47844">
                  <w:pPr>
                    <w:pStyle w:val="13"/>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708774E4">
                  <w:pPr>
                    <w:pStyle w:val="13"/>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97" w:type="pct"/>
                  <w:vMerge w:val="continue"/>
                  <w:vAlign w:val="center"/>
                </w:tcPr>
                <w:p w14:paraId="06A7C034">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1A05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3BC04905">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Align w:val="center"/>
                </w:tcPr>
                <w:p w14:paraId="06313607">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二噁英</w:t>
                  </w:r>
                </w:p>
              </w:tc>
              <w:tc>
                <w:tcPr>
                  <w:tcW w:w="686" w:type="pct"/>
                  <w:vAlign w:val="center"/>
                </w:tcPr>
                <w:p w14:paraId="66AE9A01">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05" w:type="pct"/>
                  <w:vAlign w:val="center"/>
                </w:tcPr>
                <w:p w14:paraId="1EA086A8">
                  <w:pPr>
                    <w:pStyle w:val="13"/>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0.</w:t>
                  </w:r>
                  <w:r>
                    <w:rPr>
                      <w:rFonts w:hint="eastAsia" w:cs="Times New Roman"/>
                      <w:b w:val="0"/>
                      <w:bCs w:val="0"/>
                      <w:color w:val="000000" w:themeColor="text1"/>
                      <w:sz w:val="21"/>
                      <w:szCs w:val="21"/>
                      <w:lang w:val="en-US" w:eastAsia="zh-CN"/>
                      <w14:textFill>
                        <w14:solidFill>
                          <w14:schemeClr w14:val="tx1"/>
                        </w14:solidFill>
                      </w14:textFill>
                    </w:rPr>
                    <w:t>1</w:t>
                  </w:r>
                  <w:r>
                    <w:rPr>
                      <w:rFonts w:hint="default" w:ascii="Times New Roman" w:hAnsi="Times New Roman" w:cs="Times New Roman"/>
                      <w:b w:val="0"/>
                      <w:bCs w:val="0"/>
                      <w:color w:val="000000" w:themeColor="text1"/>
                      <w:sz w:val="21"/>
                      <w:szCs w:val="21"/>
                      <w14:textFill>
                        <w14:solidFill>
                          <w14:schemeClr w14:val="tx1"/>
                        </w14:solidFill>
                      </w14:textFill>
                    </w:rPr>
                    <w:t>ngTEQ/m</w:t>
                  </w:r>
                  <w:r>
                    <w:rPr>
                      <w:rFonts w:hint="default" w:ascii="Times New Roman" w:hAnsi="Times New Roman" w:cs="Times New Roman"/>
                      <w:b w:val="0"/>
                      <w:bCs w:val="0"/>
                      <w:color w:val="000000" w:themeColor="text1"/>
                      <w:sz w:val="21"/>
                      <w:szCs w:val="21"/>
                      <w:vertAlign w:val="superscript"/>
                      <w14:textFill>
                        <w14:solidFill>
                          <w14:schemeClr w14:val="tx1"/>
                        </w14:solidFill>
                      </w14:textFill>
                    </w:rPr>
                    <w:t>3</w:t>
                  </w:r>
                </w:p>
              </w:tc>
              <w:tc>
                <w:tcPr>
                  <w:tcW w:w="505" w:type="pct"/>
                  <w:vAlign w:val="center"/>
                </w:tcPr>
                <w:p w14:paraId="7883A98B">
                  <w:pPr>
                    <w:pStyle w:val="13"/>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7C0615A5">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1FF65995">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39B0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3932A7AB">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Merge w:val="restart"/>
                  <w:vAlign w:val="center"/>
                </w:tcPr>
                <w:p w14:paraId="1F8805D2">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一氧化碳</w:t>
                  </w:r>
                </w:p>
              </w:tc>
              <w:tc>
                <w:tcPr>
                  <w:tcW w:w="686" w:type="pct"/>
                  <w:vAlign w:val="center"/>
                </w:tcPr>
                <w:p w14:paraId="41999060">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05" w:type="pct"/>
                  <w:vAlign w:val="center"/>
                </w:tcPr>
                <w:p w14:paraId="69D645D2">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w:t>
                  </w:r>
                </w:p>
              </w:tc>
              <w:tc>
                <w:tcPr>
                  <w:tcW w:w="505" w:type="pct"/>
                  <w:vAlign w:val="center"/>
                </w:tcPr>
                <w:p w14:paraId="50F46204">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3FD4BDA6">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39EDFE6F">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6F5F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3DE5D572">
                  <w:pPr>
                    <w:pStyle w:val="13"/>
                    <w:rPr>
                      <w:color w:val="000000" w:themeColor="text1"/>
                      <w14:textFill>
                        <w14:solidFill>
                          <w14:schemeClr w14:val="tx1"/>
                        </w14:solidFill>
                      </w14:textFill>
                    </w:rPr>
                  </w:pPr>
                </w:p>
              </w:tc>
              <w:tc>
                <w:tcPr>
                  <w:tcW w:w="1137" w:type="pct"/>
                  <w:vMerge w:val="continue"/>
                  <w:vAlign w:val="center"/>
                </w:tcPr>
                <w:p w14:paraId="0DD2FADB">
                  <w:pPr>
                    <w:pStyle w:val="13"/>
                    <w:rPr>
                      <w:color w:val="000000" w:themeColor="text1"/>
                      <w14:textFill>
                        <w14:solidFill>
                          <w14:schemeClr w14:val="tx1"/>
                        </w14:solidFill>
                      </w14:textFill>
                    </w:rPr>
                  </w:pPr>
                </w:p>
              </w:tc>
              <w:tc>
                <w:tcPr>
                  <w:tcW w:w="686" w:type="pct"/>
                  <w:vAlign w:val="center"/>
                </w:tcPr>
                <w:p w14:paraId="126B2A5B">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05" w:type="pct"/>
                  <w:vAlign w:val="center"/>
                </w:tcPr>
                <w:p w14:paraId="02090F7C">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80</w:t>
                  </w:r>
                </w:p>
              </w:tc>
              <w:tc>
                <w:tcPr>
                  <w:tcW w:w="505" w:type="pct"/>
                  <w:vAlign w:val="center"/>
                </w:tcPr>
                <w:p w14:paraId="53830F68">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5C97994E">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4314063F">
                  <w:pPr>
                    <w:pStyle w:val="13"/>
                    <w:rPr>
                      <w:rFonts w:hint="eastAsia" w:cs="Times New Roman"/>
                      <w:b w:val="0"/>
                      <w:bCs w:val="0"/>
                      <w:color w:val="000000" w:themeColor="text1"/>
                      <w:sz w:val="21"/>
                      <w:szCs w:val="21"/>
                      <w:lang w:val="en-US" w:eastAsia="zh-CN"/>
                      <w14:textFill>
                        <w14:solidFill>
                          <w14:schemeClr w14:val="tx1"/>
                        </w14:solidFill>
                      </w14:textFill>
                    </w:rPr>
                  </w:pPr>
                </w:p>
              </w:tc>
            </w:tr>
            <w:tr w14:paraId="7604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2880D48A">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7E488F25">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颗粒物</w:t>
                  </w:r>
                </w:p>
              </w:tc>
              <w:tc>
                <w:tcPr>
                  <w:tcW w:w="686" w:type="pct"/>
                  <w:shd w:val="clear" w:color="auto" w:fill="auto"/>
                  <w:vAlign w:val="center"/>
                </w:tcPr>
                <w:p w14:paraId="07F08264">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shd w:val="clear" w:color="auto" w:fill="auto"/>
                  <w:vAlign w:val="center"/>
                </w:tcPr>
                <w:p w14:paraId="32F90839">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w:t>
                  </w:r>
                </w:p>
              </w:tc>
              <w:tc>
                <w:tcPr>
                  <w:tcW w:w="505" w:type="pct"/>
                  <w:shd w:val="clear" w:color="auto" w:fill="auto"/>
                  <w:vAlign w:val="center"/>
                </w:tcPr>
                <w:p w14:paraId="764061F3">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4561F495">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restart"/>
                  <w:vAlign w:val="center"/>
                </w:tcPr>
                <w:p w14:paraId="79D49381">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砖瓦工业</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大气污染物</w:t>
                  </w:r>
                  <w:r>
                    <w:rPr>
                      <w:rFonts w:hint="eastAsia" w:cs="Times New Roman"/>
                      <w:b w:val="0"/>
                      <w:bCs w:val="0"/>
                      <w:color w:val="000000" w:themeColor="text1"/>
                      <w:sz w:val="21"/>
                      <w:szCs w:val="21"/>
                      <w:lang w:val="en-US" w:eastAsia="zh-CN"/>
                      <w14:textFill>
                        <w14:solidFill>
                          <w14:schemeClr w14:val="tx1"/>
                        </w14:solidFill>
                      </w14:textFill>
                    </w:rPr>
                    <w:t>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GB29620-2013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7C5E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2DD928E3">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0D175333">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二氧化硫</w:t>
                  </w:r>
                </w:p>
              </w:tc>
              <w:tc>
                <w:tcPr>
                  <w:tcW w:w="686" w:type="pct"/>
                  <w:shd w:val="clear" w:color="auto" w:fill="auto"/>
                  <w:vAlign w:val="center"/>
                </w:tcPr>
                <w:p w14:paraId="65ADAD5A">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shd w:val="clear" w:color="auto" w:fill="auto"/>
                  <w:vAlign w:val="center"/>
                </w:tcPr>
                <w:p w14:paraId="618B3CFF">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300</w:t>
                  </w:r>
                </w:p>
              </w:tc>
              <w:tc>
                <w:tcPr>
                  <w:tcW w:w="505" w:type="pct"/>
                  <w:shd w:val="clear" w:color="auto" w:fill="auto"/>
                  <w:vAlign w:val="center"/>
                </w:tcPr>
                <w:p w14:paraId="7182318A">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0A8838F0">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4E0CEFA7">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331F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132EC552">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0859DFD3">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氮氧化物</w:t>
                  </w:r>
                </w:p>
              </w:tc>
              <w:tc>
                <w:tcPr>
                  <w:tcW w:w="686" w:type="pct"/>
                  <w:shd w:val="clear" w:color="auto" w:fill="auto"/>
                  <w:vAlign w:val="center"/>
                </w:tcPr>
                <w:p w14:paraId="47EE5E77">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shd w:val="clear" w:color="auto" w:fill="auto"/>
                  <w:vAlign w:val="center"/>
                </w:tcPr>
                <w:p w14:paraId="5F3A13E2">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200</w:t>
                  </w:r>
                </w:p>
              </w:tc>
              <w:tc>
                <w:tcPr>
                  <w:tcW w:w="505" w:type="pct"/>
                  <w:shd w:val="clear" w:color="auto" w:fill="auto"/>
                  <w:vAlign w:val="center"/>
                </w:tcPr>
                <w:p w14:paraId="2750C52C">
                  <w:pPr>
                    <w:pStyle w:val="13"/>
                    <w:ind w:firstLine="0" w:firstLineChars="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6F40BDD2">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146D3ED4">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68B9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5A96E04A">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2701F57F">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氟化物</w:t>
                  </w:r>
                </w:p>
              </w:tc>
              <w:tc>
                <w:tcPr>
                  <w:tcW w:w="686" w:type="pct"/>
                  <w:shd w:val="clear" w:color="auto" w:fill="auto"/>
                  <w:vAlign w:val="center"/>
                </w:tcPr>
                <w:p w14:paraId="0B49A5FC">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shd w:val="clear" w:color="auto" w:fill="auto"/>
                  <w:vAlign w:val="center"/>
                </w:tcPr>
                <w:p w14:paraId="23F50F52">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w:t>
                  </w:r>
                </w:p>
              </w:tc>
              <w:tc>
                <w:tcPr>
                  <w:tcW w:w="505" w:type="pct"/>
                  <w:shd w:val="clear" w:color="auto" w:fill="auto"/>
                  <w:vAlign w:val="center"/>
                </w:tcPr>
                <w:p w14:paraId="66D0C2D7">
                  <w:pPr>
                    <w:pStyle w:val="13"/>
                    <w:ind w:firstLine="0" w:firstLineChars="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3D10E469">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79210D1D">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539D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1A0E302E">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Align w:val="center"/>
                </w:tcPr>
                <w:p w14:paraId="758B382E">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臭气浓度</w:t>
                  </w:r>
                </w:p>
              </w:tc>
              <w:tc>
                <w:tcPr>
                  <w:tcW w:w="686" w:type="pct"/>
                  <w:vAlign w:val="center"/>
                </w:tcPr>
                <w:p w14:paraId="04787770">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1FD6AE92">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6000（无量纲）</w:t>
                  </w:r>
                </w:p>
              </w:tc>
              <w:tc>
                <w:tcPr>
                  <w:tcW w:w="505" w:type="pct"/>
                  <w:vAlign w:val="center"/>
                </w:tcPr>
                <w:p w14:paraId="0AB24BC5">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3C3648AE">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20（无量纲）</w:t>
                  </w:r>
                </w:p>
              </w:tc>
              <w:tc>
                <w:tcPr>
                  <w:tcW w:w="997" w:type="pct"/>
                  <w:vAlign w:val="center"/>
                </w:tcPr>
                <w:p w14:paraId="3A1F3DC5">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恶臭污染物排放标准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GB14554-93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2D9B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5DEEAC55">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Align w:val="center"/>
                </w:tcPr>
                <w:p w14:paraId="42CE622C">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VOCs</w:t>
                  </w:r>
                </w:p>
              </w:tc>
              <w:tc>
                <w:tcPr>
                  <w:tcW w:w="686" w:type="pct"/>
                  <w:shd w:val="clear" w:color="auto" w:fill="auto"/>
                  <w:vAlign w:val="center"/>
                </w:tcPr>
                <w:p w14:paraId="2C78DB89">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shd w:val="clear" w:color="auto" w:fill="auto"/>
                  <w:vAlign w:val="center"/>
                </w:tcPr>
                <w:p w14:paraId="40A4B4D6">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60</w:t>
                  </w:r>
                </w:p>
              </w:tc>
              <w:tc>
                <w:tcPr>
                  <w:tcW w:w="505" w:type="pct"/>
                  <w:shd w:val="clear" w:color="auto" w:fill="auto"/>
                  <w:vAlign w:val="center"/>
                </w:tcPr>
                <w:p w14:paraId="22614082">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0B786873">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2.0</w:t>
                  </w:r>
                </w:p>
              </w:tc>
              <w:tc>
                <w:tcPr>
                  <w:tcW w:w="997" w:type="pct"/>
                  <w:shd w:val="clear" w:color="auto" w:fill="auto"/>
                  <w:vAlign w:val="center"/>
                </w:tcPr>
                <w:p w14:paraId="2C830C5B">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cs="Times New Roman"/>
                      <w:bCs w:val="0"/>
                      <w:color w:val="000000" w:themeColor="text1"/>
                      <w:szCs w:val="21"/>
                      <w14:textFill>
                        <w14:solidFill>
                          <w14:schemeClr w14:val="tx1"/>
                        </w14:solidFill>
                      </w14:textFill>
                    </w:rPr>
                    <w:t>四川省固定污染源大气挥发性有机物排放标准》（DB51/2377-2017</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5D08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restart"/>
                  <w:vAlign w:val="center"/>
                </w:tcPr>
                <w:p w14:paraId="0C38A668">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厂界</w:t>
                  </w:r>
                </w:p>
              </w:tc>
              <w:tc>
                <w:tcPr>
                  <w:tcW w:w="1137" w:type="pct"/>
                  <w:vAlign w:val="center"/>
                </w:tcPr>
                <w:p w14:paraId="4C35B2EE">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686" w:type="pct"/>
                  <w:vAlign w:val="center"/>
                </w:tcPr>
                <w:p w14:paraId="1D201775">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198FCE4D">
                  <w:pPr>
                    <w:pStyle w:val="13"/>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505" w:type="pct"/>
                  <w:vAlign w:val="center"/>
                </w:tcPr>
                <w:p w14:paraId="18860970">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2E98BF44">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w:t>
                  </w:r>
                </w:p>
              </w:tc>
              <w:tc>
                <w:tcPr>
                  <w:tcW w:w="997" w:type="pct"/>
                  <w:vMerge w:val="restart"/>
                  <w:vAlign w:val="center"/>
                </w:tcPr>
                <w:p w14:paraId="06F4F2C7">
                  <w:pPr>
                    <w:pStyle w:val="13"/>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砖瓦工业</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大气污染物</w:t>
                  </w:r>
                  <w:r>
                    <w:rPr>
                      <w:rFonts w:hint="eastAsia" w:cs="Times New Roman"/>
                      <w:b w:val="0"/>
                      <w:bCs w:val="0"/>
                      <w:color w:val="000000" w:themeColor="text1"/>
                      <w:sz w:val="21"/>
                      <w:szCs w:val="21"/>
                      <w:lang w:val="en-US" w:eastAsia="zh-CN"/>
                      <w14:textFill>
                        <w14:solidFill>
                          <w14:schemeClr w14:val="tx1"/>
                        </w14:solidFill>
                      </w14:textFill>
                    </w:rPr>
                    <w:t>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GB29620-2013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5692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60BE17D0">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c>
                <w:tcPr>
                  <w:tcW w:w="1137" w:type="pct"/>
                  <w:vAlign w:val="center"/>
                </w:tcPr>
                <w:p w14:paraId="1E6F3C14">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氟化物</w:t>
                  </w:r>
                </w:p>
              </w:tc>
              <w:tc>
                <w:tcPr>
                  <w:tcW w:w="686" w:type="pct"/>
                  <w:vAlign w:val="center"/>
                </w:tcPr>
                <w:p w14:paraId="3C7220F6">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14D2359F">
                  <w:pPr>
                    <w:pStyle w:val="13"/>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505" w:type="pct"/>
                  <w:vAlign w:val="center"/>
                </w:tcPr>
                <w:p w14:paraId="0E254053">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5E3649D0">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0.02</w:t>
                  </w:r>
                </w:p>
              </w:tc>
              <w:tc>
                <w:tcPr>
                  <w:tcW w:w="997" w:type="pct"/>
                  <w:vMerge w:val="continue"/>
                  <w:vAlign w:val="center"/>
                </w:tcPr>
                <w:p w14:paraId="664A486A">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132B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46398E46">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c>
                <w:tcPr>
                  <w:tcW w:w="1137" w:type="pct"/>
                  <w:vAlign w:val="center"/>
                </w:tcPr>
                <w:p w14:paraId="4CD28BD3">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二氧化硫</w:t>
                  </w:r>
                </w:p>
              </w:tc>
              <w:tc>
                <w:tcPr>
                  <w:tcW w:w="686" w:type="pct"/>
                  <w:vAlign w:val="center"/>
                </w:tcPr>
                <w:p w14:paraId="2C71C06E">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4E26DB33">
                  <w:pPr>
                    <w:pStyle w:val="13"/>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505" w:type="pct"/>
                  <w:vAlign w:val="center"/>
                </w:tcPr>
                <w:p w14:paraId="5A3F86B1">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2FA6F216">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0.5</w:t>
                  </w:r>
                </w:p>
              </w:tc>
              <w:tc>
                <w:tcPr>
                  <w:tcW w:w="997" w:type="pct"/>
                  <w:vMerge w:val="continue"/>
                  <w:vAlign w:val="center"/>
                </w:tcPr>
                <w:p w14:paraId="5D79B2E8">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bl>
          <w:p w14:paraId="0A0B15CD">
            <w:pPr>
              <w:keepNext w:val="0"/>
              <w:keepLines w:val="0"/>
              <w:widowControl/>
              <w:suppressLineNumbers w:val="0"/>
              <w:ind w:firstLine="482" w:firstLineChars="200"/>
              <w:jc w:val="left"/>
              <w:rPr>
                <w:rFonts w:hint="eastAsia" w:ascii="Times New Roman" w:hAnsi="Times New Roman" w:cs="Times New Roman"/>
                <w:b/>
                <w:bCs/>
                <w:color w:val="000000" w:themeColor="text1"/>
                <w:sz w:val="24"/>
                <w:lang w:val="en-US" w:eastAsia="zh-CN"/>
                <w14:textFill>
                  <w14:solidFill>
                    <w14:schemeClr w14:val="tx1"/>
                  </w14:solidFill>
                </w14:textFill>
              </w:rPr>
            </w:pPr>
            <w:r>
              <w:rPr>
                <w:rFonts w:hint="eastAsia" w:ascii="Times New Roman" w:hAnsi="Times New Roman" w:cs="Times New Roman"/>
                <w:b/>
                <w:bCs/>
                <w:color w:val="000000" w:themeColor="text1"/>
                <w:sz w:val="24"/>
                <w:lang w:val="en-US" w:eastAsia="zh-CN"/>
                <w14:textFill>
                  <w14:solidFill>
                    <w14:schemeClr w14:val="tx1"/>
                  </w14:solidFill>
                </w14:textFill>
              </w:rPr>
              <w:t>本项目的废气排放标准如下：</w:t>
            </w:r>
          </w:p>
          <w:p w14:paraId="7AA7D04E">
            <w:pPr>
              <w:pStyle w:val="12"/>
              <w:keepNext/>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12</w:t>
            </w:r>
            <w:r>
              <w:rPr>
                <w:rFonts w:hint="default" w:ascii="Times New Roman" w:hAnsi="Times New Roman" w:cs="Times New Roman"/>
                <w:color w:val="000000" w:themeColor="text1"/>
                <w14:textFill>
                  <w14:solidFill>
                    <w14:schemeClr w14:val="tx1"/>
                  </w14:solidFill>
                </w14:textFill>
              </w:rPr>
              <w:t xml:space="preserve"> </w:t>
            </w:r>
            <w:r>
              <w:rPr>
                <w:rFonts w:hint="eastAsia" w:cs="Times New Roman"/>
                <w:color w:val="000000" w:themeColor="text1"/>
                <w:lang w:eastAsia="zh-CN"/>
                <w14:textFill>
                  <w14:solidFill>
                    <w14:schemeClr w14:val="tx1"/>
                  </w14:solidFill>
                </w14:textFill>
              </w:rPr>
              <w:t>本项目废气排放执行标准</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48"/>
              <w:gridCol w:w="2228"/>
              <w:gridCol w:w="1344"/>
              <w:gridCol w:w="1382"/>
              <w:gridCol w:w="990"/>
              <w:gridCol w:w="1144"/>
              <w:gridCol w:w="1954"/>
            </w:tblGrid>
            <w:tr w14:paraId="13F7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Align w:val="center"/>
                </w:tcPr>
                <w:p w14:paraId="3AE6E3D2">
                  <w:pPr>
                    <w:pStyle w:val="51"/>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排气筒</w:t>
                  </w:r>
                </w:p>
              </w:tc>
              <w:tc>
                <w:tcPr>
                  <w:tcW w:w="1137" w:type="pct"/>
                  <w:vAlign w:val="center"/>
                </w:tcPr>
                <w:p w14:paraId="4E07A24F">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污染物名称</w:t>
                  </w:r>
                </w:p>
              </w:tc>
              <w:tc>
                <w:tcPr>
                  <w:tcW w:w="686" w:type="pct"/>
                  <w:vAlign w:val="center"/>
                </w:tcPr>
                <w:p w14:paraId="6CDCA17B">
                  <w:pPr>
                    <w:pStyle w:val="51"/>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取值时间</w:t>
                  </w:r>
                </w:p>
              </w:tc>
              <w:tc>
                <w:tcPr>
                  <w:tcW w:w="705" w:type="pct"/>
                  <w:vAlign w:val="center"/>
                </w:tcPr>
                <w:p w14:paraId="73B0D0FF">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排放浓度</w:t>
                  </w:r>
                  <w:r>
                    <w:rPr>
                      <w:rFonts w:hint="eastAsia" w:cs="Times New Roman"/>
                      <w:color w:val="000000" w:themeColor="text1"/>
                      <w:sz w:val="21"/>
                      <w:szCs w:val="21"/>
                      <w:lang w:val="en-US" w:eastAsia="zh-CN"/>
                      <w14:textFill>
                        <w14:solidFill>
                          <w14:schemeClr w14:val="tx1"/>
                        </w14:solidFill>
                      </w14:textFill>
                    </w:rPr>
                    <w:t>限值</w:t>
                  </w:r>
                  <w:r>
                    <w:rPr>
                      <w:rFonts w:hint="default" w:ascii="Times New Roman" w:hAnsi="Times New Roman" w:cs="Times New Roman"/>
                      <w:bCs/>
                      <w:color w:val="000000" w:themeColor="text1"/>
                      <w:sz w:val="21"/>
                      <w:szCs w:val="21"/>
                      <w14:textFill>
                        <w14:solidFill>
                          <w14:schemeClr w14:val="tx1"/>
                        </w14:solidFill>
                      </w14:textFill>
                    </w:rPr>
                    <w:t>mg/m</w:t>
                  </w:r>
                  <w:r>
                    <w:rPr>
                      <w:rFonts w:hint="default" w:ascii="Times New Roman" w:hAnsi="Times New Roman" w:cs="Times New Roman"/>
                      <w:bCs/>
                      <w:color w:val="000000" w:themeColor="text1"/>
                      <w:sz w:val="21"/>
                      <w:szCs w:val="21"/>
                      <w:vertAlign w:val="superscript"/>
                      <w14:textFill>
                        <w14:solidFill>
                          <w14:schemeClr w14:val="tx1"/>
                        </w14:solidFill>
                      </w14:textFill>
                    </w:rPr>
                    <w:t>3</w:t>
                  </w:r>
                </w:p>
              </w:tc>
              <w:tc>
                <w:tcPr>
                  <w:tcW w:w="505" w:type="pct"/>
                  <w:vAlign w:val="center"/>
                </w:tcPr>
                <w:p w14:paraId="29C00A3F">
                  <w:pPr>
                    <w:pStyle w:val="51"/>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排放速率kg/h</w:t>
                  </w:r>
                </w:p>
              </w:tc>
              <w:tc>
                <w:tcPr>
                  <w:tcW w:w="584" w:type="pct"/>
                  <w:vAlign w:val="center"/>
                </w:tcPr>
                <w:p w14:paraId="232996D0">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Cs/>
                      <w:caps/>
                      <w:color w:val="000000" w:themeColor="text1"/>
                      <w:sz w:val="21"/>
                      <w:szCs w:val="21"/>
                      <w14:textFill>
                        <w14:solidFill>
                          <w14:schemeClr w14:val="tx1"/>
                        </w14:solidFill>
                      </w14:textFill>
                    </w:rPr>
                    <w:t>无组织排放浓度</w:t>
                  </w:r>
                  <w:r>
                    <w:rPr>
                      <w:rFonts w:hint="default" w:ascii="Times New Roman" w:hAnsi="Times New Roman" w:cs="Times New Roman"/>
                      <w:bCs/>
                      <w:color w:val="000000" w:themeColor="text1"/>
                      <w:sz w:val="21"/>
                      <w:szCs w:val="21"/>
                      <w14:textFill>
                        <w14:solidFill>
                          <w14:schemeClr w14:val="tx1"/>
                        </w14:solidFill>
                      </w14:textFill>
                    </w:rPr>
                    <w:t>mg/m</w:t>
                  </w:r>
                  <w:r>
                    <w:rPr>
                      <w:rFonts w:hint="default" w:ascii="Times New Roman" w:hAnsi="Times New Roman" w:cs="Times New Roman"/>
                      <w:bCs/>
                      <w:color w:val="000000" w:themeColor="text1"/>
                      <w:sz w:val="21"/>
                      <w:szCs w:val="21"/>
                      <w:vertAlign w:val="superscript"/>
                      <w14:textFill>
                        <w14:solidFill>
                          <w14:schemeClr w14:val="tx1"/>
                        </w14:solidFill>
                      </w14:textFill>
                    </w:rPr>
                    <w:t>3</w:t>
                  </w:r>
                </w:p>
              </w:tc>
              <w:tc>
                <w:tcPr>
                  <w:tcW w:w="997" w:type="pct"/>
                  <w:vAlign w:val="center"/>
                </w:tcPr>
                <w:p w14:paraId="6C178DEB">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排放标准</w:t>
                  </w:r>
                </w:p>
              </w:tc>
            </w:tr>
            <w:tr w14:paraId="71C2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382" w:type="pct"/>
                  <w:vMerge w:val="restart"/>
                  <w:vAlign w:val="center"/>
                </w:tcPr>
                <w:p w14:paraId="69E0BA8E">
                  <w:pPr>
                    <w:pStyle w:val="13"/>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DA001</w:t>
                  </w:r>
                </w:p>
              </w:tc>
              <w:tc>
                <w:tcPr>
                  <w:tcW w:w="1137" w:type="pct"/>
                  <w:vAlign w:val="center"/>
                </w:tcPr>
                <w:p w14:paraId="3BB22C3C">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铅</w:t>
                  </w:r>
                </w:p>
              </w:tc>
              <w:tc>
                <w:tcPr>
                  <w:tcW w:w="686" w:type="pct"/>
                  <w:vAlign w:val="center"/>
                </w:tcPr>
                <w:p w14:paraId="6A5EEC00">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7EA80FB3">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0.10</w:t>
                  </w:r>
                </w:p>
              </w:tc>
              <w:tc>
                <w:tcPr>
                  <w:tcW w:w="505" w:type="pct"/>
                  <w:vAlign w:val="center"/>
                </w:tcPr>
                <w:p w14:paraId="37247BCD">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198C89BC">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restart"/>
                  <w:vAlign w:val="center"/>
                </w:tcPr>
                <w:p w14:paraId="4B5B798B">
                  <w:pPr>
                    <w:pStyle w:val="13"/>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Cs w:val="0"/>
                      <w:color w:val="000000" w:themeColor="text1"/>
                      <w:szCs w:val="21"/>
                      <w14:textFill>
                        <w14:solidFill>
                          <w14:schemeClr w14:val="tx1"/>
                        </w14:solidFill>
                      </w14:textFill>
                    </w:rPr>
                    <w:t>《工业炉窑大气污染物排放标准》（GB9078-1996）</w:t>
                  </w:r>
                </w:p>
              </w:tc>
            </w:tr>
            <w:tr w14:paraId="1165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382" w:type="pct"/>
                  <w:vMerge w:val="continue"/>
                  <w:vAlign w:val="center"/>
                </w:tcPr>
                <w:p w14:paraId="4A7F9859">
                  <w:pPr>
                    <w:pStyle w:val="13"/>
                    <w:rPr>
                      <w:rFonts w:hint="eastAsia" w:cs="Times New Roman"/>
                      <w:b w:val="0"/>
                      <w:bCs w:val="0"/>
                      <w:color w:val="000000" w:themeColor="text1"/>
                      <w:sz w:val="21"/>
                      <w:szCs w:val="21"/>
                      <w:lang w:val="en-US" w:eastAsia="zh-CN"/>
                      <w14:textFill>
                        <w14:solidFill>
                          <w14:schemeClr w14:val="tx1"/>
                        </w14:solidFill>
                      </w14:textFill>
                    </w:rPr>
                  </w:pPr>
                </w:p>
              </w:tc>
              <w:tc>
                <w:tcPr>
                  <w:tcW w:w="1137" w:type="pct"/>
                  <w:vAlign w:val="center"/>
                </w:tcPr>
                <w:p w14:paraId="0FFEEE16">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汞</w:t>
                  </w:r>
                </w:p>
              </w:tc>
              <w:tc>
                <w:tcPr>
                  <w:tcW w:w="686" w:type="pct"/>
                  <w:vAlign w:val="center"/>
                </w:tcPr>
                <w:p w14:paraId="169523EF">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64E72FBF">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0.01</w:t>
                  </w:r>
                </w:p>
              </w:tc>
              <w:tc>
                <w:tcPr>
                  <w:tcW w:w="505" w:type="pct"/>
                  <w:vAlign w:val="center"/>
                </w:tcPr>
                <w:p w14:paraId="7DEC2FBA">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048A3483">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6752FEAF">
                  <w:pPr>
                    <w:pStyle w:val="13"/>
                    <w:rPr>
                      <w:rFonts w:hint="eastAsia" w:cs="Times New Roman"/>
                      <w:b w:val="0"/>
                      <w:bCs w:val="0"/>
                      <w:color w:val="000000" w:themeColor="text1"/>
                      <w:sz w:val="21"/>
                      <w:szCs w:val="21"/>
                      <w:lang w:val="en-US" w:eastAsia="zh-CN"/>
                      <w14:textFill>
                        <w14:solidFill>
                          <w14:schemeClr w14:val="tx1"/>
                        </w14:solidFill>
                      </w14:textFill>
                    </w:rPr>
                  </w:pPr>
                </w:p>
              </w:tc>
            </w:tr>
            <w:tr w14:paraId="6B72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0D83FDAB">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Merge w:val="restart"/>
                  <w:vAlign w:val="center"/>
                </w:tcPr>
                <w:p w14:paraId="770B942B">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颗粒物</w:t>
                  </w:r>
                </w:p>
              </w:tc>
              <w:tc>
                <w:tcPr>
                  <w:tcW w:w="686" w:type="pct"/>
                  <w:vAlign w:val="center"/>
                </w:tcPr>
                <w:p w14:paraId="490D37D2">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05" w:type="pct"/>
                  <w:vAlign w:val="center"/>
                </w:tcPr>
                <w:p w14:paraId="206FC252">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w:t>
                  </w:r>
                </w:p>
              </w:tc>
              <w:tc>
                <w:tcPr>
                  <w:tcW w:w="505" w:type="pct"/>
                  <w:vMerge w:val="restart"/>
                  <w:vAlign w:val="center"/>
                </w:tcPr>
                <w:p w14:paraId="5E398DB2">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Merge w:val="restart"/>
                  <w:vAlign w:val="center"/>
                </w:tcPr>
                <w:p w14:paraId="4D2265BF">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restart"/>
                  <w:vAlign w:val="center"/>
                </w:tcPr>
                <w:p w14:paraId="07CB4D70">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《生活垃圾焚烧污染控制标准》（GB18485-2014）</w:t>
                  </w:r>
                </w:p>
              </w:tc>
            </w:tr>
            <w:tr w14:paraId="5526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796FC23A">
                  <w:pPr>
                    <w:pStyle w:val="13"/>
                    <w:rPr>
                      <w:color w:val="000000" w:themeColor="text1"/>
                      <w:sz w:val="21"/>
                      <w:szCs w:val="21"/>
                      <w14:textFill>
                        <w14:solidFill>
                          <w14:schemeClr w14:val="tx1"/>
                        </w14:solidFill>
                      </w14:textFill>
                    </w:rPr>
                  </w:pPr>
                </w:p>
              </w:tc>
              <w:tc>
                <w:tcPr>
                  <w:tcW w:w="1137" w:type="pct"/>
                  <w:vMerge w:val="continue"/>
                  <w:vAlign w:val="center"/>
                </w:tcPr>
                <w:p w14:paraId="350F2759">
                  <w:pPr>
                    <w:pStyle w:val="13"/>
                    <w:rPr>
                      <w:color w:val="000000" w:themeColor="text1"/>
                      <w:sz w:val="21"/>
                      <w:szCs w:val="21"/>
                      <w14:textFill>
                        <w14:solidFill>
                          <w14:schemeClr w14:val="tx1"/>
                        </w14:solidFill>
                      </w14:textFill>
                    </w:rPr>
                  </w:pPr>
                </w:p>
              </w:tc>
              <w:tc>
                <w:tcPr>
                  <w:tcW w:w="686" w:type="pct"/>
                  <w:vAlign w:val="center"/>
                </w:tcPr>
                <w:p w14:paraId="762461C2">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05" w:type="pct"/>
                  <w:vAlign w:val="center"/>
                </w:tcPr>
                <w:p w14:paraId="440A3319">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20</w:t>
                  </w:r>
                </w:p>
              </w:tc>
              <w:tc>
                <w:tcPr>
                  <w:tcW w:w="505" w:type="pct"/>
                  <w:vMerge w:val="continue"/>
                  <w:vAlign w:val="center"/>
                </w:tcPr>
                <w:p w14:paraId="13E633F7">
                  <w:pPr>
                    <w:pStyle w:val="13"/>
                    <w:rPr>
                      <w:rFonts w:hint="eastAsia" w:cs="Times New Roman"/>
                      <w:b w:val="0"/>
                      <w:bCs w:val="0"/>
                      <w:color w:val="000000" w:themeColor="text1"/>
                      <w:sz w:val="21"/>
                      <w:szCs w:val="21"/>
                      <w:lang w:val="en-US" w:eastAsia="zh-CN"/>
                      <w14:textFill>
                        <w14:solidFill>
                          <w14:schemeClr w14:val="tx1"/>
                        </w14:solidFill>
                      </w14:textFill>
                    </w:rPr>
                  </w:pPr>
                </w:p>
              </w:tc>
              <w:tc>
                <w:tcPr>
                  <w:tcW w:w="584" w:type="pct"/>
                  <w:vMerge w:val="continue"/>
                  <w:vAlign w:val="center"/>
                </w:tcPr>
                <w:p w14:paraId="6A56419D">
                  <w:pPr>
                    <w:pStyle w:val="13"/>
                    <w:rPr>
                      <w:rFonts w:hint="eastAsia" w:cs="Times New Roman"/>
                      <w:b w:val="0"/>
                      <w:bCs w:val="0"/>
                      <w:color w:val="000000" w:themeColor="text1"/>
                      <w:sz w:val="21"/>
                      <w:szCs w:val="21"/>
                      <w:lang w:val="en-US" w:eastAsia="zh-CN"/>
                      <w14:textFill>
                        <w14:solidFill>
                          <w14:schemeClr w14:val="tx1"/>
                        </w14:solidFill>
                      </w14:textFill>
                    </w:rPr>
                  </w:pPr>
                </w:p>
              </w:tc>
              <w:tc>
                <w:tcPr>
                  <w:tcW w:w="997" w:type="pct"/>
                  <w:vMerge w:val="continue"/>
                  <w:vAlign w:val="center"/>
                </w:tcPr>
                <w:p w14:paraId="3A40399E">
                  <w:pPr>
                    <w:pStyle w:val="13"/>
                    <w:rPr>
                      <w:rFonts w:hint="eastAsia" w:cs="Times New Roman"/>
                      <w:b w:val="0"/>
                      <w:bCs w:val="0"/>
                      <w:color w:val="000000" w:themeColor="text1"/>
                      <w:sz w:val="21"/>
                      <w:szCs w:val="21"/>
                      <w:lang w:val="en-US" w:eastAsia="zh-CN"/>
                      <w14:textFill>
                        <w14:solidFill>
                          <w14:schemeClr w14:val="tx1"/>
                        </w14:solidFill>
                      </w14:textFill>
                    </w:rPr>
                  </w:pPr>
                </w:p>
              </w:tc>
            </w:tr>
            <w:tr w14:paraId="6DCC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1FCEEFCA">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Merge w:val="restart"/>
                  <w:vAlign w:val="center"/>
                </w:tcPr>
                <w:p w14:paraId="7B40AEA9">
                  <w:pPr>
                    <w:pStyle w:val="13"/>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二氧化硫</w:t>
                  </w:r>
                </w:p>
              </w:tc>
              <w:tc>
                <w:tcPr>
                  <w:tcW w:w="686" w:type="pct"/>
                  <w:vAlign w:val="center"/>
                </w:tcPr>
                <w:p w14:paraId="5AB174BB">
                  <w:pPr>
                    <w:pStyle w:val="13"/>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05" w:type="pct"/>
                  <w:vAlign w:val="center"/>
                </w:tcPr>
                <w:p w14:paraId="71CD52F9">
                  <w:pPr>
                    <w:pStyle w:val="13"/>
                    <w:ind w:firstLine="0" w:firstLineChars="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w:t>
                  </w:r>
                </w:p>
              </w:tc>
              <w:tc>
                <w:tcPr>
                  <w:tcW w:w="505" w:type="pct"/>
                  <w:vMerge w:val="restart"/>
                  <w:vAlign w:val="center"/>
                </w:tcPr>
                <w:p w14:paraId="31A1A223">
                  <w:pPr>
                    <w:pStyle w:val="13"/>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Merge w:val="restart"/>
                  <w:vAlign w:val="center"/>
                </w:tcPr>
                <w:p w14:paraId="51406637">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210B05FA">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242C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20FE46B3">
                  <w:pPr>
                    <w:pStyle w:val="13"/>
                    <w:rPr>
                      <w:color w:val="000000" w:themeColor="text1"/>
                      <w:sz w:val="21"/>
                      <w:szCs w:val="21"/>
                      <w14:textFill>
                        <w14:solidFill>
                          <w14:schemeClr w14:val="tx1"/>
                        </w14:solidFill>
                      </w14:textFill>
                    </w:rPr>
                  </w:pPr>
                </w:p>
              </w:tc>
              <w:tc>
                <w:tcPr>
                  <w:tcW w:w="1137" w:type="pct"/>
                  <w:vMerge w:val="continue"/>
                  <w:vAlign w:val="center"/>
                </w:tcPr>
                <w:p w14:paraId="3A51F3F2">
                  <w:pPr>
                    <w:pStyle w:val="13"/>
                    <w:rPr>
                      <w:color w:val="000000" w:themeColor="text1"/>
                      <w:sz w:val="21"/>
                      <w:szCs w:val="21"/>
                      <w14:textFill>
                        <w14:solidFill>
                          <w14:schemeClr w14:val="tx1"/>
                        </w14:solidFill>
                      </w14:textFill>
                    </w:rPr>
                  </w:pPr>
                </w:p>
              </w:tc>
              <w:tc>
                <w:tcPr>
                  <w:tcW w:w="686" w:type="pct"/>
                  <w:vAlign w:val="center"/>
                </w:tcPr>
                <w:p w14:paraId="4580A656">
                  <w:pPr>
                    <w:pStyle w:val="13"/>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05" w:type="pct"/>
                  <w:vAlign w:val="center"/>
                </w:tcPr>
                <w:p w14:paraId="001A65CD">
                  <w:pPr>
                    <w:pStyle w:val="13"/>
                    <w:ind w:firstLine="0" w:firstLineChars="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80</w:t>
                  </w:r>
                </w:p>
              </w:tc>
              <w:tc>
                <w:tcPr>
                  <w:tcW w:w="505" w:type="pct"/>
                  <w:vMerge w:val="continue"/>
                  <w:vAlign w:val="center"/>
                </w:tcPr>
                <w:p w14:paraId="7AF2FB3E">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584" w:type="pct"/>
                  <w:vMerge w:val="continue"/>
                  <w:vAlign w:val="center"/>
                </w:tcPr>
                <w:p w14:paraId="67C20335">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997" w:type="pct"/>
                  <w:vMerge w:val="continue"/>
                  <w:vAlign w:val="center"/>
                </w:tcPr>
                <w:p w14:paraId="572F0F75">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r>
            <w:tr w14:paraId="541C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0F7ACC57">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Merge w:val="restart"/>
                  <w:shd w:val="clear" w:color="auto" w:fill="auto"/>
                  <w:vAlign w:val="center"/>
                </w:tcPr>
                <w:p w14:paraId="72777D1E">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氯化氢</w:t>
                  </w:r>
                </w:p>
              </w:tc>
              <w:tc>
                <w:tcPr>
                  <w:tcW w:w="686" w:type="pct"/>
                  <w:shd w:val="clear" w:color="auto" w:fill="auto"/>
                  <w:vAlign w:val="center"/>
                </w:tcPr>
                <w:p w14:paraId="2D8D6D97">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05" w:type="pct"/>
                  <w:shd w:val="clear" w:color="auto" w:fill="auto"/>
                  <w:vAlign w:val="center"/>
                </w:tcPr>
                <w:p w14:paraId="5738BFB2">
                  <w:pPr>
                    <w:pStyle w:val="13"/>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cs="宋体"/>
                      <w:b w:val="0"/>
                      <w:bCs w:val="0"/>
                      <w:color w:val="000000" w:themeColor="text1"/>
                      <w:kern w:val="0"/>
                      <w:sz w:val="21"/>
                      <w:szCs w:val="21"/>
                      <w:lang w:val="en-US" w:eastAsia="zh-CN" w:bidi="ar-SA"/>
                      <w14:textFill>
                        <w14:solidFill>
                          <w14:schemeClr w14:val="tx1"/>
                        </w14:solidFill>
                      </w14:textFill>
                    </w:rPr>
                    <w:t>60</w:t>
                  </w:r>
                </w:p>
              </w:tc>
              <w:tc>
                <w:tcPr>
                  <w:tcW w:w="505" w:type="pct"/>
                  <w:vMerge w:val="restart"/>
                  <w:shd w:val="clear" w:color="auto" w:fill="auto"/>
                  <w:vAlign w:val="center"/>
                </w:tcPr>
                <w:p w14:paraId="68310220">
                  <w:pPr>
                    <w:pStyle w:val="13"/>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84" w:type="pct"/>
                  <w:vMerge w:val="restart"/>
                  <w:shd w:val="clear" w:color="auto" w:fill="auto"/>
                  <w:vAlign w:val="center"/>
                </w:tcPr>
                <w:p w14:paraId="7714C8FC">
                  <w:pPr>
                    <w:pStyle w:val="13"/>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97" w:type="pct"/>
                  <w:vMerge w:val="continue"/>
                  <w:vAlign w:val="center"/>
                </w:tcPr>
                <w:p w14:paraId="3547E4DB">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45D3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546585A8">
                  <w:pPr>
                    <w:pStyle w:val="13"/>
                    <w:ind w:firstLine="0" w:firstLineChars="0"/>
                    <w:rPr>
                      <w:color w:val="000000" w:themeColor="text1"/>
                      <w:sz w:val="21"/>
                      <w:szCs w:val="21"/>
                      <w14:textFill>
                        <w14:solidFill>
                          <w14:schemeClr w14:val="tx1"/>
                        </w14:solidFill>
                      </w14:textFill>
                    </w:rPr>
                  </w:pPr>
                </w:p>
              </w:tc>
              <w:tc>
                <w:tcPr>
                  <w:tcW w:w="1137" w:type="pct"/>
                  <w:vMerge w:val="continue"/>
                  <w:shd w:val="clear" w:color="auto" w:fill="auto"/>
                  <w:vAlign w:val="center"/>
                </w:tcPr>
                <w:p w14:paraId="79EBAAF2">
                  <w:pPr>
                    <w:pStyle w:val="13"/>
                    <w:ind w:firstLine="0" w:firstLineChars="0"/>
                    <w:rPr>
                      <w:color w:val="000000" w:themeColor="text1"/>
                      <w:sz w:val="21"/>
                      <w:szCs w:val="21"/>
                      <w14:textFill>
                        <w14:solidFill>
                          <w14:schemeClr w14:val="tx1"/>
                        </w14:solidFill>
                      </w14:textFill>
                    </w:rPr>
                  </w:pPr>
                </w:p>
              </w:tc>
              <w:tc>
                <w:tcPr>
                  <w:tcW w:w="686" w:type="pct"/>
                  <w:shd w:val="clear" w:color="auto" w:fill="auto"/>
                  <w:vAlign w:val="center"/>
                </w:tcPr>
                <w:p w14:paraId="3CED3CB7">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05" w:type="pct"/>
                  <w:shd w:val="clear" w:color="auto" w:fill="auto"/>
                  <w:vAlign w:val="center"/>
                </w:tcPr>
                <w:p w14:paraId="5CE21433">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50</w:t>
                  </w:r>
                </w:p>
              </w:tc>
              <w:tc>
                <w:tcPr>
                  <w:tcW w:w="505" w:type="pct"/>
                  <w:vMerge w:val="continue"/>
                  <w:shd w:val="clear" w:color="auto" w:fill="auto"/>
                  <w:vAlign w:val="center"/>
                </w:tcPr>
                <w:p w14:paraId="29EDE69A">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p>
              </w:tc>
              <w:tc>
                <w:tcPr>
                  <w:tcW w:w="584" w:type="pct"/>
                  <w:vMerge w:val="continue"/>
                  <w:shd w:val="clear" w:color="auto" w:fill="auto"/>
                  <w:vAlign w:val="center"/>
                </w:tcPr>
                <w:p w14:paraId="430ABD85">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p>
              </w:tc>
              <w:tc>
                <w:tcPr>
                  <w:tcW w:w="997" w:type="pct"/>
                  <w:vMerge w:val="continue"/>
                  <w:vAlign w:val="center"/>
                </w:tcPr>
                <w:p w14:paraId="76A00B74">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p>
              </w:tc>
            </w:tr>
            <w:tr w14:paraId="5E95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276717C7">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591F59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镉、铊</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以Cd+Tl计</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686" w:type="pct"/>
                  <w:shd w:val="clear" w:color="auto" w:fill="auto"/>
                  <w:vAlign w:val="center"/>
                </w:tcPr>
                <w:p w14:paraId="15DE5734">
                  <w:pPr>
                    <w:pStyle w:val="13"/>
                    <w:ind w:firstLine="0" w:firstLineChars="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05" w:type="pct"/>
                  <w:shd w:val="clear" w:color="auto" w:fill="auto"/>
                  <w:vAlign w:val="center"/>
                </w:tcPr>
                <w:p w14:paraId="69279391">
                  <w:pPr>
                    <w:pStyle w:val="13"/>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0.1</w:t>
                  </w:r>
                </w:p>
              </w:tc>
              <w:tc>
                <w:tcPr>
                  <w:tcW w:w="505" w:type="pct"/>
                  <w:shd w:val="clear" w:color="auto" w:fill="auto"/>
                  <w:vAlign w:val="center"/>
                </w:tcPr>
                <w:p w14:paraId="70B612CA">
                  <w:pPr>
                    <w:pStyle w:val="13"/>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0111C4E6">
                  <w:pPr>
                    <w:pStyle w:val="13"/>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97" w:type="pct"/>
                  <w:vMerge w:val="continue"/>
                  <w:vAlign w:val="center"/>
                </w:tcPr>
                <w:p w14:paraId="7FDAECA7">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0EA9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1CBE7C2F">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3C1FB1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锑、砷、铅、铬、钴、铜、锰、镍</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r>
                    <w:rPr>
                      <w:rFonts w:hint="eastAsia" w:cs="Times New Roman"/>
                      <w:b w:val="0"/>
                      <w:bCs w:val="0"/>
                      <w:color w:val="000000" w:themeColor="text1"/>
                      <w:sz w:val="21"/>
                      <w:szCs w:val="21"/>
                      <w:lang w:val="en-US" w:eastAsia="zh-CN"/>
                      <w14:textFill>
                        <w14:solidFill>
                          <w14:schemeClr w14:val="tx1"/>
                        </w14:solidFill>
                      </w14:textFill>
                    </w:rPr>
                    <w:t>（以</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Sb+As+Pb+Cr+</w:t>
                  </w:r>
                </w:p>
                <w:p w14:paraId="62ABC7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Co+Cu+Mn+Ni计</w:t>
                  </w:r>
                  <w:r>
                    <w:rPr>
                      <w:rFonts w:hint="eastAsia" w:cs="Times New Roman"/>
                      <w:b w:val="0"/>
                      <w:bCs w:val="0"/>
                      <w:color w:val="000000" w:themeColor="text1"/>
                      <w:sz w:val="21"/>
                      <w:szCs w:val="21"/>
                      <w:lang w:val="en-US" w:eastAsia="zh-CN"/>
                      <w14:textFill>
                        <w14:solidFill>
                          <w14:schemeClr w14:val="tx1"/>
                        </w14:solidFill>
                      </w14:textFill>
                    </w:rPr>
                    <w:t>）</w:t>
                  </w:r>
                </w:p>
              </w:tc>
              <w:tc>
                <w:tcPr>
                  <w:tcW w:w="686" w:type="pct"/>
                  <w:shd w:val="clear" w:color="auto" w:fill="auto"/>
                  <w:vAlign w:val="center"/>
                </w:tcPr>
                <w:p w14:paraId="7E15AC57">
                  <w:pPr>
                    <w:pStyle w:val="13"/>
                    <w:ind w:firstLine="0" w:firstLineChars="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05" w:type="pct"/>
                  <w:shd w:val="clear" w:color="auto" w:fill="auto"/>
                  <w:vAlign w:val="center"/>
                </w:tcPr>
                <w:p w14:paraId="31E6D848">
                  <w:pPr>
                    <w:pStyle w:val="13"/>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1.0</w:t>
                  </w:r>
                </w:p>
              </w:tc>
              <w:tc>
                <w:tcPr>
                  <w:tcW w:w="505" w:type="pct"/>
                  <w:shd w:val="clear" w:color="auto" w:fill="auto"/>
                  <w:vAlign w:val="center"/>
                </w:tcPr>
                <w:p w14:paraId="6860EC17">
                  <w:pPr>
                    <w:pStyle w:val="13"/>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08C55A9A">
                  <w:pPr>
                    <w:pStyle w:val="13"/>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97" w:type="pct"/>
                  <w:vMerge w:val="continue"/>
                  <w:vAlign w:val="center"/>
                </w:tcPr>
                <w:p w14:paraId="6919F2CF">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3C46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6499E48E">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Align w:val="center"/>
                </w:tcPr>
                <w:p w14:paraId="520BD03B">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二噁英</w:t>
                  </w:r>
                </w:p>
              </w:tc>
              <w:tc>
                <w:tcPr>
                  <w:tcW w:w="686" w:type="pct"/>
                  <w:vAlign w:val="center"/>
                </w:tcPr>
                <w:p w14:paraId="68B618E3">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05" w:type="pct"/>
                  <w:vAlign w:val="center"/>
                </w:tcPr>
                <w:p w14:paraId="131B86C1">
                  <w:pPr>
                    <w:pStyle w:val="13"/>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0.</w:t>
                  </w:r>
                  <w:r>
                    <w:rPr>
                      <w:rFonts w:hint="eastAsia" w:cs="Times New Roman"/>
                      <w:b w:val="0"/>
                      <w:bCs w:val="0"/>
                      <w:color w:val="000000" w:themeColor="text1"/>
                      <w:sz w:val="21"/>
                      <w:szCs w:val="21"/>
                      <w:lang w:val="en-US" w:eastAsia="zh-CN"/>
                      <w14:textFill>
                        <w14:solidFill>
                          <w14:schemeClr w14:val="tx1"/>
                        </w14:solidFill>
                      </w14:textFill>
                    </w:rPr>
                    <w:t>1</w:t>
                  </w:r>
                  <w:r>
                    <w:rPr>
                      <w:rFonts w:hint="default" w:ascii="Times New Roman" w:hAnsi="Times New Roman" w:cs="Times New Roman"/>
                      <w:b w:val="0"/>
                      <w:bCs w:val="0"/>
                      <w:color w:val="000000" w:themeColor="text1"/>
                      <w:sz w:val="21"/>
                      <w:szCs w:val="21"/>
                      <w14:textFill>
                        <w14:solidFill>
                          <w14:schemeClr w14:val="tx1"/>
                        </w14:solidFill>
                      </w14:textFill>
                    </w:rPr>
                    <w:t>ngTEQ/m</w:t>
                  </w:r>
                  <w:r>
                    <w:rPr>
                      <w:rFonts w:hint="default" w:ascii="Times New Roman" w:hAnsi="Times New Roman" w:cs="Times New Roman"/>
                      <w:b w:val="0"/>
                      <w:bCs w:val="0"/>
                      <w:color w:val="000000" w:themeColor="text1"/>
                      <w:sz w:val="21"/>
                      <w:szCs w:val="21"/>
                      <w:vertAlign w:val="superscript"/>
                      <w14:textFill>
                        <w14:solidFill>
                          <w14:schemeClr w14:val="tx1"/>
                        </w14:solidFill>
                      </w14:textFill>
                    </w:rPr>
                    <w:t>3</w:t>
                  </w:r>
                </w:p>
              </w:tc>
              <w:tc>
                <w:tcPr>
                  <w:tcW w:w="505" w:type="pct"/>
                  <w:vAlign w:val="center"/>
                </w:tcPr>
                <w:p w14:paraId="0832A771">
                  <w:pPr>
                    <w:pStyle w:val="13"/>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2831D652">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1F893B2B">
                  <w:pPr>
                    <w:pStyle w:val="13"/>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17C3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7833F67A">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271E7F4B">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氮氧化物</w:t>
                  </w:r>
                </w:p>
              </w:tc>
              <w:tc>
                <w:tcPr>
                  <w:tcW w:w="686" w:type="pct"/>
                  <w:shd w:val="clear" w:color="auto" w:fill="auto"/>
                  <w:vAlign w:val="center"/>
                </w:tcPr>
                <w:p w14:paraId="37B86BDC">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shd w:val="clear" w:color="auto" w:fill="auto"/>
                  <w:vAlign w:val="center"/>
                </w:tcPr>
                <w:p w14:paraId="326BEC85">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200</w:t>
                  </w:r>
                </w:p>
              </w:tc>
              <w:tc>
                <w:tcPr>
                  <w:tcW w:w="505" w:type="pct"/>
                  <w:shd w:val="clear" w:color="auto" w:fill="auto"/>
                  <w:vAlign w:val="center"/>
                </w:tcPr>
                <w:p w14:paraId="42D5FE12">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6F81CDA3">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restart"/>
                  <w:vAlign w:val="center"/>
                </w:tcPr>
                <w:p w14:paraId="0804CD22">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砖瓦工业</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大气污染物</w:t>
                  </w:r>
                  <w:r>
                    <w:rPr>
                      <w:rFonts w:hint="eastAsia" w:cs="Times New Roman"/>
                      <w:b w:val="0"/>
                      <w:bCs w:val="0"/>
                      <w:color w:val="000000" w:themeColor="text1"/>
                      <w:sz w:val="21"/>
                      <w:szCs w:val="21"/>
                      <w:lang w:val="en-US" w:eastAsia="zh-CN"/>
                      <w14:textFill>
                        <w14:solidFill>
                          <w14:schemeClr w14:val="tx1"/>
                        </w14:solidFill>
                      </w14:textFill>
                    </w:rPr>
                    <w:t>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GB29620-2013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6201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5485195E">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shd w:val="clear" w:color="auto" w:fill="auto"/>
                  <w:vAlign w:val="center"/>
                </w:tcPr>
                <w:p w14:paraId="7C0FD9D5">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氟化物</w:t>
                  </w:r>
                </w:p>
              </w:tc>
              <w:tc>
                <w:tcPr>
                  <w:tcW w:w="686" w:type="pct"/>
                  <w:shd w:val="clear" w:color="auto" w:fill="auto"/>
                  <w:vAlign w:val="center"/>
                </w:tcPr>
                <w:p w14:paraId="4348CB66">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shd w:val="clear" w:color="auto" w:fill="auto"/>
                  <w:vAlign w:val="center"/>
                </w:tcPr>
                <w:p w14:paraId="53FE251A">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w:t>
                  </w:r>
                </w:p>
              </w:tc>
              <w:tc>
                <w:tcPr>
                  <w:tcW w:w="505" w:type="pct"/>
                  <w:shd w:val="clear" w:color="auto" w:fill="auto"/>
                  <w:vAlign w:val="center"/>
                </w:tcPr>
                <w:p w14:paraId="0CA0663C">
                  <w:pPr>
                    <w:pStyle w:val="13"/>
                    <w:ind w:firstLine="0" w:firstLineChars="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434CA0FF">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97" w:type="pct"/>
                  <w:vMerge w:val="continue"/>
                  <w:vAlign w:val="center"/>
                </w:tcPr>
                <w:p w14:paraId="0BC29C42">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1DB0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0BF6727C">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Align w:val="center"/>
                </w:tcPr>
                <w:p w14:paraId="701345E1">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臭气浓度</w:t>
                  </w:r>
                </w:p>
              </w:tc>
              <w:tc>
                <w:tcPr>
                  <w:tcW w:w="686" w:type="pct"/>
                  <w:vAlign w:val="center"/>
                </w:tcPr>
                <w:p w14:paraId="4E843DFA">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7DBEAD01">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6000（无量纲）</w:t>
                  </w:r>
                </w:p>
              </w:tc>
              <w:tc>
                <w:tcPr>
                  <w:tcW w:w="505" w:type="pct"/>
                  <w:vAlign w:val="center"/>
                </w:tcPr>
                <w:p w14:paraId="0E5FCE92">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6F0D5586">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20（无量纲）</w:t>
                  </w:r>
                </w:p>
              </w:tc>
              <w:tc>
                <w:tcPr>
                  <w:tcW w:w="997" w:type="pct"/>
                  <w:vAlign w:val="center"/>
                </w:tcPr>
                <w:p w14:paraId="4EA21ADB">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恶臭污染物排放标准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GB14554-93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267E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1784C494">
                  <w:pPr>
                    <w:pStyle w:val="13"/>
                    <w:rPr>
                      <w:rFonts w:hint="default" w:ascii="Times New Roman" w:hAnsi="Times New Roman" w:cs="Times New Roman"/>
                      <w:b w:val="0"/>
                      <w:bCs w:val="0"/>
                      <w:color w:val="000000" w:themeColor="text1"/>
                      <w:sz w:val="21"/>
                      <w:szCs w:val="21"/>
                      <w14:textFill>
                        <w14:solidFill>
                          <w14:schemeClr w14:val="tx1"/>
                        </w14:solidFill>
                      </w14:textFill>
                    </w:rPr>
                  </w:pPr>
                </w:p>
              </w:tc>
              <w:tc>
                <w:tcPr>
                  <w:tcW w:w="1137" w:type="pct"/>
                  <w:vAlign w:val="center"/>
                </w:tcPr>
                <w:p w14:paraId="36ABCC94">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VOCs</w:t>
                  </w:r>
                </w:p>
              </w:tc>
              <w:tc>
                <w:tcPr>
                  <w:tcW w:w="686" w:type="pct"/>
                  <w:shd w:val="clear" w:color="auto" w:fill="auto"/>
                  <w:vAlign w:val="center"/>
                </w:tcPr>
                <w:p w14:paraId="0D7EFF82">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shd w:val="clear" w:color="auto" w:fill="auto"/>
                  <w:vAlign w:val="center"/>
                </w:tcPr>
                <w:p w14:paraId="373A479A">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60</w:t>
                  </w:r>
                </w:p>
              </w:tc>
              <w:tc>
                <w:tcPr>
                  <w:tcW w:w="505" w:type="pct"/>
                  <w:shd w:val="clear" w:color="auto" w:fill="auto"/>
                  <w:vAlign w:val="center"/>
                </w:tcPr>
                <w:p w14:paraId="269B517D">
                  <w:pPr>
                    <w:pStyle w:val="13"/>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shd w:val="clear" w:color="auto" w:fill="auto"/>
                  <w:vAlign w:val="center"/>
                </w:tcPr>
                <w:p w14:paraId="7371D275">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2.0</w:t>
                  </w:r>
                </w:p>
              </w:tc>
              <w:tc>
                <w:tcPr>
                  <w:tcW w:w="997" w:type="pct"/>
                  <w:shd w:val="clear" w:color="auto" w:fill="auto"/>
                  <w:vAlign w:val="center"/>
                </w:tcPr>
                <w:p w14:paraId="786F2937">
                  <w:pPr>
                    <w:pStyle w:val="13"/>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cs="Times New Roman"/>
                      <w:bCs w:val="0"/>
                      <w:color w:val="000000" w:themeColor="text1"/>
                      <w:szCs w:val="21"/>
                      <w14:textFill>
                        <w14:solidFill>
                          <w14:schemeClr w14:val="tx1"/>
                        </w14:solidFill>
                      </w14:textFill>
                    </w:rPr>
                    <w:t>四川省固定污染源大气挥发性有机物排放标准》（DB51/2377-2017</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20D8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restart"/>
                  <w:vAlign w:val="center"/>
                </w:tcPr>
                <w:p w14:paraId="663A9410">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厂界</w:t>
                  </w:r>
                </w:p>
              </w:tc>
              <w:tc>
                <w:tcPr>
                  <w:tcW w:w="1137" w:type="pct"/>
                  <w:vAlign w:val="center"/>
                </w:tcPr>
                <w:p w14:paraId="4568DD2C">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686" w:type="pct"/>
                  <w:vAlign w:val="center"/>
                </w:tcPr>
                <w:p w14:paraId="5481AD21">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3FE11ED0">
                  <w:pPr>
                    <w:pStyle w:val="13"/>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505" w:type="pct"/>
                  <w:vAlign w:val="center"/>
                </w:tcPr>
                <w:p w14:paraId="7F446F5E">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1EA07BF4">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w:t>
                  </w:r>
                </w:p>
              </w:tc>
              <w:tc>
                <w:tcPr>
                  <w:tcW w:w="997" w:type="pct"/>
                  <w:vMerge w:val="restart"/>
                  <w:vAlign w:val="center"/>
                </w:tcPr>
                <w:p w14:paraId="08124E7F">
                  <w:pPr>
                    <w:pStyle w:val="13"/>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砖瓦工业</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大气污染物</w:t>
                  </w:r>
                  <w:r>
                    <w:rPr>
                      <w:rFonts w:hint="eastAsia" w:cs="Times New Roman"/>
                      <w:b w:val="0"/>
                      <w:bCs w:val="0"/>
                      <w:color w:val="000000" w:themeColor="text1"/>
                      <w:sz w:val="21"/>
                      <w:szCs w:val="21"/>
                      <w:lang w:val="en-US" w:eastAsia="zh-CN"/>
                      <w14:textFill>
                        <w14:solidFill>
                          <w14:schemeClr w14:val="tx1"/>
                        </w14:solidFill>
                      </w14:textFill>
                    </w:rPr>
                    <w:t>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GB29620-2013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296F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566F6F6B">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c>
                <w:tcPr>
                  <w:tcW w:w="1137" w:type="pct"/>
                  <w:vAlign w:val="center"/>
                </w:tcPr>
                <w:p w14:paraId="448E2166">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氟化物</w:t>
                  </w:r>
                </w:p>
              </w:tc>
              <w:tc>
                <w:tcPr>
                  <w:tcW w:w="686" w:type="pct"/>
                  <w:vAlign w:val="center"/>
                </w:tcPr>
                <w:p w14:paraId="409D6D52">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1B705E73">
                  <w:pPr>
                    <w:pStyle w:val="13"/>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505" w:type="pct"/>
                  <w:vAlign w:val="center"/>
                </w:tcPr>
                <w:p w14:paraId="509782D5">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493C84F8">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0.02</w:t>
                  </w:r>
                </w:p>
              </w:tc>
              <w:tc>
                <w:tcPr>
                  <w:tcW w:w="997" w:type="pct"/>
                  <w:vMerge w:val="continue"/>
                  <w:vAlign w:val="center"/>
                </w:tcPr>
                <w:p w14:paraId="48732D7A">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5860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2" w:type="pct"/>
                  <w:vMerge w:val="continue"/>
                  <w:vAlign w:val="center"/>
                </w:tcPr>
                <w:p w14:paraId="399A42EF">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c>
                <w:tcPr>
                  <w:tcW w:w="1137" w:type="pct"/>
                  <w:vAlign w:val="center"/>
                </w:tcPr>
                <w:p w14:paraId="1BB74C62">
                  <w:pPr>
                    <w:pStyle w:val="13"/>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二氧化硫</w:t>
                  </w:r>
                </w:p>
              </w:tc>
              <w:tc>
                <w:tcPr>
                  <w:tcW w:w="686" w:type="pct"/>
                  <w:vAlign w:val="center"/>
                </w:tcPr>
                <w:p w14:paraId="47A61126">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05" w:type="pct"/>
                  <w:vAlign w:val="center"/>
                </w:tcPr>
                <w:p w14:paraId="6E0BC77E">
                  <w:pPr>
                    <w:pStyle w:val="13"/>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505" w:type="pct"/>
                  <w:vAlign w:val="center"/>
                </w:tcPr>
                <w:p w14:paraId="119F6B12">
                  <w:pPr>
                    <w:pStyle w:val="13"/>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84" w:type="pct"/>
                  <w:vAlign w:val="center"/>
                </w:tcPr>
                <w:p w14:paraId="09101D60">
                  <w:pPr>
                    <w:pStyle w:val="13"/>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0.5</w:t>
                  </w:r>
                </w:p>
              </w:tc>
              <w:tc>
                <w:tcPr>
                  <w:tcW w:w="997" w:type="pct"/>
                  <w:vMerge w:val="continue"/>
                  <w:vAlign w:val="center"/>
                </w:tcPr>
                <w:p w14:paraId="78D0BDFA">
                  <w:pPr>
                    <w:pStyle w:val="13"/>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bl>
          <w:p w14:paraId="44159C4D">
            <w:pPr>
              <w:pStyle w:val="12"/>
              <w:keepNext/>
              <w:spacing w:after="0" w:line="360" w:lineRule="auto"/>
              <w:ind w:firstLine="422" w:firstLineChars="200"/>
              <w:jc w:val="both"/>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注：</w:t>
            </w:r>
            <w:r>
              <w:rPr>
                <w:rFonts w:hint="eastAsia" w:cs="Times New Roman"/>
                <w:b w:val="0"/>
                <w:bCs w:val="0"/>
                <w:color w:val="000000" w:themeColor="text1"/>
                <w:lang w:val="en-US" w:eastAsia="zh-CN"/>
                <w14:textFill>
                  <w14:solidFill>
                    <w14:schemeClr w14:val="tx1"/>
                  </w14:solidFill>
                </w14:textFill>
              </w:rPr>
              <w:t>1、在严格落实减排措施（具体减排措施见前文14、符合性分析内容）后，本项目回转窑废气中</w:t>
            </w:r>
            <w:r>
              <w:rPr>
                <w:rFonts w:hint="eastAsia"/>
                <w:b w:val="0"/>
                <w:bCs w:val="0"/>
                <w:color w:val="000000" w:themeColor="text1"/>
                <w:sz w:val="21"/>
                <w:szCs w:val="21"/>
                <w:lang w:val="en-US" w:eastAsia="zh-CN"/>
                <w14:textFill>
                  <w14:solidFill>
                    <w14:schemeClr w14:val="tx1"/>
                  </w14:solidFill>
                </w14:textFill>
              </w:rPr>
              <w:t>颗粒物、SO</w:t>
            </w:r>
            <w:r>
              <w:rPr>
                <w:rFonts w:hint="eastAsia"/>
                <w:b w:val="0"/>
                <w:bCs w:val="0"/>
                <w:color w:val="000000" w:themeColor="text1"/>
                <w:sz w:val="21"/>
                <w:szCs w:val="21"/>
                <w:vertAlign w:val="subscript"/>
                <w:lang w:val="en-US" w:eastAsia="zh-CN"/>
                <w14:textFill>
                  <w14:solidFill>
                    <w14:schemeClr w14:val="tx1"/>
                  </w14:solidFill>
                </w14:textFill>
              </w:rPr>
              <w:t>2</w:t>
            </w:r>
            <w:r>
              <w:rPr>
                <w:rFonts w:hint="eastAsia"/>
                <w:b w:val="0"/>
                <w:bCs w:val="0"/>
                <w:color w:val="000000" w:themeColor="text1"/>
                <w:sz w:val="21"/>
                <w:szCs w:val="21"/>
                <w:lang w:val="en-US" w:eastAsia="zh-CN"/>
                <w14:textFill>
                  <w14:solidFill>
                    <w14:schemeClr w14:val="tx1"/>
                  </w14:solidFill>
                </w14:textFill>
              </w:rPr>
              <w:t>、NOx、VOCs排放浓度分别为1.3912、35.8901、78.2445、29.5153mg</w:t>
            </w:r>
            <w:r>
              <w:rPr>
                <w:rFonts w:ascii="Times New Roman" w:hAnsi="Times New Roman" w:cs="Times New Roman"/>
                <w:b w:val="0"/>
                <w:bCs w:val="0"/>
                <w:color w:val="000000" w:themeColor="text1"/>
                <w:kern w:val="0"/>
                <w:sz w:val="21"/>
                <w:szCs w:val="21"/>
                <w14:textFill>
                  <w14:solidFill>
                    <w14:schemeClr w14:val="tx1"/>
                  </w14:solidFill>
                </w14:textFill>
              </w:rPr>
              <w:t>/m</w:t>
            </w:r>
            <w:r>
              <w:rPr>
                <w:rFonts w:ascii="Times New Roman" w:hAnsi="Times New Roman" w:cs="Times New Roman"/>
                <w:b w:val="0"/>
                <w:bCs w:val="0"/>
                <w:color w:val="000000" w:themeColor="text1"/>
                <w:kern w:val="0"/>
                <w:sz w:val="21"/>
                <w:szCs w:val="21"/>
                <w:vertAlign w:val="superscript"/>
                <w14:textFill>
                  <w14:solidFill>
                    <w14:schemeClr w14:val="tx1"/>
                  </w14:solidFill>
                </w14:textFill>
              </w:rPr>
              <w:t>3</w:t>
            </w:r>
            <w:r>
              <w:rPr>
                <w:rFonts w:hint="eastAsia"/>
                <w:b w:val="0"/>
                <w:bCs w:val="0"/>
                <w:color w:val="000000" w:themeColor="text1"/>
                <w:sz w:val="21"/>
                <w:szCs w:val="21"/>
                <w:lang w:val="en-US" w:eastAsia="zh-CN"/>
                <w14:textFill>
                  <w14:solidFill>
                    <w14:schemeClr w14:val="tx1"/>
                  </w14:solidFill>
                </w14:textFill>
              </w:rPr>
              <w:t>，均可达到</w:t>
            </w:r>
            <w:r>
              <w:rPr>
                <w:rFonts w:hint="default" w:ascii="Times New Roman" w:hAnsi="Times New Roman" w:cs="Times New Roman"/>
                <w:b w:val="0"/>
                <w:bCs w:val="0"/>
                <w:color w:val="000000" w:themeColor="text1"/>
                <w:sz w:val="21"/>
                <w:szCs w:val="21"/>
                <w14:textFill>
                  <w14:solidFill>
                    <w14:schemeClr w14:val="tx1"/>
                  </w14:solidFill>
                </w14:textFill>
              </w:rPr>
              <w:t>《四川省重污染天气金属表面处理及热处理加工等10个行业应急减排措施制定技术指南（2024年修订版》（川环办函〔2024〕337号）中</w:t>
            </w:r>
            <w:r>
              <w:rPr>
                <w:rFonts w:hint="eastAsia" w:ascii="宋体" w:hAnsi="宋体" w:eastAsia="宋体" w:cs="宋体"/>
                <w:b w:val="0"/>
                <w:bCs w:val="0"/>
                <w:color w:val="000000" w:themeColor="text1"/>
                <w:sz w:val="21"/>
                <w:szCs w:val="21"/>
                <w14:textFill>
                  <w14:solidFill>
                    <w14:schemeClr w14:val="tx1"/>
                  </w14:solidFill>
                </w14:textFill>
              </w:rPr>
              <w:t>“通用行业”</w:t>
            </w:r>
            <w:r>
              <w:rPr>
                <w:rFonts w:hint="eastAsia"/>
                <w:b w:val="0"/>
                <w:bCs w:val="0"/>
                <w:color w:val="000000" w:themeColor="text1"/>
                <w:sz w:val="21"/>
                <w:szCs w:val="21"/>
                <w:lang w:val="en-US" w:eastAsia="zh-CN"/>
                <w14:textFill>
                  <w14:solidFill>
                    <w14:schemeClr w14:val="tx1"/>
                  </w14:solidFill>
                </w14:textFill>
              </w:rPr>
              <w:t>B级企业标准限值要求（颗粒物、SO</w:t>
            </w:r>
            <w:r>
              <w:rPr>
                <w:rFonts w:hint="eastAsia"/>
                <w:b w:val="0"/>
                <w:bCs w:val="0"/>
                <w:color w:val="000000" w:themeColor="text1"/>
                <w:sz w:val="21"/>
                <w:szCs w:val="21"/>
                <w:vertAlign w:val="subscript"/>
                <w:lang w:val="en-US" w:eastAsia="zh-CN"/>
                <w14:textFill>
                  <w14:solidFill>
                    <w14:schemeClr w14:val="tx1"/>
                  </w14:solidFill>
                </w14:textFill>
              </w:rPr>
              <w:t>2</w:t>
            </w:r>
            <w:r>
              <w:rPr>
                <w:rFonts w:hint="eastAsia"/>
                <w:b w:val="0"/>
                <w:bCs w:val="0"/>
                <w:color w:val="000000" w:themeColor="text1"/>
                <w:sz w:val="21"/>
                <w:szCs w:val="21"/>
                <w:lang w:val="en-US" w:eastAsia="zh-CN"/>
                <w14:textFill>
                  <w14:solidFill>
                    <w14:schemeClr w14:val="tx1"/>
                  </w14:solidFill>
                </w14:textFill>
              </w:rPr>
              <w:t>、NOx、VOCs分别为10、100、200、40</w:t>
            </w:r>
            <w:r>
              <w:rPr>
                <w:rFonts w:ascii="Times New Roman" w:hAnsi="Times New Roman" w:cs="Times New Roman"/>
                <w:b w:val="0"/>
                <w:bCs w:val="0"/>
                <w:color w:val="000000" w:themeColor="text1"/>
                <w:kern w:val="0"/>
                <w:sz w:val="21"/>
                <w:szCs w:val="21"/>
                <w14:textFill>
                  <w14:solidFill>
                    <w14:schemeClr w14:val="tx1"/>
                  </w14:solidFill>
                </w14:textFill>
              </w:rPr>
              <w:t>mg/m</w:t>
            </w:r>
            <w:r>
              <w:rPr>
                <w:rFonts w:ascii="Times New Roman" w:hAnsi="Times New Roman" w:cs="Times New Roman"/>
                <w:b w:val="0"/>
                <w:bCs w:val="0"/>
                <w:color w:val="000000" w:themeColor="text1"/>
                <w:kern w:val="0"/>
                <w:sz w:val="21"/>
                <w:szCs w:val="21"/>
                <w:vertAlign w:val="superscript"/>
                <w14:textFill>
                  <w14:solidFill>
                    <w14:schemeClr w14:val="tx1"/>
                  </w14:solidFill>
                </w14:textFill>
              </w:rPr>
              <w:t>3</w:t>
            </w:r>
            <w:r>
              <w:rPr>
                <w:rFonts w:hint="eastAsia"/>
                <w:b w:val="0"/>
                <w:bCs w:val="0"/>
                <w:color w:val="000000" w:themeColor="text1"/>
                <w:sz w:val="21"/>
                <w:szCs w:val="21"/>
                <w:lang w:val="en-US" w:eastAsia="zh-CN"/>
                <w14:textFill>
                  <w14:solidFill>
                    <w14:schemeClr w14:val="tx1"/>
                  </w14:solidFill>
                </w14:textFill>
              </w:rPr>
              <w:t>）。</w:t>
            </w:r>
          </w:p>
          <w:p w14:paraId="364B000A">
            <w:pPr>
              <w:pStyle w:val="4"/>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2、废水排放标准</w:t>
            </w:r>
          </w:p>
          <w:p w14:paraId="42C9739E">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压滤废水部分回用于生产，剩余部分委托</w:t>
            </w:r>
            <w:r>
              <w:rPr>
                <w:rFonts w:hint="eastAsia"/>
                <w:lang w:val="en-US" w:eastAsia="zh-CN"/>
              </w:rPr>
              <w:t>四川洁安环境科技有限公司等有资质单位</w:t>
            </w:r>
            <w:r>
              <w:rPr>
                <w:rFonts w:hint="eastAsia" w:cs="Times New Roman"/>
                <w:color w:val="000000" w:themeColor="text1"/>
                <w:lang w:val="en-US" w:eastAsia="zh-CN"/>
                <w14:textFill>
                  <w14:solidFill>
                    <w14:schemeClr w14:val="tx1"/>
                  </w14:solidFill>
                </w14:textFill>
              </w:rPr>
              <w:t>进行处理，本项目生产废水浓度需满足四川洁安环境科技有限公司污水处理站进水水质要求；仅外排生活污水，经预处理后达《污水综合排放标准》（GB8978-1996）三级标准后，氨氮、总磷</w:t>
            </w:r>
            <w:r>
              <w:rPr>
                <w:rFonts w:hint="eastAsia"/>
                <w:lang w:eastAsia="zh-CN"/>
              </w:rPr>
              <w:t>、</w:t>
            </w:r>
            <w:r>
              <w:rPr>
                <w:rFonts w:hint="eastAsia"/>
                <w:lang w:val="en-US" w:eastAsia="zh-CN"/>
              </w:rPr>
              <w:t>总氮</w:t>
            </w:r>
            <w:r>
              <w:rPr>
                <w:rFonts w:hint="eastAsia" w:cs="Times New Roman"/>
                <w:color w:val="000000" w:themeColor="text1"/>
                <w:lang w:val="en-US" w:eastAsia="zh-CN"/>
                <w14:textFill>
                  <w14:solidFill>
                    <w14:schemeClr w14:val="tx1"/>
                  </w14:solidFill>
                </w14:textFill>
              </w:rPr>
              <w:t>执行《污水排入城镇下水道水质标准》（GB/T31962-2015）B级标准后</w:t>
            </w:r>
            <w:r>
              <w:rPr>
                <w:rFonts w:hint="eastAsia" w:ascii="Times New Roman" w:hAnsi="Times New Roman" w:cs="Times New Roman"/>
                <w:color w:val="000000" w:themeColor="text1"/>
                <w:lang w:val="en-US" w:eastAsia="zh-CN"/>
                <w14:textFill>
                  <w14:solidFill>
                    <w14:schemeClr w14:val="tx1"/>
                  </w14:solidFill>
                </w14:textFill>
              </w:rPr>
              <w:t>排入园区污水管网，</w:t>
            </w:r>
            <w:r>
              <w:rPr>
                <w:rFonts w:hint="eastAsia" w:cs="Times New Roman"/>
                <w:color w:val="000000" w:themeColor="text1"/>
                <w:lang w:val="en-US" w:eastAsia="zh-CN"/>
                <w14:textFill>
                  <w14:solidFill>
                    <w14:schemeClr w14:val="tx1"/>
                  </w14:solidFill>
                </w14:textFill>
              </w:rPr>
              <w:t>进入</w:t>
            </w:r>
            <w:r>
              <w:rPr>
                <w:rFonts w:hint="eastAsia" w:ascii="Times New Roman" w:hAnsi="Times New Roman" w:cs="Times New Roman"/>
                <w:color w:val="000000" w:themeColor="text1"/>
                <w:lang w:val="en-US" w:eastAsia="zh-CN"/>
                <w14:textFill>
                  <w14:solidFill>
                    <w14:schemeClr w14:val="tx1"/>
                  </w14:solidFill>
                </w14:textFill>
              </w:rPr>
              <w:t>星光工业园区污水处理厂进一步处理，</w:t>
            </w:r>
            <w:r>
              <w:rPr>
                <w:rFonts w:hint="default" w:ascii="Times New Roman" w:hAnsi="Times New Roman" w:eastAsia="宋体" w:cs="Times New Roman"/>
                <w:color w:val="000000" w:themeColor="text1"/>
                <w:lang w:val="en-US" w:eastAsia="zh-CN"/>
                <w14:textFill>
                  <w14:solidFill>
                    <w14:schemeClr w14:val="tx1"/>
                  </w14:solidFill>
                </w14:textFill>
              </w:rPr>
              <w:t>星光工业园区</w:t>
            </w:r>
            <w:r>
              <w:rPr>
                <w:rFonts w:hint="default" w:ascii="Times New Roman" w:hAnsi="Times New Roman" w:cs="Times New Roman"/>
                <w:color w:val="000000" w:themeColor="text1"/>
                <w14:textFill>
                  <w14:solidFill>
                    <w14:schemeClr w14:val="tx1"/>
                  </w14:solidFill>
                </w14:textFill>
              </w:rPr>
              <w:t>污水处理厂排口</w:t>
            </w:r>
            <w:r>
              <w:rPr>
                <w:rFonts w:hint="eastAsia" w:cs="Times New Roman"/>
                <w:color w:val="000000" w:themeColor="text1"/>
                <w:lang w:eastAsia="zh-CN"/>
                <w14:textFill>
                  <w14:solidFill>
                    <w14:schemeClr w14:val="tx1"/>
                  </w14:solidFill>
                </w14:textFill>
              </w:rPr>
              <w:t>执行</w:t>
            </w:r>
            <w:bookmarkStart w:id="43" w:name="OLE_LINK164"/>
            <w:bookmarkStart w:id="44" w:name="OLE_LINK165"/>
            <w:r>
              <w:rPr>
                <w:rFonts w:hint="default" w:ascii="Times New Roman" w:hAnsi="Times New Roman" w:cs="Times New Roman"/>
                <w:color w:val="000000" w:themeColor="text1"/>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14:textFill>
                  <w14:solidFill>
                    <w14:schemeClr w14:val="tx1"/>
                  </w14:solidFill>
                </w14:textFill>
              </w:rPr>
              <w:t>标准</w:t>
            </w:r>
            <w:bookmarkEnd w:id="43"/>
            <w:bookmarkEnd w:id="44"/>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处理达标后排入巴河</w:t>
            </w:r>
            <w:r>
              <w:rPr>
                <w:rFonts w:hint="default" w:ascii="Times New Roman" w:hAnsi="Times New Roman" w:cs="Times New Roman"/>
                <w:color w:val="000000" w:themeColor="text1"/>
                <w14:textFill>
                  <w14:solidFill>
                    <w14:schemeClr w14:val="tx1"/>
                  </w14:solidFill>
                </w14:textFill>
              </w:rPr>
              <w:t>。</w:t>
            </w:r>
          </w:p>
          <w:p w14:paraId="73FF3909">
            <w:pPr>
              <w:pStyle w:val="12"/>
              <w:keepNext/>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表3-13 四川洁安环境科技有限公司进水水质要求</w:t>
            </w:r>
          </w:p>
          <w:tbl>
            <w:tblPr>
              <w:tblStyle w:val="5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6"/>
              <w:gridCol w:w="2589"/>
              <w:gridCol w:w="3297"/>
            </w:tblGrid>
            <w:tr w14:paraId="7CF8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91" w:type="pct"/>
                  <w:vAlign w:val="center"/>
                </w:tcPr>
                <w:p w14:paraId="2C3BAA4D">
                  <w:pPr>
                    <w:pStyle w:val="13"/>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项目</w:t>
                  </w:r>
                </w:p>
              </w:tc>
              <w:tc>
                <w:tcPr>
                  <w:tcW w:w="1323" w:type="pct"/>
                  <w:vAlign w:val="center"/>
                </w:tcPr>
                <w:p w14:paraId="0B8C5E57">
                  <w:pPr>
                    <w:pStyle w:val="13"/>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单位</w:t>
                  </w:r>
                </w:p>
              </w:tc>
              <w:tc>
                <w:tcPr>
                  <w:tcW w:w="1685" w:type="pct"/>
                  <w:vAlign w:val="center"/>
                </w:tcPr>
                <w:p w14:paraId="5689BA25">
                  <w:pPr>
                    <w:pStyle w:val="13"/>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排放限值</w:t>
                  </w:r>
                </w:p>
              </w:tc>
            </w:tr>
            <w:tr w14:paraId="2533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91" w:type="pct"/>
                  <w:vAlign w:val="center"/>
                </w:tcPr>
                <w:p w14:paraId="09DBF070">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pH</w:t>
                  </w:r>
                </w:p>
              </w:tc>
              <w:tc>
                <w:tcPr>
                  <w:tcW w:w="1323" w:type="pct"/>
                  <w:vAlign w:val="center"/>
                </w:tcPr>
                <w:p w14:paraId="6FA53476">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无量纲</w:t>
                  </w:r>
                </w:p>
              </w:tc>
              <w:tc>
                <w:tcPr>
                  <w:tcW w:w="1685" w:type="pct"/>
                  <w:vAlign w:val="center"/>
                </w:tcPr>
                <w:p w14:paraId="35E6D17F">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6～9</w:t>
                  </w:r>
                </w:p>
              </w:tc>
            </w:tr>
            <w:tr w14:paraId="5DF5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91" w:type="pct"/>
                  <w:vAlign w:val="center"/>
                </w:tcPr>
                <w:p w14:paraId="4B2A5969">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COD</w:t>
                  </w:r>
                </w:p>
              </w:tc>
              <w:tc>
                <w:tcPr>
                  <w:tcW w:w="1323" w:type="pct"/>
                  <w:vAlign w:val="center"/>
                </w:tcPr>
                <w:p w14:paraId="0227D452">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685" w:type="pct"/>
                  <w:vAlign w:val="center"/>
                </w:tcPr>
                <w:p w14:paraId="290C9370">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3500</w:t>
                  </w:r>
                </w:p>
              </w:tc>
            </w:tr>
            <w:tr w14:paraId="7908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91" w:type="pct"/>
                  <w:vAlign w:val="center"/>
                </w:tcPr>
                <w:p w14:paraId="7C073CBF">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SS</w:t>
                  </w:r>
                </w:p>
              </w:tc>
              <w:tc>
                <w:tcPr>
                  <w:tcW w:w="1323" w:type="pct"/>
                  <w:vAlign w:val="center"/>
                </w:tcPr>
                <w:p w14:paraId="4A388820">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685" w:type="pct"/>
                  <w:vAlign w:val="center"/>
                </w:tcPr>
                <w:p w14:paraId="2DC98581">
                  <w:pPr>
                    <w:pStyle w:val="13"/>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500</w:t>
                  </w:r>
                </w:p>
              </w:tc>
            </w:tr>
            <w:tr w14:paraId="6ABD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91" w:type="pct"/>
                  <w:vAlign w:val="center"/>
                </w:tcPr>
                <w:p w14:paraId="45763036">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石油类</w:t>
                  </w:r>
                </w:p>
              </w:tc>
              <w:tc>
                <w:tcPr>
                  <w:tcW w:w="1323" w:type="pct"/>
                  <w:vAlign w:val="center"/>
                </w:tcPr>
                <w:p w14:paraId="313CC515">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685" w:type="pct"/>
                  <w:vAlign w:val="center"/>
                </w:tcPr>
                <w:p w14:paraId="20E34513">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500</w:t>
                  </w:r>
                </w:p>
              </w:tc>
            </w:tr>
            <w:tr w14:paraId="5E9A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91" w:type="pct"/>
                  <w:vAlign w:val="center"/>
                </w:tcPr>
                <w:p w14:paraId="5A282F43">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氨氮</w:t>
                  </w:r>
                </w:p>
              </w:tc>
              <w:tc>
                <w:tcPr>
                  <w:tcW w:w="1323" w:type="pct"/>
                  <w:vAlign w:val="center"/>
                </w:tcPr>
                <w:p w14:paraId="22F80950">
                  <w:pPr>
                    <w:pStyle w:val="13"/>
                    <w:ind w:firstLine="0" w:firstLineChars="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685" w:type="pct"/>
                  <w:vAlign w:val="center"/>
                </w:tcPr>
                <w:p w14:paraId="1F097815">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r>
            <w:tr w14:paraId="07F7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91" w:type="pct"/>
                  <w:vAlign w:val="center"/>
                </w:tcPr>
                <w:p w14:paraId="77E8BC1A">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总氮</w:t>
                  </w:r>
                </w:p>
              </w:tc>
              <w:tc>
                <w:tcPr>
                  <w:tcW w:w="1323" w:type="pct"/>
                  <w:vAlign w:val="center"/>
                </w:tcPr>
                <w:p w14:paraId="682A8B24">
                  <w:pPr>
                    <w:pStyle w:val="13"/>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mg/L</w:t>
                  </w:r>
                </w:p>
              </w:tc>
              <w:tc>
                <w:tcPr>
                  <w:tcW w:w="1685" w:type="pct"/>
                  <w:vAlign w:val="center"/>
                </w:tcPr>
                <w:p w14:paraId="0F51A837">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r>
          </w:tbl>
          <w:p w14:paraId="49ACF5CE">
            <w:pPr>
              <w:pStyle w:val="12"/>
              <w:keepNex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14</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lang w:val="en-US" w:eastAsia="zh-CN"/>
                <w14:textFill>
                  <w14:solidFill>
                    <w14:schemeClr w14:val="tx1"/>
                  </w14:solidFill>
                </w14:textFill>
              </w:rPr>
              <w:t>本项目厂区</w:t>
            </w:r>
            <w:r>
              <w:rPr>
                <w:rFonts w:hint="eastAsia" w:cs="Times New Roman"/>
                <w:color w:val="000000" w:themeColor="text1"/>
                <w:lang w:val="en-US" w:eastAsia="zh-CN"/>
                <w14:textFill>
                  <w14:solidFill>
                    <w14:schemeClr w14:val="tx1"/>
                  </w14:solidFill>
                </w14:textFill>
              </w:rPr>
              <w:t>生活污水</w:t>
            </w:r>
            <w:r>
              <w:rPr>
                <w:rFonts w:hint="default" w:ascii="Times New Roman" w:hAnsi="Times New Roman" w:cs="Times New Roman"/>
                <w:color w:val="000000" w:themeColor="text1"/>
                <w14:textFill>
                  <w14:solidFill>
                    <w14:schemeClr w14:val="tx1"/>
                  </w14:solidFill>
                </w14:textFill>
              </w:rPr>
              <w:t>出水执行标准限值</w:t>
            </w:r>
          </w:p>
          <w:tbl>
            <w:tblPr>
              <w:tblStyle w:val="5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1"/>
              <w:gridCol w:w="1623"/>
              <w:gridCol w:w="2067"/>
              <w:gridCol w:w="3653"/>
            </w:tblGrid>
            <w:tr w14:paraId="0971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56A6FEDC">
                  <w:pPr>
                    <w:pStyle w:val="13"/>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项目</w:t>
                  </w:r>
                </w:p>
              </w:tc>
              <w:tc>
                <w:tcPr>
                  <w:tcW w:w="829" w:type="pct"/>
                  <w:vAlign w:val="center"/>
                </w:tcPr>
                <w:p w14:paraId="5F8C2146">
                  <w:pPr>
                    <w:pStyle w:val="13"/>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单位</w:t>
                  </w:r>
                </w:p>
              </w:tc>
              <w:tc>
                <w:tcPr>
                  <w:tcW w:w="1056" w:type="pct"/>
                  <w:vAlign w:val="center"/>
                </w:tcPr>
                <w:p w14:paraId="1DE57517">
                  <w:pPr>
                    <w:pStyle w:val="13"/>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排放限值</w:t>
                  </w:r>
                </w:p>
              </w:tc>
              <w:tc>
                <w:tcPr>
                  <w:tcW w:w="1866" w:type="pct"/>
                  <w:vAlign w:val="center"/>
                </w:tcPr>
                <w:p w14:paraId="795F1AC6">
                  <w:pPr>
                    <w:pStyle w:val="13"/>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执行标准</w:t>
                  </w:r>
                </w:p>
              </w:tc>
            </w:tr>
            <w:tr w14:paraId="5C02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030ED42A">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pH</w:t>
                  </w:r>
                </w:p>
              </w:tc>
              <w:tc>
                <w:tcPr>
                  <w:tcW w:w="829" w:type="pct"/>
                  <w:vAlign w:val="center"/>
                </w:tcPr>
                <w:p w14:paraId="6AEE01C2">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无量纲</w:t>
                  </w:r>
                </w:p>
              </w:tc>
              <w:tc>
                <w:tcPr>
                  <w:tcW w:w="1056" w:type="pct"/>
                  <w:vAlign w:val="center"/>
                </w:tcPr>
                <w:p w14:paraId="47C659A7">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6～9</w:t>
                  </w:r>
                </w:p>
              </w:tc>
              <w:tc>
                <w:tcPr>
                  <w:tcW w:w="1866" w:type="pct"/>
                  <w:vMerge w:val="restart"/>
                  <w:vAlign w:val="center"/>
                </w:tcPr>
                <w:p w14:paraId="4C9242D7">
                  <w:pPr>
                    <w:pStyle w:val="13"/>
                    <w:rPr>
                      <w:rFonts w:hint="default" w:ascii="Times New Roman" w:hAnsi="Times New Roman"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《污水综合排放标准》（GB8978-1996）三级标准</w:t>
                  </w:r>
                </w:p>
              </w:tc>
            </w:tr>
            <w:tr w14:paraId="77CB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487C8EEF">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COD</w:t>
                  </w:r>
                </w:p>
              </w:tc>
              <w:tc>
                <w:tcPr>
                  <w:tcW w:w="829" w:type="pct"/>
                  <w:vAlign w:val="center"/>
                </w:tcPr>
                <w:p w14:paraId="6D843AD1">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04D15585">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500</w:t>
                  </w:r>
                </w:p>
              </w:tc>
              <w:tc>
                <w:tcPr>
                  <w:tcW w:w="1866" w:type="pct"/>
                  <w:vMerge w:val="continue"/>
                  <w:vAlign w:val="center"/>
                </w:tcPr>
                <w:p w14:paraId="6E095DCE">
                  <w:pPr>
                    <w:pStyle w:val="13"/>
                    <w:rPr>
                      <w:rFonts w:hint="eastAsia" w:ascii="Times New Roman" w:hAnsi="Times New Roman" w:cs="Times New Roman"/>
                      <w:color w:val="000000" w:themeColor="text1"/>
                      <w:lang w:val="en-US" w:eastAsia="zh-CN"/>
                      <w14:textFill>
                        <w14:solidFill>
                          <w14:schemeClr w14:val="tx1"/>
                        </w14:solidFill>
                      </w14:textFill>
                    </w:rPr>
                  </w:pPr>
                </w:p>
              </w:tc>
            </w:tr>
            <w:tr w14:paraId="32EB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0F24DF1C">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BOD</w:t>
                  </w:r>
                  <w:r>
                    <w:rPr>
                      <w:rFonts w:hint="default" w:ascii="Times New Roman" w:hAnsi="Times New Roman" w:cs="Times New Roman"/>
                      <w:color w:val="000000" w:themeColor="text1"/>
                      <w:vertAlign w:val="subscript"/>
                      <w14:textFill>
                        <w14:solidFill>
                          <w14:schemeClr w14:val="tx1"/>
                        </w14:solidFill>
                      </w14:textFill>
                    </w:rPr>
                    <w:t>5</w:t>
                  </w:r>
                </w:p>
              </w:tc>
              <w:tc>
                <w:tcPr>
                  <w:tcW w:w="829" w:type="pct"/>
                  <w:vAlign w:val="center"/>
                </w:tcPr>
                <w:p w14:paraId="148FE0DC">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6EB2076D">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300</w:t>
                  </w:r>
                </w:p>
              </w:tc>
              <w:tc>
                <w:tcPr>
                  <w:tcW w:w="1866" w:type="pct"/>
                  <w:vMerge w:val="continue"/>
                  <w:vAlign w:val="center"/>
                </w:tcPr>
                <w:p w14:paraId="500CF2C8">
                  <w:pPr>
                    <w:pStyle w:val="13"/>
                    <w:rPr>
                      <w:rFonts w:hint="eastAsia" w:ascii="Times New Roman" w:hAnsi="Times New Roman" w:cs="Times New Roman"/>
                      <w:color w:val="000000" w:themeColor="text1"/>
                      <w:lang w:val="en-US" w:eastAsia="zh-CN"/>
                      <w14:textFill>
                        <w14:solidFill>
                          <w14:schemeClr w14:val="tx1"/>
                        </w14:solidFill>
                      </w14:textFill>
                    </w:rPr>
                  </w:pPr>
                </w:p>
              </w:tc>
            </w:tr>
            <w:tr w14:paraId="031F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5C8FE1D4">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SS</w:t>
                  </w:r>
                </w:p>
              </w:tc>
              <w:tc>
                <w:tcPr>
                  <w:tcW w:w="829" w:type="pct"/>
                  <w:vAlign w:val="center"/>
                </w:tcPr>
                <w:p w14:paraId="16D769B8">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60FF7A4E">
                  <w:pPr>
                    <w:pStyle w:val="13"/>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400</w:t>
                  </w:r>
                </w:p>
              </w:tc>
              <w:tc>
                <w:tcPr>
                  <w:tcW w:w="1866" w:type="pct"/>
                  <w:vMerge w:val="continue"/>
                  <w:vAlign w:val="center"/>
                </w:tcPr>
                <w:p w14:paraId="7792239B">
                  <w:pPr>
                    <w:pStyle w:val="13"/>
                    <w:rPr>
                      <w:rFonts w:hint="eastAsia" w:ascii="Times New Roman" w:hAnsi="Times New Roman" w:cs="Times New Roman"/>
                      <w:color w:val="000000" w:themeColor="text1"/>
                      <w:lang w:val="en-US" w:eastAsia="zh-CN"/>
                      <w14:textFill>
                        <w14:solidFill>
                          <w14:schemeClr w14:val="tx1"/>
                        </w14:solidFill>
                      </w14:textFill>
                    </w:rPr>
                  </w:pPr>
                </w:p>
              </w:tc>
            </w:tr>
            <w:tr w14:paraId="58AD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6C46107A">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动植物油</w:t>
                  </w:r>
                </w:p>
              </w:tc>
              <w:tc>
                <w:tcPr>
                  <w:tcW w:w="829" w:type="pct"/>
                  <w:vAlign w:val="center"/>
                </w:tcPr>
                <w:p w14:paraId="78EBC518">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4A749F81">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100</w:t>
                  </w:r>
                </w:p>
              </w:tc>
              <w:tc>
                <w:tcPr>
                  <w:tcW w:w="1866" w:type="pct"/>
                  <w:vMerge w:val="continue"/>
                  <w:vAlign w:val="center"/>
                </w:tcPr>
                <w:p w14:paraId="24FDB520">
                  <w:pPr>
                    <w:pStyle w:val="13"/>
                    <w:rPr>
                      <w:rFonts w:hint="eastAsia" w:ascii="Times New Roman" w:hAnsi="Times New Roman" w:cs="Times New Roman"/>
                      <w:color w:val="000000" w:themeColor="text1"/>
                      <w:lang w:val="en-US" w:eastAsia="zh-CN"/>
                      <w14:textFill>
                        <w14:solidFill>
                          <w14:schemeClr w14:val="tx1"/>
                        </w14:solidFill>
                      </w14:textFill>
                    </w:rPr>
                  </w:pPr>
                </w:p>
              </w:tc>
            </w:tr>
            <w:tr w14:paraId="291C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572131E2">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石油类</w:t>
                  </w:r>
                </w:p>
              </w:tc>
              <w:tc>
                <w:tcPr>
                  <w:tcW w:w="829" w:type="pct"/>
                  <w:vAlign w:val="center"/>
                </w:tcPr>
                <w:p w14:paraId="35DF9C5D">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61EEA36D">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c>
                <w:tcPr>
                  <w:tcW w:w="1866" w:type="pct"/>
                  <w:vMerge w:val="continue"/>
                  <w:vAlign w:val="center"/>
                </w:tcPr>
                <w:p w14:paraId="1952F6A4">
                  <w:pPr>
                    <w:pStyle w:val="13"/>
                    <w:rPr>
                      <w:rFonts w:hint="eastAsia" w:ascii="Times New Roman" w:hAnsi="Times New Roman" w:cs="Times New Roman"/>
                      <w:color w:val="000000" w:themeColor="text1"/>
                      <w:lang w:val="en-US" w:eastAsia="zh-CN"/>
                      <w14:textFill>
                        <w14:solidFill>
                          <w14:schemeClr w14:val="tx1"/>
                        </w14:solidFill>
                      </w14:textFill>
                    </w:rPr>
                  </w:pPr>
                </w:p>
              </w:tc>
            </w:tr>
            <w:tr w14:paraId="43DA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5105CF68">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氨氮</w:t>
                  </w:r>
                </w:p>
              </w:tc>
              <w:tc>
                <w:tcPr>
                  <w:tcW w:w="829" w:type="pct"/>
                  <w:vAlign w:val="center"/>
                </w:tcPr>
                <w:p w14:paraId="4218E30C">
                  <w:pPr>
                    <w:pStyle w:val="13"/>
                    <w:ind w:firstLine="0" w:firstLineChars="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615C5AA1">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45</w:t>
                  </w:r>
                </w:p>
              </w:tc>
              <w:tc>
                <w:tcPr>
                  <w:tcW w:w="1866" w:type="pct"/>
                  <w:vMerge w:val="restart"/>
                  <w:vAlign w:val="center"/>
                </w:tcPr>
                <w:p w14:paraId="66136E7E">
                  <w:pPr>
                    <w:pStyle w:val="13"/>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14:textFill>
                        <w14:solidFill>
                          <w14:schemeClr w14:val="tx1"/>
                        </w14:solidFill>
                      </w14:textFill>
                    </w:rPr>
                    <w:t>《污水排入城镇下水道水质标准》（GB/T31962-2015）B级标准</w:t>
                  </w:r>
                </w:p>
              </w:tc>
            </w:tr>
            <w:tr w14:paraId="674A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34B980C7">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总磷</w:t>
                  </w:r>
                </w:p>
              </w:tc>
              <w:tc>
                <w:tcPr>
                  <w:tcW w:w="829" w:type="pct"/>
                  <w:vAlign w:val="center"/>
                </w:tcPr>
                <w:p w14:paraId="4B8E1009">
                  <w:pPr>
                    <w:pStyle w:val="13"/>
                    <w:ind w:firstLine="0" w:firstLineChars="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2409F686">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1866" w:type="pct"/>
                  <w:vMerge w:val="continue"/>
                  <w:vAlign w:val="center"/>
                </w:tcPr>
                <w:p w14:paraId="7ED85509">
                  <w:pPr>
                    <w:pStyle w:val="13"/>
                    <w:rPr>
                      <w:rFonts w:hint="eastAsia" w:ascii="Times New Roman" w:hAnsi="Times New Roman" w:cs="Times New Roman"/>
                      <w:color w:val="000000" w:themeColor="text1"/>
                      <w:lang w:val="en-US" w:eastAsia="zh-CN"/>
                      <w14:textFill>
                        <w14:solidFill>
                          <w14:schemeClr w14:val="tx1"/>
                        </w14:solidFill>
                      </w14:textFill>
                    </w:rPr>
                  </w:pPr>
                </w:p>
              </w:tc>
            </w:tr>
            <w:tr w14:paraId="50D4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39B61557">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总氮</w:t>
                  </w:r>
                </w:p>
              </w:tc>
              <w:tc>
                <w:tcPr>
                  <w:tcW w:w="829" w:type="pct"/>
                  <w:vAlign w:val="center"/>
                </w:tcPr>
                <w:p w14:paraId="4CB2CDC5">
                  <w:pPr>
                    <w:pStyle w:val="13"/>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mg/L</w:t>
                  </w:r>
                </w:p>
              </w:tc>
              <w:tc>
                <w:tcPr>
                  <w:tcW w:w="1056" w:type="pct"/>
                  <w:vAlign w:val="center"/>
                </w:tcPr>
                <w:p w14:paraId="0FB05330">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70</w:t>
                  </w:r>
                </w:p>
              </w:tc>
              <w:tc>
                <w:tcPr>
                  <w:tcW w:w="1866" w:type="pct"/>
                  <w:vMerge w:val="continue"/>
                  <w:vAlign w:val="center"/>
                </w:tcPr>
                <w:p w14:paraId="4A6FAA15">
                  <w:pPr>
                    <w:pStyle w:val="13"/>
                    <w:rPr>
                      <w:rFonts w:hint="eastAsia" w:ascii="Times New Roman" w:hAnsi="Times New Roman" w:cs="Times New Roman"/>
                      <w:color w:val="000000" w:themeColor="text1"/>
                      <w:lang w:val="en-US" w:eastAsia="zh-CN"/>
                      <w14:textFill>
                        <w14:solidFill>
                          <w14:schemeClr w14:val="tx1"/>
                        </w14:solidFill>
                      </w14:textFill>
                    </w:rPr>
                  </w:pPr>
                </w:p>
              </w:tc>
            </w:tr>
          </w:tbl>
          <w:p w14:paraId="7BE2ED57">
            <w:pPr>
              <w:pStyle w:val="4"/>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3、噪声</w:t>
            </w:r>
          </w:p>
          <w:p w14:paraId="0AC61233">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施工期执行《建筑施工噪声排放标准》（GB12523-20</w:t>
            </w:r>
            <w:r>
              <w:rPr>
                <w:rFonts w:hint="eastAsia" w:cs="Times New Roman"/>
                <w:color w:val="000000" w:themeColor="text1"/>
                <w:lang w:val="en-US" w:eastAsia="zh-CN"/>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t>）标准：</w:t>
            </w:r>
          </w:p>
          <w:p w14:paraId="729FE822">
            <w:pPr>
              <w:pStyle w:val="12"/>
              <w:keepNext/>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15</w:t>
            </w:r>
            <w:r>
              <w:rPr>
                <w:rFonts w:hint="default" w:ascii="Times New Roman" w:hAnsi="Times New Roman" w:cs="Times New Roman"/>
                <w:color w:val="000000" w:themeColor="text1"/>
                <w14:textFill>
                  <w14:solidFill>
                    <w14:schemeClr w14:val="tx1"/>
                  </w14:solidFill>
                </w14:textFill>
              </w:rPr>
              <w:t xml:space="preserve"> 建筑施工噪声排放标准</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083"/>
              <w:gridCol w:w="4707"/>
            </w:tblGrid>
            <w:tr w14:paraId="4069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96" w:type="pct"/>
                  <w:vAlign w:val="center"/>
                </w:tcPr>
                <w:p w14:paraId="62B8924B">
                  <w:pPr>
                    <w:pStyle w:val="13"/>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昼间（</w:t>
                  </w:r>
                  <w:r>
                    <w:rPr>
                      <w:rFonts w:hint="default" w:ascii="Times New Roman" w:hAnsi="Times New Roman" w:cs="Times New Roman"/>
                      <w:b/>
                      <w:color w:val="000000" w:themeColor="text1"/>
                      <w:lang w:val="zh-CN"/>
                      <w14:textFill>
                        <w14:solidFill>
                          <w14:schemeClr w14:val="tx1"/>
                        </w14:solidFill>
                      </w14:textFill>
                    </w:rPr>
                    <w:t>Leq dB（A</w:t>
                  </w:r>
                  <w:r>
                    <w:rPr>
                      <w:rFonts w:hint="default" w:ascii="Times New Roman" w:hAnsi="Times New Roman" w:cs="Times New Roman"/>
                      <w:b/>
                      <w:color w:val="000000" w:themeColor="text1"/>
                      <w14:textFill>
                        <w14:solidFill>
                          <w14:schemeClr w14:val="tx1"/>
                        </w14:solidFill>
                      </w14:textFill>
                    </w:rPr>
                    <w:t>）</w:t>
                  </w:r>
                </w:p>
              </w:tc>
              <w:tc>
                <w:tcPr>
                  <w:tcW w:w="2404" w:type="pct"/>
                  <w:vAlign w:val="center"/>
                </w:tcPr>
                <w:p w14:paraId="5DD145A6">
                  <w:pPr>
                    <w:pStyle w:val="13"/>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夜间</w:t>
                  </w:r>
                  <w:r>
                    <w:rPr>
                      <w:rFonts w:hint="default" w:ascii="Times New Roman" w:hAnsi="Times New Roman" w:cs="Times New Roman"/>
                      <w:b/>
                      <w:color w:val="000000" w:themeColor="text1"/>
                      <w:lang w:val="zh-CN"/>
                      <w14:textFill>
                        <w14:solidFill>
                          <w14:schemeClr w14:val="tx1"/>
                        </w14:solidFill>
                      </w14:textFill>
                    </w:rPr>
                    <w:t>Leq dB（A）</w:t>
                  </w:r>
                </w:p>
              </w:tc>
            </w:tr>
            <w:tr w14:paraId="3CBA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96" w:type="pct"/>
                  <w:vAlign w:val="center"/>
                </w:tcPr>
                <w:p w14:paraId="38189FCB">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70</w:t>
                  </w:r>
                </w:p>
              </w:tc>
              <w:tc>
                <w:tcPr>
                  <w:tcW w:w="2404" w:type="pct"/>
                  <w:vAlign w:val="center"/>
                </w:tcPr>
                <w:p w14:paraId="23B6F3FB">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55</w:t>
                  </w:r>
                </w:p>
              </w:tc>
            </w:tr>
          </w:tbl>
          <w:p w14:paraId="7B02C4EB">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营运期执行《工业企业厂界环境噪声排放标准》（GB12348-2008）</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类标准：</w:t>
            </w:r>
          </w:p>
          <w:p w14:paraId="7F6BBCDE">
            <w:pPr>
              <w:pStyle w:val="12"/>
              <w:keepNext/>
              <w:keepLines w:val="0"/>
              <w:pageBreakBefore w:val="0"/>
              <w:widowControl/>
              <w:kinsoku/>
              <w:wordWrap/>
              <w:overflowPunct/>
              <w:topLinePunct w:val="0"/>
              <w:autoSpaceDE/>
              <w:autoSpaceDN/>
              <w:bidi w:val="0"/>
              <w:adjustRightInd w:val="0"/>
              <w:snapToGrid w:val="0"/>
              <w:spacing w:after="0" w:line="240" w:lineRule="auto"/>
              <w:textAlignment w:val="auto"/>
              <w:rPr>
                <w:rFonts w:hint="default" w:ascii="Times New Roman" w:hAnsi="Times New Roman" w:cs="Times New Roman"/>
                <w:color w:val="000000" w:themeColor="text1"/>
                <w14:textFill>
                  <w14:solidFill>
                    <w14:schemeClr w14:val="tx1"/>
                  </w14:solidFill>
                </w14:textFill>
              </w:rPr>
            </w:pPr>
            <w:bookmarkStart w:id="45" w:name="OLE_LINK80"/>
            <w:bookmarkStart w:id="46" w:name="OLE_LINK79"/>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16</w:t>
            </w:r>
            <w:r>
              <w:rPr>
                <w:rFonts w:hint="default" w:ascii="Times New Roman" w:hAnsi="Times New Roman" w:cs="Times New Roman"/>
                <w:color w:val="000000" w:themeColor="text1"/>
                <w14:textFill>
                  <w14:solidFill>
                    <w14:schemeClr w14:val="tx1"/>
                  </w14:solidFill>
                </w14:textFill>
              </w:rPr>
              <w:t xml:space="preserve"> 工业企业厂界环境噪声排放标准</w:t>
            </w:r>
          </w:p>
          <w:bookmarkEnd w:id="45"/>
          <w:bookmarkEnd w:id="46"/>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259"/>
              <w:gridCol w:w="2399"/>
              <w:gridCol w:w="1030"/>
              <w:gridCol w:w="4102"/>
            </w:tblGrid>
            <w:tr w14:paraId="3184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54" w:type="pct"/>
                  <w:vAlign w:val="center"/>
                </w:tcPr>
                <w:p w14:paraId="563954B7">
                  <w:pPr>
                    <w:pStyle w:val="13"/>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昼间Leq dB（A）</w:t>
                  </w:r>
                </w:p>
              </w:tc>
              <w:tc>
                <w:tcPr>
                  <w:tcW w:w="1225" w:type="pct"/>
                  <w:vAlign w:val="center"/>
                </w:tcPr>
                <w:p w14:paraId="7073E511">
                  <w:pPr>
                    <w:pStyle w:val="13"/>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夜间Leq dB（A）</w:t>
                  </w:r>
                </w:p>
              </w:tc>
              <w:tc>
                <w:tcPr>
                  <w:tcW w:w="526" w:type="pct"/>
                  <w:vAlign w:val="center"/>
                </w:tcPr>
                <w:p w14:paraId="2927AF4B">
                  <w:pPr>
                    <w:pStyle w:val="13"/>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区域</w:t>
                  </w:r>
                </w:p>
              </w:tc>
              <w:tc>
                <w:tcPr>
                  <w:tcW w:w="2095" w:type="pct"/>
                  <w:vAlign w:val="center"/>
                </w:tcPr>
                <w:p w14:paraId="727C9C4C">
                  <w:pPr>
                    <w:pStyle w:val="13"/>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依据</w:t>
                  </w:r>
                </w:p>
              </w:tc>
            </w:tr>
            <w:tr w14:paraId="652F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1154" w:type="pct"/>
                  <w:vAlign w:val="center"/>
                </w:tcPr>
                <w:p w14:paraId="55163A6A">
                  <w:pPr>
                    <w:pStyle w:val="13"/>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w:t>
                  </w:r>
                  <w:r>
                    <w:rPr>
                      <w:rFonts w:hint="eastAsia" w:ascii="Times New Roman" w:hAnsi="Times New Roman" w:cs="Times New Roman"/>
                      <w:color w:val="000000" w:themeColor="text1"/>
                      <w:lang w:val="en-US" w:eastAsia="zh-CN"/>
                      <w14:textFill>
                        <w14:solidFill>
                          <w14:schemeClr w14:val="tx1"/>
                        </w14:solidFill>
                      </w14:textFill>
                    </w:rPr>
                    <w:t>5</w:t>
                  </w:r>
                </w:p>
              </w:tc>
              <w:tc>
                <w:tcPr>
                  <w:tcW w:w="1225" w:type="pct"/>
                  <w:vAlign w:val="center"/>
                </w:tcPr>
                <w:p w14:paraId="50CBD876">
                  <w:pPr>
                    <w:pStyle w:val="13"/>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w:t>
                  </w:r>
                  <w:r>
                    <w:rPr>
                      <w:rFonts w:hint="eastAsia" w:ascii="Times New Roman" w:hAnsi="Times New Roman" w:cs="Times New Roman"/>
                      <w:color w:val="000000" w:themeColor="text1"/>
                      <w:lang w:val="en-US" w:eastAsia="zh-CN"/>
                      <w14:textFill>
                        <w14:solidFill>
                          <w14:schemeClr w14:val="tx1"/>
                        </w14:solidFill>
                      </w14:textFill>
                    </w:rPr>
                    <w:t>5</w:t>
                  </w:r>
                </w:p>
              </w:tc>
              <w:tc>
                <w:tcPr>
                  <w:tcW w:w="526" w:type="pct"/>
                  <w:vAlign w:val="center"/>
                </w:tcPr>
                <w:p w14:paraId="373C0C8C">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厂界</w:t>
                  </w:r>
                </w:p>
              </w:tc>
              <w:tc>
                <w:tcPr>
                  <w:tcW w:w="2095" w:type="pct"/>
                  <w:vAlign w:val="center"/>
                </w:tcPr>
                <w:p w14:paraId="15BA1CFF">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《工业企业厂界环境噪声排放标准》</w:t>
                  </w:r>
                </w:p>
                <w:p w14:paraId="1FF716B7">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（GB12348-2008）中</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类标准</w:t>
                  </w:r>
                </w:p>
              </w:tc>
            </w:tr>
          </w:tbl>
          <w:p w14:paraId="22C17D69">
            <w:pPr>
              <w:pStyle w:val="4"/>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4、固体废物</w:t>
            </w:r>
          </w:p>
          <w:p w14:paraId="1016D977">
            <w:pPr>
              <w:ind w:firstLine="480"/>
              <w:rPr>
                <w:rFonts w:hint="default"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一般固废贮存过程满足相应防渗漏、防雨淋、防扬尘等环境保护要求；危险废物依据《危险废物贮存污染控制标准》（GB18597-2023）要求执行</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水基岩屑的储存依据《一般工业固体废物贮存和填埋污染控制标准》（GB18599-2020）要求执行。</w:t>
            </w:r>
          </w:p>
        </w:tc>
      </w:tr>
      <w:tr w14:paraId="573E5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13" w:type="pct"/>
            <w:tcMar>
              <w:top w:w="16" w:type="dxa"/>
              <w:left w:w="16" w:type="dxa"/>
              <w:right w:w="16" w:type="dxa"/>
            </w:tcMar>
            <w:vAlign w:val="center"/>
          </w:tcPr>
          <w:p w14:paraId="03E8F06C">
            <w:pPr>
              <w:pStyle w:val="2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总量控制指标</w:t>
            </w:r>
          </w:p>
        </w:tc>
        <w:tc>
          <w:tcPr>
            <w:tcW w:w="4786" w:type="pct"/>
            <w:vAlign w:val="center"/>
          </w:tcPr>
          <w:p w14:paraId="477DE8C4">
            <w:pPr>
              <w:pStyle w:val="13"/>
              <w:numPr>
                <w:ilvl w:val="0"/>
                <w:numId w:val="0"/>
              </w:numPr>
              <w:adjustRightInd w:val="0"/>
              <w:snapToGrid w:val="0"/>
              <w:spacing w:line="360" w:lineRule="auto"/>
              <w:ind w:firstLine="482" w:firstLineChars="200"/>
              <w:jc w:val="both"/>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1、废水</w:t>
            </w:r>
          </w:p>
          <w:p w14:paraId="46BEE60D">
            <w:pPr>
              <w:pStyle w:val="13"/>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本项目</w:t>
            </w:r>
            <w:r>
              <w:rPr>
                <w:rFonts w:hint="eastAsia" w:cs="Times New Roman"/>
                <w:color w:val="000000" w:themeColor="text1"/>
                <w:sz w:val="24"/>
                <w:szCs w:val="24"/>
                <w:lang w:val="en-US" w:eastAsia="zh-CN"/>
                <w14:textFill>
                  <w14:solidFill>
                    <w14:schemeClr w14:val="tx1"/>
                  </w14:solidFill>
                </w14:textFill>
              </w:rPr>
              <w:t>外排废水仅为生活污水，经预处理达《污水综合排放标准》（GB8978-1996）三级标准后，氨氮、总磷执行《污水排入城镇下水道水质标准》（GB/T31962-2015）B级标准后</w:t>
            </w:r>
            <w:r>
              <w:rPr>
                <w:rFonts w:hint="eastAsia" w:ascii="Times New Roman" w:hAnsi="Times New Roman" w:cs="Times New Roman"/>
                <w:color w:val="000000" w:themeColor="text1"/>
                <w:sz w:val="24"/>
                <w:szCs w:val="24"/>
                <w:lang w:val="en-US" w:eastAsia="zh-CN"/>
                <w14:textFill>
                  <w14:solidFill>
                    <w14:schemeClr w14:val="tx1"/>
                  </w14:solidFill>
                </w14:textFill>
              </w:rPr>
              <w:t>排入园区污水管网，</w:t>
            </w:r>
            <w:r>
              <w:rPr>
                <w:rFonts w:hint="eastAsia" w:cs="Times New Roman"/>
                <w:color w:val="000000" w:themeColor="text1"/>
                <w:sz w:val="24"/>
                <w:szCs w:val="24"/>
                <w:lang w:val="en-US" w:eastAsia="zh-CN"/>
                <w14:textFill>
                  <w14:solidFill>
                    <w14:schemeClr w14:val="tx1"/>
                  </w14:solidFill>
                </w14:textFill>
              </w:rPr>
              <w:t>进入</w:t>
            </w:r>
            <w:r>
              <w:rPr>
                <w:rFonts w:hint="eastAsia" w:ascii="Times New Roman" w:hAnsi="Times New Roman" w:cs="Times New Roman"/>
                <w:color w:val="000000" w:themeColor="text1"/>
                <w:sz w:val="24"/>
                <w:szCs w:val="24"/>
                <w:lang w:val="en-US" w:eastAsia="zh-CN"/>
                <w14:textFill>
                  <w14:solidFill>
                    <w14:schemeClr w14:val="tx1"/>
                  </w14:solidFill>
                </w14:textFill>
              </w:rPr>
              <w:t>星光工业园区污水处理厂进一步处理，</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星光工业园区</w:t>
            </w:r>
            <w:r>
              <w:rPr>
                <w:rFonts w:hint="default" w:ascii="Times New Roman" w:hAnsi="Times New Roman" w:cs="Times New Roman"/>
                <w:color w:val="000000" w:themeColor="text1"/>
                <w:sz w:val="24"/>
                <w:szCs w:val="24"/>
                <w14:textFill>
                  <w14:solidFill>
                    <w14:schemeClr w14:val="tx1"/>
                  </w14:solidFill>
                </w14:textFill>
              </w:rPr>
              <w:t>污水处理厂排口</w:t>
            </w:r>
            <w:r>
              <w:rPr>
                <w:rFonts w:hint="eastAsia" w:cs="Times New Roman"/>
                <w:color w:val="000000" w:themeColor="text1"/>
                <w:sz w:val="24"/>
                <w:szCs w:val="24"/>
                <w:lang w:eastAsia="zh-CN"/>
                <w14:textFill>
                  <w14:solidFill>
                    <w14:schemeClr w14:val="tx1"/>
                  </w14:solidFill>
                </w14:textFill>
              </w:rPr>
              <w:t>执行</w:t>
            </w:r>
            <w:r>
              <w:rPr>
                <w:rFonts w:hint="default" w:ascii="Times New Roman" w:hAnsi="Times New Roman" w:cs="Times New Roman"/>
                <w:color w:val="000000" w:themeColor="text1"/>
                <w:sz w:val="24"/>
                <w:szCs w:val="24"/>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sz w:val="24"/>
                <w:szCs w:val="24"/>
                <w14:textFill>
                  <w14:solidFill>
                    <w14:schemeClr w14:val="tx1"/>
                  </w14:solidFill>
                </w14:textFill>
              </w:rPr>
              <w:t>标准</w:t>
            </w: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处理达标后排入巴河</w:t>
            </w:r>
            <w:r>
              <w:rPr>
                <w:rFonts w:hint="default" w:ascii="Times New Roman" w:hAnsi="Times New Roman" w:cs="Times New Roman"/>
                <w:color w:val="000000" w:themeColor="text1"/>
                <w:sz w:val="24"/>
                <w:szCs w:val="24"/>
                <w14:textFill>
                  <w14:solidFill>
                    <w14:schemeClr w14:val="tx1"/>
                  </w14:solidFill>
                </w14:textFill>
              </w:rPr>
              <w:t>。</w:t>
            </w:r>
          </w:p>
          <w:p w14:paraId="3811BFC6">
            <w:pPr>
              <w:pStyle w:val="13"/>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项目废水总量控制建议指标如下：</w:t>
            </w:r>
          </w:p>
          <w:p w14:paraId="4EE4A4C7">
            <w:pPr>
              <w:pStyle w:val="13"/>
              <w:numPr>
                <w:ilvl w:val="0"/>
                <w:numId w:val="0"/>
              </w:numPr>
              <w:adjustRightInd w:val="0"/>
              <w:snapToGrid w:val="0"/>
              <w:spacing w:line="360" w:lineRule="auto"/>
              <w:ind w:firstLine="482" w:firstLineChars="200"/>
              <w:jc w:val="both"/>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项目厂区</w:t>
            </w:r>
            <w:r>
              <w:rPr>
                <w:rFonts w:hint="eastAsia" w:cs="Times New Roman"/>
                <w:b/>
                <w:bCs w:val="0"/>
                <w:color w:val="000000" w:themeColor="text1"/>
                <w:sz w:val="24"/>
                <w:szCs w:val="24"/>
                <w:lang w:val="en-US" w:eastAsia="zh-CN"/>
                <w14:textFill>
                  <w14:solidFill>
                    <w14:schemeClr w14:val="tx1"/>
                  </w14:solidFill>
                </w14:textFill>
              </w:rPr>
              <w:t>总</w:t>
            </w:r>
            <w:r>
              <w:rPr>
                <w:rFonts w:hint="default" w:ascii="Times New Roman" w:hAnsi="Times New Roman" w:cs="Times New Roman"/>
                <w:b/>
                <w:bCs w:val="0"/>
                <w:color w:val="000000" w:themeColor="text1"/>
                <w:sz w:val="24"/>
                <w:szCs w:val="24"/>
                <w14:textFill>
                  <w14:solidFill>
                    <w14:schemeClr w14:val="tx1"/>
                  </w14:solidFill>
                </w14:textFill>
              </w:rPr>
              <w:t>排口：</w:t>
            </w:r>
          </w:p>
          <w:p w14:paraId="564D5FB5">
            <w:pPr>
              <w:pStyle w:val="13"/>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COD：</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500</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0.3861</w:t>
            </w:r>
            <w:r>
              <w:rPr>
                <w:rFonts w:hint="default" w:ascii="Times New Roman" w:hAnsi="Times New Roman" w:cs="Times New Roman"/>
                <w:color w:val="000000" w:themeColor="text1"/>
                <w:sz w:val="24"/>
                <w:szCs w:val="24"/>
                <w14:textFill>
                  <w14:solidFill>
                    <w14:schemeClr w14:val="tx1"/>
                  </w14:solidFill>
                </w14:textFill>
              </w:rPr>
              <w:t>t/a；</w:t>
            </w:r>
          </w:p>
          <w:p w14:paraId="2127E439">
            <w:pPr>
              <w:pStyle w:val="13"/>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NH</w:t>
            </w:r>
            <w:r>
              <w:rPr>
                <w:rFonts w:hint="default" w:ascii="Times New Roman" w:hAnsi="Times New Roman" w:cs="Times New Roman"/>
                <w:color w:val="000000" w:themeColor="text1"/>
                <w:sz w:val="24"/>
                <w:szCs w:val="24"/>
                <w:vertAlign w:val="sub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-N：</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45</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0.0347</w:t>
            </w:r>
            <w:r>
              <w:rPr>
                <w:rFonts w:hint="default" w:ascii="Times New Roman" w:hAnsi="Times New Roman" w:cs="Times New Roman"/>
                <w:color w:val="000000" w:themeColor="text1"/>
                <w:sz w:val="24"/>
                <w:szCs w:val="24"/>
                <w14:textFill>
                  <w14:solidFill>
                    <w14:schemeClr w14:val="tx1"/>
                  </w14:solidFill>
                </w14:textFill>
              </w:rPr>
              <w:t>t/a；</w:t>
            </w:r>
          </w:p>
          <w:p w14:paraId="6D547C9B">
            <w:pPr>
              <w:pStyle w:val="13"/>
              <w:numPr>
                <w:ilvl w:val="0"/>
                <w:numId w:val="0"/>
              </w:numPr>
              <w:adjustRightInd w:val="0"/>
              <w:snapToGrid w:val="0"/>
              <w:spacing w:line="360" w:lineRule="auto"/>
              <w:ind w:firstLine="480" w:firstLineChars="200"/>
              <w:jc w:val="both"/>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TP</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=0.</w:t>
            </w:r>
            <w:r>
              <w:rPr>
                <w:rFonts w:hint="eastAsia" w:cs="Times New Roman"/>
                <w:color w:val="000000" w:themeColor="text1"/>
                <w:sz w:val="24"/>
                <w:szCs w:val="24"/>
                <w:lang w:val="en-US" w:eastAsia="zh-CN"/>
                <w14:textFill>
                  <w14:solidFill>
                    <w14:schemeClr w14:val="tx1"/>
                  </w14:solidFill>
                </w14:textFill>
              </w:rPr>
              <w:t>0062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eastAsia="zh-CN"/>
                <w14:textFill>
                  <w14:solidFill>
                    <w14:schemeClr w14:val="tx1"/>
                  </w14:solidFill>
                </w14:textFill>
              </w:rPr>
              <w:t>。</w:t>
            </w:r>
          </w:p>
          <w:p w14:paraId="6E13A8F9">
            <w:pPr>
              <w:pStyle w:val="13"/>
              <w:numPr>
                <w:ilvl w:val="0"/>
                <w:numId w:val="0"/>
              </w:numPr>
              <w:adjustRightInd w:val="0"/>
              <w:snapToGrid w:val="0"/>
              <w:spacing w:line="360" w:lineRule="auto"/>
              <w:ind w:firstLine="482" w:firstLineChars="200"/>
              <w:jc w:val="both"/>
              <w:rPr>
                <w:rFonts w:hint="default" w:ascii="Times New Roman" w:hAnsi="Times New Roman" w:cs="Times New Roman"/>
                <w:b/>
                <w:bCs w:val="0"/>
                <w:color w:val="000000" w:themeColor="text1"/>
                <w:sz w:val="24"/>
                <w:szCs w:val="24"/>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星光工业园区</w:t>
            </w:r>
            <w:r>
              <w:rPr>
                <w:rFonts w:hint="default" w:ascii="Times New Roman" w:hAnsi="Times New Roman" w:cs="Times New Roman"/>
                <w:b/>
                <w:bCs w:val="0"/>
                <w:color w:val="000000" w:themeColor="text1"/>
                <w:sz w:val="24"/>
                <w:szCs w:val="24"/>
                <w14:textFill>
                  <w14:solidFill>
                    <w14:schemeClr w14:val="tx1"/>
                  </w14:solidFill>
                </w14:textFill>
              </w:rPr>
              <w:t>污水处理厂排口：</w:t>
            </w:r>
          </w:p>
          <w:p w14:paraId="20AE8485">
            <w:pPr>
              <w:pStyle w:val="13"/>
              <w:numPr>
                <w:ilvl w:val="0"/>
                <w:numId w:val="0"/>
              </w:numPr>
              <w:adjustRightInd w:val="0"/>
              <w:snapToGrid w:val="0"/>
              <w:spacing w:line="360" w:lineRule="auto"/>
              <w:ind w:firstLine="480" w:firstLineChars="200"/>
              <w:jc w:val="both"/>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COD：</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50</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0.0386</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eastAsia="zh-CN"/>
                <w14:textFill>
                  <w14:solidFill>
                    <w14:schemeClr w14:val="tx1"/>
                  </w14:solidFill>
                </w14:textFill>
              </w:rPr>
              <w:t>；</w:t>
            </w:r>
          </w:p>
          <w:p w14:paraId="4E2DC39B">
            <w:pPr>
              <w:pStyle w:val="13"/>
              <w:numPr>
                <w:ilvl w:val="0"/>
                <w:numId w:val="0"/>
              </w:numPr>
              <w:adjustRightInd w:val="0"/>
              <w:snapToGrid w:val="0"/>
              <w:spacing w:line="360" w:lineRule="auto"/>
              <w:ind w:firstLine="480" w:firstLineChars="200"/>
              <w:jc w:val="both"/>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NH</w:t>
            </w:r>
            <w:r>
              <w:rPr>
                <w:rFonts w:hint="default" w:ascii="Times New Roman" w:hAnsi="Times New Roman" w:cs="Times New Roman"/>
                <w:color w:val="000000" w:themeColor="text1"/>
                <w:sz w:val="24"/>
                <w:szCs w:val="24"/>
                <w:vertAlign w:val="sub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-N：</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=0.</w:t>
            </w:r>
            <w:r>
              <w:rPr>
                <w:rFonts w:hint="eastAsia" w:cs="Times New Roman"/>
                <w:color w:val="000000" w:themeColor="text1"/>
                <w:sz w:val="24"/>
                <w:szCs w:val="24"/>
                <w:lang w:val="en-US" w:eastAsia="zh-CN"/>
                <w14:textFill>
                  <w14:solidFill>
                    <w14:schemeClr w14:val="tx1"/>
                  </w14:solidFill>
                </w14:textFill>
              </w:rPr>
              <w:t>0039</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eastAsia="zh-CN"/>
                <w14:textFill>
                  <w14:solidFill>
                    <w14:schemeClr w14:val="tx1"/>
                  </w14:solidFill>
                </w14:textFill>
              </w:rPr>
              <w:t>；</w:t>
            </w:r>
          </w:p>
          <w:p w14:paraId="3B6720A5">
            <w:pPr>
              <w:pStyle w:val="13"/>
              <w:numPr>
                <w:ilvl w:val="0"/>
                <w:numId w:val="0"/>
              </w:numPr>
              <w:adjustRightInd w:val="0"/>
              <w:snapToGrid w:val="0"/>
              <w:spacing w:line="360" w:lineRule="auto"/>
              <w:ind w:firstLine="480" w:firstLineChars="200"/>
              <w:jc w:val="both"/>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TP</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0.5</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=0.0</w:t>
            </w:r>
            <w:r>
              <w:rPr>
                <w:rFonts w:hint="eastAsia" w:cs="Times New Roman"/>
                <w:color w:val="000000" w:themeColor="text1"/>
                <w:sz w:val="24"/>
                <w:szCs w:val="24"/>
                <w:lang w:val="en-US" w:eastAsia="zh-CN"/>
                <w14:textFill>
                  <w14:solidFill>
                    <w14:schemeClr w14:val="tx1"/>
                  </w14:solidFill>
                </w14:textFill>
              </w:rPr>
              <w:t>004</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eastAsia="zh-CN"/>
                <w14:textFill>
                  <w14:solidFill>
                    <w14:schemeClr w14:val="tx1"/>
                  </w14:solidFill>
                </w14:textFill>
              </w:rPr>
              <w:t>。</w:t>
            </w:r>
          </w:p>
          <w:p w14:paraId="74BF71DE">
            <w:pPr>
              <w:pStyle w:val="13"/>
              <w:numPr>
                <w:ilvl w:val="0"/>
                <w:numId w:val="0"/>
              </w:numPr>
              <w:adjustRightInd w:val="0"/>
              <w:snapToGrid w:val="0"/>
              <w:spacing w:line="360" w:lineRule="auto"/>
              <w:ind w:firstLine="482" w:firstLineChars="200"/>
              <w:jc w:val="both"/>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2、废气</w:t>
            </w:r>
          </w:p>
          <w:p w14:paraId="15798B84">
            <w:pPr>
              <w:pStyle w:val="13"/>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eastAsia"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14:textFill>
                  <w14:solidFill>
                    <w14:schemeClr w14:val="tx1"/>
                  </w14:solidFill>
                </w14:textFill>
              </w:rPr>
              <w:t>《国务院关于印</w:t>
            </w:r>
            <w:r>
              <w:rPr>
                <w:rFonts w:hint="eastAsia" w:ascii="宋体" w:hAnsi="宋体" w:eastAsia="宋体" w:cs="宋体"/>
                <w:color w:val="000000" w:themeColor="text1"/>
                <w:sz w:val="24"/>
                <w:szCs w:val="24"/>
                <w:highlight w:val="none"/>
                <w14:textFill>
                  <w14:solidFill>
                    <w14:schemeClr w14:val="tx1"/>
                  </w14:solidFill>
                </w14:textFill>
              </w:rPr>
              <w:t>发“十四五”节能</w:t>
            </w:r>
            <w:r>
              <w:rPr>
                <w:rFonts w:hint="eastAsia" w:ascii="Times New Roman" w:hAnsi="Times New Roman" w:eastAsia="宋体" w:cs="Times New Roman"/>
                <w:color w:val="000000" w:themeColor="text1"/>
                <w:sz w:val="24"/>
                <w:szCs w:val="24"/>
                <w:highlight w:val="none"/>
                <w14:textFill>
                  <w14:solidFill>
                    <w14:schemeClr w14:val="tx1"/>
                  </w14:solidFill>
                </w14:textFill>
              </w:rPr>
              <w:t>减排综合工作方案的通知》（国发〔2021〕33号），</w:t>
            </w:r>
            <w:r>
              <w:rPr>
                <w:rFonts w:hint="eastAsia" w:ascii="Times New Roman" w:hAnsi="Times New Roman" w:cs="Times New Roman"/>
                <w:color w:val="000000" w:themeColor="text1"/>
                <w:sz w:val="24"/>
                <w:szCs w:val="24"/>
                <w:highlight w:val="none"/>
                <w:lang w:eastAsia="zh-CN"/>
                <w14:textFill>
                  <w14:solidFill>
                    <w14:schemeClr w14:val="tx1"/>
                  </w14:solidFill>
                </w14:textFill>
              </w:rPr>
              <w:t>“十四五”期间</w:t>
            </w:r>
            <w:r>
              <w:rPr>
                <w:rFonts w:hint="eastAsia" w:ascii="Times New Roman" w:hAnsi="Times New Roman" w:eastAsia="宋体" w:cs="Times New Roman"/>
                <w:color w:val="000000" w:themeColor="text1"/>
                <w:sz w:val="24"/>
                <w:szCs w:val="24"/>
                <w:highlight w:val="none"/>
                <w14:textFill>
                  <w14:solidFill>
                    <w14:schemeClr w14:val="tx1"/>
                  </w14:solidFill>
                </w14:textFill>
              </w:rPr>
              <w:t>将氮氧化物、挥发性有机物作为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废气</w:t>
            </w:r>
            <w:r>
              <w:rPr>
                <w:rFonts w:hint="eastAsia" w:ascii="Times New Roman" w:hAnsi="Times New Roman" w:eastAsia="宋体" w:cs="Times New Roman"/>
                <w:color w:val="000000" w:themeColor="text1"/>
                <w:sz w:val="24"/>
                <w:szCs w:val="24"/>
                <w:highlight w:val="none"/>
                <w14:textFill>
                  <w14:solidFill>
                    <w14:schemeClr w14:val="tx1"/>
                  </w14:solidFill>
                </w14:textFill>
              </w:rPr>
              <w:t>总量控制指标</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本项目废气污染物为颗粒物、SO</w:t>
            </w:r>
            <w:r>
              <w:rPr>
                <w:rFonts w:hint="eastAsia" w:cs="Times New Roman"/>
                <w:b w:val="0"/>
                <w:bCs/>
                <w:color w:val="000000" w:themeColor="text1"/>
                <w:sz w:val="24"/>
                <w:szCs w:val="24"/>
                <w:highlight w:val="none"/>
                <w:vertAlign w:val="subscript"/>
                <w:lang w:val="en-US" w:eastAsia="zh-CN"/>
                <w14:textFill>
                  <w14:solidFill>
                    <w14:schemeClr w14:val="tx1"/>
                  </w14:solidFill>
                </w14:textFill>
              </w:rPr>
              <w:t>2</w:t>
            </w:r>
            <w:r>
              <w:rPr>
                <w:rFonts w:hint="eastAsia" w:cs="Times New Roman"/>
                <w:b w:val="0"/>
                <w:bCs/>
                <w:color w:val="000000" w:themeColor="text1"/>
                <w:sz w:val="24"/>
                <w:szCs w:val="24"/>
                <w:highlight w:val="none"/>
                <w:lang w:val="en-US" w:eastAsia="zh-CN"/>
                <w14:textFill>
                  <w14:solidFill>
                    <w14:schemeClr w14:val="tx1"/>
                  </w14:solidFill>
                </w14:textFill>
              </w:rPr>
              <w:t>、NOx、氟化物、二噁英、氯化物、CO、VOCs和重金属，因此，本项目设置NOx和VOCs的总量控制指标</w:t>
            </w:r>
            <w:r>
              <w:rPr>
                <w:rFonts w:hint="default" w:ascii="Times New Roman" w:hAnsi="Times New Roman" w:cs="Times New Roman"/>
                <w:color w:val="000000" w:themeColor="text1"/>
                <w:sz w:val="24"/>
                <w:szCs w:val="24"/>
                <w14:textFill>
                  <w14:solidFill>
                    <w14:schemeClr w14:val="tx1"/>
                  </w14:solidFill>
                </w14:textFill>
              </w:rPr>
              <w:t>：</w:t>
            </w:r>
          </w:p>
          <w:p w14:paraId="6486A9AC">
            <w:pPr>
              <w:pStyle w:val="13"/>
              <w:numPr>
                <w:ilvl w:val="0"/>
                <w:numId w:val="0"/>
              </w:numPr>
              <w:adjustRightInd w:val="0"/>
              <w:snapToGrid w:val="0"/>
              <w:spacing w:line="360" w:lineRule="auto"/>
              <w:ind w:firstLine="480" w:firstLineChars="200"/>
              <w:jc w:val="both"/>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①NOx总量控制建议指标：</w:t>
            </w:r>
          </w:p>
          <w:p w14:paraId="577976D2">
            <w:pPr>
              <w:pStyle w:val="13"/>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NOx有组织排放量为13.824</w:t>
            </w:r>
            <w:r>
              <w:rPr>
                <w:rFonts w:hint="default" w:ascii="Times New Roman" w:hAnsi="Times New Roman" w:cs="Times New Roman"/>
                <w:bCs/>
                <w:color w:val="000000" w:themeColor="text1"/>
                <w:sz w:val="24"/>
                <w:szCs w:val="32"/>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（1-35%）=8.9856t/a；</w:t>
            </w:r>
          </w:p>
          <w:p w14:paraId="39F59823">
            <w:pPr>
              <w:pStyle w:val="13"/>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②VOCs总量控制建议指标：</w:t>
            </w:r>
          </w:p>
          <w:p w14:paraId="58F9B9FF">
            <w:pPr>
              <w:pStyle w:val="13"/>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VOCs有组织排放量为</w:t>
            </w:r>
            <w:r>
              <w:rPr>
                <w:rFonts w:hint="default" w:ascii="Times New Roman" w:hAnsi="Times New Roman" w:cs="Times New Roman"/>
                <w:bCs/>
                <w:color w:val="000000" w:themeColor="text1"/>
                <w:sz w:val="24"/>
                <w:szCs w:val="32"/>
                <w:lang w:eastAsia="zh-CN"/>
                <w14:textFill>
                  <w14:solidFill>
                    <w14:schemeClr w14:val="tx1"/>
                  </w14:solidFill>
                </w14:textFill>
              </w:rPr>
              <w:t>（</w:t>
            </w:r>
            <w:r>
              <w:rPr>
                <w:rFonts w:hint="default" w:ascii="Times New Roman" w:hAnsi="Times New Roman" w:cs="Times New Roman"/>
                <w:bCs/>
                <w:color w:val="000000" w:themeColor="text1"/>
                <w:sz w:val="24"/>
                <w:szCs w:val="32"/>
                <w:lang w:val="en-US" w:eastAsia="zh-CN"/>
                <w14:textFill>
                  <w14:solidFill>
                    <w14:schemeClr w14:val="tx1"/>
                  </w14:solidFill>
                </w14:textFill>
              </w:rPr>
              <w:t>200000×30%</w:t>
            </w:r>
            <w:r>
              <w:rPr>
                <w:rFonts w:hint="default" w:ascii="Times New Roman" w:hAnsi="Times New Roman" w:cs="Times New Roman"/>
                <w:bCs/>
                <w:color w:val="000000" w:themeColor="text1"/>
                <w:sz w:val="24"/>
                <w:szCs w:val="32"/>
                <w:lang w:eastAsia="zh-CN"/>
                <w14:textFill>
                  <w14:solidFill>
                    <w14:schemeClr w14:val="tx1"/>
                  </w14:solidFill>
                </w14:textFill>
              </w:rPr>
              <w:t>）</w:t>
            </w:r>
            <w:r>
              <w:rPr>
                <w:rFonts w:hint="default" w:ascii="Times New Roman" w:hAnsi="Times New Roman" w:cs="Times New Roman"/>
                <w:bCs/>
                <w:color w:val="000000" w:themeColor="text1"/>
                <w:sz w:val="24"/>
                <w:szCs w:val="32"/>
                <w:lang w:val="en-US" w:eastAsia="zh-CN"/>
                <w14:textFill>
                  <w14:solidFill>
                    <w14:schemeClr w14:val="tx1"/>
                  </w14:solidFill>
                </w14:textFill>
              </w:rPr>
              <w:t>÷0.65×1000×1440÷1000000000×85%</w:t>
            </w:r>
            <w:r>
              <w:rPr>
                <w:rFonts w:hint="default" w:ascii="Times New Roman" w:hAnsi="Times New Roman" w:cs="Times New Roman"/>
                <w:color w:val="000000" w:themeColor="text1"/>
                <w:sz w:val="24"/>
                <w:szCs w:val="24"/>
                <w:lang w:val="en-US" w:eastAsia="zh-CN"/>
                <w14:textFill>
                  <w14:solidFill>
                    <w14:schemeClr w14:val="tx1"/>
                  </w14:solidFill>
                </w14:textFill>
              </w:rPr>
              <w:t>×3%=3.3895t/a。</w:t>
            </w:r>
          </w:p>
          <w:p w14:paraId="5708F23C">
            <w:pPr>
              <w:pStyle w:val="13"/>
              <w:numPr>
                <w:ilvl w:val="0"/>
                <w:numId w:val="0"/>
              </w:numPr>
              <w:adjustRightInd w:val="0"/>
              <w:snapToGrid w:val="0"/>
              <w:spacing w:line="240" w:lineRule="auto"/>
              <w:ind w:firstLine="422" w:firstLineChars="200"/>
              <w:jc w:val="center"/>
              <w:rPr>
                <w:b/>
                <w:bCs w:val="0"/>
                <w:color w:val="000000" w:themeColor="text1"/>
                <w:sz w:val="21"/>
                <w:szCs w:val="21"/>
                <w14:textFill>
                  <w14:solidFill>
                    <w14:schemeClr w14:val="tx1"/>
                  </w14:solidFill>
                </w14:textFill>
              </w:rPr>
            </w:pPr>
            <w:r>
              <w:rPr>
                <w:rFonts w:hint="eastAsia"/>
                <w:b/>
                <w:bCs w:val="0"/>
                <w:color w:val="000000" w:themeColor="text1"/>
                <w:sz w:val="21"/>
                <w:szCs w:val="21"/>
                <w14:textFill>
                  <w14:solidFill>
                    <w14:schemeClr w14:val="tx1"/>
                  </w14:solidFill>
                </w14:textFill>
              </w:rPr>
              <w:t>表3-1</w:t>
            </w:r>
            <w:r>
              <w:rPr>
                <w:rFonts w:hint="eastAsia"/>
                <w:b/>
                <w:bCs w:val="0"/>
                <w:color w:val="000000" w:themeColor="text1"/>
                <w:sz w:val="21"/>
                <w:szCs w:val="21"/>
                <w:lang w:val="en-US" w:eastAsia="zh-CN"/>
                <w14:textFill>
                  <w14:solidFill>
                    <w14:schemeClr w14:val="tx1"/>
                  </w14:solidFill>
                </w14:textFill>
              </w:rPr>
              <w:t xml:space="preserve">7 </w:t>
            </w:r>
            <w:r>
              <w:rPr>
                <w:rFonts w:hint="eastAsia"/>
                <w:b/>
                <w:bCs w:val="0"/>
                <w:color w:val="000000" w:themeColor="text1"/>
                <w:sz w:val="21"/>
                <w:szCs w:val="21"/>
                <w14:textFill>
                  <w14:solidFill>
                    <w14:schemeClr w14:val="tx1"/>
                  </w14:solidFill>
                </w14:textFill>
              </w:rPr>
              <w:t>本项目建成后污染物排放总量控制建议表</w:t>
            </w:r>
          </w:p>
          <w:tbl>
            <w:tblPr>
              <w:tblStyle w:val="2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2761"/>
              <w:gridCol w:w="3125"/>
              <w:gridCol w:w="2426"/>
            </w:tblGrid>
            <w:tr w14:paraId="10E9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noWrap w:val="0"/>
                  <w:vAlign w:val="center"/>
                </w:tcPr>
                <w:p w14:paraId="5F933034">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类别</w:t>
                  </w:r>
                </w:p>
              </w:tc>
              <w:tc>
                <w:tcPr>
                  <w:tcW w:w="1410" w:type="pct"/>
                  <w:noWrap w:val="0"/>
                  <w:vAlign w:val="center"/>
                </w:tcPr>
                <w:p w14:paraId="0CE1AF54">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污染物</w:t>
                  </w:r>
                </w:p>
              </w:tc>
              <w:tc>
                <w:tcPr>
                  <w:tcW w:w="1596" w:type="pct"/>
                  <w:noWrap w:val="0"/>
                  <w:vAlign w:val="center"/>
                </w:tcPr>
                <w:p w14:paraId="4505786F">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本项目</w:t>
                  </w:r>
                  <w:r>
                    <w:rPr>
                      <w:rFonts w:hint="default" w:ascii="Times New Roman" w:hAnsi="Times New Roman" w:cs="Times New Roman"/>
                      <w:b/>
                      <w:bCs/>
                      <w:color w:val="000000" w:themeColor="text1"/>
                      <w:kern w:val="0"/>
                      <w:sz w:val="21"/>
                      <w:szCs w:val="21"/>
                      <w14:textFill>
                        <w14:solidFill>
                          <w14:schemeClr w14:val="tx1"/>
                        </w14:solidFill>
                      </w14:textFill>
                    </w:rPr>
                    <w:t>排放总量（t/a）</w:t>
                  </w:r>
                </w:p>
              </w:tc>
              <w:tc>
                <w:tcPr>
                  <w:tcW w:w="1239" w:type="pct"/>
                  <w:noWrap w:val="0"/>
                  <w:vAlign w:val="center"/>
                </w:tcPr>
                <w:p w14:paraId="155D0346">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去向</w:t>
                  </w:r>
                </w:p>
              </w:tc>
            </w:tr>
            <w:tr w14:paraId="1888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restart"/>
                  <w:noWrap w:val="0"/>
                  <w:vAlign w:val="center"/>
                </w:tcPr>
                <w:p w14:paraId="49002888">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废气</w:t>
                  </w:r>
                </w:p>
              </w:tc>
              <w:tc>
                <w:tcPr>
                  <w:tcW w:w="1410" w:type="pct"/>
                  <w:noWrap w:val="0"/>
                  <w:vAlign w:val="center"/>
                </w:tcPr>
                <w:p w14:paraId="70C0FDDB">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NOx</w:t>
                  </w:r>
                </w:p>
              </w:tc>
              <w:tc>
                <w:tcPr>
                  <w:tcW w:w="1596" w:type="pct"/>
                  <w:noWrap w:val="0"/>
                  <w:vAlign w:val="center"/>
                </w:tcPr>
                <w:p w14:paraId="1B96EBEA">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cs="Times New Roman"/>
                      <w:snapToGrid w:val="0"/>
                      <w:color w:val="000000" w:themeColor="text1"/>
                      <w:kern w:val="21"/>
                      <w:sz w:val="21"/>
                      <w:szCs w:val="21"/>
                      <w:lang w:val="en-US" w:eastAsia="zh-CN"/>
                      <w14:textFill>
                        <w14:solidFill>
                          <w14:schemeClr w14:val="tx1"/>
                        </w14:solidFill>
                      </w14:textFill>
                    </w:rPr>
                    <w:t>8.9856</w:t>
                  </w:r>
                </w:p>
              </w:tc>
              <w:tc>
                <w:tcPr>
                  <w:tcW w:w="1239" w:type="pct"/>
                  <w:vMerge w:val="restart"/>
                  <w:noWrap w:val="0"/>
                  <w:vAlign w:val="center"/>
                </w:tcPr>
                <w:p w14:paraId="7EA55FA7">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大气</w:t>
                  </w:r>
                </w:p>
              </w:tc>
            </w:tr>
            <w:tr w14:paraId="606F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noWrap w:val="0"/>
                  <w:vAlign w:val="center"/>
                </w:tcPr>
                <w:p w14:paraId="442DD3F4">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color w:val="000000" w:themeColor="text1"/>
                      <w14:textFill>
                        <w14:solidFill>
                          <w14:schemeClr w14:val="tx1"/>
                        </w14:solidFill>
                      </w14:textFill>
                    </w:rPr>
                  </w:pPr>
                </w:p>
              </w:tc>
              <w:tc>
                <w:tcPr>
                  <w:tcW w:w="1410" w:type="pct"/>
                  <w:noWrap w:val="0"/>
                  <w:vAlign w:val="center"/>
                </w:tcPr>
                <w:p w14:paraId="1490C8DC">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VOCs</w:t>
                  </w:r>
                </w:p>
              </w:tc>
              <w:tc>
                <w:tcPr>
                  <w:tcW w:w="1596" w:type="pct"/>
                  <w:noWrap w:val="0"/>
                  <w:vAlign w:val="center"/>
                </w:tcPr>
                <w:p w14:paraId="40608487">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3.3895</w:t>
                  </w:r>
                </w:p>
              </w:tc>
              <w:tc>
                <w:tcPr>
                  <w:tcW w:w="1239" w:type="pct"/>
                  <w:vMerge w:val="continue"/>
                  <w:noWrap w:val="0"/>
                  <w:vAlign w:val="center"/>
                </w:tcPr>
                <w:p w14:paraId="7F0A0D22">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000000" w:themeColor="text1"/>
                      <w:sz w:val="21"/>
                      <w:szCs w:val="21"/>
                      <w:lang w:val="en-US" w:eastAsia="zh-CN"/>
                      <w14:textFill>
                        <w14:solidFill>
                          <w14:schemeClr w14:val="tx1"/>
                        </w14:solidFill>
                      </w14:textFill>
                    </w:rPr>
                  </w:pPr>
                </w:p>
              </w:tc>
            </w:tr>
            <w:tr w14:paraId="59CA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restart"/>
                  <w:noWrap w:val="0"/>
                  <w:vAlign w:val="center"/>
                </w:tcPr>
                <w:p w14:paraId="6DA42609">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废水</w:t>
                  </w:r>
                </w:p>
              </w:tc>
              <w:tc>
                <w:tcPr>
                  <w:tcW w:w="1410" w:type="pct"/>
                  <w:noWrap w:val="0"/>
                  <w:vAlign w:val="center"/>
                </w:tcPr>
                <w:p w14:paraId="5762E65E">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废水量</w:t>
                  </w:r>
                </w:p>
              </w:tc>
              <w:tc>
                <w:tcPr>
                  <w:tcW w:w="1596" w:type="pct"/>
                  <w:noWrap w:val="0"/>
                  <w:vAlign w:val="center"/>
                </w:tcPr>
                <w:p w14:paraId="2A190356">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772.2</w:t>
                  </w:r>
                </w:p>
              </w:tc>
              <w:tc>
                <w:tcPr>
                  <w:tcW w:w="1239" w:type="pct"/>
                  <w:noWrap w:val="0"/>
                  <w:vAlign w:val="center"/>
                </w:tcPr>
                <w:p w14:paraId="46D5617A">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4061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noWrap w:val="0"/>
                  <w:vAlign w:val="center"/>
                </w:tcPr>
                <w:p w14:paraId="3EE05FBF">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410FDC7F">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COD</w:t>
                  </w:r>
                </w:p>
              </w:tc>
              <w:tc>
                <w:tcPr>
                  <w:tcW w:w="1596" w:type="pct"/>
                  <w:noWrap w:val="0"/>
                  <w:vAlign w:val="center"/>
                </w:tcPr>
                <w:p w14:paraId="69D3761B">
                  <w:pPr>
                    <w:pStyle w:val="13"/>
                    <w:keepNext w:val="0"/>
                    <w:keepLines w:val="0"/>
                    <w:pageBreakBefore w:val="0"/>
                    <w:widowControl/>
                    <w:numPr>
                      <w:ilvl w:val="0"/>
                      <w:numId w:val="0"/>
                    </w:numPr>
                    <w:kinsoku/>
                    <w:wordWrap/>
                    <w:overflowPunct/>
                    <w:topLinePunct w:val="0"/>
                    <w:autoSpaceDE/>
                    <w:autoSpaceDN/>
                    <w:bidi w:val="0"/>
                    <w:adjustRightInd w:val="0"/>
                    <w:snapToGrid w:val="0"/>
                    <w:spacing w:beforeLines="-2147483648" w:afterLines="-2147483648"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0.3861</w:t>
                  </w:r>
                </w:p>
              </w:tc>
              <w:tc>
                <w:tcPr>
                  <w:tcW w:w="1239" w:type="pct"/>
                  <w:vMerge w:val="restart"/>
                  <w:noWrap w:val="0"/>
                  <w:vAlign w:val="center"/>
                </w:tcPr>
                <w:p w14:paraId="421FB093">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星光工业园区污水处理厂</w:t>
                  </w:r>
                </w:p>
              </w:tc>
            </w:tr>
            <w:tr w14:paraId="403D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noWrap w:val="0"/>
                  <w:vAlign w:val="center"/>
                </w:tcPr>
                <w:p w14:paraId="25702B22">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1DE20236">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NH</w:t>
                  </w:r>
                  <w:r>
                    <w:rPr>
                      <w:rFonts w:hint="default" w:ascii="Times New Roman" w:hAnsi="Times New Roman" w:cs="Times New Roman"/>
                      <w:color w:val="000000" w:themeColor="text1"/>
                      <w:kern w:val="0"/>
                      <w:sz w:val="21"/>
                      <w:szCs w:val="21"/>
                      <w:vertAlign w:val="subscript"/>
                      <w14:textFill>
                        <w14:solidFill>
                          <w14:schemeClr w14:val="tx1"/>
                        </w14:solidFill>
                      </w14:textFill>
                    </w:rPr>
                    <w:t>3</w:t>
                  </w:r>
                  <w:r>
                    <w:rPr>
                      <w:rFonts w:hint="default" w:ascii="Times New Roman" w:hAnsi="Times New Roman" w:cs="Times New Roman"/>
                      <w:color w:val="000000" w:themeColor="text1"/>
                      <w:kern w:val="0"/>
                      <w:sz w:val="21"/>
                      <w:szCs w:val="21"/>
                      <w14:textFill>
                        <w14:solidFill>
                          <w14:schemeClr w14:val="tx1"/>
                        </w14:solidFill>
                      </w14:textFill>
                    </w:rPr>
                    <w:t>-N</w:t>
                  </w:r>
                </w:p>
              </w:tc>
              <w:tc>
                <w:tcPr>
                  <w:tcW w:w="1596" w:type="pct"/>
                  <w:noWrap w:val="0"/>
                  <w:vAlign w:val="center"/>
                </w:tcPr>
                <w:p w14:paraId="6C362441">
                  <w:pPr>
                    <w:pStyle w:val="13"/>
                    <w:keepNext w:val="0"/>
                    <w:keepLines w:val="0"/>
                    <w:pageBreakBefore w:val="0"/>
                    <w:widowControl/>
                    <w:numPr>
                      <w:ilvl w:val="0"/>
                      <w:numId w:val="0"/>
                    </w:numPr>
                    <w:kinsoku/>
                    <w:wordWrap/>
                    <w:overflowPunct/>
                    <w:topLinePunct w:val="0"/>
                    <w:autoSpaceDE/>
                    <w:autoSpaceDN/>
                    <w:bidi w:val="0"/>
                    <w:adjustRightInd w:val="0"/>
                    <w:snapToGrid w:val="0"/>
                    <w:spacing w:beforeLines="-2147483648" w:afterLines="-2147483648"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0.0347</w:t>
                  </w:r>
                </w:p>
              </w:tc>
              <w:tc>
                <w:tcPr>
                  <w:tcW w:w="1239" w:type="pct"/>
                  <w:vMerge w:val="continue"/>
                  <w:noWrap w:val="0"/>
                  <w:vAlign w:val="center"/>
                </w:tcPr>
                <w:p w14:paraId="2D87F8D5">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61AF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noWrap w:val="0"/>
                  <w:vAlign w:val="center"/>
                </w:tcPr>
                <w:p w14:paraId="3F5E2395">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3F595C53">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TP</w:t>
                  </w:r>
                </w:p>
              </w:tc>
              <w:tc>
                <w:tcPr>
                  <w:tcW w:w="1596" w:type="pct"/>
                  <w:noWrap w:val="0"/>
                  <w:vAlign w:val="center"/>
                </w:tcPr>
                <w:p w14:paraId="0C6E8FED">
                  <w:pPr>
                    <w:pStyle w:val="13"/>
                    <w:keepNext w:val="0"/>
                    <w:keepLines w:val="0"/>
                    <w:pageBreakBefore w:val="0"/>
                    <w:widowControl/>
                    <w:numPr>
                      <w:ilvl w:val="0"/>
                      <w:numId w:val="0"/>
                    </w:numPr>
                    <w:kinsoku/>
                    <w:wordWrap/>
                    <w:overflowPunct/>
                    <w:topLinePunct w:val="0"/>
                    <w:autoSpaceDE/>
                    <w:autoSpaceDN/>
                    <w:bidi w:val="0"/>
                    <w:adjustRightInd w:val="0"/>
                    <w:snapToGrid w:val="0"/>
                    <w:spacing w:beforeLines="-2147483648" w:afterLines="-2147483648"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0.0062</w:t>
                  </w:r>
                </w:p>
              </w:tc>
              <w:tc>
                <w:tcPr>
                  <w:tcW w:w="1239" w:type="pct"/>
                  <w:vMerge w:val="continue"/>
                  <w:noWrap w:val="0"/>
                  <w:vAlign w:val="center"/>
                </w:tcPr>
                <w:p w14:paraId="72B60D79">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r>
            <w:tr w14:paraId="4F43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noWrap w:val="0"/>
                  <w:vAlign w:val="center"/>
                </w:tcPr>
                <w:p w14:paraId="2FCB5D6C">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08A337A4">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COD</w:t>
                  </w:r>
                </w:p>
              </w:tc>
              <w:tc>
                <w:tcPr>
                  <w:tcW w:w="1596" w:type="pct"/>
                  <w:noWrap w:val="0"/>
                  <w:vAlign w:val="center"/>
                </w:tcPr>
                <w:p w14:paraId="795D59A6">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0.0386</w:t>
                  </w:r>
                </w:p>
              </w:tc>
              <w:tc>
                <w:tcPr>
                  <w:tcW w:w="1239" w:type="pct"/>
                  <w:vMerge w:val="restart"/>
                  <w:noWrap w:val="0"/>
                  <w:vAlign w:val="center"/>
                </w:tcPr>
                <w:p w14:paraId="6AA8BEDC">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巴河</w:t>
                  </w:r>
                </w:p>
              </w:tc>
            </w:tr>
            <w:tr w14:paraId="3498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noWrap w:val="0"/>
                  <w:vAlign w:val="center"/>
                </w:tcPr>
                <w:p w14:paraId="6B9D5E29">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742479F7">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NH</w:t>
                  </w:r>
                  <w:r>
                    <w:rPr>
                      <w:rFonts w:hint="default" w:ascii="Times New Roman" w:hAnsi="Times New Roman" w:cs="Times New Roman"/>
                      <w:color w:val="000000" w:themeColor="text1"/>
                      <w:kern w:val="0"/>
                      <w:sz w:val="21"/>
                      <w:szCs w:val="21"/>
                      <w:vertAlign w:val="subscript"/>
                      <w14:textFill>
                        <w14:solidFill>
                          <w14:schemeClr w14:val="tx1"/>
                        </w14:solidFill>
                      </w14:textFill>
                    </w:rPr>
                    <w:t>3</w:t>
                  </w:r>
                  <w:r>
                    <w:rPr>
                      <w:rFonts w:hint="default" w:ascii="Times New Roman" w:hAnsi="Times New Roman" w:cs="Times New Roman"/>
                      <w:color w:val="000000" w:themeColor="text1"/>
                      <w:kern w:val="0"/>
                      <w:sz w:val="21"/>
                      <w:szCs w:val="21"/>
                      <w14:textFill>
                        <w14:solidFill>
                          <w14:schemeClr w14:val="tx1"/>
                        </w14:solidFill>
                      </w14:textFill>
                    </w:rPr>
                    <w:t>-N</w:t>
                  </w:r>
                </w:p>
              </w:tc>
              <w:tc>
                <w:tcPr>
                  <w:tcW w:w="1596" w:type="pct"/>
                  <w:noWrap w:val="0"/>
                  <w:vAlign w:val="center"/>
                </w:tcPr>
                <w:p w14:paraId="5F893BF3">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0.0039</w:t>
                  </w:r>
                </w:p>
              </w:tc>
              <w:tc>
                <w:tcPr>
                  <w:tcW w:w="1239" w:type="pct"/>
                  <w:vMerge w:val="continue"/>
                  <w:noWrap w:val="0"/>
                  <w:vAlign w:val="center"/>
                </w:tcPr>
                <w:p w14:paraId="3F560B1E">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4470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2" w:type="pct"/>
                  <w:vMerge w:val="continue"/>
                  <w:noWrap w:val="0"/>
                  <w:vAlign w:val="center"/>
                </w:tcPr>
                <w:p w14:paraId="3B1184B8">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773D58AE">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TP</w:t>
                  </w:r>
                </w:p>
              </w:tc>
              <w:tc>
                <w:tcPr>
                  <w:tcW w:w="1596" w:type="pct"/>
                  <w:noWrap w:val="0"/>
                  <w:vAlign w:val="center"/>
                </w:tcPr>
                <w:p w14:paraId="51C73E35">
                  <w:pPr>
                    <w:pStyle w:val="13"/>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0.0004</w:t>
                  </w:r>
                </w:p>
              </w:tc>
              <w:tc>
                <w:tcPr>
                  <w:tcW w:w="1239" w:type="pct"/>
                  <w:vMerge w:val="continue"/>
                  <w:noWrap w:val="0"/>
                  <w:vAlign w:val="center"/>
                </w:tcPr>
                <w:p w14:paraId="5713C87D">
                  <w:pPr>
                    <w:pStyle w:val="13"/>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r>
          </w:tbl>
          <w:p w14:paraId="7F5423C8">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注：本项目总量控制指标以相关管理部门最终核定为准。</w:t>
            </w:r>
          </w:p>
          <w:p w14:paraId="46669BC6">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03CF7986">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1C96EBCE">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136AA20B">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7F201001">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49C94983">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6A456727">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2BD948FA">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372B8E46">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26D24743">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0567D5B5">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218DA275">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7919F597">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1C2995BF">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283793EB">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68E50DC1">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58DC9913">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5EB08096">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427EF6D5">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09564853">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68D14EAD">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6C1CDFDC">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3FAD80F8">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0C18887E">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7DA110EA">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735B120C">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75BCA286">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p w14:paraId="23F4B692">
            <w:pPr>
              <w:pStyle w:val="13"/>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tc>
      </w:tr>
    </w:tbl>
    <w:p w14:paraId="57C2ED79">
      <w:pPr>
        <w:ind w:firstLine="48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5D860D06">
      <w:pPr>
        <w:pStyle w:val="3"/>
        <w:rPr>
          <w:rFonts w:ascii="Times New Roman" w:hAnsi="Times New Roman"/>
          <w:color w:val="000000" w:themeColor="text1"/>
          <w14:textFill>
            <w14:solidFill>
              <w14:schemeClr w14:val="tx1"/>
            </w14:solidFill>
          </w14:textFill>
        </w:rPr>
      </w:pPr>
      <w:bookmarkStart w:id="47" w:name="_Toc21631"/>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SEQ seq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t>主要环境影响和保护措施</w:t>
      </w:r>
      <w:bookmarkEnd w:id="47"/>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280"/>
      </w:tblGrid>
      <w:tr w14:paraId="4DAD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5" w:type="dxa"/>
            <w:vAlign w:val="center"/>
          </w:tcPr>
          <w:p w14:paraId="01530AA4">
            <w:pPr>
              <w:pStyle w:val="27"/>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施工期环境保护措施</w:t>
            </w:r>
          </w:p>
        </w:tc>
        <w:tc>
          <w:tcPr>
            <w:tcW w:w="9321" w:type="dxa"/>
          </w:tcPr>
          <w:p w14:paraId="1F00DA7B">
            <w:pPr>
              <w:keepNext w:val="0"/>
              <w:keepLines w:val="0"/>
              <w:pageBreakBefore w:val="0"/>
              <w:widowControl/>
              <w:suppressLineNumbers w:val="0"/>
              <w:kinsoku/>
              <w:wordWrap/>
              <w:overflowPunct/>
              <w:topLinePunct w:val="0"/>
              <w:autoSpaceDE/>
              <w:autoSpaceDN/>
              <w:bidi w:val="0"/>
              <w:ind w:left="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本项目租赁厂房位于四川省巴中市平昌县星光工业园施迈路1号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已建成厂区内，本项目租用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1号厂房、2号厂房、3号厂房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及办公楼（部分区域）、宿舍（部分区域）进行建设。施工期主要对厂房进行适应性改造及设备调试安装，</w:t>
            </w:r>
            <w:r>
              <w:rPr>
                <w:rFonts w:hint="default" w:ascii="Times New Roman" w:hAnsi="Times New Roman" w:cs="Times New Roman"/>
                <w:color w:val="000000" w:themeColor="text1"/>
                <w:sz w:val="24"/>
                <w:szCs w:val="24"/>
                <w:lang w:val="en-US" w:eastAsia="zh-CN"/>
                <w14:textFill>
                  <w14:solidFill>
                    <w14:schemeClr w14:val="tx1"/>
                  </w14:solidFill>
                </w14:textFill>
              </w:rPr>
              <w:t>2号厂房涉及厂房扩建及</w:t>
            </w:r>
            <w:r>
              <w:rPr>
                <w:rFonts w:hint="eastAsia" w:cs="Times New Roman"/>
                <w:color w:val="000000" w:themeColor="text1"/>
                <w:sz w:val="24"/>
                <w:szCs w:val="24"/>
                <w:lang w:val="en-US" w:eastAsia="zh-CN"/>
                <w14:textFill>
                  <w14:solidFill>
                    <w14:schemeClr w14:val="tx1"/>
                  </w14:solidFill>
                </w14:textFill>
              </w:rPr>
              <w:t>适应性改造及设备调试安装</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施工过程中将产生废气、噪声、建筑垃圾、施工人员的生活污水和生活垃圾等。</w:t>
            </w:r>
            <w:r>
              <w:rPr>
                <w:rFonts w:hint="default" w:ascii="Times New Roman" w:hAnsi="Times New Roman" w:cs="Times New Roman"/>
                <w:color w:val="000000" w:themeColor="text1"/>
                <w:sz w:val="24"/>
                <w:szCs w:val="24"/>
                <w14:textFill>
                  <w14:solidFill>
                    <w14:schemeClr w14:val="tx1"/>
                  </w14:solidFill>
                </w14:textFill>
              </w:rPr>
              <w:t>这些污染是暂时的，待施工结束后，基本可以得到消除，对周边环境影响较小。</w:t>
            </w:r>
          </w:p>
          <w:p w14:paraId="555D269A">
            <w:pPr>
              <w:keepNext w:val="0"/>
              <w:keepLines w:val="0"/>
              <w:pageBreakBefore w:val="0"/>
              <w:kinsoku/>
              <w:wordWrap/>
              <w:overflowPunct/>
              <w:topLinePunct w:val="0"/>
              <w:autoSpaceDE/>
              <w:autoSpaceDN/>
              <w:bidi w:val="0"/>
              <w:ind w:left="0" w:firstLine="48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本项目施工过程主要污染情况和环境保护措施如下：</w:t>
            </w:r>
          </w:p>
          <w:p w14:paraId="6EBCD086">
            <w:pPr>
              <w:keepNext w:val="0"/>
              <w:keepLines w:val="0"/>
              <w:pageBreakBefore w:val="0"/>
              <w:kinsoku/>
              <w:wordWrap/>
              <w:overflowPunct/>
              <w:topLinePunct w:val="0"/>
              <w:autoSpaceDE/>
              <w:autoSpaceDN/>
              <w:bidi w:val="0"/>
              <w:ind w:left="0" w:leftChars="0" w:firstLine="0" w:firstLineChars="0"/>
              <w:textAlignment w:val="auto"/>
              <w:rPr>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1、</w:t>
            </w:r>
            <w:r>
              <w:rPr>
                <w:b/>
                <w:bCs/>
                <w:color w:val="000000" w:themeColor="text1"/>
                <w:sz w:val="24"/>
                <w:szCs w:val="24"/>
                <w14:textFill>
                  <w14:solidFill>
                    <w14:schemeClr w14:val="tx1"/>
                  </w14:solidFill>
                </w14:textFill>
              </w:rPr>
              <w:t>施工期废气污染防治措施</w:t>
            </w:r>
          </w:p>
          <w:p w14:paraId="0FA3134C">
            <w:pPr>
              <w:keepNext w:val="0"/>
              <w:keepLines w:val="0"/>
              <w:pageBreakBefore w:val="0"/>
              <w:kinsoku/>
              <w:wordWrap/>
              <w:overflowPunct/>
              <w:topLinePunct w:val="0"/>
              <w:autoSpaceDE/>
              <w:autoSpaceDN/>
              <w:bidi w:val="0"/>
              <w:ind w:left="0" w:firstLine="482"/>
              <w:textAlignment w:val="auto"/>
              <w:rPr>
                <w:rFonts w:cs="Times New Roman"/>
                <w:b/>
                <w:color w:val="000000" w:themeColor="text1"/>
                <w:sz w:val="24"/>
                <w:szCs w:val="24"/>
                <w14:textFill>
                  <w14:solidFill>
                    <w14:schemeClr w14:val="tx1"/>
                  </w14:solidFill>
                </w14:textFill>
              </w:rPr>
            </w:pPr>
            <w:r>
              <w:rPr>
                <w:rFonts w:cs="Times New Roman"/>
                <w:b/>
                <w:color w:val="000000" w:themeColor="text1"/>
                <w:sz w:val="24"/>
                <w:szCs w:val="24"/>
                <w14:textFill>
                  <w14:solidFill>
                    <w14:schemeClr w14:val="tx1"/>
                  </w14:solidFill>
                </w14:textFill>
              </w:rPr>
              <w:t>（1）扬尘</w:t>
            </w:r>
          </w:p>
          <w:p w14:paraId="3C78C399">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在施工过程中，施工单位必须按照《四川省〈中华人民共和国大气污染防治法〉实施办法》（</w:t>
            </w:r>
            <w:r>
              <w:rPr>
                <w:rFonts w:cs="Times New Roman" w:eastAsiaTheme="minorEastAsia"/>
                <w:color w:val="000000" w:themeColor="text1"/>
                <w:sz w:val="24"/>
                <w:szCs w:val="24"/>
                <w14:textFill>
                  <w14:solidFill>
                    <w14:schemeClr w14:val="tx1"/>
                  </w14:solidFill>
                </w14:textFill>
              </w:rPr>
              <w:t>2019.1.1</w:t>
            </w:r>
            <w:r>
              <w:rPr>
                <w:rFonts w:cs="Times New Roman"/>
                <w:color w:val="000000" w:themeColor="text1"/>
                <w:sz w:val="24"/>
                <w:szCs w:val="24"/>
                <w14:textFill>
                  <w14:solidFill>
                    <w14:schemeClr w14:val="tx1"/>
                  </w14:solidFill>
                </w14:textFill>
              </w:rPr>
              <w:t>施行）、《四川省住房和城乡建设厅城市扬尘防治工作方案》（川建发</w:t>
            </w:r>
            <w:r>
              <w:rPr>
                <w:rFonts w:hint="eastAsia" w:cs="Times New Roman"/>
                <w:color w:val="000000" w:themeColor="text1"/>
                <w:sz w:val="24"/>
                <w:szCs w:val="24"/>
                <w:lang w:eastAsia="zh-CN"/>
                <w14:textFill>
                  <w14:solidFill>
                    <w14:schemeClr w14:val="tx1"/>
                  </w14:solidFill>
                </w14:textFill>
              </w:rPr>
              <w:t>〔2018〕8号</w:t>
            </w:r>
            <w:r>
              <w:rPr>
                <w:rFonts w:cs="Times New Roman"/>
                <w:color w:val="000000" w:themeColor="text1"/>
                <w:sz w:val="24"/>
                <w:szCs w:val="24"/>
                <w14:textFill>
                  <w14:solidFill>
                    <w14:schemeClr w14:val="tx1"/>
                  </w14:solidFill>
                </w14:textFill>
              </w:rPr>
              <w:t>）中有关施工工地和道路扬尘污染防治规定，积极推行绿色施工，施工现场必须采取封闭施工，严禁敞开式作业，施工现场道路、作业区、生活区必须进行地面硬化；制定、完善和严格执行建设施工管理制度，全面推行现场标准化管理。主要采取以下措施防治扬尘污染：</w:t>
            </w:r>
          </w:p>
          <w:p w14:paraId="6290009A">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①</w:t>
            </w:r>
            <w:r>
              <w:rPr>
                <w:rFonts w:cs="Times New Roman"/>
                <w:color w:val="000000" w:themeColor="text1"/>
                <w:sz w:val="24"/>
                <w:szCs w:val="24"/>
                <w14:textFill>
                  <w14:solidFill>
                    <w14:schemeClr w14:val="tx1"/>
                  </w14:solidFill>
                </w14:textFill>
              </w:rPr>
              <w:t>加强施工管理，确保湿法作业，施工场地设专门的保洁工人，场地清理阶段，做到先洒水，后清扫，防止扬尘产生；同时</w:t>
            </w:r>
            <w:r>
              <w:rPr>
                <w:rFonts w:cs="Times New Roman"/>
                <w:color w:val="000000" w:themeColor="text1"/>
                <w:kern w:val="0"/>
                <w:sz w:val="24"/>
                <w:szCs w:val="24"/>
                <w14:textFill>
                  <w14:solidFill>
                    <w14:schemeClr w14:val="tx1"/>
                  </w14:solidFill>
                </w14:textFill>
              </w:rPr>
              <w:t>在进行可能产生扬尘的工序时需关闭门窗，减少扬尘飘散到大气环境中；</w:t>
            </w:r>
          </w:p>
          <w:p w14:paraId="4973ECE3">
            <w:pPr>
              <w:keepNext w:val="0"/>
              <w:keepLines w:val="0"/>
              <w:pageBreakBefore w:val="0"/>
              <w:widowControl/>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w:t>
            </w:r>
            <w:r>
              <w:rPr>
                <w:rFonts w:cs="Times New Roman"/>
                <w:color w:val="000000" w:themeColor="text1"/>
                <w:sz w:val="24"/>
                <w:szCs w:val="24"/>
                <w14:textFill>
                  <w14:solidFill>
                    <w14:schemeClr w14:val="tx1"/>
                  </w14:solidFill>
                </w14:textFill>
              </w:rPr>
              <w:t>由于道路和扬尘量与车辆的行驶速度有关，速度越快，扬尘量越大，因此，在施工场地对施工车辆必须实施限速行驶，同时施工现场主要运输道路必须采用硬化路面并定时进行洒水抑尘；同时运输车辆路线避开人流量较大的道路，避免在上下班和上下学高峰期运输货物；</w:t>
            </w:r>
          </w:p>
          <w:p w14:paraId="7F538B3D">
            <w:pPr>
              <w:keepNext w:val="0"/>
              <w:keepLines w:val="0"/>
              <w:pageBreakBefore w:val="0"/>
              <w:kinsoku/>
              <w:wordWrap/>
              <w:overflowPunct/>
              <w:topLinePunct w:val="0"/>
              <w:autoSpaceDE/>
              <w:autoSpaceDN/>
              <w:bidi w:val="0"/>
              <w:ind w:left="0"/>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③</w:t>
            </w:r>
            <w:r>
              <w:rPr>
                <w:color w:val="000000" w:themeColor="text1"/>
                <w:sz w:val="24"/>
                <w:szCs w:val="24"/>
                <w14:textFill>
                  <w14:solidFill>
                    <w14:schemeClr w14:val="tx1"/>
                  </w14:solidFill>
                </w14:textFill>
              </w:rPr>
              <w:t>要求施工单位文明施工，定期对地面洒水，并对撒落在路面的渣土及时清除，清理阶段做到先洒水后清扫；</w:t>
            </w:r>
          </w:p>
          <w:p w14:paraId="32BDF550">
            <w:pPr>
              <w:keepNext w:val="0"/>
              <w:keepLines w:val="0"/>
              <w:pageBreakBefore w:val="0"/>
              <w:widowControl/>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④</w:t>
            </w:r>
            <w:r>
              <w:rPr>
                <w:rFonts w:cs="Times New Roman"/>
                <w:color w:val="000000" w:themeColor="text1"/>
                <w:sz w:val="24"/>
                <w:szCs w:val="24"/>
                <w14:textFill>
                  <w14:solidFill>
                    <w14:schemeClr w14:val="tx1"/>
                  </w14:solidFill>
                </w14:textFill>
              </w:rPr>
              <w:t>施工管理由专人负责，并设定专门负责人定期对该区的施工扬尘污染防治措施以及环保管理进行检查和核实，严格按照当地政府关于城市扬尘污染管理的有关规定进行治理，减少扬尘对环境的影响。</w:t>
            </w:r>
          </w:p>
          <w:p w14:paraId="6F88C3AE">
            <w:pPr>
              <w:keepNext w:val="0"/>
              <w:keepLines w:val="0"/>
              <w:pageBreakBefore w:val="0"/>
              <w:kinsoku/>
              <w:wordWrap/>
              <w:overflowPunct/>
              <w:topLinePunct w:val="0"/>
              <w:autoSpaceDE/>
              <w:autoSpaceDN/>
              <w:bidi w:val="0"/>
              <w:ind w:left="0" w:firstLine="482"/>
              <w:textAlignment w:val="auto"/>
              <w:rPr>
                <w:rFonts w:cs="Times New Roman"/>
                <w:b/>
                <w:color w:val="000000" w:themeColor="text1"/>
                <w:sz w:val="24"/>
                <w:szCs w:val="24"/>
                <w14:textFill>
                  <w14:solidFill>
                    <w14:schemeClr w14:val="tx1"/>
                  </w14:solidFill>
                </w14:textFill>
              </w:rPr>
            </w:pPr>
            <w:r>
              <w:rPr>
                <w:rFonts w:cs="Times New Roman"/>
                <w:b/>
                <w:color w:val="000000" w:themeColor="text1"/>
                <w:sz w:val="24"/>
                <w:szCs w:val="24"/>
                <w14:textFill>
                  <w14:solidFill>
                    <w14:schemeClr w14:val="tx1"/>
                  </w14:solidFill>
                </w14:textFill>
              </w:rPr>
              <w:t>（2）汽车尾气</w:t>
            </w:r>
          </w:p>
          <w:p w14:paraId="6B91BCA3">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）加强施工机械的保养维护，提高机械的正常使用率。 </w:t>
            </w:r>
          </w:p>
          <w:p w14:paraId="631CCB06">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w:t>
            </w:r>
            <w:r>
              <w:rPr>
                <w:rFonts w:hint="eastAsia" w:ascii="宋体" w:hAnsi="宋体" w:eastAsia="宋体" w:cs="宋体"/>
                <w:color w:val="000000" w:themeColor="text1"/>
                <w:kern w:val="0"/>
                <w:sz w:val="24"/>
                <w:szCs w:val="24"/>
                <w:lang w:val="en-US" w:eastAsia="zh-CN" w:bidi="ar"/>
                <w14:textFill>
                  <w14:solidFill>
                    <w14:schemeClr w14:val="tx1"/>
                  </w14:solidFill>
                </w14:textFill>
              </w:rPr>
              <w:t>）加强对机械、车辆的维修保养，禁止以柴油为燃料的施工机械超负荷工作，减少烟尘和颗粒物排放。</w:t>
            </w:r>
          </w:p>
          <w:p w14:paraId="332F9BBF">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）动力机械多选择使用电动工具，严格控制内燃机械的使用。</w:t>
            </w:r>
          </w:p>
          <w:p w14:paraId="207A7EFE">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4</w:t>
            </w:r>
            <w:r>
              <w:rPr>
                <w:rFonts w:hint="eastAsia" w:ascii="宋体" w:hAnsi="宋体" w:eastAsia="宋体" w:cs="宋体"/>
                <w:color w:val="000000" w:themeColor="text1"/>
                <w:kern w:val="0"/>
                <w:sz w:val="24"/>
                <w:szCs w:val="24"/>
                <w:lang w:val="en-US" w:eastAsia="zh-CN" w:bidi="ar"/>
                <w14:textFill>
                  <w14:solidFill>
                    <w14:schemeClr w14:val="tx1"/>
                  </w14:solidFill>
                </w14:textFill>
              </w:rPr>
              <w:t>）生态环境部办公厅发布《关于实施汽车国六排放标准有关事宜的公告》，并明确指出，自</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2023</w:t>
            </w:r>
            <w:r>
              <w:rPr>
                <w:rFonts w:hint="eastAsia" w:ascii="宋体" w:hAnsi="宋体" w:eastAsia="宋体" w:cs="宋体"/>
                <w:color w:val="000000" w:themeColor="text1"/>
                <w:kern w:val="0"/>
                <w:sz w:val="24"/>
                <w:szCs w:val="24"/>
                <w:lang w:val="en-US" w:eastAsia="zh-CN" w:bidi="ar"/>
                <w14:textFill>
                  <w14:solidFill>
                    <w14:schemeClr w14:val="tx1"/>
                  </w14:solidFill>
                </w14:textFill>
              </w:rPr>
              <w:t>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7</w:t>
            </w:r>
            <w:r>
              <w:rPr>
                <w:rFonts w:hint="eastAsia" w:ascii="宋体" w:hAnsi="宋体" w:eastAsia="宋体" w:cs="宋体"/>
                <w:color w:val="000000" w:themeColor="text1"/>
                <w:kern w:val="0"/>
                <w:sz w:val="24"/>
                <w:szCs w:val="24"/>
                <w:lang w:val="en-US" w:eastAsia="zh-CN" w:bidi="ar"/>
                <w14:textFill>
                  <w14:solidFill>
                    <w14:schemeClr w14:val="tx1"/>
                  </w14:solidFill>
                </w14:textFill>
              </w:rPr>
              <w:t>月</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日起，全国范围全面实施国六排放标准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6b</w:t>
            </w:r>
            <w:r>
              <w:rPr>
                <w:rFonts w:hint="eastAsia" w:ascii="宋体" w:hAnsi="宋体" w:eastAsia="宋体" w:cs="宋体"/>
                <w:color w:val="000000" w:themeColor="text1"/>
                <w:kern w:val="0"/>
                <w:sz w:val="24"/>
                <w:szCs w:val="24"/>
                <w:lang w:val="en-US" w:eastAsia="zh-CN" w:bidi="ar"/>
                <w14:textFill>
                  <w14:solidFill>
                    <w14:schemeClr w14:val="tx1"/>
                  </w14:solidFill>
                </w14:textFill>
              </w:rPr>
              <w:t>阶段，禁止生产、进口、销售不符合国六排放标准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6b</w:t>
            </w:r>
            <w:r>
              <w:rPr>
                <w:rFonts w:hint="eastAsia" w:ascii="宋体" w:hAnsi="宋体" w:eastAsia="宋体" w:cs="宋体"/>
                <w:color w:val="000000" w:themeColor="text1"/>
                <w:kern w:val="0"/>
                <w:sz w:val="24"/>
                <w:szCs w:val="24"/>
                <w:lang w:val="en-US" w:eastAsia="zh-CN" w:bidi="ar"/>
                <w14:textFill>
                  <w14:solidFill>
                    <w14:schemeClr w14:val="tx1"/>
                  </w14:solidFill>
                </w14:textFill>
              </w:rPr>
              <w:t>阶段的汽车。因此公路运输全部使用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6b</w:t>
            </w:r>
            <w:r>
              <w:rPr>
                <w:rFonts w:hint="eastAsia" w:ascii="宋体" w:hAnsi="宋体" w:eastAsia="宋体" w:cs="宋体"/>
                <w:color w:val="000000" w:themeColor="text1"/>
                <w:kern w:val="0"/>
                <w:sz w:val="24"/>
                <w:szCs w:val="24"/>
                <w:lang w:val="en-US" w:eastAsia="zh-CN" w:bidi="ar"/>
                <w14:textFill>
                  <w14:solidFill>
                    <w14:schemeClr w14:val="tx1"/>
                  </w14:solidFill>
                </w14:textFill>
              </w:rPr>
              <w:t>及以上排放标准重型载货车辆（含燃气）或新能源车辆等清洁运输方式。本环评要求企业施工期运输车辆全部达到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6b</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及以上排放标准（含燃气）或使用新能源车辆。 </w:t>
            </w:r>
          </w:p>
          <w:p w14:paraId="77756D15">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采取上述措施后，施工期废气经宽敞的地带扩散后对周围环境空气质量影响较小。</w:t>
            </w:r>
          </w:p>
          <w:p w14:paraId="06700606">
            <w:pPr>
              <w:keepNext w:val="0"/>
              <w:keepLines w:val="0"/>
              <w:pageBreakBefore w:val="0"/>
              <w:kinsoku/>
              <w:wordWrap/>
              <w:overflowPunct/>
              <w:topLinePunct w:val="0"/>
              <w:autoSpaceDE/>
              <w:autoSpaceDN/>
              <w:bidi w:val="0"/>
              <w:ind w:left="0" w:firstLine="482"/>
              <w:textAlignment w:val="auto"/>
              <w:rPr>
                <w:rFonts w:cs="Times New Roman"/>
                <w:b/>
                <w:color w:val="000000" w:themeColor="text1"/>
                <w:sz w:val="24"/>
                <w:szCs w:val="24"/>
                <w14:textFill>
                  <w14:solidFill>
                    <w14:schemeClr w14:val="tx1"/>
                  </w14:solidFill>
                </w14:textFill>
              </w:rPr>
            </w:pPr>
            <w:r>
              <w:rPr>
                <w:rFonts w:cs="Times New Roman"/>
                <w:b/>
                <w:color w:val="000000" w:themeColor="text1"/>
                <w:sz w:val="24"/>
                <w:szCs w:val="24"/>
                <w14:textFill>
                  <w14:solidFill>
                    <w14:schemeClr w14:val="tx1"/>
                  </w14:solidFill>
                </w14:textFill>
              </w:rPr>
              <w:t>（3）装修废气</w:t>
            </w:r>
          </w:p>
          <w:p w14:paraId="17AADC4D">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装修废气主要产生于室内室外装修阶段，主要为油漆、胶等挥发产生，主要污染因子是作为稀释剂的二甲苯，此外还有少量的醋酸丁酯、乙醇、丁醇等，该废气的排放属无组织排放。</w:t>
            </w:r>
          </w:p>
          <w:p w14:paraId="10D23A16">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建设单位在油漆的选择上应推广使用环保型油漆。在装修油漆期间，应加强室内的通风换气，油漆结束完成以后，也应每天进行通风换气一至</w:t>
            </w:r>
            <w:r>
              <w:rPr>
                <w:rFonts w:hint="eastAsia" w:cs="Times New Roman"/>
                <w:color w:val="000000" w:themeColor="text1"/>
                <w:sz w:val="24"/>
                <w:szCs w:val="24"/>
                <w:lang w:eastAsia="zh-CN"/>
                <w14:textFill>
                  <w14:solidFill>
                    <w14:schemeClr w14:val="tx1"/>
                  </w14:solidFill>
                </w14:textFill>
              </w:rPr>
              <w:t>两个</w:t>
            </w:r>
            <w:r>
              <w:rPr>
                <w:rFonts w:cs="Times New Roman"/>
                <w:color w:val="000000" w:themeColor="text1"/>
                <w:sz w:val="24"/>
                <w:szCs w:val="24"/>
                <w14:textFill>
                  <w14:solidFill>
                    <w14:schemeClr w14:val="tx1"/>
                  </w14:solidFill>
                </w14:textFill>
              </w:rPr>
              <w:t>月后才能使用。由于装修时采用的三合板和油漆中含有的甲醛、甲苯、二甲苯等影响环境质量的有毒有害物质挥发时间长，所以营运后也要注意室内空气的流畅。</w:t>
            </w:r>
          </w:p>
          <w:p w14:paraId="6C0B15BD">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环评建议：在施工装修期，涂料及装修材料的选取应按照国家质检总局颁布的“室内装修材料10项有害物质限量”规定进行，严格控制室内甲醛、苯系物等挥发性有机物及放射性元素氡，优先采用已取得国家环境标志认可委员会批准、并被授予环境标志的建筑材料和产品，使各项污染指标达到《室内空气质量标准》（GB/T18883-20</w:t>
            </w:r>
            <w:r>
              <w:rPr>
                <w:rFonts w:hint="eastAsia" w:cs="Times New Roman"/>
                <w:color w:val="000000" w:themeColor="text1"/>
                <w:sz w:val="24"/>
                <w:szCs w:val="24"/>
                <w:lang w:val="en-US" w:eastAsia="zh-CN"/>
                <w14:textFill>
                  <w14:solidFill>
                    <w14:schemeClr w14:val="tx1"/>
                  </w14:solidFill>
                </w14:textFill>
              </w:rPr>
              <w:t>22</w:t>
            </w:r>
            <w:r>
              <w:rPr>
                <w:rFonts w:cs="Times New Roman"/>
                <w:color w:val="000000" w:themeColor="text1"/>
                <w:sz w:val="24"/>
                <w:szCs w:val="24"/>
                <w14:textFill>
                  <w14:solidFill>
                    <w14:schemeClr w14:val="tx1"/>
                  </w14:solidFill>
                </w14:textFill>
              </w:rPr>
              <w:t>）。</w:t>
            </w:r>
          </w:p>
          <w:p w14:paraId="641418DD">
            <w:pPr>
              <w:pStyle w:val="4"/>
              <w:keepNext w:val="0"/>
              <w:keepLines w:val="0"/>
              <w:pageBreakBefore w:val="0"/>
              <w:kinsoku/>
              <w:wordWrap/>
              <w:overflowPunct/>
              <w:topLinePunct w:val="0"/>
              <w:autoSpaceDE/>
              <w:autoSpaceDN/>
              <w:bidi w:val="0"/>
              <w:spacing w:before="0" w:beforeLines="0"/>
              <w:ind w:left="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2、施工期废水污染防治措施</w:t>
            </w:r>
          </w:p>
          <w:p w14:paraId="75F2AB89">
            <w:pPr>
              <w:keepNext w:val="0"/>
              <w:keepLines w:val="0"/>
              <w:pageBreakBefore w:val="0"/>
              <w:kinsoku/>
              <w:wordWrap/>
              <w:overflowPunct/>
              <w:topLinePunct w:val="0"/>
              <w:autoSpaceDE/>
              <w:autoSpaceDN/>
              <w:bidi w:val="0"/>
              <w:adjustRightInd w:val="0"/>
              <w:snapToGrid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施工期废水主要为生活污水</w:t>
            </w:r>
            <w:r>
              <w:rPr>
                <w:rFonts w:hint="eastAsia" w:cs="Times New Roman"/>
                <w:color w:val="000000" w:themeColor="text1"/>
                <w:sz w:val="24"/>
                <w:szCs w:val="24"/>
                <w:lang w:val="en-US" w:eastAsia="zh-CN"/>
                <w14:textFill>
                  <w14:solidFill>
                    <w14:schemeClr w14:val="tx1"/>
                  </w14:solidFill>
                </w14:textFill>
              </w:rPr>
              <w:t>和施工车辆冲洗废水</w:t>
            </w:r>
            <w:r>
              <w:rPr>
                <w:rFonts w:cs="Times New Roman"/>
                <w:color w:val="000000" w:themeColor="text1"/>
                <w:sz w:val="24"/>
                <w:szCs w:val="24"/>
                <w14:textFill>
                  <w14:solidFill>
                    <w14:schemeClr w14:val="tx1"/>
                  </w14:solidFill>
                </w14:textFill>
              </w:rPr>
              <w:t>，少量施工人员生活污水依托租赁厂房所在厂区内已建污水预处理池处理，最终经</w:t>
            </w:r>
            <w:r>
              <w:rPr>
                <w:rFonts w:hint="eastAsia" w:cs="Times New Roman"/>
                <w:color w:val="000000" w:themeColor="text1"/>
                <w:sz w:val="24"/>
                <w:szCs w:val="24"/>
                <w:lang w:val="en-US" w:eastAsia="zh-CN"/>
                <w14:textFill>
                  <w14:solidFill>
                    <w14:schemeClr w14:val="tx1"/>
                  </w14:solidFill>
                </w14:textFill>
              </w:rPr>
              <w:t>园区</w:t>
            </w:r>
            <w:r>
              <w:rPr>
                <w:rFonts w:cs="Times New Roman"/>
                <w:color w:val="000000" w:themeColor="text1"/>
                <w:sz w:val="24"/>
                <w:szCs w:val="24"/>
                <w14:textFill>
                  <w14:solidFill>
                    <w14:schemeClr w14:val="tx1"/>
                  </w14:solidFill>
                </w14:textFill>
              </w:rPr>
              <w:t>管网汇入</w:t>
            </w:r>
            <w:r>
              <w:rPr>
                <w:rFonts w:hint="eastAsia" w:cs="Times New Roman"/>
                <w:color w:val="000000" w:themeColor="text1"/>
                <w:sz w:val="24"/>
                <w:szCs w:val="24"/>
                <w:lang w:val="en-US" w:eastAsia="zh-CN"/>
                <w14:textFill>
                  <w14:solidFill>
                    <w14:schemeClr w14:val="tx1"/>
                  </w14:solidFill>
                </w14:textFill>
              </w:rPr>
              <w:t>星光工业园区</w:t>
            </w:r>
            <w:r>
              <w:rPr>
                <w:rFonts w:cs="Times New Roman"/>
                <w:color w:val="000000" w:themeColor="text1"/>
                <w:sz w:val="24"/>
                <w:szCs w:val="24"/>
                <w14:textFill>
                  <w14:solidFill>
                    <w14:schemeClr w14:val="tx1"/>
                  </w14:solidFill>
                </w14:textFill>
              </w:rPr>
              <w:t>污水处理厂处理后达标排放</w:t>
            </w: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施工车辆冲洗废水经洗车区收集后，通过管线送至水基岩屑储存池进行储存</w:t>
            </w:r>
            <w:r>
              <w:rPr>
                <w:rFonts w:cs="Times New Roman"/>
                <w:color w:val="000000" w:themeColor="text1"/>
                <w:sz w:val="24"/>
                <w:szCs w:val="24"/>
                <w14:textFill>
                  <w14:solidFill>
                    <w14:schemeClr w14:val="tx1"/>
                  </w14:solidFill>
                </w14:textFill>
              </w:rPr>
              <w:t>。</w:t>
            </w:r>
          </w:p>
          <w:p w14:paraId="6BE9885C">
            <w:pPr>
              <w:pStyle w:val="4"/>
              <w:keepNext w:val="0"/>
              <w:keepLines w:val="0"/>
              <w:pageBreakBefore w:val="0"/>
              <w:kinsoku/>
              <w:wordWrap/>
              <w:overflowPunct/>
              <w:topLinePunct w:val="0"/>
              <w:autoSpaceDE/>
              <w:autoSpaceDN/>
              <w:bidi w:val="0"/>
              <w:spacing w:before="0" w:beforeLines="0"/>
              <w:ind w:left="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3、施工期噪声污染防治措施</w:t>
            </w:r>
          </w:p>
          <w:p w14:paraId="00FDAD78">
            <w:pPr>
              <w:keepNext w:val="0"/>
              <w:keepLines w:val="0"/>
              <w:pageBreakBefore w:val="0"/>
              <w:widowControl/>
              <w:suppressLineNumbers w:val="0"/>
              <w:kinsoku/>
              <w:wordWrap/>
              <w:overflowPunct/>
              <w:topLinePunct w:val="0"/>
              <w:autoSpaceDE/>
              <w:autoSpaceDN/>
              <w:bidi w:val="0"/>
              <w:ind w:left="0"/>
              <w:jc w:val="left"/>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施工噪声主要施工期主要分为机械噪声、施工作业噪声和施工车辆噪声，本项目施工量较小，基本</w:t>
            </w:r>
            <w:r>
              <w:rPr>
                <w:rFonts w:hint="eastAsia" w:cs="Times New Roman"/>
                <w:color w:val="000000" w:themeColor="text1"/>
                <w:sz w:val="24"/>
                <w:szCs w:val="24"/>
                <w:lang w:eastAsia="zh-CN"/>
                <w14:textFill>
                  <w14:solidFill>
                    <w14:schemeClr w14:val="tx1"/>
                  </w14:solidFill>
                </w14:textFill>
              </w:rPr>
              <w:t>为人</w:t>
            </w:r>
            <w:r>
              <w:rPr>
                <w:rFonts w:cs="Times New Roman"/>
                <w:color w:val="000000" w:themeColor="text1"/>
                <w:sz w:val="24"/>
                <w:szCs w:val="24"/>
                <w14:textFill>
                  <w14:solidFill>
                    <w14:schemeClr w14:val="tx1"/>
                  </w14:solidFill>
                </w14:textFill>
              </w:rPr>
              <w:t>工施工，机械设备噪声为间断式。</w:t>
            </w:r>
            <w:r>
              <w:rPr>
                <w:rFonts w:hint="eastAsia" w:ascii="宋体" w:hAnsi="宋体" w:eastAsia="宋体" w:cs="宋体"/>
                <w:color w:val="000000" w:themeColor="text1"/>
                <w:kern w:val="0"/>
                <w:sz w:val="24"/>
                <w:szCs w:val="24"/>
                <w:lang w:val="en-US" w:eastAsia="zh-CN" w:bidi="ar"/>
                <w14:textFill>
                  <w14:solidFill>
                    <w14:schemeClr w14:val="tx1"/>
                  </w14:solidFill>
                </w14:textFill>
              </w:rPr>
              <w:t>施工期选用低噪设备，并对其采取有效的隔声减振措施，通过合理安排施工工序，缩短施工周期、合理安排施工时间、文明施工等措施，确保施工期间场界噪声满足《建筑施工噪声排放标准》（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GB12523-20</w:t>
            </w:r>
            <w:r>
              <w:rPr>
                <w:rFonts w:hint="eastAsia" w:cs="Times New Roman"/>
                <w:color w:val="000000" w:themeColor="text1"/>
                <w:kern w:val="0"/>
                <w:sz w:val="24"/>
                <w:szCs w:val="24"/>
                <w:lang w:val="en-US" w:eastAsia="zh-CN" w:bidi="ar"/>
                <w14:textFill>
                  <w14:solidFill>
                    <w14:schemeClr w14:val="tx1"/>
                  </w14:solidFill>
                </w14:textFill>
              </w:rPr>
              <w:t>25</w:t>
            </w:r>
            <w:r>
              <w:rPr>
                <w:rFonts w:hint="eastAsia" w:ascii="宋体" w:hAnsi="宋体" w:eastAsia="宋体" w:cs="宋体"/>
                <w:color w:val="000000" w:themeColor="text1"/>
                <w:kern w:val="0"/>
                <w:sz w:val="24"/>
                <w:szCs w:val="24"/>
                <w:lang w:val="en-US" w:eastAsia="zh-CN" w:bidi="ar"/>
                <w14:textFill>
                  <w14:solidFill>
                    <w14:schemeClr w14:val="tx1"/>
                  </w14:solidFill>
                </w14:textFill>
              </w:rPr>
              <w:t>）中相关要求，实现厂界处达标排放。</w:t>
            </w:r>
          </w:p>
          <w:p w14:paraId="27274472">
            <w:pPr>
              <w:pStyle w:val="4"/>
              <w:keepNext w:val="0"/>
              <w:keepLines w:val="0"/>
              <w:pageBreakBefore w:val="0"/>
              <w:kinsoku/>
              <w:wordWrap/>
              <w:overflowPunct/>
              <w:topLinePunct w:val="0"/>
              <w:autoSpaceDE/>
              <w:autoSpaceDN/>
              <w:bidi w:val="0"/>
              <w:spacing w:before="0" w:beforeLines="0"/>
              <w:ind w:left="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4、施工期</w:t>
            </w:r>
            <w:r>
              <w:rPr>
                <w:rFonts w:hint="eastAsia"/>
                <w:color w:val="000000" w:themeColor="text1"/>
                <w:sz w:val="24"/>
                <w:szCs w:val="24"/>
                <w:lang w:eastAsia="zh-CN"/>
                <w14:textFill>
                  <w14:solidFill>
                    <w14:schemeClr w14:val="tx1"/>
                  </w14:solidFill>
                </w14:textFill>
              </w:rPr>
              <w:t>固体废物污染</w:t>
            </w:r>
            <w:r>
              <w:rPr>
                <w:color w:val="000000" w:themeColor="text1"/>
                <w:sz w:val="24"/>
                <w:szCs w:val="24"/>
                <w14:textFill>
                  <w14:solidFill>
                    <w14:schemeClr w14:val="tx1"/>
                  </w14:solidFill>
                </w14:textFill>
              </w:rPr>
              <w:t>防治措施</w:t>
            </w:r>
          </w:p>
          <w:p w14:paraId="448837F9">
            <w:pPr>
              <w:keepNext w:val="0"/>
              <w:keepLines w:val="0"/>
              <w:pageBreakBefore w:val="0"/>
              <w:widowControl/>
              <w:suppressLineNumbers w:val="0"/>
              <w:kinsoku/>
              <w:wordWrap/>
              <w:overflowPunct/>
              <w:topLinePunct w:val="0"/>
              <w:autoSpaceDE/>
              <w:autoSpaceDN/>
              <w:bidi w:val="0"/>
              <w:ind w:left="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由于水基岩屑储存池为原环评已批准内容，目前已完成建设，因此，本项目</w:t>
            </w:r>
            <w:r>
              <w:rPr>
                <w:rFonts w:hint="eastAsia" w:ascii="宋体" w:hAnsi="宋体" w:eastAsia="宋体" w:cs="宋体"/>
                <w:color w:val="000000" w:themeColor="text1"/>
                <w:kern w:val="0"/>
                <w:sz w:val="24"/>
                <w:szCs w:val="24"/>
                <w:lang w:val="en-US" w:eastAsia="zh-CN" w:bidi="ar"/>
                <w14:textFill>
                  <w14:solidFill>
                    <w14:schemeClr w14:val="tx1"/>
                  </w14:solidFill>
                </w14:textFill>
              </w:rPr>
              <w:t>施工期</w:t>
            </w:r>
            <w:r>
              <w:rPr>
                <w:rFonts w:hint="eastAsia" w:ascii="宋体" w:hAnsi="宋体" w:cs="宋体"/>
                <w:color w:val="000000" w:themeColor="text1"/>
                <w:kern w:val="0"/>
                <w:sz w:val="24"/>
                <w:szCs w:val="24"/>
                <w:lang w:val="en-US" w:eastAsia="zh-CN" w:bidi="ar"/>
                <w14:textFill>
                  <w14:solidFill>
                    <w14:schemeClr w14:val="tx1"/>
                  </w14:solidFill>
                </w14:textFill>
              </w:rPr>
              <w:t>不涉及土方开挖施工，</w:t>
            </w:r>
            <w:r>
              <w:rPr>
                <w:rFonts w:hint="eastAsia" w:ascii="宋体" w:hAnsi="宋体" w:eastAsia="宋体" w:cs="宋体"/>
                <w:color w:val="000000" w:themeColor="text1"/>
                <w:kern w:val="0"/>
                <w:sz w:val="24"/>
                <w:szCs w:val="24"/>
                <w:lang w:val="en-US" w:eastAsia="zh-CN" w:bidi="ar"/>
                <w14:textFill>
                  <w14:solidFill>
                    <w14:schemeClr w14:val="tx1"/>
                  </w14:solidFill>
                </w14:textFill>
              </w:rPr>
              <w:t>固废主要为厂房适应性改造产生的建筑垃圾、设备安装过程中会产生废包装材料及工作人员的生活垃圾等。</w:t>
            </w:r>
          </w:p>
          <w:p w14:paraId="67F5CC04">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厂房适应性改造产生的建筑垃圾首先应考虑回收利用，对钢板、木料可分类回收，交由有回收资质的废品收购站处理；对不能回收的建筑垃圾，如混凝土废料、碎砖、砂石等材料交由专业的运渣公司定期运至当地指定的建筑垃圾堆放点进行处置，严禁倾弃置于城建、规划部门非指定堆放点。 </w:t>
            </w:r>
          </w:p>
          <w:p w14:paraId="7EACB324">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w:t>
            </w:r>
            <w:r>
              <w:rPr>
                <w:rFonts w:hint="eastAsia" w:ascii="宋体" w:hAnsi="宋体" w:eastAsia="宋体" w:cs="宋体"/>
                <w:color w:val="000000" w:themeColor="text1"/>
                <w:kern w:val="0"/>
                <w:sz w:val="24"/>
                <w:szCs w:val="24"/>
                <w:lang w:val="en-US" w:eastAsia="zh-CN" w:bidi="ar"/>
                <w14:textFill>
                  <w14:solidFill>
                    <w14:schemeClr w14:val="tx1"/>
                  </w14:solidFill>
                </w14:textFill>
              </w:rPr>
              <w:t>）项目设备安装过程中会产生废包装材料，直接外售废品回收站，去向合理，不会造成二次污染。</w:t>
            </w:r>
          </w:p>
          <w:p w14:paraId="67B3164B">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）施工期间施工人员产生的生活垃圾袋装收集，由环卫部门统一处理，去向合理，不会造成二次污染。</w:t>
            </w:r>
          </w:p>
          <w:p w14:paraId="7B486DDD">
            <w:pPr>
              <w:pStyle w:val="4"/>
              <w:keepNext w:val="0"/>
              <w:keepLines w:val="0"/>
              <w:pageBreakBefore w:val="0"/>
              <w:kinsoku/>
              <w:wordWrap/>
              <w:overflowPunct/>
              <w:topLinePunct w:val="0"/>
              <w:autoSpaceDE/>
              <w:autoSpaceDN/>
              <w:bidi w:val="0"/>
              <w:spacing w:before="0" w:beforeLines="0"/>
              <w:ind w:left="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5、生态保护措施</w:t>
            </w:r>
          </w:p>
          <w:p w14:paraId="0D24E9CD">
            <w:pPr>
              <w:keepNext w:val="0"/>
              <w:keepLines w:val="0"/>
              <w:pageBreakBefore w:val="0"/>
              <w:kinsoku/>
              <w:wordWrap/>
              <w:overflowPunct/>
              <w:topLinePunct w:val="0"/>
              <w:autoSpaceDE/>
              <w:autoSpaceDN/>
              <w:bidi w:val="0"/>
              <w:adjustRightInd w:val="0"/>
              <w:snapToGrid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lang w:bidi="ar"/>
                <w14:textFill>
                  <w14:solidFill>
                    <w14:schemeClr w14:val="tx1"/>
                  </w14:solidFill>
                </w14:textFill>
              </w:rPr>
              <w:t>项目为租用已建成厂房设置生产线，建设施工期在现有占地范围内建设，不新增用地，生态影响较小。施工期间，施工单位应该尽可能地缩小和控制施工范围，并将一切施工活动在施工范围内进行，避免对项目建设地周边生态环境造成影响</w:t>
            </w:r>
            <w:r>
              <w:rPr>
                <w:rFonts w:cs="Times New Roman"/>
                <w:color w:val="000000" w:themeColor="text1"/>
                <w:sz w:val="24"/>
                <w:szCs w:val="24"/>
                <w14:textFill>
                  <w14:solidFill>
                    <w14:schemeClr w14:val="tx1"/>
                  </w14:solidFill>
                </w14:textFill>
              </w:rPr>
              <w:t>。</w:t>
            </w:r>
          </w:p>
          <w:p w14:paraId="42041D8D">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综上，项目施工期较短，施工造成的影响是暂时的，将随着施工期结束而结束，基本可以得到恢复。只要施工单位认真制定和严格落实工程施工期应该采取的环保对策措施，则施工对周围环境的影响可得到有效控制。</w:t>
            </w:r>
          </w:p>
          <w:p w14:paraId="3CC20499">
            <w:pPr>
              <w:pStyle w:val="2"/>
              <w:rPr>
                <w:rFonts w:cs="Times New Roman"/>
                <w:color w:val="000000" w:themeColor="text1"/>
                <w:sz w:val="24"/>
                <w:szCs w:val="24"/>
                <w14:textFill>
                  <w14:solidFill>
                    <w14:schemeClr w14:val="tx1"/>
                  </w14:solidFill>
                </w14:textFill>
              </w:rPr>
            </w:pPr>
          </w:p>
          <w:p w14:paraId="075C7980">
            <w:pPr>
              <w:pStyle w:val="2"/>
              <w:rPr>
                <w:rFonts w:cs="Times New Roman"/>
                <w:color w:val="000000" w:themeColor="text1"/>
                <w:sz w:val="24"/>
                <w:szCs w:val="24"/>
                <w14:textFill>
                  <w14:solidFill>
                    <w14:schemeClr w14:val="tx1"/>
                  </w14:solidFill>
                </w14:textFill>
              </w:rPr>
            </w:pPr>
          </w:p>
          <w:p w14:paraId="25ABA8F0">
            <w:pPr>
              <w:pStyle w:val="2"/>
              <w:rPr>
                <w:rFonts w:cs="Times New Roman"/>
                <w:color w:val="000000" w:themeColor="text1"/>
                <w:sz w:val="24"/>
                <w:szCs w:val="24"/>
                <w14:textFill>
                  <w14:solidFill>
                    <w14:schemeClr w14:val="tx1"/>
                  </w14:solidFill>
                </w14:textFill>
              </w:rPr>
            </w:pPr>
          </w:p>
        </w:tc>
      </w:tr>
      <w:tr w14:paraId="0F9A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dxa"/>
            <w:vAlign w:val="center"/>
          </w:tcPr>
          <w:p w14:paraId="10BFF6C1">
            <w:pPr>
              <w:pStyle w:val="27"/>
              <w:rPr>
                <w:rFonts w:cs="Times New Roman"/>
                <w:color w:val="000000" w:themeColor="text1"/>
                <w14:textFill>
                  <w14:solidFill>
                    <w14:schemeClr w14:val="tx1"/>
                  </w14:solidFill>
                </w14:textFill>
              </w:rPr>
            </w:pPr>
            <w:r>
              <w:rPr>
                <w:rFonts w:cs="Times New Roman"/>
                <w:color w:val="000000" w:themeColor="text1"/>
                <w:sz w:val="24"/>
                <w:szCs w:val="28"/>
                <w14:textFill>
                  <w14:solidFill>
                    <w14:schemeClr w14:val="tx1"/>
                  </w14:solidFill>
                </w14:textFill>
              </w:rPr>
              <w:t>运营期环境影响和保护措施</w:t>
            </w:r>
          </w:p>
        </w:tc>
        <w:tc>
          <w:tcPr>
            <w:tcW w:w="9321" w:type="dxa"/>
          </w:tcPr>
          <w:p w14:paraId="7574A8D4">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1、废气的排放及治理措施</w:t>
            </w:r>
          </w:p>
          <w:p w14:paraId="1FCBE096">
            <w:pPr>
              <w:ind w:firstLine="480"/>
              <w:rPr>
                <w:rFonts w:hint="eastAsia"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本项目运营期</w:t>
            </w:r>
            <w:r>
              <w:rPr>
                <w:rFonts w:hint="eastAsia" w:cs="Times New Roman"/>
                <w:color w:val="000000" w:themeColor="text1"/>
                <w:lang w:val="en-US" w:eastAsia="zh-CN"/>
                <w14:textFill>
                  <w14:solidFill>
                    <w14:schemeClr w14:val="tx1"/>
                  </w14:solidFill>
                </w14:textFill>
              </w:rPr>
              <w:t>大气环境影响和保护措施详见大气专项评价。</w:t>
            </w:r>
          </w:p>
          <w:p w14:paraId="54720C98">
            <w:pPr>
              <w:ind w:left="0" w:leftChars="0" w:firstLine="480" w:firstLineChars="20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本项目所在区域为达标区。由预测结果可知，项目污染物最大落地浓度占标率最大为无组织面源的TSP，1%</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Pmax=3.1091</w:t>
            </w:r>
            <w:r>
              <w:rPr>
                <w:rFonts w:hint="default" w:ascii="Times New Roman" w:hAnsi="Times New Roman" w:cs="Times New Roman"/>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10%</w:t>
            </w:r>
            <w:r>
              <w:rPr>
                <w:rFonts w:hint="eastAsia" w:ascii="宋体" w:hAnsi="宋体" w:eastAsia="宋体" w:cs="宋体"/>
                <w:b w:val="0"/>
                <w:color w:val="000000" w:themeColor="text1"/>
                <w:sz w:val="24"/>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按照</w:t>
            </w:r>
            <w:r>
              <w:rPr>
                <w:rFonts w:hint="default" w:ascii="Times New Roman" w:hAnsi="Times New Roman" w:cs="Times New Roman"/>
                <w:color w:val="000000" w:themeColor="text1"/>
                <w14:textFill>
                  <w14:solidFill>
                    <w14:schemeClr w14:val="tx1"/>
                  </w14:solidFill>
                </w14:textFill>
              </w:rPr>
              <w:t>《环境影响评价技术导则 大气环境》</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HJ2.2-2018</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规定，</w:t>
            </w:r>
            <w:r>
              <w:rPr>
                <w:rFonts w:hint="default" w:ascii="Times New Roman" w:hAnsi="Times New Roman" w:cs="Times New Roman"/>
                <w:color w:val="000000" w:themeColor="text1"/>
                <w14:textFill>
                  <w14:solidFill>
                    <w14:schemeClr w14:val="tx1"/>
                  </w14:solidFill>
                </w14:textFill>
              </w:rPr>
              <w:t>确定本项目大气环境影响评价工作等级为</w:t>
            </w:r>
            <w:r>
              <w:rPr>
                <w:rFonts w:hint="eastAsia" w:cs="Times New Roman"/>
                <w:color w:val="000000" w:themeColor="text1"/>
                <w:lang w:val="en-US" w:eastAsia="zh-CN"/>
                <w14:textFill>
                  <w14:solidFill>
                    <w14:schemeClr w14:val="tx1"/>
                  </w14:solidFill>
                </w14:textFill>
              </w:rPr>
              <w:t>二级。</w:t>
            </w:r>
            <w:r>
              <w:rPr>
                <w:rFonts w:hint="default" w:ascii="Times New Roman" w:hAnsi="Times New Roman" w:cs="Times New Roman"/>
                <w:color w:val="000000" w:themeColor="text1"/>
                <w14:textFill>
                  <w14:solidFill>
                    <w14:schemeClr w14:val="tx1"/>
                  </w14:solidFill>
                </w14:textFill>
              </w:rPr>
              <w:t>因此</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本项目不</w:t>
            </w:r>
            <w:r>
              <w:rPr>
                <w:rFonts w:hint="default" w:ascii="Times New Roman" w:hAnsi="Times New Roman" w:cs="Times New Roman"/>
                <w:color w:val="000000" w:themeColor="text1"/>
                <w14:textFill>
                  <w14:solidFill>
                    <w14:schemeClr w14:val="tx1"/>
                  </w14:solidFill>
                </w14:textFill>
              </w:rPr>
              <w:t>进行进一步预测与评价</w:t>
            </w:r>
            <w:r>
              <w:rPr>
                <w:rFonts w:hint="eastAsia" w:cs="Times New Roman"/>
                <w:color w:val="000000" w:themeColor="text1"/>
                <w:lang w:eastAsia="zh-CN"/>
                <w14:textFill>
                  <w14:solidFill>
                    <w14:schemeClr w14:val="tx1"/>
                  </w14:solidFill>
                </w14:textFill>
              </w:rPr>
              <w:t>，</w:t>
            </w:r>
            <w:r>
              <w:rPr>
                <w:rFonts w:hint="eastAsia" w:ascii="Times New Roman" w:hAnsi="Times New Roman" w:cs="Times New Roman"/>
                <w:b w:val="0"/>
                <w:bCs w:val="0"/>
                <w:color w:val="000000" w:themeColor="text1"/>
                <w:spacing w:val="4"/>
                <w:sz w:val="24"/>
                <w:szCs w:val="24"/>
                <w:lang w:val="en-US" w:eastAsia="zh-CN" w:bidi="ar-SA"/>
                <w14:textFill>
                  <w14:solidFill>
                    <w14:schemeClr w14:val="tx1"/>
                  </w14:solidFill>
                </w14:textFill>
              </w:rPr>
              <w:t>只对污染物排放量进行核算</w:t>
            </w:r>
            <w:r>
              <w:rPr>
                <w:rFonts w:hint="eastAsia" w:cs="Times New Roman"/>
                <w:color w:val="000000" w:themeColor="text1"/>
                <w:lang w:val="en-US" w:eastAsia="zh-CN"/>
                <w14:textFill>
                  <w14:solidFill>
                    <w14:schemeClr w14:val="tx1"/>
                  </w14:solidFill>
                </w14:textFill>
              </w:rPr>
              <w:t>。</w:t>
            </w:r>
          </w:p>
          <w:p w14:paraId="17CF5C41">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2、废水的排放及治理措施</w:t>
            </w:r>
          </w:p>
          <w:p w14:paraId="12506127">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项目废水为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W1</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压滤废水</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W2</w:t>
            </w:r>
            <w:r>
              <w:rPr>
                <w:rFonts w:hint="eastAsia" w:ascii="宋体" w:hAnsi="宋体" w:eastAsia="宋体" w:cs="宋体"/>
                <w:color w:val="000000" w:themeColor="text1"/>
                <w:kern w:val="0"/>
                <w:sz w:val="24"/>
                <w:szCs w:val="24"/>
                <w:lang w:val="en-US" w:eastAsia="zh-CN" w:bidi="ar"/>
                <w14:textFill>
                  <w14:solidFill>
                    <w14:schemeClr w14:val="tx1"/>
                  </w14:solidFill>
                </w14:textFill>
              </w:rPr>
              <w:t>渗滤液、</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W3</w:t>
            </w:r>
            <w:r>
              <w:rPr>
                <w:rFonts w:hint="eastAsia" w:ascii="宋体" w:hAnsi="宋体" w:eastAsia="宋体" w:cs="宋体"/>
                <w:color w:val="000000" w:themeColor="text1"/>
                <w:kern w:val="0"/>
                <w:sz w:val="24"/>
                <w:szCs w:val="24"/>
                <w:lang w:val="en-US" w:eastAsia="zh-CN" w:bidi="ar"/>
                <w14:textFill>
                  <w14:solidFill>
                    <w14:schemeClr w14:val="tx1"/>
                  </w14:solidFill>
                </w14:textFill>
              </w:rPr>
              <w:t>地面冲洗废水、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W4</w:t>
            </w:r>
            <w:r>
              <w:rPr>
                <w:rFonts w:hint="eastAsia" w:ascii="宋体" w:hAnsi="宋体" w:eastAsia="宋体" w:cs="宋体"/>
                <w:color w:val="000000" w:themeColor="text1"/>
                <w:kern w:val="0"/>
                <w:sz w:val="24"/>
                <w:szCs w:val="24"/>
                <w:lang w:val="en-US" w:eastAsia="zh-CN" w:bidi="ar"/>
                <w14:textFill>
                  <w14:solidFill>
                    <w14:schemeClr w14:val="tx1"/>
                  </w14:solidFill>
                </w14:textFill>
              </w:rPr>
              <w:t>车辆冲洗废水、</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W5生</w:t>
            </w:r>
            <w:r>
              <w:rPr>
                <w:rFonts w:hint="eastAsia" w:ascii="宋体" w:hAnsi="宋体" w:eastAsia="宋体" w:cs="宋体"/>
                <w:color w:val="000000" w:themeColor="text1"/>
                <w:kern w:val="0"/>
                <w:sz w:val="24"/>
                <w:szCs w:val="24"/>
                <w:lang w:val="en-US" w:eastAsia="zh-CN" w:bidi="ar"/>
                <w14:textFill>
                  <w14:solidFill>
                    <w14:schemeClr w14:val="tx1"/>
                  </w14:solidFill>
                </w14:textFill>
              </w:rPr>
              <w:t>活污水。</w:t>
            </w:r>
          </w:p>
          <w:p w14:paraId="258FCEFF">
            <w:pPr>
              <w:pStyle w:val="12"/>
              <w:keepNext/>
              <w:keepLines w:val="0"/>
              <w:pageBreakBefore w:val="0"/>
              <w:widowControl/>
              <w:kinsoku/>
              <w:wordWrap/>
              <w:overflowPunct/>
              <w:topLinePunct w:val="0"/>
              <w:autoSpaceDE/>
              <w:autoSpaceDN/>
              <w:bidi w:val="0"/>
              <w:adjustRightInd w:val="0"/>
              <w:snapToGrid w:val="0"/>
              <w:spacing w:after="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t xml:space="preserve"> </w:t>
            </w:r>
            <w:r>
              <w:rPr>
                <w:rFonts w:hint="eastAsia" w:cs="Times New Roman"/>
                <w:color w:val="000000" w:themeColor="text1"/>
                <w:lang w:val="en-US" w:eastAsia="zh-CN"/>
                <w14:textFill>
                  <w14:solidFill>
                    <w14:schemeClr w14:val="tx1"/>
                  </w14:solidFill>
                </w14:textFill>
              </w:rPr>
              <w:t>废水</w:t>
            </w:r>
            <w:r>
              <w:rPr>
                <w:rFonts w:cs="Times New Roman"/>
                <w:color w:val="000000" w:themeColor="text1"/>
                <w14:textFill>
                  <w14:solidFill>
                    <w14:schemeClr w14:val="tx1"/>
                  </w14:solidFill>
                </w14:textFill>
              </w:rPr>
              <w:t>基本情况</w:t>
            </w:r>
          </w:p>
          <w:tbl>
            <w:tblPr>
              <w:tblStyle w:val="30"/>
              <w:tblW w:w="4997"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593"/>
              <w:gridCol w:w="1132"/>
              <w:gridCol w:w="894"/>
              <w:gridCol w:w="724"/>
              <w:gridCol w:w="2240"/>
              <w:gridCol w:w="1798"/>
            </w:tblGrid>
            <w:tr w14:paraId="2317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5C1032CE">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编号</w:t>
                  </w:r>
                </w:p>
              </w:tc>
              <w:tc>
                <w:tcPr>
                  <w:tcW w:w="880" w:type="pct"/>
                  <w:vAlign w:val="center"/>
                </w:tcPr>
                <w:p w14:paraId="63E7605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625" w:type="pct"/>
                  <w:vAlign w:val="center"/>
                </w:tcPr>
                <w:p w14:paraId="21E23526">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产生环节</w:t>
                  </w:r>
                </w:p>
              </w:tc>
              <w:tc>
                <w:tcPr>
                  <w:tcW w:w="494" w:type="pct"/>
                  <w:vAlign w:val="center"/>
                </w:tcPr>
                <w:p w14:paraId="35056CA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污染物种类</w:t>
                  </w:r>
                </w:p>
              </w:tc>
              <w:tc>
                <w:tcPr>
                  <w:tcW w:w="400" w:type="pct"/>
                  <w:vAlign w:val="center"/>
                </w:tcPr>
                <w:p w14:paraId="3D319AE1">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排放形式</w:t>
                  </w:r>
                </w:p>
              </w:tc>
              <w:tc>
                <w:tcPr>
                  <w:tcW w:w="1237" w:type="pct"/>
                  <w:vAlign w:val="center"/>
                </w:tcPr>
                <w:p w14:paraId="1F9DD306">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治理措施</w:t>
                  </w:r>
                </w:p>
              </w:tc>
              <w:tc>
                <w:tcPr>
                  <w:tcW w:w="993" w:type="pct"/>
                  <w:vAlign w:val="center"/>
                </w:tcPr>
                <w:p w14:paraId="2606409A">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排放方式</w:t>
                  </w:r>
                </w:p>
              </w:tc>
            </w:tr>
            <w:tr w14:paraId="12DF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1D92F169">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W1</w:t>
                  </w:r>
                </w:p>
              </w:tc>
              <w:tc>
                <w:tcPr>
                  <w:tcW w:w="880" w:type="pct"/>
                  <w:vAlign w:val="center"/>
                </w:tcPr>
                <w:p w14:paraId="37DA594A">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压滤废水</w:t>
                  </w:r>
                </w:p>
              </w:tc>
              <w:tc>
                <w:tcPr>
                  <w:tcW w:w="625" w:type="pct"/>
                  <w:vAlign w:val="center"/>
                </w:tcPr>
                <w:p w14:paraId="2AEA94CE">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水基岩屑预处理</w:t>
                  </w:r>
                </w:p>
              </w:tc>
              <w:tc>
                <w:tcPr>
                  <w:tcW w:w="494" w:type="pct"/>
                  <w:vMerge w:val="restart"/>
                  <w:vAlign w:val="center"/>
                </w:tcPr>
                <w:p w14:paraId="2AD1D9BD">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COD、SS、石油类等</w:t>
                  </w:r>
                </w:p>
              </w:tc>
              <w:tc>
                <w:tcPr>
                  <w:tcW w:w="400" w:type="pct"/>
                  <w:vAlign w:val="center"/>
                </w:tcPr>
                <w:p w14:paraId="73629BAD">
                  <w:pPr>
                    <w:pStyle w:val="13"/>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Align w:val="center"/>
                </w:tcPr>
                <w:p w14:paraId="3B8AF41B">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水基岩屑投加絮凝剂压滤预处理，压滤出的废水排入滤液池暂存</w:t>
                  </w:r>
                </w:p>
              </w:tc>
              <w:tc>
                <w:tcPr>
                  <w:tcW w:w="993" w:type="pct"/>
                  <w:vAlign w:val="center"/>
                </w:tcPr>
                <w:p w14:paraId="16BC2A83">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滤液池暂存，部分回用，剩余委托资质单位每日清运处置</w:t>
                  </w:r>
                </w:p>
              </w:tc>
            </w:tr>
            <w:tr w14:paraId="096E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5BB4240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W2</w:t>
                  </w:r>
                </w:p>
              </w:tc>
              <w:tc>
                <w:tcPr>
                  <w:tcW w:w="880" w:type="pct"/>
                  <w:vAlign w:val="center"/>
                </w:tcPr>
                <w:p w14:paraId="3741DC62">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渗滤液</w:t>
                  </w:r>
                </w:p>
              </w:tc>
              <w:tc>
                <w:tcPr>
                  <w:tcW w:w="625" w:type="pct"/>
                  <w:vAlign w:val="center"/>
                </w:tcPr>
                <w:p w14:paraId="336839C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w:t>
                  </w:r>
                  <w:r>
                    <w:rPr>
                      <w:rFonts w:hint="eastAsia" w:eastAsia="宋体" w:cs="Times New Roman"/>
                      <w:color w:val="000000" w:themeColor="text1"/>
                      <w:lang w:val="en-US" w:eastAsia="zh-CN"/>
                      <w14:textFill>
                        <w14:solidFill>
                          <w14:schemeClr w14:val="tx1"/>
                        </w14:solidFill>
                      </w14:textFill>
                    </w:rPr>
                    <w:t>堆存</w:t>
                  </w:r>
                </w:p>
              </w:tc>
              <w:tc>
                <w:tcPr>
                  <w:tcW w:w="494" w:type="pct"/>
                  <w:vMerge w:val="continue"/>
                  <w:vAlign w:val="center"/>
                </w:tcPr>
                <w:p w14:paraId="6D69565B">
                  <w:pPr>
                    <w:pStyle w:val="13"/>
                    <w:rPr>
                      <w:rFonts w:hint="default" w:eastAsia="宋体" w:cs="Times New Roman"/>
                      <w:color w:val="000000" w:themeColor="text1"/>
                      <w:lang w:val="en-US" w:eastAsia="zh-CN"/>
                      <w14:textFill>
                        <w14:solidFill>
                          <w14:schemeClr w14:val="tx1"/>
                        </w14:solidFill>
                      </w14:textFill>
                    </w:rPr>
                  </w:pPr>
                </w:p>
              </w:tc>
              <w:tc>
                <w:tcPr>
                  <w:tcW w:w="400" w:type="pct"/>
                  <w:vAlign w:val="center"/>
                </w:tcPr>
                <w:p w14:paraId="0B13DD72">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237" w:type="pct"/>
                  <w:vAlign w:val="center"/>
                </w:tcPr>
                <w:p w14:paraId="1A6227D8">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随</w:t>
                  </w:r>
                  <w:r>
                    <w:rPr>
                      <w:rFonts w:hint="eastAsia" w:cs="Times New Roman"/>
                      <w:color w:val="000000" w:themeColor="text1"/>
                      <w:lang w:val="en-US" w:eastAsia="zh-CN"/>
                      <w14:textFill>
                        <w14:solidFill>
                          <w14:schemeClr w14:val="tx1"/>
                        </w14:solidFill>
                      </w14:textFill>
                    </w:rPr>
                    <w:t>水基岩屑</w:t>
                  </w:r>
                  <w:r>
                    <w:rPr>
                      <w:rFonts w:hint="eastAsia" w:eastAsia="宋体" w:cs="Times New Roman"/>
                      <w:color w:val="000000" w:themeColor="text1"/>
                      <w:lang w:val="en-US" w:eastAsia="zh-CN"/>
                      <w14:textFill>
                        <w14:solidFill>
                          <w14:schemeClr w14:val="tx1"/>
                        </w14:solidFill>
                      </w14:textFill>
                    </w:rPr>
                    <w:t>一同进入</w:t>
                  </w:r>
                  <w:r>
                    <w:rPr>
                      <w:rFonts w:hint="eastAsia" w:cs="Times New Roman"/>
                      <w:color w:val="000000" w:themeColor="text1"/>
                      <w:lang w:val="en-US" w:eastAsia="zh-CN"/>
                      <w14:textFill>
                        <w14:solidFill>
                          <w14:schemeClr w14:val="tx1"/>
                        </w14:solidFill>
                      </w14:textFill>
                    </w:rPr>
                    <w:t>煅烧</w:t>
                  </w:r>
                  <w:r>
                    <w:rPr>
                      <w:rFonts w:hint="eastAsia" w:eastAsia="宋体" w:cs="Times New Roman"/>
                      <w:color w:val="000000" w:themeColor="text1"/>
                      <w:lang w:val="en-US" w:eastAsia="zh-CN"/>
                      <w14:textFill>
                        <w14:solidFill>
                          <w14:schemeClr w14:val="tx1"/>
                        </w14:solidFill>
                      </w14:textFill>
                    </w:rPr>
                    <w:t>工序蒸发</w:t>
                  </w:r>
                </w:p>
              </w:tc>
              <w:tc>
                <w:tcPr>
                  <w:tcW w:w="993" w:type="pct"/>
                  <w:vAlign w:val="center"/>
                </w:tcPr>
                <w:p w14:paraId="7B609FA8">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不排放</w:t>
                  </w:r>
                </w:p>
              </w:tc>
            </w:tr>
            <w:tr w14:paraId="46C3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9" w:type="pct"/>
                  <w:vAlign w:val="center"/>
                </w:tcPr>
                <w:p w14:paraId="60D0389B">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W3</w:t>
                  </w:r>
                </w:p>
              </w:tc>
              <w:tc>
                <w:tcPr>
                  <w:tcW w:w="880" w:type="pct"/>
                  <w:vAlign w:val="center"/>
                </w:tcPr>
                <w:p w14:paraId="6C16188D">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地面冲洗废水</w:t>
                  </w:r>
                </w:p>
              </w:tc>
              <w:tc>
                <w:tcPr>
                  <w:tcW w:w="625" w:type="pct"/>
                  <w:vAlign w:val="center"/>
                </w:tcPr>
                <w:p w14:paraId="7EFF83A8">
                  <w:pPr>
                    <w:pStyle w:val="13"/>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地面冲洗</w:t>
                  </w:r>
                </w:p>
              </w:tc>
              <w:tc>
                <w:tcPr>
                  <w:tcW w:w="494" w:type="pct"/>
                  <w:vMerge w:val="continue"/>
                  <w:vAlign w:val="center"/>
                </w:tcPr>
                <w:p w14:paraId="0EBBE172">
                  <w:pPr>
                    <w:pStyle w:val="13"/>
                    <w:rPr>
                      <w:rFonts w:cs="Times New Roman"/>
                      <w:color w:val="000000" w:themeColor="text1"/>
                      <w14:textFill>
                        <w14:solidFill>
                          <w14:schemeClr w14:val="tx1"/>
                        </w14:solidFill>
                      </w14:textFill>
                    </w:rPr>
                  </w:pPr>
                </w:p>
              </w:tc>
              <w:tc>
                <w:tcPr>
                  <w:tcW w:w="400" w:type="pct"/>
                  <w:vAlign w:val="center"/>
                </w:tcPr>
                <w:p w14:paraId="15E98DC3">
                  <w:pPr>
                    <w:pStyle w:val="13"/>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Merge w:val="restart"/>
                  <w:vAlign w:val="center"/>
                </w:tcPr>
                <w:p w14:paraId="7E30BD11">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排入水基岩屑储存池内，随水基岩屑一同絮凝+压滤</w:t>
                  </w:r>
                </w:p>
              </w:tc>
              <w:tc>
                <w:tcPr>
                  <w:tcW w:w="993" w:type="pct"/>
                  <w:vMerge w:val="restart"/>
                  <w:vAlign w:val="center"/>
                </w:tcPr>
                <w:p w14:paraId="37F3414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计入压滤废水中</w:t>
                  </w:r>
                </w:p>
              </w:tc>
            </w:tr>
            <w:tr w14:paraId="5E62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03E9B4A8">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W4</w:t>
                  </w:r>
                </w:p>
              </w:tc>
              <w:tc>
                <w:tcPr>
                  <w:tcW w:w="880" w:type="pct"/>
                  <w:vAlign w:val="center"/>
                </w:tcPr>
                <w:p w14:paraId="110B93D3">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车辆冲洗废水</w:t>
                  </w:r>
                </w:p>
              </w:tc>
              <w:tc>
                <w:tcPr>
                  <w:tcW w:w="625" w:type="pct"/>
                  <w:vAlign w:val="center"/>
                </w:tcPr>
                <w:p w14:paraId="08B636CF">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车辆冲洗</w:t>
                  </w:r>
                </w:p>
              </w:tc>
              <w:tc>
                <w:tcPr>
                  <w:tcW w:w="494" w:type="pct"/>
                  <w:vMerge w:val="continue"/>
                  <w:vAlign w:val="center"/>
                </w:tcPr>
                <w:p w14:paraId="1503D8A9">
                  <w:pPr>
                    <w:pStyle w:val="13"/>
                    <w:rPr>
                      <w:rFonts w:hint="eastAsia" w:eastAsia="宋体" w:cs="Times New Roman"/>
                      <w:color w:val="000000" w:themeColor="text1"/>
                      <w:lang w:val="en-US" w:eastAsia="zh-CN"/>
                      <w14:textFill>
                        <w14:solidFill>
                          <w14:schemeClr w14:val="tx1"/>
                        </w14:solidFill>
                      </w14:textFill>
                    </w:rPr>
                  </w:pPr>
                </w:p>
              </w:tc>
              <w:tc>
                <w:tcPr>
                  <w:tcW w:w="400" w:type="pct"/>
                  <w:vAlign w:val="center"/>
                </w:tcPr>
                <w:p w14:paraId="6071C76F">
                  <w:pPr>
                    <w:pStyle w:val="13"/>
                    <w:rPr>
                      <w:rFonts w:hint="eastAsia" w:eastAsia="宋体"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Merge w:val="continue"/>
                  <w:vAlign w:val="center"/>
                </w:tcPr>
                <w:p w14:paraId="1F02E7CD">
                  <w:pPr>
                    <w:pStyle w:val="13"/>
                    <w:rPr>
                      <w:rFonts w:hint="default" w:eastAsia="宋体" w:cs="Times New Roman"/>
                      <w:color w:val="000000" w:themeColor="text1"/>
                      <w:lang w:val="en-US" w:eastAsia="zh-CN"/>
                      <w14:textFill>
                        <w14:solidFill>
                          <w14:schemeClr w14:val="tx1"/>
                        </w14:solidFill>
                      </w14:textFill>
                    </w:rPr>
                  </w:pPr>
                </w:p>
              </w:tc>
              <w:tc>
                <w:tcPr>
                  <w:tcW w:w="993" w:type="pct"/>
                  <w:vMerge w:val="continue"/>
                  <w:vAlign w:val="center"/>
                </w:tcPr>
                <w:p w14:paraId="09AD197D">
                  <w:pPr>
                    <w:pStyle w:val="13"/>
                    <w:rPr>
                      <w:rFonts w:hint="default" w:eastAsia="宋体" w:cs="Times New Roman"/>
                      <w:color w:val="000000" w:themeColor="text1"/>
                      <w:lang w:val="en-US" w:eastAsia="zh-CN"/>
                      <w14:textFill>
                        <w14:solidFill>
                          <w14:schemeClr w14:val="tx1"/>
                        </w14:solidFill>
                      </w14:textFill>
                    </w:rPr>
                  </w:pPr>
                </w:p>
              </w:tc>
            </w:tr>
            <w:tr w14:paraId="79E3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26EC42D">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W5</w:t>
                  </w:r>
                </w:p>
              </w:tc>
              <w:tc>
                <w:tcPr>
                  <w:tcW w:w="880" w:type="pct"/>
                  <w:vAlign w:val="center"/>
                </w:tcPr>
                <w:p w14:paraId="7D0CBF9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喷淋废水</w:t>
                  </w:r>
                </w:p>
              </w:tc>
              <w:tc>
                <w:tcPr>
                  <w:tcW w:w="625" w:type="pct"/>
                  <w:vAlign w:val="center"/>
                </w:tcPr>
                <w:p w14:paraId="0FCAFCAA">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494" w:type="pct"/>
                  <w:vAlign w:val="center"/>
                </w:tcPr>
                <w:p w14:paraId="5F5489D6">
                  <w:pPr>
                    <w:pStyle w:val="13"/>
                    <w:ind w:firstLine="0" w:firstLineChars="0"/>
                    <w:rPr>
                      <w:rFonts w:hint="eastAsia" w:cs="Times New Roman"/>
                      <w:color w:val="000000" w:themeColor="text1"/>
                      <w:lang w:val="en-US" w:eastAsia="zh-CN"/>
                      <w14:textFill>
                        <w14:solidFill>
                          <w14:schemeClr w14:val="tx1"/>
                        </w14:solidFill>
                      </w14:textFill>
                    </w:rPr>
                  </w:pPr>
                  <w:r>
                    <w:rPr>
                      <w:rFonts w:cs="Times New Roman"/>
                      <w:bCs/>
                      <w:color w:val="000000" w:themeColor="text1"/>
                      <w:szCs w:val="21"/>
                      <w14:textFill>
                        <w14:solidFill>
                          <w14:schemeClr w14:val="tx1"/>
                        </w14:solidFill>
                      </w14:textFill>
                    </w:rPr>
                    <w:t>COD、</w:t>
                  </w:r>
                  <w:r>
                    <w:rPr>
                      <w:rFonts w:hint="eastAsia" w:cs="Times New Roman"/>
                      <w:bCs/>
                      <w:color w:val="000000" w:themeColor="text1"/>
                      <w:szCs w:val="21"/>
                      <w:lang w:val="en-US" w:eastAsia="zh-CN"/>
                      <w14:textFill>
                        <w14:solidFill>
                          <w14:schemeClr w14:val="tx1"/>
                        </w14:solidFill>
                      </w14:textFill>
                    </w:rPr>
                    <w:t>SS等</w:t>
                  </w:r>
                </w:p>
              </w:tc>
              <w:tc>
                <w:tcPr>
                  <w:tcW w:w="400" w:type="pct"/>
                  <w:vAlign w:val="center"/>
                </w:tcPr>
                <w:p w14:paraId="39A37ADC">
                  <w:pPr>
                    <w:pStyle w:val="13"/>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连续</w:t>
                  </w:r>
                </w:p>
              </w:tc>
              <w:tc>
                <w:tcPr>
                  <w:tcW w:w="1237" w:type="pct"/>
                  <w:vAlign w:val="center"/>
                </w:tcPr>
                <w:p w14:paraId="1C68FCF1">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排入滤液池内，随压滤废水一并处理</w:t>
                  </w:r>
                </w:p>
              </w:tc>
              <w:tc>
                <w:tcPr>
                  <w:tcW w:w="993" w:type="pct"/>
                  <w:vAlign w:val="center"/>
                </w:tcPr>
                <w:p w14:paraId="78EA8BFC">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计入压滤废水中</w:t>
                  </w:r>
                </w:p>
              </w:tc>
            </w:tr>
            <w:tr w14:paraId="4590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9B4E90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W6</w:t>
                  </w:r>
                </w:p>
              </w:tc>
              <w:tc>
                <w:tcPr>
                  <w:tcW w:w="880" w:type="pct"/>
                  <w:vAlign w:val="center"/>
                </w:tcPr>
                <w:p w14:paraId="1F651E1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蒸养冷凝水</w:t>
                  </w:r>
                </w:p>
              </w:tc>
              <w:tc>
                <w:tcPr>
                  <w:tcW w:w="625" w:type="pct"/>
                  <w:vAlign w:val="center"/>
                </w:tcPr>
                <w:p w14:paraId="48DA227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蒸养工序</w:t>
                  </w:r>
                </w:p>
              </w:tc>
              <w:tc>
                <w:tcPr>
                  <w:tcW w:w="494" w:type="pct"/>
                  <w:vAlign w:val="center"/>
                </w:tcPr>
                <w:p w14:paraId="6EDCAB1E">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SS等</w:t>
                  </w:r>
                </w:p>
              </w:tc>
              <w:tc>
                <w:tcPr>
                  <w:tcW w:w="400" w:type="pct"/>
                  <w:vAlign w:val="center"/>
                </w:tcPr>
                <w:p w14:paraId="2B4C1790">
                  <w:pPr>
                    <w:pStyle w:val="13"/>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Align w:val="center"/>
                </w:tcPr>
                <w:p w14:paraId="716B9D6B">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全部回用于免烧砌块生产</w:t>
                  </w:r>
                </w:p>
              </w:tc>
              <w:tc>
                <w:tcPr>
                  <w:tcW w:w="993" w:type="pct"/>
                  <w:vAlign w:val="center"/>
                </w:tcPr>
                <w:p w14:paraId="747614B3">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不排放</w:t>
                  </w:r>
                </w:p>
              </w:tc>
            </w:tr>
            <w:tr w14:paraId="3CA0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08863963">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W7</w:t>
                  </w:r>
                </w:p>
              </w:tc>
              <w:tc>
                <w:tcPr>
                  <w:tcW w:w="880" w:type="pct"/>
                  <w:vAlign w:val="center"/>
                </w:tcPr>
                <w:p w14:paraId="122126EF">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生活污水</w:t>
                  </w:r>
                </w:p>
              </w:tc>
              <w:tc>
                <w:tcPr>
                  <w:tcW w:w="625" w:type="pct"/>
                  <w:vAlign w:val="center"/>
                </w:tcPr>
                <w:p w14:paraId="3E3CD0C3">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生活办公</w:t>
                  </w:r>
                </w:p>
              </w:tc>
              <w:tc>
                <w:tcPr>
                  <w:tcW w:w="494" w:type="pct"/>
                  <w:vAlign w:val="center"/>
                </w:tcPr>
                <w:p w14:paraId="144C052A">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COD、氨氮等</w:t>
                  </w:r>
                </w:p>
              </w:tc>
              <w:tc>
                <w:tcPr>
                  <w:tcW w:w="400" w:type="pct"/>
                  <w:vAlign w:val="center"/>
                </w:tcPr>
                <w:p w14:paraId="63280FD2">
                  <w:pPr>
                    <w:pStyle w:val="13"/>
                    <w:ind w:firstLine="0" w:firstLineChars="0"/>
                    <w:rPr>
                      <w:rFonts w:hint="eastAsia"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Align w:val="center"/>
                </w:tcPr>
                <w:p w14:paraId="553A65E4">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依托厂区已建预处理池（食堂生活污水经隔油后与其他生活污水一并排入预处理池）</w:t>
                  </w:r>
                </w:p>
              </w:tc>
              <w:tc>
                <w:tcPr>
                  <w:tcW w:w="993" w:type="pct"/>
                  <w:vAlign w:val="center"/>
                </w:tcPr>
                <w:p w14:paraId="540FABB4">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排入园区污水管网送星光工业园区污水处理厂处理</w:t>
                  </w:r>
                </w:p>
              </w:tc>
            </w:tr>
          </w:tbl>
          <w:p w14:paraId="50ECD990">
            <w:pPr>
              <w:ind w:firstLine="482"/>
              <w:rPr>
                <w:rFonts w:hint="default" w:eastAsia="宋体" w:cs="Times New Roman"/>
                <w:b/>
                <w:color w:val="000000" w:themeColor="text1"/>
                <w:lang w:val="en-US" w:eastAsia="zh-CN"/>
                <w14:textFill>
                  <w14:solidFill>
                    <w14:schemeClr w14:val="tx1"/>
                  </w14:solidFill>
                </w14:textFill>
              </w:rPr>
            </w:pPr>
            <w:r>
              <w:rPr>
                <w:rFonts w:cs="Times New Roman"/>
                <w:b/>
                <w:color w:val="000000" w:themeColor="text1"/>
                <w14:textFill>
                  <w14:solidFill>
                    <w14:schemeClr w14:val="tx1"/>
                  </w14:solidFill>
                </w14:textFill>
              </w:rPr>
              <w:t>（1）</w:t>
            </w:r>
            <w:r>
              <w:rPr>
                <w:rFonts w:hint="eastAsia" w:cs="Times New Roman"/>
                <w:b/>
                <w:color w:val="000000" w:themeColor="text1"/>
                <w:lang w:val="en-US" w:eastAsia="zh-CN"/>
                <w14:textFill>
                  <w14:solidFill>
                    <w14:schemeClr w14:val="tx1"/>
                  </w14:solidFill>
                </w14:textFill>
              </w:rPr>
              <w:t>W1 压滤废水</w:t>
            </w:r>
          </w:p>
          <w:p w14:paraId="65700C5A">
            <w:pPr>
              <w:ind w:firstLine="480"/>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水基岩屑（含</w:t>
            </w:r>
            <w:r>
              <w:rPr>
                <w:rFonts w:hint="default" w:ascii="Times New Roman" w:hAnsi="Times New Roman" w:cs="Times New Roman"/>
                <w:color w:val="000000" w:themeColor="text1"/>
                <w:lang w:val="en-US" w:eastAsia="zh-CN"/>
                <w14:textFill>
                  <w14:solidFill>
                    <w14:schemeClr w14:val="tx1"/>
                  </w14:solidFill>
                </w14:textFill>
              </w:rPr>
              <w:t>水率≤70%</w:t>
            </w:r>
            <w:r>
              <w:rPr>
                <w:rFonts w:hint="eastAsia" w:cs="Times New Roman"/>
                <w:color w:val="000000" w:themeColor="text1"/>
                <w:lang w:val="en-US" w:eastAsia="zh-CN"/>
                <w14:textFill>
                  <w14:solidFill>
                    <w14:schemeClr w14:val="tx1"/>
                  </w14:solidFill>
                </w14:textFill>
              </w:rPr>
              <w:t>）需要进行预处理，投加絮凝剂（氧化钙、硫酸亚铁）后通过高压压滤机压滤，降低含水率至35%左右，压滤过程产生压滤废水，排入滤液池内。</w:t>
            </w:r>
          </w:p>
          <w:p w14:paraId="3931BFDF">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系统包括混合罐、高压压滤机、配套管线及滤液池。除滤液池外，均在地面明管设置，可及时发现泄漏情况。2号厂房内设1座水基岩屑储存池，分为4格，其中南侧两格为滤液池，尺寸为16×17.5×4m（长×宽×深），有效容积约1100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w:t>
            </w:r>
          </w:p>
          <w:p w14:paraId="58ED5E32">
            <w:pPr>
              <w:ind w:firstLine="48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本项目地面冲洗废水、车辆冲洗废水排入水基岩屑储存池内，随水基岩屑一同絮凝、压滤，最终随压滤废水一并处理。喷淋废水直接排放至滤液池内，随压滤废水一并处理。</w:t>
            </w:r>
          </w:p>
          <w:p w14:paraId="5AE01F9B">
            <w:pPr>
              <w:ind w:firstLine="48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根据水平衡分析，进入滤液池的废水产生量约115903.3t/a</w:t>
            </w:r>
            <w:r>
              <w:rPr>
                <w:rFonts w:hint="eastAsia" w:cs="Times New Roman"/>
                <w:color w:val="000000" w:themeColor="text1"/>
                <w:vertAlign w:val="baseline"/>
                <w:lang w:val="en-US" w:eastAsia="zh-CN"/>
                <w14:textFill>
                  <w14:solidFill>
                    <w14:schemeClr w14:val="tx1"/>
                  </w14:solidFill>
                </w14:textFill>
              </w:rPr>
              <w:t>，回用于免烧砌块生产6297t/a、储存过程蒸发消耗1159.033t/a、压滤机滤布冲洗用水825t/a，剩余压滤废水共计约107621.267</w:t>
            </w:r>
            <w:r>
              <w:rPr>
                <w:rFonts w:hint="eastAsia" w:cs="Times New Roman"/>
                <w:color w:val="000000" w:themeColor="text1"/>
                <w:lang w:val="en-US" w:eastAsia="zh-CN"/>
                <w14:textFill>
                  <w14:solidFill>
                    <w14:schemeClr w14:val="tx1"/>
                  </w14:solidFill>
                </w14:textFill>
              </w:rPr>
              <w:t>t/a。剩余压滤废水委托有资质单位处理。</w:t>
            </w:r>
          </w:p>
          <w:p w14:paraId="49B9F3BB">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压滤废水主要为水基岩屑经压滤后脱出的本身含水，</w:t>
            </w:r>
            <w:r>
              <w:rPr>
                <w:rFonts w:hint="eastAsia" w:ascii="宋体" w:hAnsi="宋体" w:eastAsia="宋体" w:cs="宋体"/>
                <w:color w:val="000000" w:themeColor="text1"/>
                <w:kern w:val="0"/>
                <w:sz w:val="24"/>
                <w:szCs w:val="24"/>
                <w:lang w:val="en-US" w:eastAsia="zh-CN" w:bidi="ar"/>
                <w14:textFill>
                  <w14:solidFill>
                    <w14:schemeClr w14:val="tx1"/>
                  </w14:solidFill>
                </w14:textFill>
              </w:rPr>
              <w:t>钻井废水主要污染物成分为钻井泥浆成分，其性质是钻井泥浆的高倍稀释废水。本项目使用的岩屑均为水基岩屑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，通常具有色度高、COD、悬浮物浓度、盐分含量高的特点。本项目水基岩屑经投加絮凝剂+压滤预处理，废水中COD、悬浮物得到一定削减，但盐分仍较高。</w:t>
            </w:r>
          </w:p>
          <w:p w14:paraId="5656BF20">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综上，结合巴中境内井场水基钻井过程产生的钻井废水以及四川益海化腾环保环保科技有限公司钻井压滤废水的成分检测报告确定本项目废水源强，具体如下：</w:t>
            </w:r>
          </w:p>
          <w:p w14:paraId="5E204C18">
            <w:pPr>
              <w:pStyle w:val="12"/>
              <w:keepNext/>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2</w:t>
            </w:r>
            <w:r>
              <w:rPr>
                <w:rFonts w:cs="Times New Roman"/>
                <w:color w:val="000000" w:themeColor="text1"/>
                <w14:textFill>
                  <w14:solidFill>
                    <w14:schemeClr w14:val="tx1"/>
                  </w14:solidFill>
                </w14:textFill>
              </w:rPr>
              <w:t xml:space="preserve"> 本项目</w:t>
            </w:r>
            <w:r>
              <w:rPr>
                <w:rFonts w:hint="eastAsia" w:cs="Times New Roman"/>
                <w:color w:val="000000" w:themeColor="text1"/>
                <w:lang w:val="en-US" w:eastAsia="zh-CN"/>
                <w14:textFill>
                  <w14:solidFill>
                    <w14:schemeClr w14:val="tx1"/>
                  </w14:solidFill>
                </w14:textFill>
              </w:rPr>
              <w:t>废水源强情况</w:t>
            </w:r>
          </w:p>
          <w:tbl>
            <w:tblPr>
              <w:tblStyle w:val="29"/>
              <w:tblW w:w="4997" w:type="pct"/>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108" w:type="dxa"/>
                <w:bottom w:w="0" w:type="dxa"/>
                <w:right w:w="108" w:type="dxa"/>
              </w:tblCellMar>
            </w:tblPr>
            <w:tblGrid>
              <w:gridCol w:w="1067"/>
              <w:gridCol w:w="1604"/>
              <w:gridCol w:w="1486"/>
              <w:gridCol w:w="1948"/>
              <w:gridCol w:w="1473"/>
              <w:gridCol w:w="1476"/>
            </w:tblGrid>
            <w:tr w14:paraId="67CDE701">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7FDFAFC9">
                  <w:pPr>
                    <w:pStyle w:val="5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序号</w:t>
                  </w:r>
                </w:p>
              </w:tc>
              <w:tc>
                <w:tcPr>
                  <w:tcW w:w="885" w:type="pct"/>
                  <w:tcBorders>
                    <w:tl2br w:val="nil"/>
                    <w:tr2bl w:val="nil"/>
                  </w:tcBorders>
                  <w:vAlign w:val="center"/>
                </w:tcPr>
                <w:p w14:paraId="332B1AE9">
                  <w:pPr>
                    <w:pStyle w:val="51"/>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污染物名称</w:t>
                  </w:r>
                </w:p>
              </w:tc>
              <w:tc>
                <w:tcPr>
                  <w:tcW w:w="820" w:type="pct"/>
                  <w:tcBorders>
                    <w:tl2br w:val="nil"/>
                    <w:tr2bl w:val="nil"/>
                  </w:tcBorders>
                  <w:vAlign w:val="center"/>
                </w:tcPr>
                <w:p w14:paraId="2DEDC503">
                  <w:pPr>
                    <w:pStyle w:val="51"/>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参考巴中区域钻井废水浓度</w:t>
                  </w:r>
                  <w:r>
                    <w:rPr>
                      <w:rFonts w:hint="default" w:ascii="Times New Roman" w:hAnsi="Times New Roman" w:eastAsia="宋体" w:cs="Times New Roman"/>
                      <w:color w:val="000000" w:themeColor="text1"/>
                      <w:lang w:val="en-US" w:eastAsia="zh-CN"/>
                      <w14:textFill>
                        <w14:solidFill>
                          <w14:schemeClr w14:val="tx1"/>
                        </w14:solidFill>
                      </w14:textFill>
                    </w:rPr>
                    <w:t>（mg/L）</w:t>
                  </w:r>
                </w:p>
              </w:tc>
              <w:tc>
                <w:tcPr>
                  <w:tcW w:w="1075" w:type="pct"/>
                  <w:tcBorders>
                    <w:tl2br w:val="nil"/>
                    <w:tr2bl w:val="nil"/>
                  </w:tcBorders>
                  <w:vAlign w:val="center"/>
                </w:tcPr>
                <w:p w14:paraId="2E9349CF">
                  <w:pPr>
                    <w:pStyle w:val="51"/>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参考四川益海化腾环保环保科技有限公司钻井压滤废水浓度（mg//L）</w:t>
                  </w:r>
                </w:p>
              </w:tc>
              <w:tc>
                <w:tcPr>
                  <w:tcW w:w="813" w:type="pct"/>
                  <w:tcBorders>
                    <w:tl2br w:val="nil"/>
                    <w:tr2bl w:val="nil"/>
                  </w:tcBorders>
                  <w:vAlign w:val="center"/>
                </w:tcPr>
                <w:p w14:paraId="74CC6B14">
                  <w:pPr>
                    <w:pStyle w:val="51"/>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综合确定的</w:t>
                  </w:r>
                  <w:r>
                    <w:rPr>
                      <w:rFonts w:hint="default" w:ascii="Times New Roman" w:hAnsi="Times New Roman" w:eastAsia="宋体" w:cs="Times New Roman"/>
                      <w:color w:val="000000" w:themeColor="text1"/>
                      <w:lang w:val="en-US" w:eastAsia="zh-CN"/>
                      <w14:textFill>
                        <w14:solidFill>
                          <w14:schemeClr w14:val="tx1"/>
                        </w14:solidFill>
                      </w14:textFill>
                    </w:rPr>
                    <w:t>本项目源强情况（mg/L）</w:t>
                  </w:r>
                </w:p>
              </w:tc>
              <w:tc>
                <w:tcPr>
                  <w:tcW w:w="814" w:type="pct"/>
                  <w:tcBorders>
                    <w:tl2br w:val="nil"/>
                    <w:tr2bl w:val="nil"/>
                  </w:tcBorders>
                  <w:shd w:val="clear" w:color="auto" w:fill="auto"/>
                  <w:vAlign w:val="center"/>
                </w:tcPr>
                <w:p w14:paraId="4B3E8B0B">
                  <w:pPr>
                    <w:pStyle w:val="51"/>
                    <w:ind w:firstLine="0" w:firstLineChars="0"/>
                    <w:rPr>
                      <w:rFonts w:hint="default" w:ascii="Times New Roman" w:hAnsi="Times New Roman" w:eastAsia="宋体" w:cs="Times New Roman"/>
                      <w:b/>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四川洁安环境科技有限公司油气田废水处理厂</w:t>
                  </w:r>
                  <w:r>
                    <w:rPr>
                      <w:rFonts w:hint="default" w:ascii="Times New Roman" w:hAnsi="Times New Roman" w:eastAsia="宋体" w:cs="Times New Roman"/>
                      <w:color w:val="000000" w:themeColor="text1"/>
                      <w:lang w:val="en-US" w:eastAsia="zh-CN"/>
                      <w14:textFill>
                        <w14:solidFill>
                          <w14:schemeClr w14:val="tx1"/>
                        </w14:solidFill>
                      </w14:textFill>
                    </w:rPr>
                    <w:t>进水水质要求（mg/L）</w:t>
                  </w:r>
                </w:p>
              </w:tc>
            </w:tr>
            <w:tr w14:paraId="2E665EF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7D6DDF71">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c>
                <w:tcPr>
                  <w:tcW w:w="885" w:type="pct"/>
                  <w:tcBorders>
                    <w:tl2br w:val="nil"/>
                    <w:tr2bl w:val="nil"/>
                  </w:tcBorders>
                  <w:vAlign w:val="center"/>
                </w:tcPr>
                <w:p w14:paraId="7F3005D8">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pH值</w:t>
                  </w:r>
                </w:p>
              </w:tc>
              <w:tc>
                <w:tcPr>
                  <w:tcW w:w="820" w:type="pct"/>
                  <w:tcBorders>
                    <w:tl2br w:val="nil"/>
                    <w:tr2bl w:val="nil"/>
                  </w:tcBorders>
                  <w:vAlign w:val="center"/>
                </w:tcPr>
                <w:p w14:paraId="5F35DED8">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6-9</w:t>
                  </w:r>
                </w:p>
              </w:tc>
              <w:tc>
                <w:tcPr>
                  <w:tcW w:w="1075" w:type="pct"/>
                  <w:tcBorders>
                    <w:tl2br w:val="nil"/>
                    <w:tr2bl w:val="nil"/>
                  </w:tcBorders>
                  <w:vAlign w:val="center"/>
                </w:tcPr>
                <w:p w14:paraId="30693AE3">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6-9</w:t>
                  </w:r>
                </w:p>
              </w:tc>
              <w:tc>
                <w:tcPr>
                  <w:tcW w:w="813" w:type="pct"/>
                  <w:tcBorders>
                    <w:tl2br w:val="nil"/>
                    <w:tr2bl w:val="nil"/>
                  </w:tcBorders>
                  <w:vAlign w:val="center"/>
                </w:tcPr>
                <w:p w14:paraId="006BD90E">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eastAsia="宋体" w:cs="Times New Roman"/>
                      <w:color w:val="000000" w:themeColor="text1"/>
                      <w:lang w:val="en-US" w:eastAsia="zh-CN"/>
                      <w14:textFill>
                        <w14:solidFill>
                          <w14:schemeClr w14:val="tx1"/>
                        </w14:solidFill>
                      </w14:textFill>
                    </w:rPr>
                    <w:t>-9</w:t>
                  </w:r>
                </w:p>
              </w:tc>
              <w:tc>
                <w:tcPr>
                  <w:tcW w:w="814" w:type="pct"/>
                  <w:tcBorders>
                    <w:tl2br w:val="nil"/>
                    <w:tr2bl w:val="nil"/>
                  </w:tcBorders>
                  <w:shd w:val="clear" w:color="auto" w:fill="auto"/>
                  <w:vAlign w:val="center"/>
                </w:tcPr>
                <w:p w14:paraId="5AED5603">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6~9</w:t>
                  </w:r>
                </w:p>
              </w:tc>
            </w:tr>
            <w:tr w14:paraId="2347916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265ABD1C">
                  <w:pPr>
                    <w:pStyle w:val="1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p>
              </w:tc>
              <w:tc>
                <w:tcPr>
                  <w:tcW w:w="885" w:type="pct"/>
                  <w:tcBorders>
                    <w:tl2br w:val="nil"/>
                    <w:tr2bl w:val="nil"/>
                  </w:tcBorders>
                  <w:vAlign w:val="center"/>
                </w:tcPr>
                <w:p w14:paraId="3BB660B5">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色度</w:t>
                  </w:r>
                </w:p>
              </w:tc>
              <w:tc>
                <w:tcPr>
                  <w:tcW w:w="820" w:type="pct"/>
                  <w:tcBorders>
                    <w:tl2br w:val="nil"/>
                    <w:tr2bl w:val="nil"/>
                  </w:tcBorders>
                  <w:vAlign w:val="center"/>
                </w:tcPr>
                <w:p w14:paraId="050639CA">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59EC0E7E">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50</w:t>
                  </w:r>
                </w:p>
              </w:tc>
              <w:tc>
                <w:tcPr>
                  <w:tcW w:w="813" w:type="pct"/>
                  <w:tcBorders>
                    <w:tl2br w:val="nil"/>
                    <w:tr2bl w:val="nil"/>
                  </w:tcBorders>
                  <w:vAlign w:val="center"/>
                </w:tcPr>
                <w:p w14:paraId="46B7A64E">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0-50</w:t>
                  </w:r>
                </w:p>
              </w:tc>
              <w:tc>
                <w:tcPr>
                  <w:tcW w:w="814" w:type="pct"/>
                  <w:tcBorders>
                    <w:tl2br w:val="nil"/>
                    <w:tr2bl w:val="nil"/>
                  </w:tcBorders>
                  <w:shd w:val="clear" w:color="auto" w:fill="auto"/>
                  <w:vAlign w:val="center"/>
                </w:tcPr>
                <w:p w14:paraId="01053E06">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0664C8E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76E3A523">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p>
              </w:tc>
              <w:tc>
                <w:tcPr>
                  <w:tcW w:w="885" w:type="pct"/>
                  <w:tcBorders>
                    <w:tl2br w:val="nil"/>
                    <w:tr2bl w:val="nil"/>
                  </w:tcBorders>
                  <w:vAlign w:val="center"/>
                </w:tcPr>
                <w:p w14:paraId="3544EFFF">
                  <w:pPr>
                    <w:pStyle w:val="13"/>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悬浮物</w:t>
                  </w:r>
                </w:p>
              </w:tc>
              <w:tc>
                <w:tcPr>
                  <w:tcW w:w="820" w:type="pct"/>
                  <w:tcBorders>
                    <w:tl2br w:val="nil"/>
                    <w:tr2bl w:val="nil"/>
                  </w:tcBorders>
                  <w:vAlign w:val="center"/>
                </w:tcPr>
                <w:p w14:paraId="746F4C89">
                  <w:pPr>
                    <w:pStyle w:val="13"/>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≤800</w:t>
                  </w:r>
                </w:p>
              </w:tc>
              <w:tc>
                <w:tcPr>
                  <w:tcW w:w="1075" w:type="pct"/>
                  <w:tcBorders>
                    <w:tl2br w:val="nil"/>
                    <w:tr2bl w:val="nil"/>
                  </w:tcBorders>
                  <w:vAlign w:val="center"/>
                </w:tcPr>
                <w:p w14:paraId="6F111D48">
                  <w:pPr>
                    <w:pStyle w:val="13"/>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176</w:t>
                  </w:r>
                </w:p>
              </w:tc>
              <w:tc>
                <w:tcPr>
                  <w:tcW w:w="813" w:type="pct"/>
                  <w:tcBorders>
                    <w:tl2br w:val="nil"/>
                    <w:tr2bl w:val="nil"/>
                  </w:tcBorders>
                  <w:vAlign w:val="center"/>
                </w:tcPr>
                <w:p w14:paraId="53701544">
                  <w:pPr>
                    <w:pStyle w:val="13"/>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176</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800</w:t>
                  </w:r>
                </w:p>
              </w:tc>
              <w:tc>
                <w:tcPr>
                  <w:tcW w:w="814" w:type="pct"/>
                  <w:tcBorders>
                    <w:tl2br w:val="nil"/>
                    <w:tr2bl w:val="nil"/>
                  </w:tcBorders>
                  <w:shd w:val="clear" w:color="auto" w:fill="auto"/>
                  <w:vAlign w:val="center"/>
                </w:tcPr>
                <w:p w14:paraId="055C5D37">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500</w:t>
                  </w:r>
                </w:p>
              </w:tc>
            </w:tr>
            <w:tr w14:paraId="28436C5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7E29F258">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p>
              </w:tc>
              <w:tc>
                <w:tcPr>
                  <w:tcW w:w="885" w:type="pct"/>
                  <w:tcBorders>
                    <w:tl2br w:val="nil"/>
                    <w:tr2bl w:val="nil"/>
                  </w:tcBorders>
                  <w:vAlign w:val="center"/>
                </w:tcPr>
                <w:p w14:paraId="144B5BDA">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化学需氧量</w:t>
                  </w:r>
                </w:p>
              </w:tc>
              <w:tc>
                <w:tcPr>
                  <w:tcW w:w="820" w:type="pct"/>
                  <w:tcBorders>
                    <w:tl2br w:val="nil"/>
                    <w:tr2bl w:val="nil"/>
                  </w:tcBorders>
                  <w:vAlign w:val="center"/>
                </w:tcPr>
                <w:p w14:paraId="47026FC4">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≤1000</w:t>
                  </w:r>
                </w:p>
              </w:tc>
              <w:tc>
                <w:tcPr>
                  <w:tcW w:w="1075" w:type="pct"/>
                  <w:tcBorders>
                    <w:tl2br w:val="nil"/>
                    <w:tr2bl w:val="nil"/>
                  </w:tcBorders>
                  <w:vAlign w:val="center"/>
                </w:tcPr>
                <w:p w14:paraId="5B965E98">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570</w:t>
                  </w:r>
                </w:p>
              </w:tc>
              <w:tc>
                <w:tcPr>
                  <w:tcW w:w="813" w:type="pct"/>
                  <w:tcBorders>
                    <w:tl2br w:val="nil"/>
                    <w:tr2bl w:val="nil"/>
                  </w:tcBorders>
                  <w:vAlign w:val="center"/>
                </w:tcPr>
                <w:p w14:paraId="5400AD8B">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570</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lang w:val="en-US" w:eastAsia="zh-CN"/>
                      <w14:textFill>
                        <w14:solidFill>
                          <w14:schemeClr w14:val="tx1"/>
                        </w14:solidFill>
                      </w14:textFill>
                    </w:rPr>
                    <w:t>00</w:t>
                  </w:r>
                </w:p>
              </w:tc>
              <w:tc>
                <w:tcPr>
                  <w:tcW w:w="814" w:type="pct"/>
                  <w:tcBorders>
                    <w:tl2br w:val="nil"/>
                    <w:tr2bl w:val="nil"/>
                  </w:tcBorders>
                  <w:shd w:val="clear" w:color="auto" w:fill="auto"/>
                  <w:vAlign w:val="center"/>
                </w:tcPr>
                <w:p w14:paraId="0720A367">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3500</w:t>
                  </w:r>
                </w:p>
              </w:tc>
            </w:tr>
            <w:tr w14:paraId="1FDE3E8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27415127">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p>
              </w:tc>
              <w:tc>
                <w:tcPr>
                  <w:tcW w:w="885" w:type="pct"/>
                  <w:tcBorders>
                    <w:tl2br w:val="nil"/>
                    <w:tr2bl w:val="nil"/>
                  </w:tcBorders>
                  <w:vAlign w:val="center"/>
                </w:tcPr>
                <w:p w14:paraId="497E2B19">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氨氮</w:t>
                  </w:r>
                </w:p>
              </w:tc>
              <w:tc>
                <w:tcPr>
                  <w:tcW w:w="820" w:type="pct"/>
                  <w:tcBorders>
                    <w:tl2br w:val="nil"/>
                    <w:tr2bl w:val="nil"/>
                  </w:tcBorders>
                  <w:vAlign w:val="center"/>
                </w:tcPr>
                <w:p w14:paraId="07BB9C2F">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35D2DA21">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91.6</w:t>
                  </w:r>
                </w:p>
              </w:tc>
              <w:tc>
                <w:tcPr>
                  <w:tcW w:w="813" w:type="pct"/>
                  <w:tcBorders>
                    <w:tl2br w:val="nil"/>
                    <w:tr2bl w:val="nil"/>
                  </w:tcBorders>
                  <w:vAlign w:val="center"/>
                </w:tcPr>
                <w:p w14:paraId="75DD4A18">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10-91.6</w:t>
                  </w:r>
                </w:p>
              </w:tc>
              <w:tc>
                <w:tcPr>
                  <w:tcW w:w="814" w:type="pct"/>
                  <w:tcBorders>
                    <w:tl2br w:val="nil"/>
                    <w:tr2bl w:val="nil"/>
                  </w:tcBorders>
                  <w:shd w:val="clear" w:color="auto" w:fill="auto"/>
                  <w:vAlign w:val="center"/>
                </w:tcPr>
                <w:p w14:paraId="0F921B94">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r>
            <w:tr w14:paraId="3F9B84D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78F767C0">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p>
              </w:tc>
              <w:tc>
                <w:tcPr>
                  <w:tcW w:w="885" w:type="pct"/>
                  <w:tcBorders>
                    <w:tl2br w:val="nil"/>
                    <w:tr2bl w:val="nil"/>
                  </w:tcBorders>
                  <w:vAlign w:val="center"/>
                </w:tcPr>
                <w:p w14:paraId="3894B353">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总磷</w:t>
                  </w:r>
                </w:p>
              </w:tc>
              <w:tc>
                <w:tcPr>
                  <w:tcW w:w="820" w:type="pct"/>
                  <w:tcBorders>
                    <w:tl2br w:val="nil"/>
                    <w:tr2bl w:val="nil"/>
                  </w:tcBorders>
                  <w:vAlign w:val="center"/>
                </w:tcPr>
                <w:p w14:paraId="3272B0E6">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6516545D">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0.18</w:t>
                  </w:r>
                </w:p>
              </w:tc>
              <w:tc>
                <w:tcPr>
                  <w:tcW w:w="813" w:type="pct"/>
                  <w:tcBorders>
                    <w:tl2br w:val="nil"/>
                    <w:tr2bl w:val="nil"/>
                  </w:tcBorders>
                  <w:vAlign w:val="center"/>
                </w:tcPr>
                <w:p w14:paraId="3B1D1B64">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0-0.18</w:t>
                  </w:r>
                </w:p>
              </w:tc>
              <w:tc>
                <w:tcPr>
                  <w:tcW w:w="814" w:type="pct"/>
                  <w:tcBorders>
                    <w:tl2br w:val="nil"/>
                    <w:tr2bl w:val="nil"/>
                  </w:tcBorders>
                  <w:shd w:val="clear" w:color="auto" w:fill="auto"/>
                  <w:vAlign w:val="center"/>
                </w:tcPr>
                <w:p w14:paraId="49B9B683">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66E23BA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1F638EF5">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w:t>
                  </w:r>
                </w:p>
              </w:tc>
              <w:tc>
                <w:tcPr>
                  <w:tcW w:w="885" w:type="pct"/>
                  <w:tcBorders>
                    <w:tl2br w:val="nil"/>
                    <w:tr2bl w:val="nil"/>
                  </w:tcBorders>
                  <w:vAlign w:val="center"/>
                </w:tcPr>
                <w:p w14:paraId="47D3AB10">
                  <w:pPr>
                    <w:pStyle w:val="13"/>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石油类</w:t>
                  </w:r>
                </w:p>
              </w:tc>
              <w:tc>
                <w:tcPr>
                  <w:tcW w:w="820" w:type="pct"/>
                  <w:tcBorders>
                    <w:tl2br w:val="nil"/>
                    <w:tr2bl w:val="nil"/>
                  </w:tcBorders>
                  <w:vAlign w:val="center"/>
                </w:tcPr>
                <w:p w14:paraId="644B74CF">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w:t>
                  </w:r>
                </w:p>
              </w:tc>
              <w:tc>
                <w:tcPr>
                  <w:tcW w:w="1075" w:type="pct"/>
                  <w:tcBorders>
                    <w:tl2br w:val="nil"/>
                    <w:tr2bl w:val="nil"/>
                  </w:tcBorders>
                  <w:vAlign w:val="center"/>
                </w:tcPr>
                <w:p w14:paraId="1914C505">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4.73</w:t>
                  </w:r>
                </w:p>
              </w:tc>
              <w:tc>
                <w:tcPr>
                  <w:tcW w:w="813" w:type="pct"/>
                  <w:tcBorders>
                    <w:tl2br w:val="nil"/>
                    <w:tr2bl w:val="nil"/>
                  </w:tcBorders>
                  <w:vAlign w:val="center"/>
                </w:tcPr>
                <w:p w14:paraId="6DAC85D3">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4.73-20</w:t>
                  </w:r>
                </w:p>
              </w:tc>
              <w:tc>
                <w:tcPr>
                  <w:tcW w:w="814" w:type="pct"/>
                  <w:tcBorders>
                    <w:tl2br w:val="nil"/>
                    <w:tr2bl w:val="nil"/>
                  </w:tcBorders>
                  <w:shd w:val="clear" w:color="auto" w:fill="auto"/>
                  <w:vAlign w:val="center"/>
                </w:tcPr>
                <w:p w14:paraId="25C4806D">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500</w:t>
                  </w:r>
                </w:p>
              </w:tc>
            </w:tr>
            <w:tr w14:paraId="195BFAF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70BA6FF7">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w:t>
                  </w:r>
                </w:p>
              </w:tc>
              <w:tc>
                <w:tcPr>
                  <w:tcW w:w="885" w:type="pct"/>
                  <w:tcBorders>
                    <w:tl2br w:val="nil"/>
                    <w:tr2bl w:val="nil"/>
                  </w:tcBorders>
                  <w:vAlign w:val="center"/>
                </w:tcPr>
                <w:p w14:paraId="5B664D50">
                  <w:pPr>
                    <w:pStyle w:val="13"/>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氯化物</w:t>
                  </w:r>
                </w:p>
              </w:tc>
              <w:tc>
                <w:tcPr>
                  <w:tcW w:w="820" w:type="pct"/>
                  <w:tcBorders>
                    <w:tl2br w:val="nil"/>
                    <w:tr2bl w:val="nil"/>
                  </w:tcBorders>
                  <w:vAlign w:val="center"/>
                </w:tcPr>
                <w:p w14:paraId="424BDC72">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≤5000</w:t>
                  </w:r>
                </w:p>
              </w:tc>
              <w:tc>
                <w:tcPr>
                  <w:tcW w:w="1075" w:type="pct"/>
                  <w:tcBorders>
                    <w:tl2br w:val="nil"/>
                    <w:tr2bl w:val="nil"/>
                  </w:tcBorders>
                  <w:vAlign w:val="center"/>
                </w:tcPr>
                <w:p w14:paraId="3784A8FD">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1100</w:t>
                  </w:r>
                </w:p>
              </w:tc>
              <w:tc>
                <w:tcPr>
                  <w:tcW w:w="813" w:type="pct"/>
                  <w:tcBorders>
                    <w:tl2br w:val="nil"/>
                    <w:tr2bl w:val="nil"/>
                  </w:tcBorders>
                  <w:vAlign w:val="center"/>
                </w:tcPr>
                <w:p w14:paraId="09A395BA">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1100</w:t>
                  </w:r>
                  <w:r>
                    <w:rPr>
                      <w:rFonts w:hint="default" w:ascii="Times New Roman" w:hAnsi="Times New Roman" w:cs="Times New Roman"/>
                      <w:color w:val="000000" w:themeColor="text1"/>
                      <w:lang w:val="en-US" w:eastAsia="zh-CN"/>
                      <w14:textFill>
                        <w14:solidFill>
                          <w14:schemeClr w14:val="tx1"/>
                        </w14:solidFill>
                      </w14:textFill>
                    </w:rPr>
                    <w:t>-5000</w:t>
                  </w:r>
                </w:p>
              </w:tc>
              <w:tc>
                <w:tcPr>
                  <w:tcW w:w="814" w:type="pct"/>
                  <w:tcBorders>
                    <w:tl2br w:val="nil"/>
                    <w:tr2bl w:val="nil"/>
                  </w:tcBorders>
                  <w:shd w:val="clear" w:color="auto" w:fill="auto"/>
                  <w:vAlign w:val="center"/>
                </w:tcPr>
                <w:p w14:paraId="3B0C7ED4">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196D0FC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4826D88B">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9</w:t>
                  </w:r>
                </w:p>
              </w:tc>
              <w:tc>
                <w:tcPr>
                  <w:tcW w:w="885" w:type="pct"/>
                  <w:tcBorders>
                    <w:tl2br w:val="nil"/>
                    <w:tr2bl w:val="nil"/>
                  </w:tcBorders>
                  <w:vAlign w:val="center"/>
                </w:tcPr>
                <w:p w14:paraId="163E4956">
                  <w:pPr>
                    <w:pStyle w:val="13"/>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硫化物</w:t>
                  </w:r>
                </w:p>
              </w:tc>
              <w:tc>
                <w:tcPr>
                  <w:tcW w:w="820" w:type="pct"/>
                  <w:tcBorders>
                    <w:tl2br w:val="nil"/>
                    <w:tr2bl w:val="nil"/>
                  </w:tcBorders>
                  <w:vAlign w:val="center"/>
                </w:tcPr>
                <w:p w14:paraId="6DDE8EFF">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505EBB8D">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0.06</w:t>
                  </w:r>
                </w:p>
              </w:tc>
              <w:tc>
                <w:tcPr>
                  <w:tcW w:w="813" w:type="pct"/>
                  <w:tcBorders>
                    <w:tl2br w:val="nil"/>
                    <w:tr2bl w:val="nil"/>
                  </w:tcBorders>
                  <w:vAlign w:val="center"/>
                </w:tcPr>
                <w:p w14:paraId="308E4390">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0-0.06</w:t>
                  </w:r>
                </w:p>
              </w:tc>
              <w:tc>
                <w:tcPr>
                  <w:tcW w:w="814" w:type="pct"/>
                  <w:tcBorders>
                    <w:tl2br w:val="nil"/>
                    <w:tr2bl w:val="nil"/>
                  </w:tcBorders>
                  <w:shd w:val="clear" w:color="auto" w:fill="auto"/>
                  <w:vAlign w:val="center"/>
                </w:tcPr>
                <w:p w14:paraId="7E0E9622">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33957CB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4D0D0D6E">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w:t>
                  </w:r>
                </w:p>
              </w:tc>
              <w:tc>
                <w:tcPr>
                  <w:tcW w:w="885" w:type="pct"/>
                  <w:tcBorders>
                    <w:tl2br w:val="nil"/>
                    <w:tr2bl w:val="nil"/>
                  </w:tcBorders>
                  <w:vAlign w:val="center"/>
                </w:tcPr>
                <w:p w14:paraId="2BDF4CE9">
                  <w:pPr>
                    <w:pStyle w:val="13"/>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氟化物</w:t>
                  </w:r>
                </w:p>
              </w:tc>
              <w:tc>
                <w:tcPr>
                  <w:tcW w:w="820" w:type="pct"/>
                  <w:tcBorders>
                    <w:tl2br w:val="nil"/>
                    <w:tr2bl w:val="nil"/>
                  </w:tcBorders>
                  <w:vAlign w:val="center"/>
                </w:tcPr>
                <w:p w14:paraId="6A1E11F8">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7B3CD6A2">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1.55</w:t>
                  </w:r>
                </w:p>
              </w:tc>
              <w:tc>
                <w:tcPr>
                  <w:tcW w:w="813" w:type="pct"/>
                  <w:tcBorders>
                    <w:tl2br w:val="nil"/>
                    <w:tr2bl w:val="nil"/>
                  </w:tcBorders>
                  <w:vAlign w:val="center"/>
                </w:tcPr>
                <w:p w14:paraId="26F260DF">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0-1.55</w:t>
                  </w:r>
                </w:p>
              </w:tc>
              <w:tc>
                <w:tcPr>
                  <w:tcW w:w="814" w:type="pct"/>
                  <w:tcBorders>
                    <w:tl2br w:val="nil"/>
                    <w:tr2bl w:val="nil"/>
                  </w:tcBorders>
                  <w:shd w:val="clear" w:color="auto" w:fill="auto"/>
                  <w:vAlign w:val="center"/>
                </w:tcPr>
                <w:p w14:paraId="5F95201B">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02EB0F4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3C05B3CF">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11</w:t>
                  </w:r>
                </w:p>
              </w:tc>
              <w:tc>
                <w:tcPr>
                  <w:tcW w:w="885" w:type="pct"/>
                  <w:tcBorders>
                    <w:tl2br w:val="nil"/>
                    <w:tr2bl w:val="nil"/>
                  </w:tcBorders>
                  <w:vAlign w:val="center"/>
                </w:tcPr>
                <w:p w14:paraId="12ED26A6">
                  <w:pPr>
                    <w:pStyle w:val="13"/>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挥发酚</w:t>
                  </w:r>
                </w:p>
              </w:tc>
              <w:tc>
                <w:tcPr>
                  <w:tcW w:w="820" w:type="pct"/>
                  <w:tcBorders>
                    <w:tl2br w:val="nil"/>
                    <w:tr2bl w:val="nil"/>
                  </w:tcBorders>
                  <w:vAlign w:val="center"/>
                </w:tcPr>
                <w:p w14:paraId="5CE2AF55">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60DC6961">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0.096</w:t>
                  </w:r>
                </w:p>
              </w:tc>
              <w:tc>
                <w:tcPr>
                  <w:tcW w:w="813" w:type="pct"/>
                  <w:tcBorders>
                    <w:tl2br w:val="nil"/>
                    <w:tr2bl w:val="nil"/>
                  </w:tcBorders>
                  <w:vAlign w:val="center"/>
                </w:tcPr>
                <w:p w14:paraId="728AB0B9">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0-0.096</w:t>
                  </w:r>
                </w:p>
              </w:tc>
              <w:tc>
                <w:tcPr>
                  <w:tcW w:w="814" w:type="pct"/>
                  <w:tcBorders>
                    <w:tl2br w:val="nil"/>
                    <w:tr2bl w:val="nil"/>
                  </w:tcBorders>
                  <w:shd w:val="clear" w:color="auto" w:fill="auto"/>
                  <w:vAlign w:val="center"/>
                </w:tcPr>
                <w:p w14:paraId="34126915">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487F8DAD">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1DDFFC15">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12</w:t>
                  </w:r>
                </w:p>
              </w:tc>
              <w:tc>
                <w:tcPr>
                  <w:tcW w:w="885" w:type="pct"/>
                  <w:tcBorders>
                    <w:tl2br w:val="nil"/>
                    <w:tr2bl w:val="nil"/>
                  </w:tcBorders>
                  <w:vAlign w:val="center"/>
                </w:tcPr>
                <w:p w14:paraId="045656E3">
                  <w:pPr>
                    <w:pStyle w:val="13"/>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溶解性总固体</w:t>
                  </w:r>
                </w:p>
              </w:tc>
              <w:tc>
                <w:tcPr>
                  <w:tcW w:w="820" w:type="pct"/>
                  <w:tcBorders>
                    <w:tl2br w:val="nil"/>
                    <w:tr2bl w:val="nil"/>
                  </w:tcBorders>
                  <w:vAlign w:val="center"/>
                </w:tcPr>
                <w:p w14:paraId="4D76A4D1">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3ED25298">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2540</w:t>
                  </w:r>
                </w:p>
              </w:tc>
              <w:tc>
                <w:tcPr>
                  <w:tcW w:w="813" w:type="pct"/>
                  <w:tcBorders>
                    <w:tl2br w:val="nil"/>
                    <w:tr2bl w:val="nil"/>
                  </w:tcBorders>
                  <w:vAlign w:val="center"/>
                </w:tcPr>
                <w:p w14:paraId="41B72377">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0-2540</w:t>
                  </w:r>
                </w:p>
              </w:tc>
              <w:tc>
                <w:tcPr>
                  <w:tcW w:w="814" w:type="pct"/>
                  <w:tcBorders>
                    <w:tl2br w:val="nil"/>
                    <w:tr2bl w:val="nil"/>
                  </w:tcBorders>
                  <w:shd w:val="clear" w:color="auto" w:fill="auto"/>
                  <w:vAlign w:val="center"/>
                </w:tcPr>
                <w:p w14:paraId="2670D75B">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0CE326E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4996C550">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13</w:t>
                  </w:r>
                </w:p>
              </w:tc>
              <w:tc>
                <w:tcPr>
                  <w:tcW w:w="885" w:type="pct"/>
                  <w:tcBorders>
                    <w:tl2br w:val="nil"/>
                    <w:tr2bl w:val="nil"/>
                  </w:tcBorders>
                  <w:vAlign w:val="center"/>
                </w:tcPr>
                <w:p w14:paraId="35995B98">
                  <w:pPr>
                    <w:pStyle w:val="13"/>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总氮</w:t>
                  </w:r>
                </w:p>
              </w:tc>
              <w:tc>
                <w:tcPr>
                  <w:tcW w:w="820" w:type="pct"/>
                  <w:tcBorders>
                    <w:tl2br w:val="nil"/>
                    <w:tr2bl w:val="nil"/>
                  </w:tcBorders>
                  <w:vAlign w:val="center"/>
                </w:tcPr>
                <w:p w14:paraId="37CD9DF6">
                  <w:pPr>
                    <w:pStyle w:val="13"/>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41B748DE">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95.7</w:t>
                  </w:r>
                </w:p>
              </w:tc>
              <w:tc>
                <w:tcPr>
                  <w:tcW w:w="813" w:type="pct"/>
                  <w:tcBorders>
                    <w:tl2br w:val="nil"/>
                    <w:tr2bl w:val="nil"/>
                  </w:tcBorders>
                  <w:vAlign w:val="center"/>
                </w:tcPr>
                <w:p w14:paraId="026C762C">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0-95.7</w:t>
                  </w:r>
                </w:p>
              </w:tc>
              <w:tc>
                <w:tcPr>
                  <w:tcW w:w="814" w:type="pct"/>
                  <w:tcBorders>
                    <w:tl2br w:val="nil"/>
                    <w:tr2bl w:val="nil"/>
                  </w:tcBorders>
                  <w:shd w:val="clear" w:color="auto" w:fill="auto"/>
                  <w:vAlign w:val="center"/>
                </w:tcPr>
                <w:p w14:paraId="1D50C16A">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r>
            <w:tr w14:paraId="3917EB6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65EDD9A8">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14</w:t>
                  </w:r>
                </w:p>
              </w:tc>
              <w:tc>
                <w:tcPr>
                  <w:tcW w:w="885" w:type="pct"/>
                  <w:tcBorders>
                    <w:tl2br w:val="nil"/>
                    <w:tr2bl w:val="nil"/>
                  </w:tcBorders>
                  <w:vAlign w:val="center"/>
                </w:tcPr>
                <w:p w14:paraId="6FC35B9C">
                  <w:pPr>
                    <w:pStyle w:val="13"/>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五日生化需氧量</w:t>
                  </w:r>
                </w:p>
              </w:tc>
              <w:tc>
                <w:tcPr>
                  <w:tcW w:w="820" w:type="pct"/>
                  <w:tcBorders>
                    <w:tl2br w:val="nil"/>
                    <w:tr2bl w:val="nil"/>
                  </w:tcBorders>
                  <w:vAlign w:val="center"/>
                </w:tcPr>
                <w:p w14:paraId="3CA56539">
                  <w:pPr>
                    <w:pStyle w:val="1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70FC13F2">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288</w:t>
                  </w:r>
                </w:p>
              </w:tc>
              <w:tc>
                <w:tcPr>
                  <w:tcW w:w="813" w:type="pct"/>
                  <w:tcBorders>
                    <w:tl2br w:val="nil"/>
                    <w:tr2bl w:val="nil"/>
                  </w:tcBorders>
                  <w:vAlign w:val="center"/>
                </w:tcPr>
                <w:p w14:paraId="619F7B4C">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0-288</w:t>
                  </w:r>
                </w:p>
              </w:tc>
              <w:tc>
                <w:tcPr>
                  <w:tcW w:w="814" w:type="pct"/>
                  <w:tcBorders>
                    <w:tl2br w:val="nil"/>
                    <w:tr2bl w:val="nil"/>
                  </w:tcBorders>
                  <w:vAlign w:val="center"/>
                </w:tcPr>
                <w:p w14:paraId="3ADB9280">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03B35C3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21783222">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885" w:type="pct"/>
                  <w:tcBorders>
                    <w:tl2br w:val="nil"/>
                    <w:tr2bl w:val="nil"/>
                  </w:tcBorders>
                  <w:vAlign w:val="center"/>
                </w:tcPr>
                <w:p w14:paraId="351D848F">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钙</w:t>
                  </w:r>
                </w:p>
              </w:tc>
              <w:tc>
                <w:tcPr>
                  <w:tcW w:w="820" w:type="pct"/>
                  <w:tcBorders>
                    <w:tl2br w:val="nil"/>
                    <w:tr2bl w:val="nil"/>
                  </w:tcBorders>
                  <w:vAlign w:val="center"/>
                </w:tcPr>
                <w:p w14:paraId="19A3252B">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13CC8185">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354</w:t>
                  </w:r>
                </w:p>
              </w:tc>
              <w:tc>
                <w:tcPr>
                  <w:tcW w:w="813" w:type="pct"/>
                  <w:tcBorders>
                    <w:tl2br w:val="nil"/>
                    <w:tr2bl w:val="nil"/>
                  </w:tcBorders>
                  <w:vAlign w:val="center"/>
                </w:tcPr>
                <w:p w14:paraId="05A78735">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0-354</w:t>
                  </w:r>
                </w:p>
              </w:tc>
              <w:tc>
                <w:tcPr>
                  <w:tcW w:w="814" w:type="pct"/>
                  <w:tcBorders>
                    <w:tl2br w:val="nil"/>
                    <w:tr2bl w:val="nil"/>
                  </w:tcBorders>
                  <w:vAlign w:val="center"/>
                </w:tcPr>
                <w:p w14:paraId="1EA90350">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05AE307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0B9C060E">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16</w:t>
                  </w:r>
                </w:p>
              </w:tc>
              <w:tc>
                <w:tcPr>
                  <w:tcW w:w="885" w:type="pct"/>
                  <w:tcBorders>
                    <w:tl2br w:val="nil"/>
                    <w:tr2bl w:val="nil"/>
                  </w:tcBorders>
                  <w:vAlign w:val="center"/>
                </w:tcPr>
                <w:p w14:paraId="6B24D249">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镁</w:t>
                  </w:r>
                </w:p>
              </w:tc>
              <w:tc>
                <w:tcPr>
                  <w:tcW w:w="820" w:type="pct"/>
                  <w:tcBorders>
                    <w:tl2br w:val="nil"/>
                    <w:tr2bl w:val="nil"/>
                  </w:tcBorders>
                  <w:vAlign w:val="center"/>
                </w:tcPr>
                <w:p w14:paraId="513346A0">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658A9BA3">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15.8</w:t>
                  </w:r>
                </w:p>
              </w:tc>
              <w:tc>
                <w:tcPr>
                  <w:tcW w:w="813" w:type="pct"/>
                  <w:tcBorders>
                    <w:tl2br w:val="nil"/>
                    <w:tr2bl w:val="nil"/>
                  </w:tcBorders>
                  <w:vAlign w:val="center"/>
                </w:tcPr>
                <w:p w14:paraId="025571DD">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0-15.8</w:t>
                  </w:r>
                </w:p>
              </w:tc>
              <w:tc>
                <w:tcPr>
                  <w:tcW w:w="814" w:type="pct"/>
                  <w:tcBorders>
                    <w:tl2br w:val="nil"/>
                    <w:tr2bl w:val="nil"/>
                  </w:tcBorders>
                  <w:vAlign w:val="center"/>
                </w:tcPr>
                <w:p w14:paraId="25C8E14C">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64E17F4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48CB9CEE">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17</w:t>
                  </w:r>
                </w:p>
              </w:tc>
              <w:tc>
                <w:tcPr>
                  <w:tcW w:w="885" w:type="pct"/>
                  <w:tcBorders>
                    <w:tl2br w:val="nil"/>
                    <w:tr2bl w:val="nil"/>
                  </w:tcBorders>
                  <w:vAlign w:val="center"/>
                </w:tcPr>
                <w:p w14:paraId="4A4D470B">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硫酸盐</w:t>
                  </w:r>
                </w:p>
              </w:tc>
              <w:tc>
                <w:tcPr>
                  <w:tcW w:w="820" w:type="pct"/>
                  <w:tcBorders>
                    <w:tl2br w:val="nil"/>
                    <w:tr2bl w:val="nil"/>
                  </w:tcBorders>
                  <w:vAlign w:val="center"/>
                </w:tcPr>
                <w:p w14:paraId="3E6F87E3">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323B354C">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4.02</w:t>
                  </w:r>
                </w:p>
              </w:tc>
              <w:tc>
                <w:tcPr>
                  <w:tcW w:w="813" w:type="pct"/>
                  <w:tcBorders>
                    <w:tl2br w:val="nil"/>
                    <w:tr2bl w:val="nil"/>
                  </w:tcBorders>
                  <w:vAlign w:val="center"/>
                </w:tcPr>
                <w:p w14:paraId="00BF544A">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0-4.02</w:t>
                  </w:r>
                </w:p>
              </w:tc>
              <w:tc>
                <w:tcPr>
                  <w:tcW w:w="814" w:type="pct"/>
                  <w:tcBorders>
                    <w:tl2br w:val="nil"/>
                    <w:tr2bl w:val="nil"/>
                  </w:tcBorders>
                  <w:vAlign w:val="center"/>
                </w:tcPr>
                <w:p w14:paraId="674830F0">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74A1BA5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7C8DE3F1">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18</w:t>
                  </w:r>
                </w:p>
              </w:tc>
              <w:tc>
                <w:tcPr>
                  <w:tcW w:w="885" w:type="pct"/>
                  <w:tcBorders>
                    <w:tl2br w:val="nil"/>
                    <w:tr2bl w:val="nil"/>
                  </w:tcBorders>
                  <w:vAlign w:val="center"/>
                </w:tcPr>
                <w:p w14:paraId="23399D0F">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碘化物</w:t>
                  </w:r>
                </w:p>
              </w:tc>
              <w:tc>
                <w:tcPr>
                  <w:tcW w:w="820" w:type="pct"/>
                  <w:tcBorders>
                    <w:tl2br w:val="nil"/>
                    <w:tr2bl w:val="nil"/>
                  </w:tcBorders>
                  <w:vAlign w:val="center"/>
                </w:tcPr>
                <w:p w14:paraId="25D89379">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798E1AEE">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20.9</w:t>
                  </w:r>
                </w:p>
              </w:tc>
              <w:tc>
                <w:tcPr>
                  <w:tcW w:w="813" w:type="pct"/>
                  <w:tcBorders>
                    <w:tl2br w:val="nil"/>
                    <w:tr2bl w:val="nil"/>
                  </w:tcBorders>
                  <w:vAlign w:val="center"/>
                </w:tcPr>
                <w:p w14:paraId="66B930C1">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0-20.9</w:t>
                  </w:r>
                </w:p>
              </w:tc>
              <w:tc>
                <w:tcPr>
                  <w:tcW w:w="814" w:type="pct"/>
                  <w:tcBorders>
                    <w:tl2br w:val="nil"/>
                    <w:tr2bl w:val="nil"/>
                  </w:tcBorders>
                  <w:vAlign w:val="center"/>
                </w:tcPr>
                <w:p w14:paraId="649A85E3">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5FA93300">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6176628A">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19</w:t>
                  </w:r>
                </w:p>
              </w:tc>
              <w:tc>
                <w:tcPr>
                  <w:tcW w:w="885" w:type="pct"/>
                  <w:tcBorders>
                    <w:tl2br w:val="nil"/>
                    <w:tr2bl w:val="nil"/>
                  </w:tcBorders>
                  <w:vAlign w:val="center"/>
                </w:tcPr>
                <w:p w14:paraId="2AAC4F86">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氰化物</w:t>
                  </w:r>
                </w:p>
              </w:tc>
              <w:tc>
                <w:tcPr>
                  <w:tcW w:w="820" w:type="pct"/>
                  <w:tcBorders>
                    <w:tl2br w:val="nil"/>
                    <w:tr2bl w:val="nil"/>
                  </w:tcBorders>
                  <w:vAlign w:val="center"/>
                </w:tcPr>
                <w:p w14:paraId="1E187781">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39A54BE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0.096</w:t>
                  </w:r>
                </w:p>
              </w:tc>
              <w:tc>
                <w:tcPr>
                  <w:tcW w:w="813" w:type="pct"/>
                  <w:tcBorders>
                    <w:tl2br w:val="nil"/>
                    <w:tr2bl w:val="nil"/>
                  </w:tcBorders>
                  <w:vAlign w:val="center"/>
                </w:tcPr>
                <w:p w14:paraId="5DD893C5">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0-0.096</w:t>
                  </w:r>
                </w:p>
              </w:tc>
              <w:tc>
                <w:tcPr>
                  <w:tcW w:w="814" w:type="pct"/>
                  <w:tcBorders>
                    <w:tl2br w:val="nil"/>
                    <w:tr2bl w:val="nil"/>
                  </w:tcBorders>
                  <w:vAlign w:val="center"/>
                </w:tcPr>
                <w:p w14:paraId="08DB456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31D8794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3169DF6E">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c>
                <w:tcPr>
                  <w:tcW w:w="885" w:type="pct"/>
                  <w:tcBorders>
                    <w:tl2br w:val="nil"/>
                    <w:tr2bl w:val="nil"/>
                  </w:tcBorders>
                  <w:vAlign w:val="center"/>
                </w:tcPr>
                <w:p w14:paraId="5FBD537E">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溴化物</w:t>
                  </w:r>
                </w:p>
              </w:tc>
              <w:tc>
                <w:tcPr>
                  <w:tcW w:w="820" w:type="pct"/>
                  <w:tcBorders>
                    <w:tl2br w:val="nil"/>
                    <w:tr2bl w:val="nil"/>
                  </w:tcBorders>
                  <w:vAlign w:val="center"/>
                </w:tcPr>
                <w:p w14:paraId="4EE9446D">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10CBB2CB">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83.2</w:t>
                  </w:r>
                </w:p>
              </w:tc>
              <w:tc>
                <w:tcPr>
                  <w:tcW w:w="813" w:type="pct"/>
                  <w:tcBorders>
                    <w:tl2br w:val="nil"/>
                    <w:tr2bl w:val="nil"/>
                  </w:tcBorders>
                  <w:vAlign w:val="center"/>
                </w:tcPr>
                <w:p w14:paraId="4341DF7D">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0-83.2</w:t>
                  </w:r>
                </w:p>
              </w:tc>
              <w:tc>
                <w:tcPr>
                  <w:tcW w:w="814" w:type="pct"/>
                  <w:tcBorders>
                    <w:tl2br w:val="nil"/>
                    <w:tr2bl w:val="nil"/>
                  </w:tcBorders>
                  <w:vAlign w:val="center"/>
                </w:tcPr>
                <w:p w14:paraId="1AB928A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757FB7B0">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373DA6EA">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21</w:t>
                  </w:r>
                </w:p>
              </w:tc>
              <w:tc>
                <w:tcPr>
                  <w:tcW w:w="885" w:type="pct"/>
                  <w:tcBorders>
                    <w:tl2br w:val="nil"/>
                    <w:tr2bl w:val="nil"/>
                  </w:tcBorders>
                  <w:vAlign w:val="center"/>
                </w:tcPr>
                <w:p w14:paraId="7B6D6066">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汞</w:t>
                  </w:r>
                </w:p>
              </w:tc>
              <w:tc>
                <w:tcPr>
                  <w:tcW w:w="820" w:type="pct"/>
                  <w:tcBorders>
                    <w:tl2br w:val="nil"/>
                    <w:tr2bl w:val="nil"/>
                  </w:tcBorders>
                  <w:vAlign w:val="center"/>
                </w:tcPr>
                <w:p w14:paraId="3D6B657F">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1B708E77">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0.00010</w:t>
                  </w:r>
                </w:p>
              </w:tc>
              <w:tc>
                <w:tcPr>
                  <w:tcW w:w="813" w:type="pct"/>
                  <w:tcBorders>
                    <w:tl2br w:val="nil"/>
                    <w:tr2bl w:val="nil"/>
                  </w:tcBorders>
                  <w:vAlign w:val="center"/>
                </w:tcPr>
                <w:p w14:paraId="73B8ECAF">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0.00010</w:t>
                  </w:r>
                </w:p>
              </w:tc>
              <w:tc>
                <w:tcPr>
                  <w:tcW w:w="814" w:type="pct"/>
                  <w:tcBorders>
                    <w:tl2br w:val="nil"/>
                    <w:tr2bl w:val="nil"/>
                  </w:tcBorders>
                  <w:vAlign w:val="center"/>
                </w:tcPr>
                <w:p w14:paraId="30198DF6">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4E2EA28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7991683E">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22</w:t>
                  </w:r>
                </w:p>
              </w:tc>
              <w:tc>
                <w:tcPr>
                  <w:tcW w:w="885" w:type="pct"/>
                  <w:tcBorders>
                    <w:tl2br w:val="nil"/>
                    <w:tr2bl w:val="nil"/>
                  </w:tcBorders>
                  <w:vAlign w:val="center"/>
                </w:tcPr>
                <w:p w14:paraId="0110702D">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六价铬</w:t>
                  </w:r>
                </w:p>
              </w:tc>
              <w:tc>
                <w:tcPr>
                  <w:tcW w:w="820" w:type="pct"/>
                  <w:tcBorders>
                    <w:tl2br w:val="nil"/>
                    <w:tr2bl w:val="nil"/>
                  </w:tcBorders>
                  <w:vAlign w:val="center"/>
                </w:tcPr>
                <w:p w14:paraId="1DFCF1B0">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2F5CF773">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ND</w:t>
                  </w:r>
                </w:p>
              </w:tc>
              <w:tc>
                <w:tcPr>
                  <w:tcW w:w="813" w:type="pct"/>
                  <w:tcBorders>
                    <w:tl2br w:val="nil"/>
                    <w:tr2bl w:val="nil"/>
                  </w:tcBorders>
                  <w:vAlign w:val="center"/>
                </w:tcPr>
                <w:p w14:paraId="64B8F7CA">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814" w:type="pct"/>
                  <w:tcBorders>
                    <w:tl2br w:val="nil"/>
                    <w:tr2bl w:val="nil"/>
                  </w:tcBorders>
                  <w:vAlign w:val="center"/>
                </w:tcPr>
                <w:p w14:paraId="55E7BD12">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3EC1F00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28166F16">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23</w:t>
                  </w:r>
                </w:p>
              </w:tc>
              <w:tc>
                <w:tcPr>
                  <w:tcW w:w="885" w:type="pct"/>
                  <w:tcBorders>
                    <w:tl2br w:val="nil"/>
                    <w:tr2bl w:val="nil"/>
                  </w:tcBorders>
                  <w:vAlign w:val="center"/>
                </w:tcPr>
                <w:p w14:paraId="309009BD">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铬</w:t>
                  </w:r>
                </w:p>
              </w:tc>
              <w:tc>
                <w:tcPr>
                  <w:tcW w:w="820" w:type="pct"/>
                  <w:tcBorders>
                    <w:tl2br w:val="nil"/>
                    <w:tr2bl w:val="nil"/>
                  </w:tcBorders>
                  <w:vAlign w:val="center"/>
                </w:tcPr>
                <w:p w14:paraId="57624BB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1F363FD3">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0.0275</w:t>
                  </w:r>
                </w:p>
              </w:tc>
              <w:tc>
                <w:tcPr>
                  <w:tcW w:w="813" w:type="pct"/>
                  <w:tcBorders>
                    <w:tl2br w:val="nil"/>
                    <w:tr2bl w:val="nil"/>
                  </w:tcBorders>
                  <w:vAlign w:val="center"/>
                </w:tcPr>
                <w:p w14:paraId="1896D67A">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0.0275</w:t>
                  </w:r>
                </w:p>
              </w:tc>
              <w:tc>
                <w:tcPr>
                  <w:tcW w:w="814" w:type="pct"/>
                  <w:tcBorders>
                    <w:tl2br w:val="nil"/>
                    <w:tr2bl w:val="nil"/>
                  </w:tcBorders>
                  <w:vAlign w:val="center"/>
                </w:tcPr>
                <w:p w14:paraId="244BA3D3">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2793E5F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028F8E76">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24</w:t>
                  </w:r>
                </w:p>
              </w:tc>
              <w:tc>
                <w:tcPr>
                  <w:tcW w:w="885" w:type="pct"/>
                  <w:tcBorders>
                    <w:tl2br w:val="nil"/>
                    <w:tr2bl w:val="nil"/>
                  </w:tcBorders>
                  <w:vAlign w:val="center"/>
                </w:tcPr>
                <w:p w14:paraId="09346604">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铅</w:t>
                  </w:r>
                </w:p>
              </w:tc>
              <w:tc>
                <w:tcPr>
                  <w:tcW w:w="820" w:type="pct"/>
                  <w:tcBorders>
                    <w:tl2br w:val="nil"/>
                    <w:tr2bl w:val="nil"/>
                  </w:tcBorders>
                  <w:vAlign w:val="center"/>
                </w:tcPr>
                <w:p w14:paraId="273DCA57">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23A4CD71">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0.0834</w:t>
                  </w:r>
                </w:p>
              </w:tc>
              <w:tc>
                <w:tcPr>
                  <w:tcW w:w="813" w:type="pct"/>
                  <w:tcBorders>
                    <w:tl2br w:val="nil"/>
                    <w:tr2bl w:val="nil"/>
                  </w:tcBorders>
                  <w:shd w:val="clear" w:color="auto" w:fill="auto"/>
                  <w:vAlign w:val="center"/>
                </w:tcPr>
                <w:p w14:paraId="6C60D80A">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0.0834</w:t>
                  </w:r>
                </w:p>
              </w:tc>
              <w:tc>
                <w:tcPr>
                  <w:tcW w:w="814" w:type="pct"/>
                  <w:tcBorders>
                    <w:tl2br w:val="nil"/>
                    <w:tr2bl w:val="nil"/>
                  </w:tcBorders>
                  <w:shd w:val="clear" w:color="auto" w:fill="auto"/>
                  <w:vAlign w:val="center"/>
                </w:tcPr>
                <w:p w14:paraId="01CA86FB">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05F6EAE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1F48318A">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25</w:t>
                  </w:r>
                </w:p>
              </w:tc>
              <w:tc>
                <w:tcPr>
                  <w:tcW w:w="885" w:type="pct"/>
                  <w:tcBorders>
                    <w:tl2br w:val="nil"/>
                    <w:tr2bl w:val="nil"/>
                  </w:tcBorders>
                  <w:vAlign w:val="center"/>
                </w:tcPr>
                <w:p w14:paraId="78CDE1F4">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砷</w:t>
                  </w:r>
                </w:p>
              </w:tc>
              <w:tc>
                <w:tcPr>
                  <w:tcW w:w="820" w:type="pct"/>
                  <w:tcBorders>
                    <w:tl2br w:val="nil"/>
                    <w:tr2bl w:val="nil"/>
                  </w:tcBorders>
                  <w:vAlign w:val="center"/>
                </w:tcPr>
                <w:p w14:paraId="50F14AA3">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78B8186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0.322</w:t>
                  </w:r>
                </w:p>
              </w:tc>
              <w:tc>
                <w:tcPr>
                  <w:tcW w:w="813" w:type="pct"/>
                  <w:tcBorders>
                    <w:tl2br w:val="nil"/>
                    <w:tr2bl w:val="nil"/>
                  </w:tcBorders>
                  <w:shd w:val="clear" w:color="auto" w:fill="auto"/>
                  <w:vAlign w:val="center"/>
                </w:tcPr>
                <w:p w14:paraId="78ADD4B0">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0.322</w:t>
                  </w:r>
                </w:p>
              </w:tc>
              <w:tc>
                <w:tcPr>
                  <w:tcW w:w="814" w:type="pct"/>
                  <w:tcBorders>
                    <w:tl2br w:val="nil"/>
                    <w:tr2bl w:val="nil"/>
                  </w:tcBorders>
                  <w:shd w:val="clear" w:color="auto" w:fill="auto"/>
                  <w:vAlign w:val="center"/>
                </w:tcPr>
                <w:p w14:paraId="7FC916DF">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282BED24">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2FADA7AA">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26</w:t>
                  </w:r>
                </w:p>
              </w:tc>
              <w:tc>
                <w:tcPr>
                  <w:tcW w:w="885" w:type="pct"/>
                  <w:tcBorders>
                    <w:tl2br w:val="nil"/>
                    <w:tr2bl w:val="nil"/>
                  </w:tcBorders>
                  <w:vAlign w:val="center"/>
                </w:tcPr>
                <w:p w14:paraId="3C8852A4">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镉</w:t>
                  </w:r>
                </w:p>
              </w:tc>
              <w:tc>
                <w:tcPr>
                  <w:tcW w:w="820" w:type="pct"/>
                  <w:tcBorders>
                    <w:tl2br w:val="nil"/>
                    <w:tr2bl w:val="nil"/>
                  </w:tcBorders>
                  <w:vAlign w:val="center"/>
                </w:tcPr>
                <w:p w14:paraId="43CA747B">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12683548">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0.0206</w:t>
                  </w:r>
                </w:p>
              </w:tc>
              <w:tc>
                <w:tcPr>
                  <w:tcW w:w="813" w:type="pct"/>
                  <w:tcBorders>
                    <w:tl2br w:val="nil"/>
                    <w:tr2bl w:val="nil"/>
                  </w:tcBorders>
                  <w:shd w:val="clear" w:color="auto" w:fill="auto"/>
                  <w:vAlign w:val="center"/>
                </w:tcPr>
                <w:p w14:paraId="3F274162">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0.0206</w:t>
                  </w:r>
                </w:p>
              </w:tc>
              <w:tc>
                <w:tcPr>
                  <w:tcW w:w="814" w:type="pct"/>
                  <w:tcBorders>
                    <w:tl2br w:val="nil"/>
                    <w:tr2bl w:val="nil"/>
                  </w:tcBorders>
                  <w:shd w:val="clear" w:color="auto" w:fill="auto"/>
                  <w:vAlign w:val="center"/>
                </w:tcPr>
                <w:p w14:paraId="5EAEB590">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7A9F0ED0">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0089D497">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27</w:t>
                  </w:r>
                </w:p>
              </w:tc>
              <w:tc>
                <w:tcPr>
                  <w:tcW w:w="885" w:type="pct"/>
                  <w:tcBorders>
                    <w:tl2br w:val="nil"/>
                    <w:tr2bl w:val="nil"/>
                  </w:tcBorders>
                  <w:vAlign w:val="center"/>
                </w:tcPr>
                <w:p w14:paraId="24A72D7E">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镍</w:t>
                  </w:r>
                </w:p>
              </w:tc>
              <w:tc>
                <w:tcPr>
                  <w:tcW w:w="820" w:type="pct"/>
                  <w:tcBorders>
                    <w:tl2br w:val="nil"/>
                    <w:tr2bl w:val="nil"/>
                  </w:tcBorders>
                  <w:vAlign w:val="center"/>
                </w:tcPr>
                <w:p w14:paraId="41D14BA3">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010D1ACC">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0.0771</w:t>
                  </w:r>
                </w:p>
              </w:tc>
              <w:tc>
                <w:tcPr>
                  <w:tcW w:w="813" w:type="pct"/>
                  <w:tcBorders>
                    <w:tl2br w:val="nil"/>
                    <w:tr2bl w:val="nil"/>
                  </w:tcBorders>
                  <w:shd w:val="clear" w:color="auto" w:fill="auto"/>
                  <w:vAlign w:val="center"/>
                </w:tcPr>
                <w:p w14:paraId="33E8BC2A">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0.0771</w:t>
                  </w:r>
                </w:p>
              </w:tc>
              <w:tc>
                <w:tcPr>
                  <w:tcW w:w="814" w:type="pct"/>
                  <w:tcBorders>
                    <w:tl2br w:val="nil"/>
                    <w:tr2bl w:val="nil"/>
                  </w:tcBorders>
                  <w:shd w:val="clear" w:color="auto" w:fill="auto"/>
                  <w:vAlign w:val="center"/>
                </w:tcPr>
                <w:p w14:paraId="070FD9DF">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219E81D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2883D1C5">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28</w:t>
                  </w:r>
                </w:p>
              </w:tc>
              <w:tc>
                <w:tcPr>
                  <w:tcW w:w="885" w:type="pct"/>
                  <w:tcBorders>
                    <w:tl2br w:val="nil"/>
                    <w:tr2bl w:val="nil"/>
                  </w:tcBorders>
                  <w:vAlign w:val="center"/>
                </w:tcPr>
                <w:p w14:paraId="147C63C5">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钡</w:t>
                  </w:r>
                </w:p>
              </w:tc>
              <w:tc>
                <w:tcPr>
                  <w:tcW w:w="820" w:type="pct"/>
                  <w:tcBorders>
                    <w:tl2br w:val="nil"/>
                    <w:tr2bl w:val="nil"/>
                  </w:tcBorders>
                  <w:vAlign w:val="center"/>
                </w:tcPr>
                <w:p w14:paraId="6F11AFB3">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382BEB1C">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3.48</w:t>
                  </w:r>
                </w:p>
              </w:tc>
              <w:tc>
                <w:tcPr>
                  <w:tcW w:w="813" w:type="pct"/>
                  <w:tcBorders>
                    <w:tl2br w:val="nil"/>
                    <w:tr2bl w:val="nil"/>
                  </w:tcBorders>
                  <w:shd w:val="clear" w:color="auto" w:fill="auto"/>
                  <w:vAlign w:val="center"/>
                </w:tcPr>
                <w:p w14:paraId="2F2AD533">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3.48</w:t>
                  </w:r>
                </w:p>
              </w:tc>
              <w:tc>
                <w:tcPr>
                  <w:tcW w:w="814" w:type="pct"/>
                  <w:tcBorders>
                    <w:tl2br w:val="nil"/>
                    <w:tr2bl w:val="nil"/>
                  </w:tcBorders>
                  <w:shd w:val="clear" w:color="auto" w:fill="auto"/>
                  <w:vAlign w:val="center"/>
                </w:tcPr>
                <w:p w14:paraId="14B885E6">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285415A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9" w:type="pct"/>
                  <w:tcBorders>
                    <w:tl2br w:val="nil"/>
                    <w:tr2bl w:val="nil"/>
                  </w:tcBorders>
                  <w:vAlign w:val="center"/>
                </w:tcPr>
                <w:p w14:paraId="189AE0E1">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29</w:t>
                  </w:r>
                </w:p>
              </w:tc>
              <w:tc>
                <w:tcPr>
                  <w:tcW w:w="885" w:type="pct"/>
                  <w:tcBorders>
                    <w:tl2br w:val="nil"/>
                    <w:tr2bl w:val="nil"/>
                  </w:tcBorders>
                  <w:vAlign w:val="center"/>
                </w:tcPr>
                <w:p w14:paraId="13D7BBE9">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石油类</w:t>
                  </w:r>
                </w:p>
              </w:tc>
              <w:tc>
                <w:tcPr>
                  <w:tcW w:w="820" w:type="pct"/>
                  <w:tcBorders>
                    <w:tl2br w:val="nil"/>
                    <w:tr2bl w:val="nil"/>
                  </w:tcBorders>
                  <w:vAlign w:val="center"/>
                </w:tcPr>
                <w:p w14:paraId="3D552F87">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075" w:type="pct"/>
                  <w:tcBorders>
                    <w:tl2br w:val="nil"/>
                    <w:tr2bl w:val="nil"/>
                  </w:tcBorders>
                  <w:vAlign w:val="center"/>
                </w:tcPr>
                <w:p w14:paraId="7A10F519">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0.42</w:t>
                  </w:r>
                </w:p>
              </w:tc>
              <w:tc>
                <w:tcPr>
                  <w:tcW w:w="813" w:type="pct"/>
                  <w:tcBorders>
                    <w:tl2br w:val="nil"/>
                    <w:tr2bl w:val="nil"/>
                  </w:tcBorders>
                  <w:shd w:val="clear" w:color="auto" w:fill="auto"/>
                  <w:vAlign w:val="center"/>
                </w:tcPr>
                <w:p w14:paraId="51F89355">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0.42</w:t>
                  </w:r>
                </w:p>
              </w:tc>
              <w:tc>
                <w:tcPr>
                  <w:tcW w:w="814" w:type="pct"/>
                  <w:tcBorders>
                    <w:tl2br w:val="nil"/>
                    <w:tr2bl w:val="nil"/>
                  </w:tcBorders>
                  <w:shd w:val="clear" w:color="auto" w:fill="auto"/>
                  <w:vAlign w:val="center"/>
                </w:tcPr>
                <w:p w14:paraId="109D2A09">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bl>
          <w:p w14:paraId="641E0E99">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压滤废水在滤液池内暂存，部分通过管线回用于免烧砌块生产线的搅拌、码垛养护工序过程；剩余部分在滤液池内暂存，委托有资质单位处理是可行的。</w:t>
            </w:r>
          </w:p>
          <w:p w14:paraId="37E1AFE2">
            <w:pPr>
              <w:pStyle w:val="16"/>
              <w:spacing w:after="0"/>
              <w:ind w:firstLine="480"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本项目压滤废水产生量为117568.21m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/a（356.27t/d），本项目设置1座渗滤液池</w:t>
            </w:r>
            <w:r>
              <w:rPr>
                <w:rFonts w:hint="default" w:ascii="Times New Roman" w:hAnsi="Times New Roman" w:cs="Times New Roman"/>
                <w:color w:val="000000" w:themeColor="text1"/>
                <w:lang w:val="en-US" w:eastAsia="zh-CN"/>
                <w14:textFill>
                  <w14:solidFill>
                    <w14:schemeClr w14:val="tx1"/>
                  </w14:solidFill>
                </w14:textFill>
              </w:rPr>
              <w:t>用于储存水基岩屑预处理压滤产生的压滤废水，尺寸为16×17.5×4m（长×宽×深），有效容积</w:t>
            </w:r>
            <w:r>
              <w:rPr>
                <w:rFonts w:hint="eastAsia" w:cs="Times New Roman"/>
                <w:color w:val="000000" w:themeColor="text1"/>
                <w:lang w:val="en-US" w:eastAsia="zh-CN"/>
                <w14:textFill>
                  <w14:solidFill>
                    <w14:schemeClr w14:val="tx1"/>
                  </w14:solidFill>
                </w14:textFill>
              </w:rPr>
              <w:t>约1100m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。可满足约1100/356.27≈3天压滤废水量的暂存需求。渗滤液池池体进行重点防渗处理，采用强度等级为C30且抗渗等级为P6的混凝土+2mm厚HDPE防渗膜进行防渗，可满足等效粘土防渗</w:t>
            </w:r>
            <w:r>
              <w:rPr>
                <w:rFonts w:hint="default" w:ascii="Times New Roman" w:hAnsi="Times New Roman" w:cs="Times New Roman"/>
                <w:color w:val="000000" w:themeColor="text1"/>
                <w:lang w:val="en-US" w:eastAsia="zh-CN"/>
                <w14:textFill>
                  <w14:solidFill>
                    <w14:schemeClr w14:val="tx1"/>
                  </w14:solidFill>
                </w14:textFill>
              </w:rPr>
              <w:t>层Mb≥6.0m。K≤10</w:t>
            </w:r>
            <w:r>
              <w:rPr>
                <w:rFonts w:hint="default" w:ascii="Times New Roman" w:hAnsi="Times New Roman" w:cs="Times New Roman"/>
                <w:color w:val="000000" w:themeColor="text1"/>
                <w:vertAlign w:val="superscript"/>
                <w:lang w:val="en-US" w:eastAsia="zh-CN"/>
                <w14:textFill>
                  <w14:solidFill>
                    <w14:schemeClr w14:val="tx1"/>
                  </w14:solidFill>
                </w14:textFill>
              </w:rPr>
              <w:t>-10</w:t>
            </w:r>
            <w:r>
              <w:rPr>
                <w:rFonts w:hint="eastAsia" w:cs="Times New Roman"/>
                <w:color w:val="000000" w:themeColor="text1"/>
                <w:lang w:val="en-US" w:eastAsia="zh-CN"/>
                <w14:textFill>
                  <w14:solidFill>
                    <w14:schemeClr w14:val="tx1"/>
                  </w14:solidFill>
                </w14:textFill>
              </w:rPr>
              <w:t>cm/s要求。</w:t>
            </w:r>
          </w:p>
          <w:p w14:paraId="00817B3F">
            <w:pPr>
              <w:pStyle w:val="16"/>
              <w:spacing w:after="0" w:line="360" w:lineRule="auto"/>
              <w:ind w:firstLine="480"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生产废水委托四川洁安环境科技有限公司等有资质单位进行处理，生产废水污染物浓度需满足其污水处理站的进水水质要求。根据表4-2中确定的本项目各污染物的源强数据，其中悬浮物、氨氮、总氮类比的源强数据偏大，因此，本项目悬浮物、氨氮、总氮的产生浓度按洁安公司进水水质浓度进行计算，其他按照综合确定的废水源强数据进行计算。</w:t>
            </w:r>
          </w:p>
          <w:p w14:paraId="428ECEB1">
            <w:pPr>
              <w:pStyle w:val="16"/>
              <w:spacing w:after="0" w:line="360" w:lineRule="auto"/>
              <w:ind w:firstLine="480" w:firstLineChars="200"/>
              <w:rPr>
                <w:rFonts w:hint="default"/>
                <w:lang w:val="en-US" w:eastAsia="zh-CN"/>
              </w:rPr>
            </w:pPr>
            <w:r>
              <w:rPr>
                <w:rFonts w:hint="eastAsia" w:cs="Times New Roman"/>
                <w:color w:val="000000" w:themeColor="text1"/>
                <w:lang w:val="en-US" w:eastAsia="zh-CN"/>
                <w14:textFill>
                  <w14:solidFill>
                    <w14:schemeClr w14:val="tx1"/>
                  </w14:solidFill>
                </w14:textFill>
              </w:rPr>
              <w:t>参考压滤废水中各污染物的源强核算如下。</w:t>
            </w:r>
          </w:p>
          <w:p w14:paraId="7BAC3FF9">
            <w:pPr>
              <w:pStyle w:val="12"/>
              <w:keepNext/>
              <w:keepLines w:val="0"/>
              <w:pageBreakBefore w:val="0"/>
              <w:widowControl/>
              <w:kinsoku/>
              <w:wordWrap/>
              <w:overflowPunct/>
              <w:topLinePunct w:val="0"/>
              <w:autoSpaceDE/>
              <w:autoSpaceDN/>
              <w:bidi w:val="0"/>
              <w:adjustRightInd w:val="0"/>
              <w:snapToGrid w:val="0"/>
              <w:spacing w:after="0" w:line="360" w:lineRule="auto"/>
              <w:textAlignment w:val="auto"/>
              <w:rPr>
                <w:rFonts w:cs="Times New Roman"/>
                <w:color w:val="000000" w:themeColor="text1"/>
                <w:vertAlign w:val="baseline"/>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3</w:t>
            </w:r>
            <w:r>
              <w:rPr>
                <w:rFonts w:cs="Times New Roman"/>
                <w:color w:val="000000" w:themeColor="text1"/>
                <w14:textFill>
                  <w14:solidFill>
                    <w14:schemeClr w14:val="tx1"/>
                  </w14:solidFill>
                </w14:textFill>
              </w:rPr>
              <w:t xml:space="preserve"> 本项目</w:t>
            </w:r>
            <w:r>
              <w:rPr>
                <w:rFonts w:hint="eastAsia" w:cs="Times New Roman"/>
                <w:color w:val="000000" w:themeColor="text1"/>
                <w:lang w:val="en-US" w:eastAsia="zh-CN"/>
                <w14:textFill>
                  <w14:solidFill>
                    <w14:schemeClr w14:val="tx1"/>
                  </w14:solidFill>
                </w14:textFill>
              </w:rPr>
              <w:t>压滤</w:t>
            </w:r>
            <w:r>
              <w:rPr>
                <w:rFonts w:cs="Times New Roman"/>
                <w:color w:val="000000" w:themeColor="text1"/>
                <w14:textFill>
                  <w14:solidFill>
                    <w14:schemeClr w14:val="tx1"/>
                  </w14:solidFill>
                </w14:textFill>
              </w:rPr>
              <w:t>废水源强及排放情况</w:t>
            </w:r>
          </w:p>
          <w:tbl>
            <w:tblPr>
              <w:tblStyle w:val="30"/>
              <w:tblW w:w="4997"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0"/>
              <w:gridCol w:w="2263"/>
              <w:gridCol w:w="2263"/>
              <w:gridCol w:w="2263"/>
            </w:tblGrid>
            <w:tr w14:paraId="35A4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Align w:val="center"/>
                </w:tcPr>
                <w:p w14:paraId="7AED704B">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hint="default" w:eastAsia="宋体"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废水量t/a</w:t>
                  </w:r>
                </w:p>
              </w:tc>
              <w:tc>
                <w:tcPr>
                  <w:tcW w:w="1250" w:type="pct"/>
                  <w:vAlign w:val="center"/>
                </w:tcPr>
                <w:p w14:paraId="5BC08F2B">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hint="default" w:eastAsia="宋体"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污染物种类</w:t>
                  </w:r>
                </w:p>
              </w:tc>
              <w:tc>
                <w:tcPr>
                  <w:tcW w:w="1250" w:type="pct"/>
                  <w:vAlign w:val="center"/>
                </w:tcPr>
                <w:p w14:paraId="612BE645">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hint="default" w:eastAsia="宋体"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产生浓度mg/L</w:t>
                  </w:r>
                </w:p>
              </w:tc>
              <w:tc>
                <w:tcPr>
                  <w:tcW w:w="1250" w:type="pct"/>
                  <w:vAlign w:val="center"/>
                </w:tcPr>
                <w:p w14:paraId="0360A37B">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hint="default" w:eastAsia="宋体" w:cs="Times New Roman"/>
                      <w:color w:val="000000" w:themeColor="text1"/>
                      <w:sz w:val="21"/>
                      <w:szCs w:val="21"/>
                      <w:vertAlign w:val="baseline"/>
                      <w:lang w:val="en-US" w:eastAsia="zh-CN"/>
                      <w14:textFill>
                        <w14:solidFill>
                          <w14:schemeClr w14:val="tx1"/>
                        </w14:solidFill>
                      </w14:textFill>
                    </w:rPr>
                  </w:pPr>
                  <w:r>
                    <w:rPr>
                      <w:rFonts w:hint="eastAsia" w:cs="Times New Roman"/>
                      <w:color w:val="000000" w:themeColor="text1"/>
                      <w:sz w:val="21"/>
                      <w:szCs w:val="21"/>
                      <w:vertAlign w:val="baseline"/>
                      <w:lang w:val="en-US" w:eastAsia="zh-CN"/>
                      <w14:textFill>
                        <w14:solidFill>
                          <w14:schemeClr w14:val="tx1"/>
                        </w14:solidFill>
                      </w14:textFill>
                    </w:rPr>
                    <w:t>产生量t/a</w:t>
                  </w:r>
                </w:p>
              </w:tc>
            </w:tr>
            <w:tr w14:paraId="7C26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restart"/>
                  <w:vAlign w:val="center"/>
                </w:tcPr>
                <w:p w14:paraId="715CDE73">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hint="default"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117568.21</w:t>
                  </w:r>
                </w:p>
              </w:tc>
              <w:tc>
                <w:tcPr>
                  <w:tcW w:w="1250" w:type="pct"/>
                  <w:shd w:val="clear" w:color="auto" w:fill="auto"/>
                  <w:vAlign w:val="center"/>
                </w:tcPr>
                <w:p w14:paraId="61924E10">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pH值</w:t>
                  </w:r>
                </w:p>
              </w:tc>
              <w:tc>
                <w:tcPr>
                  <w:tcW w:w="1250" w:type="pct"/>
                  <w:shd w:val="clear" w:color="auto" w:fill="auto"/>
                  <w:vAlign w:val="center"/>
                </w:tcPr>
                <w:p w14:paraId="10A8FCA2">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eastAsia="宋体" w:cs="Times New Roman"/>
                      <w:color w:val="000000" w:themeColor="text1"/>
                      <w:lang w:val="en-US" w:eastAsia="zh-CN"/>
                      <w14:textFill>
                        <w14:solidFill>
                          <w14:schemeClr w14:val="tx1"/>
                        </w14:solidFill>
                      </w14:textFill>
                    </w:rPr>
                    <w:t>-9</w:t>
                  </w:r>
                </w:p>
              </w:tc>
              <w:tc>
                <w:tcPr>
                  <w:tcW w:w="1250" w:type="pct"/>
                  <w:vAlign w:val="center"/>
                </w:tcPr>
                <w:p w14:paraId="05412FB0">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hint="default"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w:t>
                  </w:r>
                </w:p>
              </w:tc>
            </w:tr>
            <w:tr w14:paraId="5E04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31E154AA">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66E33352">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色度</w:t>
                  </w:r>
                </w:p>
              </w:tc>
              <w:tc>
                <w:tcPr>
                  <w:tcW w:w="1250" w:type="pct"/>
                  <w:shd w:val="clear" w:color="auto" w:fill="auto"/>
                  <w:vAlign w:val="center"/>
                </w:tcPr>
                <w:p w14:paraId="4DDF3C89">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50</w:t>
                  </w:r>
                </w:p>
              </w:tc>
              <w:tc>
                <w:tcPr>
                  <w:tcW w:w="2273" w:type="dxa"/>
                  <w:vAlign w:val="center"/>
                </w:tcPr>
                <w:p w14:paraId="742B92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vertAlign w:val="baseline"/>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5.8784</w:t>
                  </w:r>
                </w:p>
              </w:tc>
            </w:tr>
            <w:tr w14:paraId="6C20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037E0FBB">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3680911E">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悬浮物</w:t>
                  </w:r>
                </w:p>
              </w:tc>
              <w:tc>
                <w:tcPr>
                  <w:tcW w:w="1250" w:type="pct"/>
                  <w:shd w:val="clear" w:color="auto" w:fill="auto"/>
                  <w:vAlign w:val="center"/>
                </w:tcPr>
                <w:p w14:paraId="767F9B54">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500</w:t>
                  </w:r>
                </w:p>
              </w:tc>
              <w:tc>
                <w:tcPr>
                  <w:tcW w:w="2273" w:type="dxa"/>
                  <w:vAlign w:val="center"/>
                </w:tcPr>
                <w:p w14:paraId="4DE749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58.7841</w:t>
                  </w:r>
                </w:p>
              </w:tc>
            </w:tr>
            <w:tr w14:paraId="35B0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62D3A8CF">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70905C0F">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化学需氧量</w:t>
                  </w:r>
                </w:p>
              </w:tc>
              <w:tc>
                <w:tcPr>
                  <w:tcW w:w="1250" w:type="pct"/>
                  <w:shd w:val="clear" w:color="auto" w:fill="auto"/>
                  <w:vAlign w:val="center"/>
                </w:tcPr>
                <w:p w14:paraId="27B06350">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lang w:val="en-US" w:eastAsia="zh-CN"/>
                      <w14:textFill>
                        <w14:solidFill>
                          <w14:schemeClr w14:val="tx1"/>
                        </w14:solidFill>
                      </w14:textFill>
                    </w:rPr>
                    <w:t>00</w:t>
                  </w:r>
                </w:p>
              </w:tc>
              <w:tc>
                <w:tcPr>
                  <w:tcW w:w="2273" w:type="dxa"/>
                  <w:vAlign w:val="center"/>
                </w:tcPr>
                <w:p w14:paraId="649781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vertAlign w:val="baseline"/>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117.5682</w:t>
                  </w:r>
                </w:p>
              </w:tc>
            </w:tr>
            <w:tr w14:paraId="2DC1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4F5FBE90">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200B62F2">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氨氮</w:t>
                  </w:r>
                </w:p>
              </w:tc>
              <w:tc>
                <w:tcPr>
                  <w:tcW w:w="1250" w:type="pct"/>
                  <w:shd w:val="clear" w:color="auto" w:fill="auto"/>
                  <w:vAlign w:val="center"/>
                </w:tcPr>
                <w:p w14:paraId="1B47F3F6">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c>
                <w:tcPr>
                  <w:tcW w:w="2273" w:type="dxa"/>
                  <w:vAlign w:val="center"/>
                </w:tcPr>
                <w:p w14:paraId="24311A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4.7027</w:t>
                  </w:r>
                </w:p>
              </w:tc>
            </w:tr>
            <w:tr w14:paraId="435D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76748156">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685622AA">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总磷</w:t>
                  </w:r>
                </w:p>
              </w:tc>
              <w:tc>
                <w:tcPr>
                  <w:tcW w:w="1250" w:type="pct"/>
                  <w:shd w:val="clear" w:color="auto" w:fill="auto"/>
                  <w:vAlign w:val="center"/>
                </w:tcPr>
                <w:p w14:paraId="16365CB9">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0.18</w:t>
                  </w:r>
                </w:p>
              </w:tc>
              <w:tc>
                <w:tcPr>
                  <w:tcW w:w="2273" w:type="dxa"/>
                  <w:vAlign w:val="center"/>
                </w:tcPr>
                <w:p w14:paraId="24D3E4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vertAlign w:val="baseline"/>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0.0212</w:t>
                  </w:r>
                </w:p>
              </w:tc>
            </w:tr>
            <w:tr w14:paraId="769D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52766F40">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70E6DB8C">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石油类</w:t>
                  </w:r>
                </w:p>
              </w:tc>
              <w:tc>
                <w:tcPr>
                  <w:tcW w:w="1250" w:type="pct"/>
                  <w:shd w:val="clear" w:color="auto" w:fill="auto"/>
                  <w:vAlign w:val="center"/>
                </w:tcPr>
                <w:p w14:paraId="08582FEB">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c>
                <w:tcPr>
                  <w:tcW w:w="2273" w:type="dxa"/>
                  <w:vAlign w:val="center"/>
                </w:tcPr>
                <w:p w14:paraId="192231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2.3514</w:t>
                  </w:r>
                </w:p>
              </w:tc>
            </w:tr>
            <w:tr w14:paraId="4CB3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3BAB9D83">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5867653D">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氯化物</w:t>
                  </w:r>
                </w:p>
              </w:tc>
              <w:tc>
                <w:tcPr>
                  <w:tcW w:w="1250" w:type="pct"/>
                  <w:shd w:val="clear" w:color="auto" w:fill="auto"/>
                  <w:vAlign w:val="center"/>
                </w:tcPr>
                <w:p w14:paraId="5DB3A136">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5000</w:t>
                  </w:r>
                </w:p>
              </w:tc>
              <w:tc>
                <w:tcPr>
                  <w:tcW w:w="2273" w:type="dxa"/>
                  <w:vAlign w:val="center"/>
                </w:tcPr>
                <w:p w14:paraId="2F6D53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587.8411</w:t>
                  </w:r>
                </w:p>
              </w:tc>
            </w:tr>
            <w:tr w14:paraId="10D8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2BA38A10">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383CA759">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硫化物</w:t>
                  </w:r>
                </w:p>
              </w:tc>
              <w:tc>
                <w:tcPr>
                  <w:tcW w:w="1250" w:type="pct"/>
                  <w:shd w:val="clear" w:color="auto" w:fill="auto"/>
                  <w:vAlign w:val="center"/>
                </w:tcPr>
                <w:p w14:paraId="77B43019">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0.06</w:t>
                  </w:r>
                </w:p>
              </w:tc>
              <w:tc>
                <w:tcPr>
                  <w:tcW w:w="2273" w:type="dxa"/>
                  <w:vAlign w:val="center"/>
                </w:tcPr>
                <w:p w14:paraId="0A70D5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0.0071</w:t>
                  </w:r>
                </w:p>
              </w:tc>
            </w:tr>
            <w:tr w14:paraId="3A9E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36B777C8">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36F479FF">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氟化物</w:t>
                  </w:r>
                </w:p>
              </w:tc>
              <w:tc>
                <w:tcPr>
                  <w:tcW w:w="1250" w:type="pct"/>
                  <w:shd w:val="clear" w:color="auto" w:fill="auto"/>
                  <w:vAlign w:val="center"/>
                </w:tcPr>
                <w:p w14:paraId="0343D122">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1.55</w:t>
                  </w:r>
                </w:p>
              </w:tc>
              <w:tc>
                <w:tcPr>
                  <w:tcW w:w="2273" w:type="dxa"/>
                  <w:vAlign w:val="center"/>
                </w:tcPr>
                <w:p w14:paraId="4A004D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0.1822</w:t>
                  </w:r>
                </w:p>
              </w:tc>
            </w:tr>
            <w:tr w14:paraId="3360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6F604596">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29CE0DC0">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挥发酚</w:t>
                  </w:r>
                </w:p>
              </w:tc>
              <w:tc>
                <w:tcPr>
                  <w:tcW w:w="1250" w:type="pct"/>
                  <w:shd w:val="clear" w:color="auto" w:fill="auto"/>
                  <w:vAlign w:val="center"/>
                </w:tcPr>
                <w:p w14:paraId="37EA4994">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0.096</w:t>
                  </w:r>
                </w:p>
              </w:tc>
              <w:tc>
                <w:tcPr>
                  <w:tcW w:w="2273" w:type="dxa"/>
                  <w:vAlign w:val="center"/>
                </w:tcPr>
                <w:p w14:paraId="1927E9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0.0113</w:t>
                  </w:r>
                </w:p>
              </w:tc>
            </w:tr>
            <w:tr w14:paraId="157A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0B7DBF45">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7D9E15B1">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溶解性总固体</w:t>
                  </w:r>
                </w:p>
              </w:tc>
              <w:tc>
                <w:tcPr>
                  <w:tcW w:w="1250" w:type="pct"/>
                  <w:shd w:val="clear" w:color="auto" w:fill="auto"/>
                  <w:vAlign w:val="center"/>
                </w:tcPr>
                <w:p w14:paraId="4380C201">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2540</w:t>
                  </w:r>
                </w:p>
              </w:tc>
              <w:tc>
                <w:tcPr>
                  <w:tcW w:w="2273" w:type="dxa"/>
                  <w:vAlign w:val="center"/>
                </w:tcPr>
                <w:p w14:paraId="28809A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298.6233</w:t>
                  </w:r>
                </w:p>
              </w:tc>
            </w:tr>
            <w:tr w14:paraId="0E4D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249" w:type="pct"/>
                  <w:vMerge w:val="continue"/>
                  <w:vAlign w:val="center"/>
                </w:tcPr>
                <w:p w14:paraId="7D3A67DF">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7D6619E3">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总氮</w:t>
                  </w:r>
                </w:p>
              </w:tc>
              <w:tc>
                <w:tcPr>
                  <w:tcW w:w="1250" w:type="pct"/>
                  <w:shd w:val="clear" w:color="auto" w:fill="auto"/>
                  <w:vAlign w:val="center"/>
                </w:tcPr>
                <w:p w14:paraId="2AF4CF35">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c>
                <w:tcPr>
                  <w:tcW w:w="2273" w:type="dxa"/>
                  <w:vAlign w:val="center"/>
                </w:tcPr>
                <w:p w14:paraId="7D718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cs="Times New Roman"/>
                      <w:b w:val="0"/>
                      <w:bCs w:val="0"/>
                      <w:color w:val="000000" w:themeColor="text1"/>
                      <w:sz w:val="21"/>
                      <w:szCs w:val="21"/>
                      <w:vertAlign w:val="baseline"/>
                      <w:lang w:val="en-US" w:eastAsia="zh-CN"/>
                      <w14:textFill>
                        <w14:solidFill>
                          <w14:schemeClr w14:val="tx1"/>
                        </w14:solidFill>
                      </w14:textFill>
                    </w:rPr>
                    <w:t>4.7027</w:t>
                  </w:r>
                </w:p>
              </w:tc>
            </w:tr>
            <w:tr w14:paraId="6F25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5E17351C">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7B31A7AD">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五日生化需氧量</w:t>
                  </w:r>
                </w:p>
              </w:tc>
              <w:tc>
                <w:tcPr>
                  <w:tcW w:w="1250" w:type="pct"/>
                  <w:shd w:val="clear" w:color="auto" w:fill="auto"/>
                  <w:vAlign w:val="center"/>
                </w:tcPr>
                <w:p w14:paraId="2D857E0C">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288</w:t>
                  </w:r>
                </w:p>
              </w:tc>
              <w:tc>
                <w:tcPr>
                  <w:tcW w:w="2273" w:type="dxa"/>
                  <w:vAlign w:val="center"/>
                </w:tcPr>
                <w:p w14:paraId="5ED86F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33.8596</w:t>
                  </w:r>
                </w:p>
              </w:tc>
            </w:tr>
            <w:tr w14:paraId="6627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67CBE0DD">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3277630F">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钙</w:t>
                  </w:r>
                </w:p>
              </w:tc>
              <w:tc>
                <w:tcPr>
                  <w:tcW w:w="1250" w:type="pct"/>
                  <w:shd w:val="clear" w:color="auto" w:fill="auto"/>
                  <w:vAlign w:val="center"/>
                </w:tcPr>
                <w:p w14:paraId="6C9F2E0D">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354</w:t>
                  </w:r>
                </w:p>
              </w:tc>
              <w:tc>
                <w:tcPr>
                  <w:tcW w:w="2273" w:type="dxa"/>
                  <w:vAlign w:val="center"/>
                </w:tcPr>
                <w:p w14:paraId="3482B8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41.6191</w:t>
                  </w:r>
                </w:p>
              </w:tc>
            </w:tr>
            <w:tr w14:paraId="2191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11F5BCE9">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1250" w:type="pct"/>
                  <w:shd w:val="clear" w:color="auto" w:fill="auto"/>
                  <w:vAlign w:val="center"/>
                </w:tcPr>
                <w:p w14:paraId="24C7E742">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镁</w:t>
                  </w:r>
                </w:p>
              </w:tc>
              <w:tc>
                <w:tcPr>
                  <w:tcW w:w="1250" w:type="pct"/>
                  <w:shd w:val="clear" w:color="auto" w:fill="auto"/>
                  <w:vAlign w:val="center"/>
                </w:tcPr>
                <w:p w14:paraId="03F6D997">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15.8</w:t>
                  </w:r>
                </w:p>
              </w:tc>
              <w:tc>
                <w:tcPr>
                  <w:tcW w:w="2273" w:type="dxa"/>
                  <w:vAlign w:val="center"/>
                </w:tcPr>
                <w:p w14:paraId="0E2457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1.8576</w:t>
                  </w:r>
                </w:p>
              </w:tc>
            </w:tr>
            <w:tr w14:paraId="42F4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39ED49FB">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242B2F29">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硫酸盐</w:t>
                  </w:r>
                </w:p>
              </w:tc>
              <w:tc>
                <w:tcPr>
                  <w:tcW w:w="0" w:type="auto"/>
                  <w:shd w:val="clear" w:color="auto" w:fill="auto"/>
                  <w:vAlign w:val="center"/>
                </w:tcPr>
                <w:p w14:paraId="671D3D32">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4.02</w:t>
                  </w:r>
                </w:p>
              </w:tc>
              <w:tc>
                <w:tcPr>
                  <w:tcW w:w="2273" w:type="dxa"/>
                  <w:vAlign w:val="center"/>
                </w:tcPr>
                <w:p w14:paraId="0F656B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0.4726</w:t>
                  </w:r>
                </w:p>
              </w:tc>
            </w:tr>
            <w:tr w14:paraId="58DE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2F42083B">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3FE274BE">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碘化物</w:t>
                  </w:r>
                </w:p>
              </w:tc>
              <w:tc>
                <w:tcPr>
                  <w:tcW w:w="0" w:type="auto"/>
                  <w:shd w:val="clear" w:color="auto" w:fill="auto"/>
                  <w:vAlign w:val="center"/>
                </w:tcPr>
                <w:p w14:paraId="1F77EBFE">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20.9</w:t>
                  </w:r>
                </w:p>
              </w:tc>
              <w:tc>
                <w:tcPr>
                  <w:tcW w:w="2273" w:type="dxa"/>
                  <w:vAlign w:val="center"/>
                </w:tcPr>
                <w:p w14:paraId="54E807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2.4572</w:t>
                  </w:r>
                </w:p>
              </w:tc>
            </w:tr>
            <w:tr w14:paraId="4F8C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3780374F">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0072D58E">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氰化物</w:t>
                  </w:r>
                </w:p>
              </w:tc>
              <w:tc>
                <w:tcPr>
                  <w:tcW w:w="0" w:type="auto"/>
                  <w:shd w:val="clear" w:color="auto" w:fill="auto"/>
                  <w:vAlign w:val="center"/>
                </w:tcPr>
                <w:p w14:paraId="59AC85DA">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0.096</w:t>
                  </w:r>
                </w:p>
              </w:tc>
              <w:tc>
                <w:tcPr>
                  <w:tcW w:w="2273" w:type="dxa"/>
                  <w:vAlign w:val="center"/>
                </w:tcPr>
                <w:p w14:paraId="14E347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0.0113</w:t>
                  </w:r>
                </w:p>
              </w:tc>
            </w:tr>
            <w:tr w14:paraId="2F13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06F1B785">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4FE8B93D">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溴化物</w:t>
                  </w:r>
                </w:p>
              </w:tc>
              <w:tc>
                <w:tcPr>
                  <w:tcW w:w="0" w:type="auto"/>
                  <w:vAlign w:val="center"/>
                </w:tcPr>
                <w:p w14:paraId="7B67DE2A">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83.2</w:t>
                  </w:r>
                </w:p>
              </w:tc>
              <w:tc>
                <w:tcPr>
                  <w:tcW w:w="2273" w:type="dxa"/>
                  <w:vAlign w:val="center"/>
                </w:tcPr>
                <w:p w14:paraId="04E11F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9.7817</w:t>
                  </w:r>
                </w:p>
              </w:tc>
            </w:tr>
            <w:tr w14:paraId="3187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2E188AC2">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791C504D">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汞</w:t>
                  </w:r>
                </w:p>
              </w:tc>
              <w:tc>
                <w:tcPr>
                  <w:tcW w:w="0" w:type="auto"/>
                  <w:shd w:val="clear" w:color="auto" w:fill="auto"/>
                  <w:vAlign w:val="center"/>
                </w:tcPr>
                <w:p w14:paraId="17519953">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0.00010</w:t>
                  </w:r>
                </w:p>
              </w:tc>
              <w:tc>
                <w:tcPr>
                  <w:tcW w:w="2273" w:type="dxa"/>
                  <w:vAlign w:val="center"/>
                </w:tcPr>
                <w:p w14:paraId="5F2B0D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1.18E-05</w:t>
                  </w:r>
                </w:p>
              </w:tc>
            </w:tr>
            <w:tr w14:paraId="6AD4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44051656">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073F7359">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六价铬</w:t>
                  </w:r>
                </w:p>
              </w:tc>
              <w:tc>
                <w:tcPr>
                  <w:tcW w:w="0" w:type="auto"/>
                  <w:shd w:val="clear" w:color="auto" w:fill="auto"/>
                  <w:vAlign w:val="center"/>
                </w:tcPr>
                <w:p w14:paraId="3A8481B4">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2273" w:type="dxa"/>
                  <w:vAlign w:val="center"/>
                </w:tcPr>
                <w:p w14:paraId="526A12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i w:val="0"/>
                      <w:iCs w:val="0"/>
                      <w:color w:val="000000"/>
                      <w:kern w:val="0"/>
                      <w:sz w:val="21"/>
                      <w:szCs w:val="21"/>
                      <w:u w:val="none"/>
                      <w:lang w:val="en-US" w:eastAsia="zh-CN" w:bidi="ar"/>
                    </w:rPr>
                    <w:t>/</w:t>
                  </w:r>
                </w:p>
              </w:tc>
            </w:tr>
            <w:tr w14:paraId="07A0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662F11C3">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7A05EF1D">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铬</w:t>
                  </w:r>
                </w:p>
              </w:tc>
              <w:tc>
                <w:tcPr>
                  <w:tcW w:w="0" w:type="auto"/>
                  <w:shd w:val="clear" w:color="auto" w:fill="auto"/>
                  <w:vAlign w:val="center"/>
                </w:tcPr>
                <w:p w14:paraId="27D53FD0">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0.0275</w:t>
                  </w:r>
                </w:p>
              </w:tc>
              <w:tc>
                <w:tcPr>
                  <w:tcW w:w="2273" w:type="dxa"/>
                  <w:vAlign w:val="center"/>
                </w:tcPr>
                <w:p w14:paraId="604DC7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0.0032</w:t>
                  </w:r>
                </w:p>
              </w:tc>
            </w:tr>
            <w:tr w14:paraId="3748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441B71D4">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2AD3501A">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铅</w:t>
                  </w:r>
                </w:p>
              </w:tc>
              <w:tc>
                <w:tcPr>
                  <w:tcW w:w="0" w:type="auto"/>
                  <w:shd w:val="clear" w:color="auto" w:fill="auto"/>
                  <w:vAlign w:val="center"/>
                </w:tcPr>
                <w:p w14:paraId="4785DE35">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0.0834</w:t>
                  </w:r>
                </w:p>
              </w:tc>
              <w:tc>
                <w:tcPr>
                  <w:tcW w:w="2273" w:type="dxa"/>
                  <w:vAlign w:val="center"/>
                </w:tcPr>
                <w:p w14:paraId="0C14B6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0.0098</w:t>
                  </w:r>
                </w:p>
              </w:tc>
            </w:tr>
            <w:tr w14:paraId="3A31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67C5E98E">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1DD53C5A">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砷</w:t>
                  </w:r>
                </w:p>
              </w:tc>
              <w:tc>
                <w:tcPr>
                  <w:tcW w:w="0" w:type="auto"/>
                  <w:shd w:val="clear" w:color="auto" w:fill="auto"/>
                  <w:vAlign w:val="center"/>
                </w:tcPr>
                <w:p w14:paraId="0945CEEA">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0.322</w:t>
                  </w:r>
                </w:p>
              </w:tc>
              <w:tc>
                <w:tcPr>
                  <w:tcW w:w="2273" w:type="dxa"/>
                  <w:vAlign w:val="center"/>
                </w:tcPr>
                <w:p w14:paraId="3C5268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0.0379</w:t>
                  </w:r>
                </w:p>
              </w:tc>
            </w:tr>
            <w:tr w14:paraId="3F77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6D3B1B06">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1F817ED3">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镉</w:t>
                  </w:r>
                </w:p>
              </w:tc>
              <w:tc>
                <w:tcPr>
                  <w:tcW w:w="0" w:type="auto"/>
                  <w:shd w:val="clear" w:color="auto" w:fill="auto"/>
                  <w:vAlign w:val="center"/>
                </w:tcPr>
                <w:p w14:paraId="10F85055">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0.0206</w:t>
                  </w:r>
                </w:p>
              </w:tc>
              <w:tc>
                <w:tcPr>
                  <w:tcW w:w="2273" w:type="dxa"/>
                  <w:vAlign w:val="center"/>
                </w:tcPr>
                <w:p w14:paraId="310661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0.0024</w:t>
                  </w:r>
                </w:p>
              </w:tc>
            </w:tr>
            <w:tr w14:paraId="0400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1733003B">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63A15345">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镍</w:t>
                  </w:r>
                </w:p>
              </w:tc>
              <w:tc>
                <w:tcPr>
                  <w:tcW w:w="0" w:type="auto"/>
                  <w:shd w:val="clear" w:color="auto" w:fill="auto"/>
                  <w:vAlign w:val="center"/>
                </w:tcPr>
                <w:p w14:paraId="1DDA4CF2">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0.0771</w:t>
                  </w:r>
                </w:p>
              </w:tc>
              <w:tc>
                <w:tcPr>
                  <w:tcW w:w="2273" w:type="dxa"/>
                  <w:vAlign w:val="center"/>
                </w:tcPr>
                <w:p w14:paraId="75A2A1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0.0091</w:t>
                  </w:r>
                </w:p>
              </w:tc>
            </w:tr>
            <w:tr w14:paraId="3661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18C2CA6D">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520CDAD6">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钡</w:t>
                  </w:r>
                </w:p>
              </w:tc>
              <w:tc>
                <w:tcPr>
                  <w:tcW w:w="0" w:type="auto"/>
                  <w:shd w:val="clear" w:color="auto" w:fill="auto"/>
                  <w:vAlign w:val="center"/>
                </w:tcPr>
                <w:p w14:paraId="185C9219">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3.48</w:t>
                  </w:r>
                </w:p>
              </w:tc>
              <w:tc>
                <w:tcPr>
                  <w:tcW w:w="2273" w:type="dxa"/>
                  <w:vAlign w:val="center"/>
                </w:tcPr>
                <w:p w14:paraId="6A45D7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0.4091</w:t>
                  </w:r>
                </w:p>
              </w:tc>
            </w:tr>
            <w:tr w14:paraId="2BFC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9" w:type="pct"/>
                  <w:vMerge w:val="continue"/>
                  <w:vAlign w:val="center"/>
                </w:tcPr>
                <w:p w14:paraId="507FD5F4">
                  <w:pPr>
                    <w:pStyle w:val="12"/>
                    <w:keepNext/>
                    <w:keepLines w:val="0"/>
                    <w:pageBreakBefore w:val="0"/>
                    <w:widowControl/>
                    <w:kinsoku/>
                    <w:wordWrap/>
                    <w:overflowPunct/>
                    <w:topLinePunct w:val="0"/>
                    <w:autoSpaceDE/>
                    <w:autoSpaceDN/>
                    <w:bidi w:val="0"/>
                    <w:adjustRightInd w:val="0"/>
                    <w:snapToGrid w:val="0"/>
                    <w:spacing w:after="0"/>
                    <w:jc w:val="center"/>
                    <w:textAlignment w:val="auto"/>
                    <w:rPr>
                      <w:rFonts w:cs="Times New Roman"/>
                      <w:b w:val="0"/>
                      <w:bCs w:val="0"/>
                      <w:color w:val="000000" w:themeColor="text1"/>
                      <w:sz w:val="21"/>
                      <w:szCs w:val="21"/>
                      <w:vertAlign w:val="baseline"/>
                      <w14:textFill>
                        <w14:solidFill>
                          <w14:schemeClr w14:val="tx1"/>
                        </w14:solidFill>
                      </w14:textFill>
                    </w:rPr>
                  </w:pPr>
                </w:p>
              </w:tc>
              <w:tc>
                <w:tcPr>
                  <w:tcW w:w="0" w:type="auto"/>
                  <w:shd w:val="clear" w:color="auto" w:fill="auto"/>
                  <w:vAlign w:val="center"/>
                </w:tcPr>
                <w:p w14:paraId="521D1077">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石油类</w:t>
                  </w:r>
                </w:p>
              </w:tc>
              <w:tc>
                <w:tcPr>
                  <w:tcW w:w="0" w:type="auto"/>
                  <w:shd w:val="clear" w:color="auto" w:fill="auto"/>
                  <w:vAlign w:val="center"/>
                </w:tcPr>
                <w:p w14:paraId="676D2692">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0.42</w:t>
                  </w:r>
                </w:p>
              </w:tc>
              <w:tc>
                <w:tcPr>
                  <w:tcW w:w="2273" w:type="dxa"/>
                  <w:vAlign w:val="center"/>
                </w:tcPr>
                <w:p w14:paraId="1FD391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0.0494</w:t>
                  </w:r>
                </w:p>
              </w:tc>
            </w:tr>
          </w:tbl>
          <w:p w14:paraId="046639D4">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（2）W2渗滤液</w:t>
            </w:r>
          </w:p>
          <w:p w14:paraId="052329AD">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lang w:val="en-US" w:eastAsia="zh-CN"/>
                <w14:textFill>
                  <w14:solidFill>
                    <w14:schemeClr w14:val="tx1"/>
                  </w14:solidFill>
                </w14:textFill>
              </w:rPr>
              <w:t>堆放含水率</w:t>
            </w:r>
            <w:r>
              <w:rPr>
                <w:rFonts w:hint="eastAsia" w:cs="Times New Roman"/>
                <w:color w:val="000000" w:themeColor="text1"/>
                <w:lang w:val="en-US" w:eastAsia="zh-CN"/>
                <w14:textFill>
                  <w14:solidFill>
                    <w14:schemeClr w14:val="tx1"/>
                  </w14:solidFill>
                </w14:textFill>
              </w:rPr>
              <w:t>35%</w:t>
            </w:r>
            <w:r>
              <w:rPr>
                <w:rFonts w:hint="eastAsia" w:ascii="Times New Roman" w:hAnsi="Times New Roman" w:eastAsia="宋体" w:cs="Times New Roman"/>
                <w:color w:val="000000" w:themeColor="text1"/>
                <w:lang w:val="en-US" w:eastAsia="zh-CN"/>
                <w14:textFill>
                  <w14:solidFill>
                    <w14:schemeClr w14:val="tx1"/>
                  </w14:solidFill>
                </w14:textFill>
              </w:rPr>
              <w:t>的</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，堆放区设置在防渗地面上（</w:t>
            </w:r>
            <w:r>
              <w:rPr>
                <w:rFonts w:hint="eastAsia" w:cs="Times New Roman"/>
                <w:color w:val="000000" w:themeColor="text1"/>
                <w:lang w:val="en-US" w:eastAsia="zh-CN"/>
                <w14:textFill>
                  <w14:solidFill>
                    <w14:schemeClr w14:val="tx1"/>
                  </w14:solidFill>
                </w14:textFill>
              </w:rPr>
              <w:t>抗渗水泥</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人工防渗材料</w:t>
            </w:r>
            <w:r>
              <w:rPr>
                <w:rFonts w:hint="eastAsia" w:ascii="Times New Roman" w:hAnsi="Times New Roman" w:eastAsia="宋体" w:cs="Times New Roman"/>
                <w:color w:val="000000" w:themeColor="text1"/>
                <w:lang w:val="en-US" w:eastAsia="zh-CN"/>
                <w14:textFill>
                  <w14:solidFill>
                    <w14:schemeClr w14:val="tx1"/>
                  </w14:solidFill>
                </w14:textFill>
              </w:rPr>
              <w:t>），堆放区三面设置0.5m高围堰+一面设置车辆装卸料斜坡。</w:t>
            </w:r>
          </w:p>
          <w:p w14:paraId="342F28A9">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堆放过程会产生少量渗滤液，</w:t>
            </w:r>
            <w:r>
              <w:rPr>
                <w:rFonts w:hint="eastAsia" w:cs="Times New Roman"/>
                <w:color w:val="000000" w:themeColor="text1"/>
                <w:lang w:val="en-US" w:eastAsia="zh-CN"/>
                <w14:textFill>
                  <w14:solidFill>
                    <w14:schemeClr w14:val="tx1"/>
                  </w14:solidFill>
                </w14:textFill>
              </w:rPr>
              <w:t>渗滤液成分与水基岩屑内的含水基本一致，</w:t>
            </w:r>
            <w:r>
              <w:rPr>
                <w:rFonts w:hint="eastAsia" w:ascii="Times New Roman" w:hAnsi="Times New Roman" w:eastAsia="宋体" w:cs="Times New Roman"/>
                <w:color w:val="000000" w:themeColor="text1"/>
                <w:lang w:val="en-US" w:eastAsia="zh-CN"/>
                <w14:textFill>
                  <w14:solidFill>
                    <w14:schemeClr w14:val="tx1"/>
                  </w14:solidFill>
                </w14:textFill>
              </w:rPr>
              <w:t>堆放区设置围堰及斜坡，渗滤液不会流出堆放区，与</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（含水率</w:t>
            </w:r>
            <w:r>
              <w:rPr>
                <w:rFonts w:hint="eastAsia" w:cs="Times New Roman"/>
                <w:color w:val="000000" w:themeColor="text1"/>
                <w:lang w:val="en-US" w:eastAsia="zh-CN"/>
                <w14:textFill>
                  <w14:solidFill>
                    <w14:schemeClr w14:val="tx1"/>
                  </w14:solidFill>
                </w14:textFill>
              </w:rPr>
              <w:t>35%</w:t>
            </w:r>
            <w:r>
              <w:rPr>
                <w:rFonts w:hint="eastAsia" w:ascii="Times New Roman" w:hAnsi="Times New Roman" w:eastAsia="宋体" w:cs="Times New Roman"/>
                <w:color w:val="000000" w:themeColor="text1"/>
                <w:lang w:val="en-US" w:eastAsia="zh-CN"/>
                <w14:textFill>
                  <w14:solidFill>
                    <w14:schemeClr w14:val="tx1"/>
                  </w14:solidFill>
                </w14:textFill>
              </w:rPr>
              <w:t>）一同进入回转窑内</w:t>
            </w:r>
            <w:r>
              <w:rPr>
                <w:rFonts w:hint="eastAsia" w:cs="Times New Roman"/>
                <w:color w:val="000000" w:themeColor="text1"/>
                <w:lang w:val="en-US" w:eastAsia="zh-CN"/>
                <w14:textFill>
                  <w14:solidFill>
                    <w14:schemeClr w14:val="tx1"/>
                  </w14:solidFill>
                </w14:textFill>
              </w:rPr>
              <w:t>煅烧</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23347F6A">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（3）W3地面冲洗废水</w:t>
            </w:r>
          </w:p>
          <w:p w14:paraId="41FE8D19">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eastAsia"/>
                <w:color w:val="000000" w:themeColor="text1"/>
                <w:vertAlign w:val="baseline"/>
                <w:lang w:val="en-US" w:eastAsia="zh-CN"/>
                <w14:textFill>
                  <w14:solidFill>
                    <w14:schemeClr w14:val="tx1"/>
                  </w14:solidFill>
                </w14:textFill>
              </w:rPr>
              <w:t>地面冲洗废水量约为0.36m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/d，118.8m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/a。</w:t>
            </w:r>
          </w:p>
          <w:p w14:paraId="50353AF1">
            <w:pPr>
              <w:ind w:firstLine="480"/>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地面冲洗主要对水基岩屑储存池周边区域进行，冲洗池体周边装卸过程散落物料，采用人工冲洗。因此地面冲洗水成分与水基岩屑内含水的成分接近，浓度相对更低一些。</w:t>
            </w:r>
          </w:p>
          <w:p w14:paraId="0DCA08FA">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冲洗水自流+人员清扫进入厂房内中部地势较低的水基岩屑储存池内。后续随水基岩屑预处理，一起压滤脱水，最终进入压滤废水内。</w:t>
            </w:r>
          </w:p>
          <w:p w14:paraId="1B25A2C2">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（4）W4 车辆冲洗废水</w:t>
            </w:r>
          </w:p>
          <w:p w14:paraId="632C8CC9">
            <w:pPr>
              <w:ind w:firstLine="480"/>
              <w:rPr>
                <w:rFonts w:hint="default"/>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eastAsia" w:ascii="Times New Roman" w:hAnsi="Times New Roman" w:eastAsia="宋体" w:cs="Times New Roman"/>
                <w:color w:val="000000" w:themeColor="text1"/>
                <w:lang w:val="en-US" w:eastAsia="zh-CN"/>
                <w14:textFill>
                  <w14:solidFill>
                    <w14:schemeClr w14:val="tx1"/>
                  </w14:solidFill>
                </w14:textFill>
              </w:rPr>
              <w:t>车辆冲洗废水约为</w:t>
            </w:r>
            <w:r>
              <w:rPr>
                <w:rFonts w:hint="eastAsia" w:cs="Times New Roman"/>
                <w:color w:val="000000" w:themeColor="text1"/>
                <w:lang w:val="en-US" w:eastAsia="zh-CN"/>
                <w14:textFill>
                  <w14:solidFill>
                    <w14:schemeClr w14:val="tx1"/>
                  </w14:solidFill>
                </w14:textFill>
              </w:rPr>
              <w:t>7.77</w:t>
            </w:r>
            <w:r>
              <w:rPr>
                <w:rFonts w:hint="default" w:ascii="Times New Roman" w:hAnsi="Times New Roman" w:eastAsia="宋体" w:cs="Times New Roman"/>
                <w:color w:val="000000" w:themeColor="text1"/>
                <w:lang w:val="en-US" w:eastAsia="zh-CN"/>
                <w14:textFill>
                  <w14:solidFill>
                    <w14:schemeClr w14:val="tx1"/>
                  </w14:solidFill>
                </w14:textFill>
              </w:rPr>
              <w:t>m</w:t>
            </w:r>
            <w:r>
              <w:rPr>
                <w:rFonts w:hint="default" w:ascii="Times New Roman" w:hAnsi="Times New Roman" w:eastAsia="宋体" w:cs="Times New Roman"/>
                <w:color w:val="000000" w:themeColor="text1"/>
                <w:vertAlign w:val="superscript"/>
                <w:lang w:val="en-US" w:eastAsia="zh-CN"/>
                <w14:textFill>
                  <w14:solidFill>
                    <w14:schemeClr w14:val="tx1"/>
                  </w14:solidFill>
                </w14:textFill>
              </w:rPr>
              <w:t xml:space="preserve">3 </w:t>
            </w:r>
            <w:r>
              <w:rPr>
                <w:rFonts w:hint="default" w:ascii="Times New Roman" w:hAnsi="Times New Roman" w:eastAsia="宋体" w:cs="Times New Roman"/>
                <w:color w:val="000000" w:themeColor="text1"/>
                <w:lang w:val="en-US" w:eastAsia="zh-CN"/>
                <w14:textFill>
                  <w14:solidFill>
                    <w14:schemeClr w14:val="tx1"/>
                  </w14:solidFill>
                </w14:textFill>
              </w:rPr>
              <w:t>/d</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2564.91</w:t>
            </w:r>
            <w:r>
              <w:rPr>
                <w:rFonts w:hint="default" w:ascii="Times New Roman" w:hAnsi="Times New Roman" w:eastAsia="宋体" w:cs="Times New Roman"/>
                <w:color w:val="000000" w:themeColor="text1"/>
                <w:lang w:val="en-US" w:eastAsia="zh-CN"/>
                <w14:textFill>
                  <w14:solidFill>
                    <w14:schemeClr w14:val="tx1"/>
                  </w14:solidFill>
                </w14:textFill>
              </w:rPr>
              <w:t>m</w:t>
            </w:r>
            <w:r>
              <w:rPr>
                <w:rFonts w:hint="default" w:ascii="Times New Roman" w:hAnsi="Times New Roman" w:eastAsia="宋体"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/a</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车辆冲洗水中主要污染成分为COD、SS、石油类等。</w:t>
            </w:r>
          </w:p>
          <w:p w14:paraId="64C05473">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冲洗水通过管线送至进入2号厂房内水基岩屑储存池内。后续随水基岩屑预处理，一起压滤脱水，最终进入压滤废水内。</w:t>
            </w:r>
          </w:p>
          <w:p w14:paraId="3E49B7ED">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（5）W5喷淋废水</w:t>
            </w:r>
          </w:p>
          <w:p w14:paraId="319FC5A6">
            <w:pPr>
              <w:keepNext w:val="0"/>
              <w:keepLines w:val="0"/>
              <w:widowControl/>
              <w:suppressLineNumbers w:val="0"/>
              <w:jc w:val="left"/>
              <w:rPr>
                <w:rFonts w:hint="eastAsia"/>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eastAsia"/>
                <w:color w:val="000000" w:themeColor="text1"/>
                <w:vertAlign w:val="baseline"/>
                <w:lang w:val="en-US" w:eastAsia="zh-CN"/>
                <w14:textFill>
                  <w14:solidFill>
                    <w14:schemeClr w14:val="tx1"/>
                  </w14:solidFill>
                </w14:textFill>
              </w:rPr>
              <w:t>喷淋废水量约21.6t/d</w:t>
            </w:r>
            <w:r>
              <w:rPr>
                <w:rFonts w:hint="eastAsia" w:cs="Times New Roman"/>
                <w:color w:val="000000" w:themeColor="text1"/>
                <w:sz w:val="24"/>
                <w:szCs w:val="24"/>
                <w:vertAlign w:val="baseline"/>
                <w:lang w:val="en-US" w:eastAsia="zh-CN"/>
                <w14:textFill>
                  <w14:solidFill>
                    <w14:schemeClr w14:val="tx1"/>
                  </w14:solidFill>
                </w14:textFill>
              </w:rPr>
              <w:t>（7128t/a）</w:t>
            </w:r>
            <w:r>
              <w:rPr>
                <w:rFonts w:hint="eastAsia"/>
                <w:color w:val="000000" w:themeColor="text1"/>
                <w:vertAlign w:val="baseline"/>
                <w:lang w:val="en-US" w:eastAsia="zh-CN"/>
                <w14:textFill>
                  <w14:solidFill>
                    <w14:schemeClr w14:val="tx1"/>
                  </w14:solidFill>
                </w14:textFill>
              </w:rPr>
              <w:t>。</w:t>
            </w:r>
          </w:p>
          <w:p w14:paraId="158BDB9F">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喷淋过程采用氢氧化钠溶液作为喷淋液，主要处理废气中的二氧化硫、氟化物，喷淋废水中主要污染物组分为硫酸盐、SS、氟化物等，送至滤液池和压滤废水一并处理。</w:t>
            </w:r>
          </w:p>
          <w:p w14:paraId="1ADD8BEB">
            <w:pPr>
              <w:ind w:firstLine="480"/>
              <w:rPr>
                <w:rFonts w:hint="default"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（6）W6 蒸养冷凝水</w:t>
            </w:r>
          </w:p>
          <w:p w14:paraId="518DCF7F">
            <w:pPr>
              <w:numPr>
                <w:ilvl w:val="0"/>
                <w:numId w:val="0"/>
              </w:numPr>
              <w:ind w:left="0" w:leftChars="0" w:firstLine="480" w:firstLineChars="20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蒸养过程产生冷凝水量总计约</w:t>
            </w:r>
            <w:r>
              <w:rPr>
                <w:rFonts w:hint="eastAsia" w:cs="Times New Roman"/>
                <w:color w:val="000000" w:themeColor="text1"/>
                <w:kern w:val="0"/>
                <w:sz w:val="24"/>
                <w:szCs w:val="24"/>
                <w:lang w:val="en-US" w:eastAsia="zh-CN" w:bidi="ar"/>
                <w14:textFill>
                  <w14:solidFill>
                    <w14:schemeClr w14:val="tx1"/>
                  </w14:solidFill>
                </w14:textFill>
              </w:rPr>
              <w:t>3528</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t/a，约</w:t>
            </w:r>
            <w:r>
              <w:rPr>
                <w:rFonts w:hint="eastAsia" w:cs="Times New Roman"/>
                <w:color w:val="000000" w:themeColor="text1"/>
                <w:kern w:val="0"/>
                <w:sz w:val="24"/>
                <w:szCs w:val="24"/>
                <w:lang w:val="en-US" w:eastAsia="zh-CN" w:bidi="ar"/>
                <w14:textFill>
                  <w14:solidFill>
                    <w14:schemeClr w14:val="tx1"/>
                  </w14:solidFill>
                </w14:textFill>
              </w:rPr>
              <w:t>882</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t以水蒸气形式排放。</w:t>
            </w:r>
          </w:p>
          <w:p w14:paraId="785FC62B">
            <w:pPr>
              <w:ind w:firstLine="480"/>
              <w:rPr>
                <w:rFonts w:hint="default" w:ascii="Times New Roman" w:hAnsi="Times New Roman" w:cs="Times New Roman"/>
                <w:color w:val="000000" w:themeColor="text1"/>
                <w:vertAlign w:val="baseline"/>
                <w:lang w:val="en-US" w:eastAsia="zh-CN"/>
                <w14:textFill>
                  <w14:solidFill>
                    <w14:schemeClr w14:val="tx1"/>
                  </w14:solidFill>
                </w14:textFill>
              </w:rPr>
            </w:pPr>
            <w:r>
              <w:rPr>
                <w:rFonts w:hint="default" w:ascii="Times New Roman" w:hAnsi="Times New Roman" w:cs="Times New Roman"/>
                <w:color w:val="000000" w:themeColor="text1"/>
                <w:vertAlign w:val="baseline"/>
                <w:lang w:val="en-US" w:eastAsia="zh-CN"/>
                <w14:textFill>
                  <w14:solidFill>
                    <w14:schemeClr w14:val="tx1"/>
                  </w14:solidFill>
                </w14:textFill>
              </w:rPr>
              <w:t>蒸养冷凝水水质较好，主要污染物为SS等，经蒸养箱底部的排水系统收集后，全部回用于</w:t>
            </w:r>
            <w:r>
              <w:rPr>
                <w:rFonts w:hint="eastAsia" w:cs="Times New Roman"/>
                <w:color w:val="000000" w:themeColor="text1"/>
                <w:vertAlign w:val="baseline"/>
                <w:lang w:val="en-US" w:eastAsia="zh-CN"/>
                <w14:textFill>
                  <w14:solidFill>
                    <w14:schemeClr w14:val="tx1"/>
                  </w14:solidFill>
                </w14:textFill>
              </w:rPr>
              <w:t>免烧砌块</w:t>
            </w:r>
            <w:r>
              <w:rPr>
                <w:rFonts w:hint="default" w:ascii="Times New Roman" w:hAnsi="Times New Roman" w:cs="Times New Roman"/>
                <w:color w:val="000000" w:themeColor="text1"/>
                <w:vertAlign w:val="baseline"/>
                <w:lang w:val="en-US" w:eastAsia="zh-CN"/>
                <w14:textFill>
                  <w14:solidFill>
                    <w14:schemeClr w14:val="tx1"/>
                  </w14:solidFill>
                </w14:textFill>
              </w:rPr>
              <w:t>生产过程。</w:t>
            </w:r>
          </w:p>
          <w:p w14:paraId="39915C2C">
            <w:pPr>
              <w:ind w:firstLine="480"/>
              <w:rPr>
                <w:rFonts w:cs="Times New Roman"/>
                <w:b/>
                <w:color w:val="000000" w:themeColor="text1"/>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（7）W7生活污水</w:t>
            </w:r>
          </w:p>
          <w:p w14:paraId="14EBA07A">
            <w:pPr>
              <w:ind w:firstLine="480"/>
              <w:rPr>
                <w:rFonts w:cs="Times New Roman"/>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cs="Times New Roman"/>
                <w:color w:val="000000" w:themeColor="text1"/>
                <w14:textFill>
                  <w14:solidFill>
                    <w14:schemeClr w14:val="tx1"/>
                  </w14:solidFill>
                </w14:textFill>
              </w:rPr>
              <w:t>生活污水产生量为</w:t>
            </w:r>
            <w:r>
              <w:rPr>
                <w:rFonts w:hint="eastAsia" w:cs="Times New Roman"/>
                <w:color w:val="000000" w:themeColor="text1"/>
                <w:lang w:val="en-US" w:eastAsia="zh-CN"/>
                <w14:textFill>
                  <w14:solidFill>
                    <w14:schemeClr w14:val="tx1"/>
                  </w14:solidFill>
                </w14:textFill>
              </w:rPr>
              <w:t>2.34</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772.2</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/a，主要污染物浓度分别为</w:t>
            </w:r>
            <w:r>
              <w:rPr>
                <w:rFonts w:eastAsia="Times New Roman" w:cs="Times New Roman"/>
                <w:color w:val="000000" w:themeColor="text1"/>
                <w14:textFill>
                  <w14:solidFill>
                    <w14:schemeClr w14:val="tx1"/>
                  </w14:solidFill>
                </w14:textFill>
              </w:rPr>
              <w:t>COD</w:t>
            </w:r>
            <w:r>
              <w:rPr>
                <w:rFonts w:cs="Times New Roman"/>
                <w:color w:val="000000" w:themeColor="text1"/>
                <w14:textFill>
                  <w14:solidFill>
                    <w14:schemeClr w14:val="tx1"/>
                  </w14:solidFill>
                </w14:textFill>
              </w:rPr>
              <w:t>：50</w:t>
            </w:r>
            <w:r>
              <w:rPr>
                <w:rFonts w:eastAsia="Times New Roman" w:cs="Times New Roman"/>
                <w:color w:val="000000" w:themeColor="text1"/>
                <w14:textFill>
                  <w14:solidFill>
                    <w14:schemeClr w14:val="tx1"/>
                  </w14:solidFill>
                </w14:textFill>
              </w:rPr>
              <w:t>0mg/L</w:t>
            </w:r>
            <w:r>
              <w:rPr>
                <w:rFonts w:cs="Times New Roman"/>
                <w:color w:val="000000" w:themeColor="text1"/>
                <w14:textFill>
                  <w14:solidFill>
                    <w14:schemeClr w14:val="tx1"/>
                  </w14:solidFill>
                </w14:textFill>
              </w:rPr>
              <w:t>、B</w:t>
            </w:r>
            <w:r>
              <w:rPr>
                <w:rFonts w:eastAsia="Times New Roman" w:cs="Times New Roman"/>
                <w:color w:val="000000" w:themeColor="text1"/>
                <w14:textFill>
                  <w14:solidFill>
                    <w14:schemeClr w14:val="tx1"/>
                  </w14:solidFill>
                </w14:textFill>
              </w:rPr>
              <w:t>OD</w:t>
            </w:r>
            <w:r>
              <w:rPr>
                <w:rFonts w:cs="Times New Roman"/>
                <w:color w:val="000000" w:themeColor="text1"/>
                <w:vertAlign w:val="subscript"/>
                <w14:textFill>
                  <w14:solidFill>
                    <w14:schemeClr w14:val="tx1"/>
                  </w14:solidFill>
                </w14:textFill>
              </w:rPr>
              <w:t>5</w:t>
            </w:r>
            <w:r>
              <w:rPr>
                <w:rFonts w:cs="Times New Roman"/>
                <w:color w:val="000000" w:themeColor="text1"/>
                <w14:textFill>
                  <w14:solidFill>
                    <w14:schemeClr w14:val="tx1"/>
                  </w14:solidFill>
                </w14:textFill>
              </w:rPr>
              <w:t>：30</w:t>
            </w:r>
            <w:r>
              <w:rPr>
                <w:rFonts w:eastAsia="Times New Roman" w:cs="Times New Roman"/>
                <w:color w:val="000000" w:themeColor="text1"/>
                <w14:textFill>
                  <w14:solidFill>
                    <w14:schemeClr w14:val="tx1"/>
                  </w14:solidFill>
                </w14:textFill>
              </w:rPr>
              <w:t>0mg/L</w:t>
            </w:r>
            <w:r>
              <w:rPr>
                <w:rFonts w:cs="Times New Roman"/>
                <w:color w:val="000000" w:themeColor="text1"/>
                <w14:textFill>
                  <w14:solidFill>
                    <w14:schemeClr w14:val="tx1"/>
                  </w14:solidFill>
                </w14:textFill>
              </w:rPr>
              <w:t>、</w:t>
            </w:r>
            <w:r>
              <w:rPr>
                <w:rFonts w:eastAsia="Times New Roman" w:cs="Times New Roman"/>
                <w:color w:val="000000" w:themeColor="text1"/>
                <w14:textFill>
                  <w14:solidFill>
                    <w14:schemeClr w14:val="tx1"/>
                  </w14:solidFill>
                </w14:textFill>
              </w:rPr>
              <w:t>SS</w:t>
            </w:r>
            <w:r>
              <w:rPr>
                <w:rFonts w:cs="Times New Roman"/>
                <w:color w:val="000000" w:themeColor="text1"/>
                <w14:textFill>
                  <w14:solidFill>
                    <w14:schemeClr w14:val="tx1"/>
                  </w14:solidFill>
                </w14:textFill>
              </w:rPr>
              <w:t>：30</w:t>
            </w:r>
            <w:r>
              <w:rPr>
                <w:rFonts w:eastAsia="Times New Roman" w:cs="Times New Roman"/>
                <w:color w:val="000000" w:themeColor="text1"/>
                <w14:textFill>
                  <w14:solidFill>
                    <w14:schemeClr w14:val="tx1"/>
                  </w14:solidFill>
                </w14:textFill>
              </w:rPr>
              <w:t>0mg/L</w:t>
            </w:r>
            <w:r>
              <w:rPr>
                <w:rFonts w:cs="Times New Roman"/>
                <w:color w:val="000000" w:themeColor="text1"/>
                <w14:textFill>
                  <w14:solidFill>
                    <w14:schemeClr w14:val="tx1"/>
                  </w14:solidFill>
                </w14:textFill>
              </w:rPr>
              <w:t>、氨氮：</w:t>
            </w:r>
            <w:r>
              <w:rPr>
                <w:rFonts w:hint="eastAsia" w:cs="Times New Roman"/>
                <w:color w:val="000000" w:themeColor="text1"/>
                <w:lang w:val="en-US" w:eastAsia="zh-CN"/>
                <w14:textFill>
                  <w14:solidFill>
                    <w14:schemeClr w14:val="tx1"/>
                  </w14:solidFill>
                </w14:textFill>
              </w:rPr>
              <w:t>35</w:t>
            </w:r>
            <w:r>
              <w:rPr>
                <w:rFonts w:eastAsia="Times New Roman" w:cs="Times New Roman"/>
                <w:color w:val="000000" w:themeColor="text1"/>
                <w14:textFill>
                  <w14:solidFill>
                    <w14:schemeClr w14:val="tx1"/>
                  </w14:solidFill>
                </w14:textFill>
              </w:rPr>
              <w:t>mg/L</w:t>
            </w:r>
            <w:r>
              <w:rPr>
                <w:rFonts w:cs="Times New Roman"/>
                <w:color w:val="000000" w:themeColor="text1"/>
                <w14:textFill>
                  <w14:solidFill>
                    <w14:schemeClr w14:val="tx1"/>
                  </w14:solidFill>
                </w14:textFill>
              </w:rPr>
              <w:t>、总磷：6</w:t>
            </w:r>
            <w:r>
              <w:rPr>
                <w:rFonts w:eastAsia="Times New Roman" w:cs="Times New Roman"/>
                <w:color w:val="000000" w:themeColor="text1"/>
                <w14:textFill>
                  <w14:solidFill>
                    <w14:schemeClr w14:val="tx1"/>
                  </w14:solidFill>
                </w14:textFill>
              </w:rPr>
              <w:t>mg/L</w:t>
            </w:r>
            <w:r>
              <w:rPr>
                <w:rFonts w:hint="eastAsia" w:eastAsia="宋体" w:cs="Times New Roman"/>
                <w:color w:val="000000" w:themeColor="text1"/>
                <w:lang w:eastAsia="zh-CN"/>
                <w14:textFill>
                  <w14:solidFill>
                    <w14:schemeClr w14:val="tx1"/>
                  </w14:solidFill>
                </w14:textFill>
              </w:rPr>
              <w:t>、</w:t>
            </w:r>
            <w:r>
              <w:rPr>
                <w:rFonts w:hint="eastAsia" w:eastAsia="宋体" w:cs="Times New Roman"/>
                <w:color w:val="000000" w:themeColor="text1"/>
                <w:lang w:val="en-US" w:eastAsia="zh-CN"/>
                <w14:textFill>
                  <w14:solidFill>
                    <w14:schemeClr w14:val="tx1"/>
                  </w14:solidFill>
                </w14:textFill>
              </w:rPr>
              <w:t>氯化物：150mg/L</w:t>
            </w:r>
            <w:r>
              <w:rPr>
                <w:rFonts w:cs="Times New Roman"/>
                <w:color w:val="000000" w:themeColor="text1"/>
                <w14:textFill>
                  <w14:solidFill>
                    <w14:schemeClr w14:val="tx1"/>
                  </w14:solidFill>
                </w14:textFill>
              </w:rPr>
              <w:t>。</w:t>
            </w:r>
          </w:p>
          <w:p w14:paraId="74AA454D">
            <w:pPr>
              <w:ind w:firstLine="480"/>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szCs w:val="21"/>
                <w14:textFill>
                  <w14:solidFill>
                    <w14:schemeClr w14:val="tx1"/>
                  </w14:solidFill>
                </w14:textFill>
              </w:rPr>
              <w:t>生活污水</w:t>
            </w:r>
            <w:bookmarkStart w:id="48" w:name="OLE_LINK240"/>
            <w:bookmarkStart w:id="49" w:name="OLE_LINK241"/>
            <w:r>
              <w:rPr>
                <w:rFonts w:hint="eastAsia" w:cs="Times New Roman"/>
                <w:color w:val="000000" w:themeColor="text1"/>
                <w:szCs w:val="21"/>
                <w:lang w:val="en-US" w:eastAsia="zh-CN"/>
                <w14:textFill>
                  <w14:solidFill>
                    <w14:schemeClr w14:val="tx1"/>
                  </w14:solidFill>
                </w14:textFill>
              </w:rPr>
              <w:t>中食堂生活污水经隔油后，与其他生活污水一并，</w:t>
            </w:r>
            <w:r>
              <w:rPr>
                <w:rFonts w:cs="Times New Roman"/>
                <w:color w:val="000000" w:themeColor="text1"/>
                <w:szCs w:val="21"/>
                <w14:textFill>
                  <w14:solidFill>
                    <w14:schemeClr w14:val="tx1"/>
                  </w14:solidFill>
                </w14:textFill>
              </w:rPr>
              <w:t>依托租赁车间所在厂区已有的预处理池</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t>0m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）处理达到</w:t>
            </w:r>
            <w:r>
              <w:rPr>
                <w:rFonts w:hint="eastAsia" w:cs="Times New Roman"/>
                <w:color w:val="000000" w:themeColor="text1"/>
                <w:lang w:val="en-US" w:eastAsia="zh-CN"/>
                <w14:textFill>
                  <w14:solidFill>
                    <w14:schemeClr w14:val="tx1"/>
                  </w14:solidFill>
                </w14:textFill>
              </w:rPr>
              <w:t>星光工业园区污水处理厂废水接纳要求</w:t>
            </w:r>
            <w:r>
              <w:rPr>
                <w:rFonts w:cs="Times New Roman"/>
                <w:color w:val="000000" w:themeColor="text1"/>
                <w14:textFill>
                  <w14:solidFill>
                    <w14:schemeClr w14:val="tx1"/>
                  </w14:solidFill>
                </w14:textFill>
              </w:rPr>
              <w:t>后，</w:t>
            </w:r>
            <w:r>
              <w:rPr>
                <w:rFonts w:hint="eastAsia" w:cs="Times New Roman"/>
                <w:color w:val="000000" w:themeColor="text1"/>
                <w:lang w:val="en-US" w:eastAsia="zh-CN"/>
                <w14:textFill>
                  <w14:solidFill>
                    <w14:schemeClr w14:val="tx1"/>
                  </w14:solidFill>
                </w14:textFill>
              </w:rPr>
              <w:t>经污水总排口排入园区污水管网，送至星光工业园区污水处理厂进一步处理。星光工业园区污水处理厂处理达</w:t>
            </w:r>
            <w:r>
              <w:rPr>
                <w:rFonts w:hint="default" w:ascii="Times New Roman" w:hAnsi="Times New Roman" w:cs="Times New Roman"/>
                <w:color w:val="000000" w:themeColor="text1"/>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14:textFill>
                  <w14:solidFill>
                    <w14:schemeClr w14:val="tx1"/>
                  </w14:solidFill>
                </w14:textFill>
              </w:rPr>
              <w:t>标准</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最终排入巴河。</w:t>
            </w:r>
          </w:p>
          <w:p w14:paraId="5ED0302D">
            <w:pPr>
              <w:ind w:firstLine="480"/>
              <w:rPr>
                <w:rFonts w:hint="eastAsia" w:eastAsia="宋体" w:cs="Times New Roman"/>
                <w:b/>
                <w:color w:val="000000" w:themeColor="text1"/>
                <w:lang w:val="en-US" w:eastAsia="zh-CN"/>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8</w:t>
            </w: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初期雨水</w:t>
            </w:r>
          </w:p>
          <w:p w14:paraId="7AB6FD25">
            <w:pPr>
              <w:ind w:firstLine="480"/>
              <w:rPr>
                <w:rFonts w:cs="Times New Roman"/>
                <w:b/>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default" w:cs="Times New Roman"/>
                <w:b w:val="0"/>
                <w:bCs w:val="0"/>
                <w:color w:val="000000" w:themeColor="text1"/>
                <w:szCs w:val="24"/>
                <w14:textFill>
                  <w14:solidFill>
                    <w14:schemeClr w14:val="tx1"/>
                  </w14:solidFill>
                </w14:textFill>
              </w:rPr>
              <w:t>初期雨水最大收集量为</w:t>
            </w:r>
            <w:r>
              <w:rPr>
                <w:rFonts w:hint="eastAsia" w:cs="Times New Roman"/>
                <w:b w:val="0"/>
                <w:bCs w:val="0"/>
                <w:color w:val="000000" w:themeColor="text1"/>
                <w:szCs w:val="24"/>
                <w:lang w:val="en-US" w:eastAsia="zh-CN"/>
                <w14:textFill>
                  <w14:solidFill>
                    <w14:schemeClr w14:val="tx1"/>
                  </w14:solidFill>
                </w14:textFill>
              </w:rPr>
              <w:t>106.71</w:t>
            </w:r>
            <w:r>
              <w:rPr>
                <w:rFonts w:hint="default" w:cs="Times New Roman"/>
                <w:b w:val="0"/>
                <w:bCs w:val="0"/>
                <w:color w:val="000000" w:themeColor="text1"/>
                <w:szCs w:val="24"/>
                <w14:textFill>
                  <w14:solidFill>
                    <w14:schemeClr w14:val="tx1"/>
                  </w14:solidFill>
                </w14:textFill>
              </w:rPr>
              <w:t>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/次（</w:t>
            </w:r>
            <w:r>
              <w:rPr>
                <w:rFonts w:hint="eastAsia" w:cs="Times New Roman"/>
                <w:b w:val="0"/>
                <w:bCs w:val="0"/>
                <w:color w:val="000000" w:themeColor="text1"/>
                <w:szCs w:val="24"/>
                <w:lang w:val="en-US" w:eastAsia="zh-CN"/>
                <w14:textFill>
                  <w14:solidFill>
                    <w14:schemeClr w14:val="tx1"/>
                  </w14:solidFill>
                </w14:textFill>
              </w:rPr>
              <w:t>426.84m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/a（每年4次））。厂区设置1座容积约</w:t>
            </w:r>
            <w:r>
              <w:rPr>
                <w:rFonts w:hint="eastAsia" w:cs="Times New Roman"/>
                <w:b w:val="0"/>
                <w:bCs w:val="0"/>
                <w:color w:val="000000" w:themeColor="text1"/>
                <w:szCs w:val="24"/>
                <w:lang w:val="en-US" w:eastAsia="zh-CN"/>
                <w14:textFill>
                  <w14:solidFill>
                    <w14:schemeClr w14:val="tx1"/>
                  </w14:solidFill>
                </w14:textFill>
              </w:rPr>
              <w:t>150</w:t>
            </w:r>
            <w:r>
              <w:rPr>
                <w:rFonts w:hint="default" w:cs="Times New Roman"/>
                <w:b w:val="0"/>
                <w:bCs w:val="0"/>
                <w:color w:val="000000" w:themeColor="text1"/>
                <w:szCs w:val="24"/>
                <w14:textFill>
                  <w14:solidFill>
                    <w14:schemeClr w14:val="tx1"/>
                  </w14:solidFill>
                </w14:textFill>
              </w:rPr>
              <w:t>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的初期雨水收集池</w:t>
            </w:r>
            <w:r>
              <w:rPr>
                <w:rFonts w:hint="eastAsia" w:cs="Times New Roman"/>
                <w:b w:val="0"/>
                <w:bCs w:val="0"/>
                <w:color w:val="000000" w:themeColor="text1"/>
                <w:szCs w:val="24"/>
                <w:lang w:eastAsia="zh-CN"/>
                <w14:textFill>
                  <w14:solidFill>
                    <w14:schemeClr w14:val="tx1"/>
                  </w14:solidFill>
                </w14:textFill>
              </w:rPr>
              <w:t>。</w:t>
            </w:r>
            <w:r>
              <w:rPr>
                <w:rFonts w:hint="eastAsia" w:cs="Times New Roman"/>
                <w:b w:val="0"/>
                <w:bCs w:val="0"/>
                <w:color w:val="000000" w:themeColor="text1"/>
                <w:szCs w:val="24"/>
                <w:lang w:val="en-US" w:eastAsia="zh-CN"/>
                <w14:textFill>
                  <w14:solidFill>
                    <w14:schemeClr w14:val="tx1"/>
                  </w14:solidFill>
                </w14:textFill>
              </w:rPr>
              <w:t>由于本项目受污染的初期雨水中污染物种类与压滤废水基本一致，但水质优于压滤废水。因此，初期雨水经收集沉淀后，可回用于免烧砌块生产工序</w:t>
            </w:r>
            <w:r>
              <w:rPr>
                <w:rFonts w:hint="default" w:cs="Times New Roman"/>
                <w:b w:val="0"/>
                <w:bCs w:val="0"/>
                <w:color w:val="000000" w:themeColor="text1"/>
                <w:szCs w:val="24"/>
                <w14:textFill>
                  <w14:solidFill>
                    <w14:schemeClr w14:val="tx1"/>
                  </w14:solidFill>
                </w14:textFill>
              </w:rPr>
              <w:t>。</w:t>
            </w:r>
          </w:p>
          <w:p w14:paraId="58242788">
            <w:pPr>
              <w:ind w:firstLine="480"/>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9</w:t>
            </w: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14:textFill>
                  <w14:solidFill>
                    <w14:schemeClr w14:val="tx1"/>
                  </w14:solidFill>
                </w14:textFill>
              </w:rPr>
              <w:t>废水</w:t>
            </w:r>
            <w:r>
              <w:rPr>
                <w:rFonts w:hint="eastAsia" w:cs="Times New Roman"/>
                <w:b/>
                <w:color w:val="000000" w:themeColor="text1"/>
                <w:lang w:val="en-US" w:eastAsia="zh-CN"/>
                <w14:textFill>
                  <w14:solidFill>
                    <w14:schemeClr w14:val="tx1"/>
                  </w14:solidFill>
                </w14:textFill>
              </w:rPr>
              <w:t>排放汇总</w:t>
            </w:r>
          </w:p>
          <w:p w14:paraId="1A44FF21">
            <w:pPr>
              <w:keepNext w:val="0"/>
              <w:keepLines w:val="0"/>
              <w:widowControl/>
              <w:suppressLineNumbers w:val="0"/>
              <w:jc w:val="left"/>
              <w:rPr>
                <w:rFonts w:hint="default"/>
                <w:color w:val="000000" w:themeColor="text1"/>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w:t>
            </w:r>
            <w:r>
              <w:rPr>
                <w:rFonts w:hint="eastAsia" w:ascii="宋体" w:hAnsi="宋体" w:cs="宋体"/>
                <w:color w:val="000000" w:themeColor="text1"/>
                <w:kern w:val="0"/>
                <w:sz w:val="24"/>
                <w:szCs w:val="24"/>
                <w:lang w:val="en-US" w:eastAsia="zh-CN" w:bidi="ar"/>
                <w14:textFill>
                  <w14:solidFill>
                    <w14:schemeClr w14:val="tx1"/>
                  </w14:solidFill>
                </w14:textFill>
              </w:rPr>
              <w:t>水基岩屑堆存区</w:t>
            </w:r>
            <w:r>
              <w:rPr>
                <w:rFonts w:hint="eastAsia" w:ascii="宋体" w:hAnsi="宋体" w:eastAsia="宋体" w:cs="宋体"/>
                <w:color w:val="000000" w:themeColor="text1"/>
                <w:kern w:val="0"/>
                <w:sz w:val="24"/>
                <w:szCs w:val="24"/>
                <w:lang w:val="en-US" w:eastAsia="zh-CN" w:bidi="ar"/>
                <w14:textFill>
                  <w14:solidFill>
                    <w14:schemeClr w14:val="tx1"/>
                  </w14:solidFill>
                </w14:textFill>
              </w:rPr>
              <w:t>渗滤液进入</w:t>
            </w:r>
            <w:r>
              <w:rPr>
                <w:rFonts w:hint="eastAsia" w:ascii="宋体" w:hAnsi="宋体" w:cs="宋体"/>
                <w:color w:val="000000" w:themeColor="text1"/>
                <w:kern w:val="0"/>
                <w:sz w:val="24"/>
                <w:szCs w:val="24"/>
                <w:lang w:val="en-US" w:eastAsia="zh-CN" w:bidi="ar"/>
                <w14:textFill>
                  <w14:solidFill>
                    <w14:schemeClr w14:val="tx1"/>
                  </w14:solidFill>
                </w14:textFill>
              </w:rPr>
              <w:t>煅烧</w:t>
            </w:r>
            <w:r>
              <w:rPr>
                <w:rFonts w:hint="eastAsia" w:ascii="宋体" w:hAnsi="宋体" w:eastAsia="宋体" w:cs="宋体"/>
                <w:color w:val="000000" w:themeColor="text1"/>
                <w:kern w:val="0"/>
                <w:sz w:val="24"/>
                <w:szCs w:val="24"/>
                <w:lang w:val="en-US" w:eastAsia="zh-CN" w:bidi="ar"/>
                <w14:textFill>
                  <w14:solidFill>
                    <w14:schemeClr w14:val="tx1"/>
                  </w14:solidFill>
                </w14:textFill>
              </w:rPr>
              <w:t>系统；地面冲洗废水、车辆冲洗废水排入</w:t>
            </w:r>
            <w:r>
              <w:rPr>
                <w:rFonts w:hint="eastAsia" w:ascii="宋体" w:hAnsi="宋体" w:cs="宋体"/>
                <w:color w:val="000000" w:themeColor="text1"/>
                <w:kern w:val="0"/>
                <w:sz w:val="24"/>
                <w:szCs w:val="24"/>
                <w:lang w:val="en-US" w:eastAsia="zh-CN" w:bidi="ar"/>
                <w14:textFill>
                  <w14:solidFill>
                    <w14:schemeClr w14:val="tx1"/>
                  </w14:solidFill>
                </w14:textFill>
              </w:rPr>
              <w:t>水基岩屑</w:t>
            </w:r>
            <w:r>
              <w:rPr>
                <w:rFonts w:hint="eastAsia" w:ascii="宋体" w:hAnsi="宋体" w:eastAsia="宋体" w:cs="宋体"/>
                <w:color w:val="000000" w:themeColor="text1"/>
                <w:kern w:val="0"/>
                <w:sz w:val="24"/>
                <w:szCs w:val="24"/>
                <w:lang w:val="en-US" w:eastAsia="zh-CN" w:bidi="ar"/>
                <w14:textFill>
                  <w14:solidFill>
                    <w14:schemeClr w14:val="tx1"/>
                  </w14:solidFill>
                </w14:textFill>
              </w:rPr>
              <w:t>储存池中随</w:t>
            </w:r>
            <w:r>
              <w:rPr>
                <w:rFonts w:hint="eastAsia" w:ascii="宋体" w:hAnsi="宋体" w:cs="宋体"/>
                <w:color w:val="000000" w:themeColor="text1"/>
                <w:kern w:val="0"/>
                <w:sz w:val="24"/>
                <w:szCs w:val="24"/>
                <w:lang w:val="en-US" w:eastAsia="zh-CN" w:bidi="ar"/>
                <w14:textFill>
                  <w14:solidFill>
                    <w14:schemeClr w14:val="tx1"/>
                  </w14:solidFill>
                </w14:textFill>
              </w:rPr>
              <w:t>水基岩屑</w:t>
            </w:r>
            <w:r>
              <w:rPr>
                <w:rFonts w:hint="eastAsia" w:ascii="宋体" w:hAnsi="宋体" w:eastAsia="宋体" w:cs="宋体"/>
                <w:color w:val="000000" w:themeColor="text1"/>
                <w:kern w:val="0"/>
                <w:sz w:val="24"/>
                <w:szCs w:val="24"/>
                <w:lang w:val="en-US" w:eastAsia="zh-CN" w:bidi="ar"/>
                <w14:textFill>
                  <w14:solidFill>
                    <w14:schemeClr w14:val="tx1"/>
                  </w14:solidFill>
                </w14:textFill>
              </w:rPr>
              <w:t>一同预处理（絮凝+压滤）</w:t>
            </w:r>
            <w:r>
              <w:rPr>
                <w:rFonts w:hint="eastAsia" w:ascii="宋体" w:hAnsi="宋体" w:cs="宋体"/>
                <w:color w:val="000000" w:themeColor="text1"/>
                <w:kern w:val="0"/>
                <w:sz w:val="24"/>
                <w:szCs w:val="24"/>
                <w:lang w:val="en-US" w:eastAsia="zh-CN" w:bidi="ar"/>
                <w14:textFill>
                  <w14:solidFill>
                    <w14:schemeClr w14:val="tx1"/>
                  </w14:solidFill>
                </w14:textFill>
              </w:rPr>
              <w:t>，进入压滤废水中；喷淋废水排入滤液池，与压滤废水一并处理</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滤液池内的废</w:t>
            </w:r>
            <w:r>
              <w:rPr>
                <w:rFonts w:hint="eastAsia" w:ascii="宋体" w:hAnsi="宋体" w:eastAsia="宋体" w:cs="宋体"/>
                <w:color w:val="000000" w:themeColor="text1"/>
                <w:kern w:val="0"/>
                <w:sz w:val="24"/>
                <w:szCs w:val="24"/>
                <w:lang w:val="en-US" w:eastAsia="zh-CN" w:bidi="ar"/>
                <w14:textFill>
                  <w14:solidFill>
                    <w14:schemeClr w14:val="tx1"/>
                  </w14:solidFill>
                </w14:textFill>
              </w:rPr>
              <w:t>水部分回用，部分</w:t>
            </w:r>
            <w:r>
              <w:rPr>
                <w:rFonts w:hint="eastAsia" w:ascii="宋体" w:hAnsi="宋体" w:cs="宋体"/>
                <w:color w:val="000000" w:themeColor="text1"/>
                <w:kern w:val="0"/>
                <w:sz w:val="24"/>
                <w:szCs w:val="24"/>
                <w:lang w:val="en-US" w:eastAsia="zh-CN" w:bidi="ar"/>
                <w14:textFill>
                  <w14:solidFill>
                    <w14:schemeClr w14:val="tx1"/>
                  </w14:solidFill>
                </w14:textFill>
              </w:rPr>
              <w:t>委托专业单位每日清运处置。</w:t>
            </w:r>
            <w:r>
              <w:rPr>
                <w:rFonts w:hint="eastAsia" w:ascii="宋体" w:hAnsi="宋体" w:eastAsia="宋体" w:cs="宋体"/>
                <w:color w:val="000000" w:themeColor="text1"/>
                <w:kern w:val="0"/>
                <w:sz w:val="24"/>
                <w:szCs w:val="24"/>
                <w:lang w:val="en-US" w:eastAsia="zh-CN" w:bidi="ar"/>
                <w14:textFill>
                  <w14:solidFill>
                    <w14:schemeClr w14:val="tx1"/>
                  </w14:solidFill>
                </w14:textFill>
              </w:rPr>
              <w:t>生活污水经预处理池处理后排入园区污水管网。本项目污水总排口</w:t>
            </w:r>
            <w:r>
              <w:rPr>
                <w:rFonts w:hint="eastAsia" w:ascii="宋体" w:hAnsi="宋体" w:cs="宋体"/>
                <w:color w:val="000000" w:themeColor="text1"/>
                <w:kern w:val="0"/>
                <w:sz w:val="24"/>
                <w:szCs w:val="24"/>
                <w:lang w:val="en-US" w:eastAsia="zh-CN" w:bidi="ar"/>
                <w14:textFill>
                  <w14:solidFill>
                    <w14:schemeClr w14:val="tx1"/>
                  </w14:solidFill>
                </w14:textFill>
              </w:rPr>
              <w:t>仅排放生活污水</w:t>
            </w:r>
            <w:r>
              <w:rPr>
                <w:rFonts w:hint="eastAsia" w:ascii="宋体" w:hAnsi="宋体" w:eastAsia="宋体" w:cs="宋体"/>
                <w:color w:val="000000" w:themeColor="text1"/>
                <w:kern w:val="0"/>
                <w:sz w:val="24"/>
                <w:szCs w:val="24"/>
                <w:lang w:val="en-US" w:eastAsia="zh-CN" w:bidi="ar"/>
                <w14:textFill>
                  <w14:solidFill>
                    <w14:schemeClr w14:val="tx1"/>
                  </w14:solidFill>
                </w14:textFill>
              </w:rPr>
              <w:t>，排放情况如下。</w:t>
            </w:r>
          </w:p>
          <w:p w14:paraId="76239DAF">
            <w:pPr>
              <w:pStyle w:val="12"/>
              <w:keepNext/>
              <w:keepLines w:val="0"/>
              <w:pageBreakBefore w:val="0"/>
              <w:widowControl/>
              <w:kinsoku/>
              <w:wordWrap/>
              <w:overflowPunct/>
              <w:topLinePunct w:val="0"/>
              <w:autoSpaceDE/>
              <w:autoSpaceDN/>
              <w:bidi w:val="0"/>
              <w:adjustRightInd w:val="0"/>
              <w:snapToGrid w:val="0"/>
              <w:spacing w:after="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4</w:t>
            </w:r>
            <w:r>
              <w:rPr>
                <w:rFonts w:cs="Times New Roman"/>
                <w:color w:val="000000" w:themeColor="text1"/>
                <w14:textFill>
                  <w14:solidFill>
                    <w14:schemeClr w14:val="tx1"/>
                  </w14:solidFill>
                </w14:textFill>
              </w:rPr>
              <w:t xml:space="preserve"> 本项目废水源强及排放情况</w:t>
            </w:r>
          </w:p>
          <w:tbl>
            <w:tblPr>
              <w:tblStyle w:val="29"/>
              <w:tblW w:w="4997" w:type="pct"/>
              <w:tblInd w:w="-40"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0" w:type="dxa"/>
                <w:bottom w:w="0" w:type="dxa"/>
                <w:right w:w="0" w:type="dxa"/>
              </w:tblCellMar>
            </w:tblPr>
            <w:tblGrid>
              <w:gridCol w:w="723"/>
              <w:gridCol w:w="737"/>
              <w:gridCol w:w="1447"/>
              <w:gridCol w:w="998"/>
              <w:gridCol w:w="732"/>
              <w:gridCol w:w="922"/>
              <w:gridCol w:w="855"/>
              <w:gridCol w:w="791"/>
              <w:gridCol w:w="898"/>
              <w:gridCol w:w="951"/>
            </w:tblGrid>
            <w:tr w14:paraId="0E0DA7C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606" w:type="pct"/>
                  <w:gridSpan w:val="3"/>
                  <w:tcBorders>
                    <w:tl2br w:val="nil"/>
                    <w:tr2bl w:val="nil"/>
                  </w:tcBorders>
                  <w:tcMar>
                    <w:top w:w="15" w:type="dxa"/>
                    <w:left w:w="15" w:type="dxa"/>
                    <w:right w:w="15" w:type="dxa"/>
                  </w:tcMar>
                  <w:vAlign w:val="center"/>
                </w:tcPr>
                <w:p w14:paraId="709B7BDC">
                  <w:pPr>
                    <w:pStyle w:val="51"/>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废水性质</w:t>
                  </w:r>
                </w:p>
              </w:tc>
              <w:tc>
                <w:tcPr>
                  <w:tcW w:w="551" w:type="pct"/>
                  <w:tcBorders>
                    <w:tl2br w:val="nil"/>
                    <w:tr2bl w:val="nil"/>
                  </w:tcBorders>
                  <w:tcMar>
                    <w:top w:w="15" w:type="dxa"/>
                    <w:left w:w="15" w:type="dxa"/>
                    <w:right w:w="15" w:type="dxa"/>
                  </w:tcMar>
                  <w:vAlign w:val="center"/>
                </w:tcPr>
                <w:p w14:paraId="154F7EE5">
                  <w:pPr>
                    <w:pStyle w:val="51"/>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废水量（m</w:t>
                  </w:r>
                  <w:r>
                    <w:rPr>
                      <w:rFonts w:cs="Times New Roman"/>
                      <w:color w:val="000000" w:themeColor="text1"/>
                      <w:vertAlign w:val="superscript"/>
                      <w:lang w:bidi="ar"/>
                      <w14:textFill>
                        <w14:solidFill>
                          <w14:schemeClr w14:val="tx1"/>
                        </w14:solidFill>
                      </w14:textFill>
                    </w:rPr>
                    <w:t>3</w:t>
                  </w:r>
                  <w:r>
                    <w:rPr>
                      <w:rFonts w:cs="Times New Roman"/>
                      <w:color w:val="000000" w:themeColor="text1"/>
                      <w14:textFill>
                        <w14:solidFill>
                          <w14:schemeClr w14:val="tx1"/>
                        </w14:solidFill>
                      </w14:textFill>
                    </w:rPr>
                    <w:t>/a</w:t>
                  </w:r>
                  <w:r>
                    <w:rPr>
                      <w:rFonts w:cs="Times New Roman"/>
                      <w:color w:val="000000" w:themeColor="text1"/>
                      <w:lang w:bidi="ar"/>
                      <w14:textFill>
                        <w14:solidFill>
                          <w14:schemeClr w14:val="tx1"/>
                        </w14:solidFill>
                      </w14:textFill>
                    </w:rPr>
                    <w:t>）</w:t>
                  </w:r>
                </w:p>
              </w:tc>
              <w:tc>
                <w:tcPr>
                  <w:tcW w:w="404" w:type="pct"/>
                  <w:tcBorders>
                    <w:tl2br w:val="nil"/>
                    <w:tr2bl w:val="nil"/>
                  </w:tcBorders>
                  <w:tcMar>
                    <w:top w:w="15" w:type="dxa"/>
                    <w:left w:w="15" w:type="dxa"/>
                    <w:right w:w="15" w:type="dxa"/>
                  </w:tcMar>
                  <w:vAlign w:val="center"/>
                </w:tcPr>
                <w:p w14:paraId="5E097434">
                  <w:pPr>
                    <w:pStyle w:val="51"/>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COD</w:t>
                  </w:r>
                </w:p>
              </w:tc>
              <w:tc>
                <w:tcPr>
                  <w:tcW w:w="509" w:type="pct"/>
                  <w:tcBorders>
                    <w:tl2br w:val="nil"/>
                    <w:tr2bl w:val="nil"/>
                  </w:tcBorders>
                  <w:tcMar>
                    <w:top w:w="15" w:type="dxa"/>
                    <w:left w:w="15" w:type="dxa"/>
                    <w:right w:w="15" w:type="dxa"/>
                  </w:tcMar>
                  <w:vAlign w:val="center"/>
                </w:tcPr>
                <w:p w14:paraId="071EF63C">
                  <w:pPr>
                    <w:pStyle w:val="51"/>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BOD</w:t>
                  </w:r>
                  <w:r>
                    <w:rPr>
                      <w:rFonts w:cs="Times New Roman"/>
                      <w:color w:val="000000" w:themeColor="text1"/>
                      <w:szCs w:val="21"/>
                      <w:vertAlign w:val="subscript"/>
                      <w:lang w:bidi="ar"/>
                      <w14:textFill>
                        <w14:solidFill>
                          <w14:schemeClr w14:val="tx1"/>
                        </w14:solidFill>
                      </w14:textFill>
                    </w:rPr>
                    <w:t>5</w:t>
                  </w:r>
                </w:p>
              </w:tc>
              <w:tc>
                <w:tcPr>
                  <w:tcW w:w="472" w:type="pct"/>
                  <w:tcBorders>
                    <w:tl2br w:val="nil"/>
                    <w:tr2bl w:val="nil"/>
                  </w:tcBorders>
                  <w:tcMar>
                    <w:top w:w="15" w:type="dxa"/>
                    <w:left w:w="15" w:type="dxa"/>
                    <w:right w:w="15" w:type="dxa"/>
                  </w:tcMar>
                  <w:vAlign w:val="center"/>
                </w:tcPr>
                <w:p w14:paraId="7CDCB24B">
                  <w:pPr>
                    <w:pStyle w:val="51"/>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SS</w:t>
                  </w:r>
                </w:p>
              </w:tc>
              <w:tc>
                <w:tcPr>
                  <w:tcW w:w="437" w:type="pct"/>
                  <w:tcBorders>
                    <w:tl2br w:val="nil"/>
                    <w:tr2bl w:val="nil"/>
                  </w:tcBorders>
                  <w:tcMar>
                    <w:top w:w="15" w:type="dxa"/>
                    <w:left w:w="15" w:type="dxa"/>
                    <w:right w:w="15" w:type="dxa"/>
                  </w:tcMar>
                  <w:vAlign w:val="center"/>
                </w:tcPr>
                <w:p w14:paraId="53AB213A">
                  <w:pPr>
                    <w:pStyle w:val="51"/>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NH</w:t>
                  </w:r>
                  <w:r>
                    <w:rPr>
                      <w:rFonts w:cs="Times New Roman"/>
                      <w:color w:val="000000" w:themeColor="text1"/>
                      <w:szCs w:val="21"/>
                      <w:vertAlign w:val="subscript"/>
                      <w:lang w:bidi="ar"/>
                      <w14:textFill>
                        <w14:solidFill>
                          <w14:schemeClr w14:val="tx1"/>
                        </w14:solidFill>
                      </w14:textFill>
                    </w:rPr>
                    <w:t>3</w:t>
                  </w:r>
                  <w:r>
                    <w:rPr>
                      <w:rFonts w:cs="Times New Roman"/>
                      <w:color w:val="000000" w:themeColor="text1"/>
                      <w14:textFill>
                        <w14:solidFill>
                          <w14:schemeClr w14:val="tx1"/>
                        </w14:solidFill>
                      </w14:textFill>
                    </w:rPr>
                    <w:t>-N</w:t>
                  </w:r>
                </w:p>
              </w:tc>
              <w:tc>
                <w:tcPr>
                  <w:tcW w:w="496" w:type="pct"/>
                  <w:tcBorders>
                    <w:tl2br w:val="nil"/>
                    <w:tr2bl w:val="nil"/>
                  </w:tcBorders>
                  <w:tcMar>
                    <w:top w:w="15" w:type="dxa"/>
                    <w:left w:w="15" w:type="dxa"/>
                    <w:right w:w="15" w:type="dxa"/>
                  </w:tcMar>
                  <w:vAlign w:val="center"/>
                </w:tcPr>
                <w:p w14:paraId="5D354B34">
                  <w:pPr>
                    <w:pStyle w:val="51"/>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TP</w:t>
                  </w:r>
                </w:p>
              </w:tc>
              <w:tc>
                <w:tcPr>
                  <w:tcW w:w="521" w:type="pct"/>
                  <w:tcBorders>
                    <w:tl2br w:val="nil"/>
                    <w:tr2bl w:val="nil"/>
                  </w:tcBorders>
                  <w:vAlign w:val="center"/>
                </w:tcPr>
                <w:p w14:paraId="52074CD1">
                  <w:pPr>
                    <w:pStyle w:val="51"/>
                    <w:rPr>
                      <w:rFonts w:cs="Times New Roman"/>
                      <w:color w:val="000000" w:themeColor="text1"/>
                      <w:lang w:bidi="ar"/>
                      <w14:textFill>
                        <w14:solidFill>
                          <w14:schemeClr w14:val="tx1"/>
                        </w14:solidFill>
                      </w14:textFill>
                    </w:rPr>
                  </w:pPr>
                  <w:r>
                    <w:rPr>
                      <w:rFonts w:hint="eastAsia" w:cs="Times New Roman"/>
                      <w:color w:val="000000" w:themeColor="text1"/>
                      <w:lang w:bidi="ar"/>
                      <w14:textFill>
                        <w14:solidFill>
                          <w14:schemeClr w14:val="tx1"/>
                        </w14:solidFill>
                      </w14:textFill>
                    </w:rPr>
                    <w:t>石油类</w:t>
                  </w:r>
                </w:p>
              </w:tc>
            </w:tr>
            <w:tr w14:paraId="732F378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00" w:type="pct"/>
                  <w:vMerge w:val="restart"/>
                  <w:tcBorders>
                    <w:tl2br w:val="nil"/>
                    <w:tr2bl w:val="nil"/>
                  </w:tcBorders>
                  <w:tcMar>
                    <w:top w:w="15" w:type="dxa"/>
                    <w:left w:w="15" w:type="dxa"/>
                    <w:right w:w="15" w:type="dxa"/>
                  </w:tcMar>
                  <w:vAlign w:val="center"/>
                </w:tcPr>
                <w:p w14:paraId="2014E920">
                  <w:pPr>
                    <w:pStyle w:val="13"/>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预处理池处理前</w:t>
                  </w:r>
                </w:p>
              </w:tc>
              <w:tc>
                <w:tcPr>
                  <w:tcW w:w="407" w:type="pct"/>
                  <w:vMerge w:val="restart"/>
                  <w:tcBorders>
                    <w:tl2br w:val="nil"/>
                    <w:tr2bl w:val="nil"/>
                  </w:tcBorders>
                  <w:vAlign w:val="center"/>
                </w:tcPr>
                <w:p w14:paraId="67B507BF">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生活污水</w:t>
                  </w:r>
                </w:p>
              </w:tc>
              <w:tc>
                <w:tcPr>
                  <w:tcW w:w="798" w:type="pct"/>
                  <w:tcBorders>
                    <w:tl2br w:val="nil"/>
                    <w:tr2bl w:val="nil"/>
                  </w:tcBorders>
                  <w:tcMar>
                    <w:top w:w="15" w:type="dxa"/>
                    <w:left w:w="15" w:type="dxa"/>
                    <w:right w:w="15" w:type="dxa"/>
                  </w:tcMar>
                  <w:vAlign w:val="center"/>
                </w:tcPr>
                <w:p w14:paraId="20367676">
                  <w:pPr>
                    <w:pStyle w:val="13"/>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浓度（mg/L</w:t>
                  </w:r>
                  <w:r>
                    <w:rPr>
                      <w:rFonts w:cs="Times New Roman"/>
                      <w:color w:val="000000" w:themeColor="text1"/>
                      <w:szCs w:val="21"/>
                      <w:lang w:bidi="ar"/>
                      <w14:textFill>
                        <w14:solidFill>
                          <w14:schemeClr w14:val="tx1"/>
                        </w14:solidFill>
                      </w14:textFill>
                    </w:rPr>
                    <w:t>）</w:t>
                  </w:r>
                </w:p>
              </w:tc>
              <w:tc>
                <w:tcPr>
                  <w:tcW w:w="551" w:type="pct"/>
                  <w:vMerge w:val="restart"/>
                  <w:tcBorders>
                    <w:tl2br w:val="nil"/>
                    <w:tr2bl w:val="nil"/>
                  </w:tcBorders>
                  <w:tcMar>
                    <w:top w:w="15" w:type="dxa"/>
                    <w:left w:w="15" w:type="dxa"/>
                    <w:right w:w="15" w:type="dxa"/>
                  </w:tcMar>
                  <w:vAlign w:val="center"/>
                </w:tcPr>
                <w:p w14:paraId="259AF608">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772.2</w:t>
                  </w:r>
                </w:p>
              </w:tc>
              <w:tc>
                <w:tcPr>
                  <w:tcW w:w="404" w:type="pct"/>
                  <w:tcBorders>
                    <w:tl2br w:val="nil"/>
                    <w:tr2bl w:val="nil"/>
                  </w:tcBorders>
                  <w:tcMar>
                    <w:top w:w="15" w:type="dxa"/>
                    <w:left w:w="15" w:type="dxa"/>
                    <w:right w:w="15" w:type="dxa"/>
                  </w:tcMar>
                  <w:vAlign w:val="center"/>
                </w:tcPr>
                <w:p w14:paraId="390D21EB">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500</w:t>
                  </w:r>
                </w:p>
              </w:tc>
              <w:tc>
                <w:tcPr>
                  <w:tcW w:w="509" w:type="pct"/>
                  <w:tcBorders>
                    <w:tl2br w:val="nil"/>
                    <w:tr2bl w:val="nil"/>
                  </w:tcBorders>
                  <w:tcMar>
                    <w:top w:w="15" w:type="dxa"/>
                    <w:left w:w="15" w:type="dxa"/>
                    <w:right w:w="15" w:type="dxa"/>
                  </w:tcMar>
                  <w:vAlign w:val="center"/>
                </w:tcPr>
                <w:p w14:paraId="5F110951">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300</w:t>
                  </w:r>
                </w:p>
              </w:tc>
              <w:tc>
                <w:tcPr>
                  <w:tcW w:w="472" w:type="pct"/>
                  <w:tcBorders>
                    <w:tl2br w:val="nil"/>
                    <w:tr2bl w:val="nil"/>
                  </w:tcBorders>
                  <w:tcMar>
                    <w:top w:w="15" w:type="dxa"/>
                    <w:left w:w="15" w:type="dxa"/>
                    <w:right w:w="15" w:type="dxa"/>
                  </w:tcMar>
                  <w:vAlign w:val="center"/>
                </w:tcPr>
                <w:p w14:paraId="5847B168">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300</w:t>
                  </w:r>
                </w:p>
              </w:tc>
              <w:tc>
                <w:tcPr>
                  <w:tcW w:w="437" w:type="pct"/>
                  <w:tcBorders>
                    <w:tl2br w:val="nil"/>
                    <w:tr2bl w:val="nil"/>
                  </w:tcBorders>
                  <w:tcMar>
                    <w:top w:w="15" w:type="dxa"/>
                    <w:left w:w="15" w:type="dxa"/>
                    <w:right w:w="15" w:type="dxa"/>
                  </w:tcMar>
                  <w:vAlign w:val="center"/>
                </w:tcPr>
                <w:p w14:paraId="43D01308">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w:t>
                  </w:r>
                </w:p>
              </w:tc>
              <w:tc>
                <w:tcPr>
                  <w:tcW w:w="496" w:type="pct"/>
                  <w:tcBorders>
                    <w:tl2br w:val="nil"/>
                    <w:tr2bl w:val="nil"/>
                  </w:tcBorders>
                  <w:tcMar>
                    <w:top w:w="15" w:type="dxa"/>
                    <w:left w:w="15" w:type="dxa"/>
                    <w:right w:w="15" w:type="dxa"/>
                  </w:tcMar>
                  <w:vAlign w:val="center"/>
                </w:tcPr>
                <w:p w14:paraId="0B2A767E">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w:t>
                  </w:r>
                </w:p>
              </w:tc>
              <w:tc>
                <w:tcPr>
                  <w:tcW w:w="521" w:type="pct"/>
                  <w:tcBorders>
                    <w:tl2br w:val="nil"/>
                    <w:tr2bl w:val="nil"/>
                  </w:tcBorders>
                  <w:vAlign w:val="center"/>
                </w:tcPr>
                <w:p w14:paraId="135DF3E7">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37251160">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00" w:type="pct"/>
                  <w:vMerge w:val="continue"/>
                  <w:tcBorders>
                    <w:tl2br w:val="nil"/>
                    <w:tr2bl w:val="nil"/>
                  </w:tcBorders>
                  <w:tcMar>
                    <w:top w:w="15" w:type="dxa"/>
                    <w:left w:w="15" w:type="dxa"/>
                    <w:right w:w="15" w:type="dxa"/>
                  </w:tcMar>
                  <w:vAlign w:val="center"/>
                </w:tcPr>
                <w:p w14:paraId="76ACEB68">
                  <w:pPr>
                    <w:pStyle w:val="13"/>
                    <w:rPr>
                      <w:rFonts w:cs="Times New Roman"/>
                      <w:color w:val="000000" w:themeColor="text1"/>
                      <w14:textFill>
                        <w14:solidFill>
                          <w14:schemeClr w14:val="tx1"/>
                        </w14:solidFill>
                      </w14:textFill>
                    </w:rPr>
                  </w:pPr>
                </w:p>
              </w:tc>
              <w:tc>
                <w:tcPr>
                  <w:tcW w:w="407" w:type="pct"/>
                  <w:vMerge w:val="continue"/>
                  <w:tcBorders>
                    <w:tl2br w:val="nil"/>
                    <w:tr2bl w:val="nil"/>
                  </w:tcBorders>
                  <w:vAlign w:val="center"/>
                </w:tcPr>
                <w:p w14:paraId="217A3B5B">
                  <w:pPr>
                    <w:pStyle w:val="13"/>
                    <w:rPr>
                      <w:rFonts w:cs="Times New Roman"/>
                      <w:color w:val="000000" w:themeColor="text1"/>
                      <w14:textFill>
                        <w14:solidFill>
                          <w14:schemeClr w14:val="tx1"/>
                        </w14:solidFill>
                      </w14:textFill>
                    </w:rPr>
                  </w:pPr>
                </w:p>
              </w:tc>
              <w:tc>
                <w:tcPr>
                  <w:tcW w:w="798" w:type="pct"/>
                  <w:tcBorders>
                    <w:tl2br w:val="nil"/>
                    <w:tr2bl w:val="nil"/>
                  </w:tcBorders>
                  <w:tcMar>
                    <w:top w:w="15" w:type="dxa"/>
                    <w:left w:w="15" w:type="dxa"/>
                    <w:right w:w="15" w:type="dxa"/>
                  </w:tcMar>
                  <w:vAlign w:val="center"/>
                </w:tcPr>
                <w:p w14:paraId="124DA1CE">
                  <w:pPr>
                    <w:pStyle w:val="13"/>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产生量（t/a</w:t>
                  </w:r>
                  <w:r>
                    <w:rPr>
                      <w:rFonts w:cs="Times New Roman"/>
                      <w:color w:val="000000" w:themeColor="text1"/>
                      <w:szCs w:val="21"/>
                      <w:lang w:bidi="ar"/>
                      <w14:textFill>
                        <w14:solidFill>
                          <w14:schemeClr w14:val="tx1"/>
                        </w14:solidFill>
                      </w14:textFill>
                    </w:rPr>
                    <w:t>）</w:t>
                  </w:r>
                </w:p>
              </w:tc>
              <w:tc>
                <w:tcPr>
                  <w:tcW w:w="551" w:type="pct"/>
                  <w:vMerge w:val="continue"/>
                  <w:tcBorders>
                    <w:tl2br w:val="nil"/>
                    <w:tr2bl w:val="nil"/>
                  </w:tcBorders>
                  <w:tcMar>
                    <w:top w:w="15" w:type="dxa"/>
                    <w:left w:w="15" w:type="dxa"/>
                    <w:right w:w="15" w:type="dxa"/>
                  </w:tcMar>
                  <w:vAlign w:val="center"/>
                </w:tcPr>
                <w:p w14:paraId="3CEC65F5">
                  <w:pPr>
                    <w:pStyle w:val="13"/>
                    <w:rPr>
                      <w:rFonts w:cs="Times New Roman"/>
                      <w:color w:val="000000" w:themeColor="text1"/>
                      <w14:textFill>
                        <w14:solidFill>
                          <w14:schemeClr w14:val="tx1"/>
                        </w14:solidFill>
                      </w14:textFill>
                    </w:rPr>
                  </w:pPr>
                </w:p>
              </w:tc>
              <w:tc>
                <w:tcPr>
                  <w:tcW w:w="404" w:type="pct"/>
                  <w:tcBorders>
                    <w:tl2br w:val="nil"/>
                    <w:tr2bl w:val="nil"/>
                  </w:tcBorders>
                  <w:tcMar>
                    <w:top w:w="15" w:type="dxa"/>
                    <w:left w:w="15" w:type="dxa"/>
                    <w:right w:w="15" w:type="dxa"/>
                  </w:tcMar>
                  <w:vAlign w:val="center"/>
                </w:tcPr>
                <w:p w14:paraId="6881E8D4">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0.3861 </w:t>
                  </w:r>
                </w:p>
              </w:tc>
              <w:tc>
                <w:tcPr>
                  <w:tcW w:w="509" w:type="pct"/>
                  <w:tcBorders>
                    <w:tl2br w:val="nil"/>
                    <w:tr2bl w:val="nil"/>
                  </w:tcBorders>
                  <w:tcMar>
                    <w:top w:w="15" w:type="dxa"/>
                    <w:left w:w="15" w:type="dxa"/>
                    <w:right w:w="15" w:type="dxa"/>
                  </w:tcMar>
                  <w:vAlign w:val="center"/>
                </w:tcPr>
                <w:p w14:paraId="0724014F">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0.2317 </w:t>
                  </w:r>
                </w:p>
              </w:tc>
              <w:tc>
                <w:tcPr>
                  <w:tcW w:w="472" w:type="pct"/>
                  <w:tcBorders>
                    <w:tl2br w:val="nil"/>
                    <w:tr2bl w:val="nil"/>
                  </w:tcBorders>
                  <w:tcMar>
                    <w:top w:w="15" w:type="dxa"/>
                    <w:left w:w="15" w:type="dxa"/>
                    <w:right w:w="15" w:type="dxa"/>
                  </w:tcMar>
                  <w:vAlign w:val="center"/>
                </w:tcPr>
                <w:p w14:paraId="5BB72F32">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0.2317 </w:t>
                  </w:r>
                </w:p>
              </w:tc>
              <w:tc>
                <w:tcPr>
                  <w:tcW w:w="437" w:type="pct"/>
                  <w:tcBorders>
                    <w:tl2br w:val="nil"/>
                    <w:tr2bl w:val="nil"/>
                  </w:tcBorders>
                  <w:tcMar>
                    <w:top w:w="15" w:type="dxa"/>
                    <w:left w:w="15" w:type="dxa"/>
                    <w:right w:w="15" w:type="dxa"/>
                  </w:tcMar>
                  <w:vAlign w:val="center"/>
                </w:tcPr>
                <w:p w14:paraId="29EE7320">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0.0270 </w:t>
                  </w:r>
                </w:p>
              </w:tc>
              <w:tc>
                <w:tcPr>
                  <w:tcW w:w="496" w:type="pct"/>
                  <w:tcBorders>
                    <w:tl2br w:val="nil"/>
                    <w:tr2bl w:val="nil"/>
                  </w:tcBorders>
                  <w:tcMar>
                    <w:top w:w="15" w:type="dxa"/>
                    <w:left w:w="15" w:type="dxa"/>
                    <w:right w:w="15" w:type="dxa"/>
                  </w:tcMar>
                  <w:vAlign w:val="center"/>
                </w:tcPr>
                <w:p w14:paraId="3BA1DEDA">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0.0046 </w:t>
                  </w:r>
                </w:p>
              </w:tc>
              <w:tc>
                <w:tcPr>
                  <w:tcW w:w="521" w:type="pct"/>
                  <w:tcBorders>
                    <w:tl2br w:val="nil"/>
                    <w:tr2bl w:val="nil"/>
                  </w:tcBorders>
                  <w:vAlign w:val="center"/>
                </w:tcPr>
                <w:p w14:paraId="1C882F8A">
                  <w:pPr>
                    <w:pStyle w:val="13"/>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 xml:space="preserve"> </w:t>
                  </w:r>
                </w:p>
              </w:tc>
            </w:tr>
            <w:tr w14:paraId="518C510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tcBorders>
                    <w:tl2br w:val="nil"/>
                    <w:tr2bl w:val="nil"/>
                  </w:tcBorders>
                  <w:tcMar>
                    <w:top w:w="15" w:type="dxa"/>
                    <w:left w:w="15" w:type="dxa"/>
                    <w:right w:w="15" w:type="dxa"/>
                  </w:tcMar>
                  <w:vAlign w:val="center"/>
                </w:tcPr>
                <w:p w14:paraId="2A13CA32">
                  <w:pPr>
                    <w:pStyle w:val="13"/>
                    <w:rPr>
                      <w:rFonts w:cs="Times New Roman"/>
                      <w:color w:val="000000" w:themeColor="text1"/>
                      <w:lang w:bidi="ar"/>
                      <w14:textFill>
                        <w14:solidFill>
                          <w14:schemeClr w14:val="tx1"/>
                        </w14:solidFill>
                      </w14:textFill>
                    </w:rPr>
                  </w:pPr>
                  <w:r>
                    <w:rPr>
                      <w:rFonts w:hint="eastAsia" w:cs="Times New Roman"/>
                      <w:color w:val="000000" w:themeColor="text1"/>
                      <w:lang w:bidi="ar"/>
                      <w14:textFill>
                        <w14:solidFill>
                          <w14:schemeClr w14:val="tx1"/>
                        </w14:solidFill>
                      </w14:textFill>
                    </w:rPr>
                    <w:t>去除效率</w:t>
                  </w:r>
                </w:p>
              </w:tc>
              <w:tc>
                <w:tcPr>
                  <w:tcW w:w="798" w:type="pct"/>
                  <w:tcBorders>
                    <w:tl2br w:val="nil"/>
                    <w:tr2bl w:val="nil"/>
                  </w:tcBorders>
                  <w:tcMar>
                    <w:top w:w="15" w:type="dxa"/>
                    <w:left w:w="15" w:type="dxa"/>
                    <w:right w:w="15" w:type="dxa"/>
                  </w:tcMar>
                  <w:vAlign w:val="center"/>
                </w:tcPr>
                <w:p w14:paraId="089FC99B">
                  <w:pPr>
                    <w:pStyle w:val="13"/>
                    <w:rPr>
                      <w:rFonts w:cs="Times New Roman"/>
                      <w:color w:val="000000" w:themeColor="text1"/>
                      <w:lang w:bidi="ar"/>
                      <w14:textFill>
                        <w14:solidFill>
                          <w14:schemeClr w14:val="tx1"/>
                        </w14:solidFill>
                      </w14:textFill>
                    </w:rPr>
                  </w:pPr>
                  <w:r>
                    <w:rPr>
                      <w:rFonts w:hint="eastAsia" w:cs="Times New Roman"/>
                      <w:color w:val="000000" w:themeColor="text1"/>
                      <w:lang w:bidi="ar"/>
                      <w14:textFill>
                        <w14:solidFill>
                          <w14:schemeClr w14:val="tx1"/>
                        </w14:solidFill>
                      </w14:textFill>
                    </w:rPr>
                    <w:t>%</w:t>
                  </w:r>
                </w:p>
              </w:tc>
              <w:tc>
                <w:tcPr>
                  <w:tcW w:w="551" w:type="pct"/>
                  <w:tcBorders>
                    <w:tl2br w:val="nil"/>
                    <w:tr2bl w:val="nil"/>
                  </w:tcBorders>
                  <w:tcMar>
                    <w:top w:w="15" w:type="dxa"/>
                    <w:left w:w="15" w:type="dxa"/>
                    <w:right w:w="15" w:type="dxa"/>
                  </w:tcMar>
                  <w:vAlign w:val="center"/>
                </w:tcPr>
                <w:p w14:paraId="183179F4">
                  <w:pPr>
                    <w:pStyle w:val="13"/>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w:t>
                  </w:r>
                </w:p>
              </w:tc>
              <w:tc>
                <w:tcPr>
                  <w:tcW w:w="404" w:type="pct"/>
                  <w:tcBorders>
                    <w:tl2br w:val="nil"/>
                    <w:tr2bl w:val="nil"/>
                  </w:tcBorders>
                  <w:tcMar>
                    <w:top w:w="15" w:type="dxa"/>
                    <w:left w:w="15" w:type="dxa"/>
                    <w:right w:w="15" w:type="dxa"/>
                  </w:tcMar>
                  <w:vAlign w:val="center"/>
                </w:tcPr>
                <w:p w14:paraId="18EB43B3">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w:t>
                  </w:r>
                </w:p>
              </w:tc>
              <w:tc>
                <w:tcPr>
                  <w:tcW w:w="509" w:type="pct"/>
                  <w:tcBorders>
                    <w:tl2br w:val="nil"/>
                    <w:tr2bl w:val="nil"/>
                  </w:tcBorders>
                  <w:tcMar>
                    <w:top w:w="15" w:type="dxa"/>
                    <w:left w:w="15" w:type="dxa"/>
                    <w:right w:w="15" w:type="dxa"/>
                  </w:tcMar>
                  <w:vAlign w:val="center"/>
                </w:tcPr>
                <w:p w14:paraId="3313A462">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20%</w:t>
                  </w:r>
                </w:p>
              </w:tc>
              <w:tc>
                <w:tcPr>
                  <w:tcW w:w="472" w:type="pct"/>
                  <w:tcBorders>
                    <w:tl2br w:val="nil"/>
                    <w:tr2bl w:val="nil"/>
                  </w:tcBorders>
                  <w:tcMar>
                    <w:top w:w="15" w:type="dxa"/>
                    <w:left w:w="15" w:type="dxa"/>
                    <w:right w:w="15" w:type="dxa"/>
                  </w:tcMar>
                  <w:vAlign w:val="center"/>
                </w:tcPr>
                <w:p w14:paraId="0333EB0C">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437" w:type="pct"/>
                  <w:tcBorders>
                    <w:tl2br w:val="nil"/>
                    <w:tr2bl w:val="nil"/>
                  </w:tcBorders>
                  <w:tcMar>
                    <w:top w:w="15" w:type="dxa"/>
                    <w:left w:w="15" w:type="dxa"/>
                    <w:right w:w="15" w:type="dxa"/>
                  </w:tcMar>
                  <w:vAlign w:val="center"/>
                </w:tcPr>
                <w:p w14:paraId="5B596279">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p>
              </w:tc>
              <w:tc>
                <w:tcPr>
                  <w:tcW w:w="496" w:type="pct"/>
                  <w:tcBorders>
                    <w:tl2br w:val="nil"/>
                    <w:tr2bl w:val="nil"/>
                  </w:tcBorders>
                  <w:tcMar>
                    <w:top w:w="15" w:type="dxa"/>
                    <w:left w:w="15" w:type="dxa"/>
                    <w:right w:w="15" w:type="dxa"/>
                  </w:tcMar>
                  <w:vAlign w:val="center"/>
                </w:tcPr>
                <w:p w14:paraId="6F30482F">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p>
              </w:tc>
              <w:tc>
                <w:tcPr>
                  <w:tcW w:w="521" w:type="pct"/>
                  <w:tcBorders>
                    <w:tl2br w:val="nil"/>
                    <w:tr2bl w:val="nil"/>
                  </w:tcBorders>
                  <w:vAlign w:val="center"/>
                </w:tcPr>
                <w:p w14:paraId="77BA0DCE">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p>
              </w:tc>
            </w:tr>
            <w:tr w14:paraId="20711BB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restart"/>
                  <w:tcBorders>
                    <w:tl2br w:val="nil"/>
                    <w:tr2bl w:val="nil"/>
                  </w:tcBorders>
                  <w:tcMar>
                    <w:top w:w="15" w:type="dxa"/>
                    <w:left w:w="15" w:type="dxa"/>
                    <w:right w:w="15" w:type="dxa"/>
                  </w:tcMar>
                  <w:vAlign w:val="center"/>
                </w:tcPr>
                <w:p w14:paraId="1C61C3E0">
                  <w:pPr>
                    <w:pStyle w:val="13"/>
                    <w:rPr>
                      <w:rFonts w:hint="default" w:eastAsia="宋体" w:cs="Times New Roman"/>
                      <w:color w:val="000000" w:themeColor="text1"/>
                      <w:lang w:val="en-US" w:eastAsia="zh-CN" w:bidi="ar"/>
                      <w14:textFill>
                        <w14:solidFill>
                          <w14:schemeClr w14:val="tx1"/>
                        </w14:solidFill>
                      </w14:textFill>
                    </w:rPr>
                  </w:pPr>
                  <w:r>
                    <w:rPr>
                      <w:rFonts w:cs="Times New Roman"/>
                      <w:color w:val="000000" w:themeColor="text1"/>
                      <w:lang w:bidi="ar"/>
                      <w14:textFill>
                        <w14:solidFill>
                          <w14:schemeClr w14:val="tx1"/>
                        </w14:solidFill>
                      </w14:textFill>
                    </w:rPr>
                    <w:t>预处理池处理后</w:t>
                  </w:r>
                  <w:r>
                    <w:rPr>
                      <w:rFonts w:hint="eastAsia" w:cs="Times New Roman"/>
                      <w:color w:val="000000" w:themeColor="text1"/>
                      <w:lang w:val="en-US" w:eastAsia="zh-CN" w:bidi="ar"/>
                      <w14:textFill>
                        <w14:solidFill>
                          <w14:schemeClr w14:val="tx1"/>
                        </w14:solidFill>
                      </w14:textFill>
                    </w:rPr>
                    <w:t>生活污水</w:t>
                  </w:r>
                </w:p>
              </w:tc>
              <w:tc>
                <w:tcPr>
                  <w:tcW w:w="798" w:type="pct"/>
                  <w:tcBorders>
                    <w:tl2br w:val="nil"/>
                    <w:tr2bl w:val="nil"/>
                  </w:tcBorders>
                  <w:tcMar>
                    <w:top w:w="15" w:type="dxa"/>
                    <w:left w:w="15" w:type="dxa"/>
                    <w:right w:w="15" w:type="dxa"/>
                  </w:tcMar>
                  <w:vAlign w:val="center"/>
                </w:tcPr>
                <w:p w14:paraId="43D8FE69">
                  <w:pPr>
                    <w:pStyle w:val="13"/>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浓度（mg/L</w:t>
                  </w:r>
                  <w:r>
                    <w:rPr>
                      <w:rFonts w:cs="Times New Roman"/>
                      <w:color w:val="000000" w:themeColor="text1"/>
                      <w:szCs w:val="21"/>
                      <w:lang w:bidi="ar"/>
                      <w14:textFill>
                        <w14:solidFill>
                          <w14:schemeClr w14:val="tx1"/>
                        </w14:solidFill>
                      </w14:textFill>
                    </w:rPr>
                    <w:t>）</w:t>
                  </w:r>
                </w:p>
              </w:tc>
              <w:tc>
                <w:tcPr>
                  <w:tcW w:w="551" w:type="pct"/>
                  <w:vMerge w:val="restart"/>
                  <w:tcBorders>
                    <w:tl2br w:val="nil"/>
                    <w:tr2bl w:val="nil"/>
                  </w:tcBorders>
                  <w:tcMar>
                    <w:top w:w="15" w:type="dxa"/>
                    <w:left w:w="15" w:type="dxa"/>
                    <w:right w:w="15" w:type="dxa"/>
                  </w:tcMar>
                  <w:vAlign w:val="center"/>
                </w:tcPr>
                <w:p w14:paraId="1661FB52">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772.2</w:t>
                  </w:r>
                </w:p>
              </w:tc>
              <w:tc>
                <w:tcPr>
                  <w:tcW w:w="404" w:type="pct"/>
                  <w:tcBorders>
                    <w:tl2br w:val="nil"/>
                    <w:tr2bl w:val="nil"/>
                  </w:tcBorders>
                  <w:tcMar>
                    <w:top w:w="15" w:type="dxa"/>
                    <w:left w:w="15" w:type="dxa"/>
                    <w:right w:w="15" w:type="dxa"/>
                  </w:tcMar>
                  <w:vAlign w:val="center"/>
                </w:tcPr>
                <w:p w14:paraId="1A2A2BF4">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350</w:t>
                  </w:r>
                </w:p>
              </w:tc>
              <w:tc>
                <w:tcPr>
                  <w:tcW w:w="509" w:type="pct"/>
                  <w:tcBorders>
                    <w:tl2br w:val="nil"/>
                    <w:tr2bl w:val="nil"/>
                  </w:tcBorders>
                  <w:tcMar>
                    <w:top w:w="15" w:type="dxa"/>
                    <w:left w:w="15" w:type="dxa"/>
                    <w:right w:w="15" w:type="dxa"/>
                  </w:tcMar>
                  <w:vAlign w:val="center"/>
                </w:tcPr>
                <w:p w14:paraId="59C895B4">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240</w:t>
                  </w:r>
                </w:p>
              </w:tc>
              <w:tc>
                <w:tcPr>
                  <w:tcW w:w="472" w:type="pct"/>
                  <w:tcBorders>
                    <w:tl2br w:val="nil"/>
                    <w:tr2bl w:val="nil"/>
                  </w:tcBorders>
                  <w:tcMar>
                    <w:top w:w="15" w:type="dxa"/>
                    <w:left w:w="15" w:type="dxa"/>
                    <w:right w:w="15" w:type="dxa"/>
                  </w:tcMar>
                  <w:vAlign w:val="center"/>
                </w:tcPr>
                <w:p w14:paraId="55D46151">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270</w:t>
                  </w:r>
                </w:p>
              </w:tc>
              <w:tc>
                <w:tcPr>
                  <w:tcW w:w="437" w:type="pct"/>
                  <w:tcBorders>
                    <w:tl2br w:val="nil"/>
                    <w:tr2bl w:val="nil"/>
                  </w:tcBorders>
                  <w:tcMar>
                    <w:top w:w="15" w:type="dxa"/>
                    <w:left w:w="15" w:type="dxa"/>
                    <w:right w:w="15" w:type="dxa"/>
                  </w:tcMar>
                  <w:vAlign w:val="center"/>
                </w:tcPr>
                <w:p w14:paraId="1ABAACED">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w:t>
                  </w:r>
                </w:p>
              </w:tc>
              <w:tc>
                <w:tcPr>
                  <w:tcW w:w="496" w:type="pct"/>
                  <w:tcBorders>
                    <w:tl2br w:val="nil"/>
                    <w:tr2bl w:val="nil"/>
                  </w:tcBorders>
                  <w:tcMar>
                    <w:top w:w="15" w:type="dxa"/>
                    <w:left w:w="15" w:type="dxa"/>
                    <w:right w:w="15" w:type="dxa"/>
                  </w:tcMar>
                  <w:vAlign w:val="center"/>
                </w:tcPr>
                <w:p w14:paraId="56B14DB4">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w:t>
                  </w:r>
                </w:p>
              </w:tc>
              <w:tc>
                <w:tcPr>
                  <w:tcW w:w="521" w:type="pct"/>
                  <w:tcBorders>
                    <w:tl2br w:val="nil"/>
                    <w:tr2bl w:val="nil"/>
                  </w:tcBorders>
                  <w:vAlign w:val="center"/>
                </w:tcPr>
                <w:p w14:paraId="770C4AC4">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32954BFD">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continue"/>
                  <w:tcBorders>
                    <w:tl2br w:val="nil"/>
                    <w:tr2bl w:val="nil"/>
                  </w:tcBorders>
                  <w:tcMar>
                    <w:top w:w="15" w:type="dxa"/>
                    <w:left w:w="15" w:type="dxa"/>
                    <w:right w:w="15" w:type="dxa"/>
                  </w:tcMar>
                  <w:vAlign w:val="center"/>
                </w:tcPr>
                <w:p w14:paraId="746C2582">
                  <w:pPr>
                    <w:pStyle w:val="13"/>
                    <w:rPr>
                      <w:rFonts w:cs="Times New Roman"/>
                      <w:color w:val="000000" w:themeColor="text1"/>
                      <w:lang w:bidi="ar"/>
                      <w14:textFill>
                        <w14:solidFill>
                          <w14:schemeClr w14:val="tx1"/>
                        </w14:solidFill>
                      </w14:textFill>
                    </w:rPr>
                  </w:pPr>
                </w:p>
              </w:tc>
              <w:tc>
                <w:tcPr>
                  <w:tcW w:w="798" w:type="pct"/>
                  <w:tcBorders>
                    <w:tl2br w:val="nil"/>
                    <w:tr2bl w:val="nil"/>
                  </w:tcBorders>
                  <w:tcMar>
                    <w:top w:w="15" w:type="dxa"/>
                    <w:left w:w="15" w:type="dxa"/>
                    <w:right w:w="15" w:type="dxa"/>
                  </w:tcMar>
                  <w:vAlign w:val="center"/>
                </w:tcPr>
                <w:p w14:paraId="13AA004B">
                  <w:pPr>
                    <w:pStyle w:val="13"/>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排放量（t/a</w:t>
                  </w:r>
                  <w:r>
                    <w:rPr>
                      <w:rFonts w:cs="Times New Roman"/>
                      <w:color w:val="000000" w:themeColor="text1"/>
                      <w:szCs w:val="21"/>
                      <w:lang w:bidi="ar"/>
                      <w14:textFill>
                        <w14:solidFill>
                          <w14:schemeClr w14:val="tx1"/>
                        </w14:solidFill>
                      </w14:textFill>
                    </w:rPr>
                    <w:t>）</w:t>
                  </w:r>
                </w:p>
              </w:tc>
              <w:tc>
                <w:tcPr>
                  <w:tcW w:w="551" w:type="pct"/>
                  <w:vMerge w:val="continue"/>
                  <w:tcBorders>
                    <w:tl2br w:val="nil"/>
                    <w:tr2bl w:val="nil"/>
                  </w:tcBorders>
                  <w:tcMar>
                    <w:top w:w="15" w:type="dxa"/>
                    <w:left w:w="15" w:type="dxa"/>
                    <w:right w:w="15" w:type="dxa"/>
                  </w:tcMar>
                  <w:vAlign w:val="center"/>
                </w:tcPr>
                <w:p w14:paraId="2ACEFD31">
                  <w:pPr>
                    <w:pStyle w:val="13"/>
                    <w:rPr>
                      <w:rFonts w:cs="Times New Roman"/>
                      <w:color w:val="000000" w:themeColor="text1"/>
                      <w14:textFill>
                        <w14:solidFill>
                          <w14:schemeClr w14:val="tx1"/>
                        </w14:solidFill>
                      </w14:textFill>
                    </w:rPr>
                  </w:pPr>
                </w:p>
              </w:tc>
              <w:tc>
                <w:tcPr>
                  <w:tcW w:w="404" w:type="pct"/>
                  <w:tcBorders>
                    <w:tl2br w:val="nil"/>
                    <w:tr2bl w:val="nil"/>
                  </w:tcBorders>
                  <w:tcMar>
                    <w:top w:w="15" w:type="dxa"/>
                    <w:left w:w="15" w:type="dxa"/>
                    <w:right w:w="15" w:type="dxa"/>
                  </w:tcMar>
                  <w:vAlign w:val="center"/>
                </w:tcPr>
                <w:p w14:paraId="0368A401">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0.2703 </w:t>
                  </w:r>
                </w:p>
              </w:tc>
              <w:tc>
                <w:tcPr>
                  <w:tcW w:w="509" w:type="pct"/>
                  <w:tcBorders>
                    <w:tl2br w:val="nil"/>
                    <w:tr2bl w:val="nil"/>
                  </w:tcBorders>
                  <w:tcMar>
                    <w:top w:w="15" w:type="dxa"/>
                    <w:left w:w="15" w:type="dxa"/>
                    <w:right w:w="15" w:type="dxa"/>
                  </w:tcMar>
                  <w:vAlign w:val="center"/>
                </w:tcPr>
                <w:p w14:paraId="7D682075">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0.1853 </w:t>
                  </w:r>
                </w:p>
              </w:tc>
              <w:tc>
                <w:tcPr>
                  <w:tcW w:w="472" w:type="pct"/>
                  <w:tcBorders>
                    <w:tl2br w:val="nil"/>
                    <w:tr2bl w:val="nil"/>
                  </w:tcBorders>
                  <w:tcMar>
                    <w:top w:w="15" w:type="dxa"/>
                    <w:left w:w="15" w:type="dxa"/>
                    <w:right w:w="15" w:type="dxa"/>
                  </w:tcMar>
                  <w:vAlign w:val="center"/>
                </w:tcPr>
                <w:p w14:paraId="6DF707A5">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0.2085 </w:t>
                  </w:r>
                </w:p>
              </w:tc>
              <w:tc>
                <w:tcPr>
                  <w:tcW w:w="437" w:type="pct"/>
                  <w:tcBorders>
                    <w:tl2br w:val="nil"/>
                    <w:tr2bl w:val="nil"/>
                  </w:tcBorders>
                  <w:tcMar>
                    <w:top w:w="15" w:type="dxa"/>
                    <w:left w:w="15" w:type="dxa"/>
                    <w:right w:w="15" w:type="dxa"/>
                  </w:tcMar>
                  <w:vAlign w:val="center"/>
                </w:tcPr>
                <w:p w14:paraId="72A58E66">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0.0270 </w:t>
                  </w:r>
                </w:p>
              </w:tc>
              <w:tc>
                <w:tcPr>
                  <w:tcW w:w="496" w:type="pct"/>
                  <w:tcBorders>
                    <w:tl2br w:val="nil"/>
                    <w:tr2bl w:val="nil"/>
                  </w:tcBorders>
                  <w:tcMar>
                    <w:top w:w="15" w:type="dxa"/>
                    <w:left w:w="15" w:type="dxa"/>
                    <w:right w:w="15" w:type="dxa"/>
                  </w:tcMar>
                  <w:vAlign w:val="center"/>
                </w:tcPr>
                <w:p w14:paraId="282BFA9B">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0.0046 </w:t>
                  </w:r>
                </w:p>
              </w:tc>
              <w:tc>
                <w:tcPr>
                  <w:tcW w:w="521" w:type="pct"/>
                  <w:tcBorders>
                    <w:tl2br w:val="nil"/>
                    <w:tr2bl w:val="nil"/>
                  </w:tcBorders>
                  <w:vAlign w:val="center"/>
                </w:tcPr>
                <w:p w14:paraId="44F5B874">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2448C24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57" w:type="pct"/>
                  <w:gridSpan w:val="4"/>
                  <w:tcBorders>
                    <w:tl2br w:val="nil"/>
                    <w:tr2bl w:val="nil"/>
                  </w:tcBorders>
                  <w:tcMar>
                    <w:top w:w="15" w:type="dxa"/>
                    <w:left w:w="15" w:type="dxa"/>
                    <w:right w:w="15" w:type="dxa"/>
                  </w:tcMar>
                  <w:vAlign w:val="center"/>
                </w:tcPr>
                <w:p w14:paraId="7C6A113C">
                  <w:pPr>
                    <w:pStyle w:val="13"/>
                    <w:rPr>
                      <w:rFonts w:cs="Times New Roman"/>
                      <w:color w:val="000000" w:themeColor="text1"/>
                      <w14:textFill>
                        <w14:solidFill>
                          <w14:schemeClr w14:val="tx1"/>
                        </w14:solidFill>
                      </w14:textFill>
                    </w:rPr>
                  </w:pPr>
                  <w:r>
                    <w:rPr>
                      <w:rFonts w:hint="eastAsia" w:cs="Times New Roman"/>
                      <w:color w:val="000000" w:themeColor="text1"/>
                      <w:lang w:bidi="ar"/>
                      <w14:textFill>
                        <w14:solidFill>
                          <w14:schemeClr w14:val="tx1"/>
                        </w14:solidFill>
                      </w14:textFill>
                    </w:rPr>
                    <w:t>排放标准</w:t>
                  </w:r>
                </w:p>
              </w:tc>
              <w:tc>
                <w:tcPr>
                  <w:tcW w:w="404" w:type="pct"/>
                  <w:tcBorders>
                    <w:tl2br w:val="nil"/>
                    <w:tr2bl w:val="nil"/>
                  </w:tcBorders>
                  <w:tcMar>
                    <w:top w:w="15" w:type="dxa"/>
                    <w:left w:w="15" w:type="dxa"/>
                    <w:right w:w="15" w:type="dxa"/>
                  </w:tcMar>
                  <w:vAlign w:val="center"/>
                </w:tcPr>
                <w:p w14:paraId="59B2D14F">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700</w:t>
                  </w:r>
                </w:p>
              </w:tc>
              <w:tc>
                <w:tcPr>
                  <w:tcW w:w="509" w:type="pct"/>
                  <w:tcBorders>
                    <w:tl2br w:val="nil"/>
                    <w:tr2bl w:val="nil"/>
                  </w:tcBorders>
                  <w:tcMar>
                    <w:top w:w="15" w:type="dxa"/>
                    <w:left w:w="15" w:type="dxa"/>
                    <w:right w:w="15" w:type="dxa"/>
                  </w:tcMar>
                  <w:vAlign w:val="center"/>
                </w:tcPr>
                <w:p w14:paraId="74C05AE0">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280</w:t>
                  </w:r>
                </w:p>
              </w:tc>
              <w:tc>
                <w:tcPr>
                  <w:tcW w:w="472" w:type="pct"/>
                  <w:tcBorders>
                    <w:tl2br w:val="nil"/>
                    <w:tr2bl w:val="nil"/>
                  </w:tcBorders>
                  <w:tcMar>
                    <w:top w:w="15" w:type="dxa"/>
                    <w:left w:w="15" w:type="dxa"/>
                    <w:right w:w="15" w:type="dxa"/>
                  </w:tcMar>
                  <w:vAlign w:val="center"/>
                </w:tcPr>
                <w:p w14:paraId="3A57B0AE">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300</w:t>
                  </w:r>
                </w:p>
              </w:tc>
              <w:tc>
                <w:tcPr>
                  <w:tcW w:w="437" w:type="pct"/>
                  <w:tcBorders>
                    <w:tl2br w:val="nil"/>
                    <w:tr2bl w:val="nil"/>
                  </w:tcBorders>
                  <w:tcMar>
                    <w:top w:w="15" w:type="dxa"/>
                    <w:left w:w="15" w:type="dxa"/>
                    <w:right w:w="15" w:type="dxa"/>
                  </w:tcMar>
                  <w:vAlign w:val="center"/>
                </w:tcPr>
                <w:p w14:paraId="723423D1">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w:t>
                  </w:r>
                </w:p>
              </w:tc>
              <w:tc>
                <w:tcPr>
                  <w:tcW w:w="496" w:type="pct"/>
                  <w:tcBorders>
                    <w:tl2br w:val="nil"/>
                    <w:tr2bl w:val="nil"/>
                  </w:tcBorders>
                  <w:tcMar>
                    <w:top w:w="15" w:type="dxa"/>
                    <w:left w:w="15" w:type="dxa"/>
                    <w:right w:w="15" w:type="dxa"/>
                  </w:tcMar>
                  <w:vAlign w:val="center"/>
                </w:tcPr>
                <w:p w14:paraId="024556D6">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8</w:t>
                  </w:r>
                </w:p>
              </w:tc>
              <w:tc>
                <w:tcPr>
                  <w:tcW w:w="521" w:type="pct"/>
                  <w:tcBorders>
                    <w:tl2br w:val="nil"/>
                    <w:tr2bl w:val="nil"/>
                  </w:tcBorders>
                  <w:vAlign w:val="center"/>
                </w:tcPr>
                <w:p w14:paraId="751B709D">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15</w:t>
                  </w:r>
                </w:p>
              </w:tc>
            </w:tr>
            <w:tr w14:paraId="6CD2C10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restart"/>
                  <w:tcBorders>
                    <w:tl2br w:val="nil"/>
                    <w:tr2bl w:val="nil"/>
                  </w:tcBorders>
                  <w:tcMar>
                    <w:top w:w="15" w:type="dxa"/>
                    <w:left w:w="15" w:type="dxa"/>
                    <w:right w:w="15" w:type="dxa"/>
                  </w:tcMar>
                  <w:vAlign w:val="center"/>
                </w:tcPr>
                <w:p w14:paraId="4953AE25">
                  <w:pPr>
                    <w:pStyle w:val="13"/>
                    <w:rPr>
                      <w:rFonts w:cs="Times New Roman"/>
                      <w:color w:val="000000" w:themeColor="text1"/>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星光工业园区</w:t>
                  </w:r>
                  <w:r>
                    <w:rPr>
                      <w:rFonts w:cs="Times New Roman"/>
                      <w:color w:val="000000" w:themeColor="text1"/>
                      <w:lang w:bidi="ar"/>
                      <w14:textFill>
                        <w14:solidFill>
                          <w14:schemeClr w14:val="tx1"/>
                        </w14:solidFill>
                      </w14:textFill>
                    </w:rPr>
                    <w:t>污水处理厂处理后</w:t>
                  </w:r>
                </w:p>
              </w:tc>
              <w:tc>
                <w:tcPr>
                  <w:tcW w:w="798" w:type="pct"/>
                  <w:tcBorders>
                    <w:tl2br w:val="nil"/>
                    <w:tr2bl w:val="nil"/>
                  </w:tcBorders>
                  <w:tcMar>
                    <w:top w:w="15" w:type="dxa"/>
                    <w:left w:w="15" w:type="dxa"/>
                    <w:right w:w="15" w:type="dxa"/>
                  </w:tcMar>
                  <w:vAlign w:val="center"/>
                </w:tcPr>
                <w:p w14:paraId="6CF39B9C">
                  <w:pPr>
                    <w:pStyle w:val="13"/>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浓度（mg/L</w:t>
                  </w:r>
                  <w:r>
                    <w:rPr>
                      <w:rFonts w:cs="Times New Roman"/>
                      <w:color w:val="000000" w:themeColor="text1"/>
                      <w:szCs w:val="21"/>
                      <w:lang w:bidi="ar"/>
                      <w14:textFill>
                        <w14:solidFill>
                          <w14:schemeClr w14:val="tx1"/>
                        </w14:solidFill>
                      </w14:textFill>
                    </w:rPr>
                    <w:t>）</w:t>
                  </w:r>
                </w:p>
              </w:tc>
              <w:tc>
                <w:tcPr>
                  <w:tcW w:w="551" w:type="pct"/>
                  <w:vMerge w:val="restart"/>
                  <w:tcBorders>
                    <w:tl2br w:val="nil"/>
                    <w:tr2bl w:val="nil"/>
                  </w:tcBorders>
                  <w:tcMar>
                    <w:top w:w="15" w:type="dxa"/>
                    <w:left w:w="15" w:type="dxa"/>
                    <w:right w:w="15" w:type="dxa"/>
                  </w:tcMar>
                  <w:vAlign w:val="center"/>
                </w:tcPr>
                <w:p w14:paraId="06220153">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772.2</w:t>
                  </w:r>
                </w:p>
              </w:tc>
              <w:tc>
                <w:tcPr>
                  <w:tcW w:w="404" w:type="pct"/>
                  <w:tcBorders>
                    <w:tl2br w:val="nil"/>
                    <w:tr2bl w:val="nil"/>
                  </w:tcBorders>
                  <w:tcMar>
                    <w:top w:w="15" w:type="dxa"/>
                    <w:left w:w="15" w:type="dxa"/>
                    <w:right w:w="15" w:type="dxa"/>
                  </w:tcMar>
                  <w:vAlign w:val="center"/>
                </w:tcPr>
                <w:p w14:paraId="41DDFC4D">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50</w:t>
                  </w:r>
                </w:p>
              </w:tc>
              <w:tc>
                <w:tcPr>
                  <w:tcW w:w="509" w:type="pct"/>
                  <w:tcBorders>
                    <w:tl2br w:val="nil"/>
                    <w:tr2bl w:val="nil"/>
                  </w:tcBorders>
                  <w:tcMar>
                    <w:top w:w="15" w:type="dxa"/>
                    <w:left w:w="15" w:type="dxa"/>
                    <w:right w:w="15" w:type="dxa"/>
                  </w:tcMar>
                  <w:vAlign w:val="center"/>
                </w:tcPr>
                <w:p w14:paraId="4CE4ED05">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472" w:type="pct"/>
                  <w:tcBorders>
                    <w:tl2br w:val="nil"/>
                    <w:tr2bl w:val="nil"/>
                  </w:tcBorders>
                  <w:tcMar>
                    <w:top w:w="15" w:type="dxa"/>
                    <w:left w:w="15" w:type="dxa"/>
                    <w:right w:w="15" w:type="dxa"/>
                  </w:tcMar>
                  <w:vAlign w:val="center"/>
                </w:tcPr>
                <w:p w14:paraId="7AA1E290">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437" w:type="pct"/>
                  <w:tcBorders>
                    <w:tl2br w:val="nil"/>
                    <w:tr2bl w:val="nil"/>
                  </w:tcBorders>
                  <w:tcMar>
                    <w:top w:w="15" w:type="dxa"/>
                    <w:left w:w="15" w:type="dxa"/>
                    <w:right w:w="15" w:type="dxa"/>
                  </w:tcMar>
                  <w:vAlign w:val="center"/>
                </w:tcPr>
                <w:p w14:paraId="1D8CB7FD">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8</w:t>
                  </w:r>
                </w:p>
              </w:tc>
              <w:tc>
                <w:tcPr>
                  <w:tcW w:w="496" w:type="pct"/>
                  <w:tcBorders>
                    <w:tl2br w:val="nil"/>
                    <w:tr2bl w:val="nil"/>
                  </w:tcBorders>
                  <w:tcMar>
                    <w:top w:w="15" w:type="dxa"/>
                    <w:left w:w="15" w:type="dxa"/>
                    <w:right w:w="15" w:type="dxa"/>
                  </w:tcMar>
                  <w:vAlign w:val="center"/>
                </w:tcPr>
                <w:p w14:paraId="6AE33055">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0.5</w:t>
                  </w:r>
                </w:p>
              </w:tc>
              <w:tc>
                <w:tcPr>
                  <w:tcW w:w="521" w:type="pct"/>
                  <w:tcBorders>
                    <w:tl2br w:val="nil"/>
                    <w:tr2bl w:val="nil"/>
                  </w:tcBorders>
                  <w:vAlign w:val="center"/>
                </w:tcPr>
                <w:p w14:paraId="592808ED">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w:t>
                  </w:r>
                </w:p>
              </w:tc>
            </w:tr>
            <w:tr w14:paraId="008051B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continue"/>
                  <w:tcBorders>
                    <w:tl2br w:val="nil"/>
                    <w:tr2bl w:val="nil"/>
                  </w:tcBorders>
                  <w:tcMar>
                    <w:top w:w="15" w:type="dxa"/>
                    <w:left w:w="15" w:type="dxa"/>
                    <w:right w:w="15" w:type="dxa"/>
                  </w:tcMar>
                  <w:vAlign w:val="center"/>
                </w:tcPr>
                <w:p w14:paraId="258EB094">
                  <w:pPr>
                    <w:pStyle w:val="13"/>
                    <w:rPr>
                      <w:rFonts w:cs="Times New Roman"/>
                      <w:color w:val="000000" w:themeColor="text1"/>
                      <w14:textFill>
                        <w14:solidFill>
                          <w14:schemeClr w14:val="tx1"/>
                        </w14:solidFill>
                      </w14:textFill>
                    </w:rPr>
                  </w:pPr>
                </w:p>
              </w:tc>
              <w:tc>
                <w:tcPr>
                  <w:tcW w:w="798" w:type="pct"/>
                  <w:tcBorders>
                    <w:tl2br w:val="nil"/>
                    <w:tr2bl w:val="nil"/>
                  </w:tcBorders>
                  <w:tcMar>
                    <w:top w:w="15" w:type="dxa"/>
                    <w:left w:w="15" w:type="dxa"/>
                    <w:right w:w="15" w:type="dxa"/>
                  </w:tcMar>
                  <w:vAlign w:val="center"/>
                </w:tcPr>
                <w:p w14:paraId="066CDD9C">
                  <w:pPr>
                    <w:pStyle w:val="13"/>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排放量（t/a</w:t>
                  </w:r>
                  <w:r>
                    <w:rPr>
                      <w:rFonts w:cs="Times New Roman"/>
                      <w:color w:val="000000" w:themeColor="text1"/>
                      <w:szCs w:val="21"/>
                      <w:lang w:bidi="ar"/>
                      <w14:textFill>
                        <w14:solidFill>
                          <w14:schemeClr w14:val="tx1"/>
                        </w14:solidFill>
                      </w14:textFill>
                    </w:rPr>
                    <w:t>）</w:t>
                  </w:r>
                </w:p>
              </w:tc>
              <w:tc>
                <w:tcPr>
                  <w:tcW w:w="551" w:type="pct"/>
                  <w:vMerge w:val="continue"/>
                  <w:tcBorders>
                    <w:tl2br w:val="nil"/>
                    <w:tr2bl w:val="nil"/>
                  </w:tcBorders>
                  <w:tcMar>
                    <w:top w:w="15" w:type="dxa"/>
                    <w:left w:w="15" w:type="dxa"/>
                    <w:right w:w="15" w:type="dxa"/>
                  </w:tcMar>
                  <w:vAlign w:val="center"/>
                </w:tcPr>
                <w:p w14:paraId="75BA4EC6">
                  <w:pPr>
                    <w:pStyle w:val="13"/>
                    <w:rPr>
                      <w:rFonts w:cs="Times New Roman"/>
                      <w:color w:val="000000" w:themeColor="text1"/>
                      <w14:textFill>
                        <w14:solidFill>
                          <w14:schemeClr w14:val="tx1"/>
                        </w14:solidFill>
                      </w14:textFill>
                    </w:rPr>
                  </w:pPr>
                </w:p>
              </w:tc>
              <w:tc>
                <w:tcPr>
                  <w:tcW w:w="712" w:type="dxa"/>
                  <w:tcBorders>
                    <w:tl2br w:val="nil"/>
                    <w:tr2bl w:val="nil"/>
                  </w:tcBorders>
                  <w:tcMar>
                    <w:top w:w="15" w:type="dxa"/>
                    <w:left w:w="15" w:type="dxa"/>
                    <w:right w:w="15" w:type="dxa"/>
                  </w:tcMar>
                  <w:vAlign w:val="center"/>
                </w:tcPr>
                <w:p w14:paraId="383DFDF9">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0.0386 </w:t>
                  </w:r>
                </w:p>
              </w:tc>
              <w:tc>
                <w:tcPr>
                  <w:tcW w:w="896" w:type="dxa"/>
                  <w:tcBorders>
                    <w:tl2br w:val="nil"/>
                    <w:tr2bl w:val="nil"/>
                  </w:tcBorders>
                  <w:tcMar>
                    <w:top w:w="15" w:type="dxa"/>
                    <w:left w:w="15" w:type="dxa"/>
                    <w:right w:w="15" w:type="dxa"/>
                  </w:tcMar>
                  <w:vAlign w:val="center"/>
                </w:tcPr>
                <w:p w14:paraId="2764D7C7">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0.0077 </w:t>
                  </w:r>
                </w:p>
              </w:tc>
              <w:tc>
                <w:tcPr>
                  <w:tcW w:w="831" w:type="dxa"/>
                  <w:tcBorders>
                    <w:tl2br w:val="nil"/>
                    <w:tr2bl w:val="nil"/>
                  </w:tcBorders>
                  <w:tcMar>
                    <w:top w:w="15" w:type="dxa"/>
                    <w:left w:w="15" w:type="dxa"/>
                    <w:right w:w="15" w:type="dxa"/>
                  </w:tcMar>
                  <w:vAlign w:val="center"/>
                </w:tcPr>
                <w:p w14:paraId="596C7DF6">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0.0077 </w:t>
                  </w:r>
                </w:p>
              </w:tc>
              <w:tc>
                <w:tcPr>
                  <w:tcW w:w="770" w:type="dxa"/>
                  <w:tcBorders>
                    <w:tl2br w:val="nil"/>
                    <w:tr2bl w:val="nil"/>
                  </w:tcBorders>
                  <w:tcMar>
                    <w:top w:w="15" w:type="dxa"/>
                    <w:left w:w="15" w:type="dxa"/>
                    <w:right w:w="15" w:type="dxa"/>
                  </w:tcMar>
                  <w:vAlign w:val="center"/>
                </w:tcPr>
                <w:p w14:paraId="40D2D32D">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0.0062 </w:t>
                  </w:r>
                </w:p>
              </w:tc>
              <w:tc>
                <w:tcPr>
                  <w:tcW w:w="874" w:type="dxa"/>
                  <w:tcBorders>
                    <w:tl2br w:val="nil"/>
                    <w:tr2bl w:val="nil"/>
                  </w:tcBorders>
                  <w:tcMar>
                    <w:top w:w="15" w:type="dxa"/>
                    <w:left w:w="15" w:type="dxa"/>
                    <w:right w:w="15" w:type="dxa"/>
                  </w:tcMar>
                  <w:vAlign w:val="center"/>
                </w:tcPr>
                <w:p w14:paraId="4E337E20">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0.0004 </w:t>
                  </w:r>
                </w:p>
              </w:tc>
              <w:tc>
                <w:tcPr>
                  <w:tcW w:w="925" w:type="dxa"/>
                  <w:tcBorders>
                    <w:tl2br w:val="nil"/>
                    <w:tr2bl w:val="nil"/>
                  </w:tcBorders>
                  <w:vAlign w:val="center"/>
                </w:tcPr>
                <w:p w14:paraId="37EBCE02">
                  <w:pPr>
                    <w:pStyle w:val="13"/>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0.0008 </w:t>
                  </w:r>
                </w:p>
              </w:tc>
            </w:tr>
            <w:tr w14:paraId="293A04B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00" w:type="pct"/>
                  <w:gridSpan w:val="10"/>
                  <w:tcBorders>
                    <w:tl2br w:val="nil"/>
                    <w:tr2bl w:val="nil"/>
                  </w:tcBorders>
                  <w:tcMar>
                    <w:top w:w="15" w:type="dxa"/>
                    <w:left w:w="15" w:type="dxa"/>
                    <w:right w:w="15" w:type="dxa"/>
                  </w:tcMar>
                  <w:vAlign w:val="center"/>
                </w:tcPr>
                <w:p w14:paraId="781B2E6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注：</w:t>
                  </w:r>
                  <w:r>
                    <w:rPr>
                      <w:rFonts w:hint="eastAsia" w:cs="Times New Roman"/>
                      <w:color w:val="000000" w:themeColor="text1"/>
                      <w14:textFill>
                        <w14:solidFill>
                          <w14:schemeClr w14:val="tx1"/>
                        </w14:solidFill>
                      </w14:textFill>
                    </w:rPr>
                    <w:t>污水处理厂处理后</w:t>
                  </w:r>
                  <w:r>
                    <w:rPr>
                      <w:rFonts w:cs="Times New Roman"/>
                      <w:color w:val="000000" w:themeColor="text1"/>
                      <w14:textFill>
                        <w14:solidFill>
                          <w14:schemeClr w14:val="tx1"/>
                        </w14:solidFill>
                      </w14:textFill>
                    </w:rPr>
                    <w:t>执行《城镇污水处理厂污染物排放标准》（GB18918-2002）一级A标。</w:t>
                  </w:r>
                </w:p>
              </w:tc>
            </w:tr>
            <w:bookmarkEnd w:id="48"/>
            <w:bookmarkEnd w:id="49"/>
          </w:tbl>
          <w:p w14:paraId="09B2605C">
            <w:pPr>
              <w:keepNext w:val="0"/>
              <w:keepLines w:val="0"/>
              <w:pageBreakBefore w:val="0"/>
              <w:kinsoku/>
              <w:wordWrap/>
              <w:overflowPunct/>
              <w:topLinePunct w:val="0"/>
              <w:autoSpaceDE/>
              <w:autoSpaceDN/>
              <w:bidi w:val="0"/>
              <w:spacing w:line="348" w:lineRule="auto"/>
              <w:ind w:firstLine="480"/>
              <w:textAlignment w:val="auto"/>
              <w:rPr>
                <w:rFonts w:cs="Times New Roman"/>
                <w:b/>
                <w:color w:val="000000" w:themeColor="text1"/>
                <w14:textFill>
                  <w14:solidFill>
                    <w14:schemeClr w14:val="tx1"/>
                  </w14:solidFill>
                </w14:textFill>
              </w:rPr>
            </w:pPr>
            <w:bookmarkStart w:id="50" w:name="OLE_LINK169"/>
            <w:bookmarkStart w:id="51" w:name="OLE_LINK168"/>
            <w:r>
              <w:rPr>
                <w:rFonts w:hint="eastAsia" w:cs="Times New Roman"/>
                <w:color w:val="000000" w:themeColor="text1"/>
                <w:lang w:val="en-US" w:eastAsia="zh-CN"/>
                <w14:textFill>
                  <w14:solidFill>
                    <w14:schemeClr w14:val="tx1"/>
                  </w14:solidFill>
                </w14:textFill>
              </w:rPr>
              <w:t>根据上表计算，本项目外排废水污染物浓度能够满足</w:t>
            </w:r>
            <w:r>
              <w:rPr>
                <w:rFonts w:hint="eastAsia" w:ascii="Times New Roman" w:hAnsi="Times New Roman" w:cs="Times New Roman"/>
                <w:color w:val="000000" w:themeColor="text1"/>
                <w:lang w:val="en-US" w:eastAsia="zh-CN"/>
                <w14:textFill>
                  <w14:solidFill>
                    <w14:schemeClr w14:val="tx1"/>
                  </w14:solidFill>
                </w14:textFill>
              </w:rPr>
              <w:t>星光工业园区污水处理厂进水水质要求，可排放至</w:t>
            </w:r>
            <w:r>
              <w:rPr>
                <w:rFonts w:hint="eastAsia" w:cs="Times New Roman"/>
                <w:color w:val="000000" w:themeColor="text1"/>
                <w:lang w:val="en-US" w:eastAsia="zh-CN"/>
                <w14:textFill>
                  <w14:solidFill>
                    <w14:schemeClr w14:val="tx1"/>
                  </w14:solidFill>
                </w14:textFill>
              </w:rPr>
              <w:t>星光工业园区污水处理厂进一步处理。</w:t>
            </w:r>
          </w:p>
          <w:p w14:paraId="26E228A6">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9</w:t>
            </w:r>
            <w:r>
              <w:rPr>
                <w:rFonts w:cs="Times New Roman"/>
                <w:b/>
                <w:color w:val="000000" w:themeColor="text1"/>
                <w14:textFill>
                  <w14:solidFill>
                    <w14:schemeClr w14:val="tx1"/>
                  </w14:solidFill>
                </w14:textFill>
              </w:rPr>
              <w:t>）</w:t>
            </w:r>
            <w:r>
              <w:rPr>
                <w:rFonts w:hint="eastAsia" w:cs="Times New Roman"/>
                <w:b/>
                <w:color w:val="000000" w:themeColor="text1"/>
                <w14:textFill>
                  <w14:solidFill>
                    <w14:schemeClr w14:val="tx1"/>
                  </w14:solidFill>
                </w14:textFill>
              </w:rPr>
              <w:t>废水治理设施可行性分析</w:t>
            </w:r>
          </w:p>
          <w:p w14:paraId="00D99F37">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1）压滤废水回用可行性分析</w:t>
            </w:r>
          </w:p>
          <w:p w14:paraId="114A6CF4">
            <w:pPr>
              <w:keepNext w:val="0"/>
              <w:keepLines w:val="0"/>
              <w:pageBreakBefore w:val="0"/>
              <w:kinsoku/>
              <w:wordWrap/>
              <w:overflowPunct/>
              <w:topLinePunct w:val="0"/>
              <w:autoSpaceDE/>
              <w:autoSpaceDN/>
              <w:bidi w:val="0"/>
              <w:spacing w:line="348" w:lineRule="auto"/>
              <w:ind w:firstLine="480"/>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本项目压滤废水主要回用于</w:t>
            </w:r>
            <w:r>
              <w:rPr>
                <w:rFonts w:hint="eastAsia" w:cs="Times New Roman"/>
                <w:color w:val="000000" w:themeColor="text1"/>
                <w:szCs w:val="21"/>
                <w:lang w:val="en-US" w:eastAsia="zh-CN"/>
                <w14:textFill>
                  <w14:solidFill>
                    <w14:schemeClr w14:val="tx1"/>
                  </w14:solidFill>
                </w14:textFill>
              </w:rPr>
              <w:t>免烧砌块</w:t>
            </w:r>
            <w:r>
              <w:rPr>
                <w:rFonts w:hint="eastAsia" w:ascii="Times New Roman" w:hAnsi="Times New Roman" w:eastAsia="宋体" w:cs="Times New Roman"/>
                <w:color w:val="000000" w:themeColor="text1"/>
                <w:szCs w:val="21"/>
                <w:lang w:val="en-US" w:eastAsia="zh-CN"/>
                <w14:textFill>
                  <w14:solidFill>
                    <w14:schemeClr w14:val="tx1"/>
                  </w14:solidFill>
                </w14:textFill>
              </w:rPr>
              <w:t>生产过程。</w:t>
            </w:r>
          </w:p>
          <w:p w14:paraId="1FA541C2">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本项目水基岩屑（</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70%）预处理过程无机絮凝剂，沉淀后通过压滤机脱水，相当于对水基岩屑泥浆进行了一道混凝沉淀工序，大部分污染物组分在絮凝沉淀及压滤过程中进入压滤后的泥饼中（含水率35%的水基岩屑），压滤废水为处理后的上清液，通过调节pH后可用于生产。</w:t>
            </w:r>
          </w:p>
          <w:p w14:paraId="42B0B5F3">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免烧砌块生产过程中，对水质有一定要求，但本项目压滤废水中不含有会影响建材性能的有毒有害物质，有机物含量较低，根据建设单位考察了解多个水基岩屑综合利用项目，压滤废水能够满足免烧砌块生产需求，不会对产品质量造成明显影响。</w:t>
            </w:r>
          </w:p>
          <w:p w14:paraId="00C5E113">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压滤废水产生量较大（117568.21t/a），远大于回用需求量（6297t/a），能够满足回用需求。压滤废水的回用</w:t>
            </w:r>
            <w:r>
              <w:rPr>
                <w:rFonts w:hint="eastAsia" w:ascii="宋体" w:hAnsi="宋体" w:eastAsia="宋体" w:cs="宋体"/>
                <w:color w:val="000000" w:themeColor="text1"/>
                <w:kern w:val="0"/>
                <w:sz w:val="24"/>
                <w:szCs w:val="24"/>
                <w:lang w:val="en-US" w:eastAsia="zh-CN" w:bidi="ar"/>
                <w14:textFill>
                  <w14:solidFill>
                    <w14:schemeClr w14:val="tx1"/>
                  </w14:solidFill>
                </w14:textFill>
              </w:rPr>
              <w:t>能够提高废水的循环使用率，减少用水量，降低生产成本，降低水资源消耗，并降低对区域地表水环境的影响。</w:t>
            </w:r>
          </w:p>
          <w:p w14:paraId="6E92C6C4">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综上，本项目压滤废水部分回用可行。</w:t>
            </w:r>
          </w:p>
          <w:p w14:paraId="4F1C91C2">
            <w:pPr>
              <w:keepNext w:val="0"/>
              <w:keepLines w:val="0"/>
              <w:pageBreakBefore w:val="0"/>
              <w:numPr>
                <w:ilvl w:val="0"/>
                <w:numId w:val="10"/>
              </w:numPr>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滤液池内废水委托处置可行性分析</w:t>
            </w:r>
          </w:p>
          <w:p w14:paraId="222F425D">
            <w:pPr>
              <w:keepNext w:val="0"/>
              <w:keepLines w:val="0"/>
              <w:pageBreakBefore w:val="0"/>
              <w:numPr>
                <w:ilvl w:val="0"/>
                <w:numId w:val="0"/>
              </w:numPr>
              <w:kinsoku/>
              <w:wordWrap/>
              <w:overflowPunct/>
              <w:topLinePunct w:val="0"/>
              <w:autoSpaceDE/>
              <w:autoSpaceDN/>
              <w:bidi w:val="0"/>
              <w:spacing w:line="348" w:lineRule="auto"/>
              <w:ind w:firstLine="480" w:firstLineChars="200"/>
              <w:textAlignment w:val="auto"/>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本项目部分渗滤液回用，剩余部分委托四川洁安环境科技有限公司等有资质单位进行处置。需处理压滤废水量约为109270.5279t/a（331.12t/d），采用30t槽罐车运输，运输车辆采用密封式防渗、防腐罐车，清运频次为1日1次，每日清运车次为331.12/30≈11车次。四川洁安环境科技有限公</w:t>
            </w:r>
            <w:r>
              <w:rPr>
                <w:rFonts w:hint="default" w:ascii="Times New Roman" w:hAnsi="Times New Roman" w:cs="Times New Roman"/>
                <w:b w:val="0"/>
                <w:bCs/>
                <w:color w:val="000000" w:themeColor="text1"/>
                <w:lang w:val="en-US" w:eastAsia="zh-CN"/>
                <w14:textFill>
                  <w14:solidFill>
                    <w14:schemeClr w14:val="tx1"/>
                  </w14:solidFill>
                </w14:textFill>
              </w:rPr>
              <w:t>司2023年取得了《关于油气田废水处理厂建设项目环境影响报告书的批复》（巴环境审</w:t>
            </w:r>
            <w:r>
              <w:rPr>
                <w:rFonts w:hint="default" w:ascii="Times New Roman" w:hAnsi="Times New Roman" w:eastAsia="宋体" w:cs="Times New Roman"/>
                <w:b w:val="0"/>
                <w:bCs/>
                <w:color w:val="000000" w:themeColor="text1"/>
                <w:lang w:val="en-US" w:eastAsia="zh-CN"/>
                <w14:textFill>
                  <w14:solidFill>
                    <w14:schemeClr w14:val="tx1"/>
                  </w14:solidFill>
                </w14:textFill>
              </w:rPr>
              <w:t>〔2023〕18号</w:t>
            </w:r>
            <w:r>
              <w:rPr>
                <w:rFonts w:hint="default" w:ascii="Times New Roman" w:hAnsi="Times New Roman"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主要建设内容为：建设油气田废水处理厂项目，占地10亩，处理规模为1200m</w:t>
            </w:r>
            <w:r>
              <w:rPr>
                <w:rFonts w:hint="eastAsia" w:cs="Times New Roman"/>
                <w:b w:val="0"/>
                <w:bCs/>
                <w:color w:val="000000" w:themeColor="text1"/>
                <w:vertAlign w:val="superscript"/>
                <w:lang w:val="en-US" w:eastAsia="zh-CN"/>
                <w14:textFill>
                  <w14:solidFill>
                    <w14:schemeClr w14:val="tx1"/>
                  </w14:solidFill>
                </w14:textFill>
              </w:rPr>
              <w:t>3</w:t>
            </w:r>
            <w:r>
              <w:rPr>
                <w:rFonts w:hint="eastAsia" w:cs="Times New Roman"/>
                <w:b w:val="0"/>
                <w:bCs/>
                <w:color w:val="000000" w:themeColor="text1"/>
                <w:lang w:val="en-US" w:eastAsia="zh-CN"/>
                <w14:textFill>
                  <w14:solidFill>
                    <w14:schemeClr w14:val="tx1"/>
                  </w14:solidFill>
                </w14:textFill>
              </w:rPr>
              <w:t>/d（600m</w:t>
            </w:r>
            <w:r>
              <w:rPr>
                <w:rFonts w:hint="eastAsia" w:cs="Times New Roman"/>
                <w:b w:val="0"/>
                <w:bCs/>
                <w:color w:val="000000" w:themeColor="text1"/>
                <w:vertAlign w:val="superscript"/>
                <w:lang w:val="en-US" w:eastAsia="zh-CN"/>
                <w14:textFill>
                  <w14:solidFill>
                    <w14:schemeClr w14:val="tx1"/>
                  </w14:solidFill>
                </w14:textFill>
              </w:rPr>
              <w:t>3</w:t>
            </w:r>
            <w:r>
              <w:rPr>
                <w:rFonts w:hint="eastAsia" w:cs="Times New Roman"/>
                <w:b w:val="0"/>
                <w:bCs/>
                <w:color w:val="000000" w:themeColor="text1"/>
                <w:lang w:val="en-US" w:eastAsia="zh-CN"/>
                <w14:textFill>
                  <w14:solidFill>
                    <w14:schemeClr w14:val="tx1"/>
                  </w14:solidFill>
                </w14:textFill>
              </w:rPr>
              <w:t>/d回注处理，600m</w:t>
            </w:r>
            <w:r>
              <w:rPr>
                <w:rFonts w:hint="eastAsia" w:cs="Times New Roman"/>
                <w:b w:val="0"/>
                <w:bCs/>
                <w:color w:val="000000" w:themeColor="text1"/>
                <w:vertAlign w:val="superscript"/>
                <w:lang w:val="en-US" w:eastAsia="zh-CN"/>
                <w14:textFill>
                  <w14:solidFill>
                    <w14:schemeClr w14:val="tx1"/>
                  </w14:solidFill>
                </w14:textFill>
              </w:rPr>
              <w:t>3</w:t>
            </w:r>
            <w:r>
              <w:rPr>
                <w:rFonts w:hint="eastAsia" w:cs="Times New Roman"/>
                <w:b w:val="0"/>
                <w:bCs/>
                <w:color w:val="000000" w:themeColor="text1"/>
                <w:lang w:val="en-US" w:eastAsia="zh-CN"/>
                <w14:textFill>
                  <w14:solidFill>
                    <w14:schemeClr w14:val="tx1"/>
                  </w14:solidFill>
                </w14:textFill>
              </w:rPr>
              <w:t>/d深度处理），处理对象为油气田井压裂液、返排水等油气田废水。处理工艺为“含油废水一调节隔油一溶气气浮一混凝沉淀一两级过滤一高级氧化一超滤一多级反渗透一（浓水）浓缩蒸发结晶产盐一（淡水）精制反渗透产水达标排放，处理后出水水质达到《城镇污水处理厂污染物排放标准》（GB18918-2002）中一级A标准（其中氯化物出水限值350mg/L）后排放。目前，该项目未与其他企业签订废水处置协议，污水处理站的富余处理能力为500m</w:t>
            </w:r>
            <w:r>
              <w:rPr>
                <w:rFonts w:hint="eastAsia" w:cs="Times New Roman"/>
                <w:b w:val="0"/>
                <w:bCs/>
                <w:color w:val="000000" w:themeColor="text1"/>
                <w:vertAlign w:val="superscript"/>
                <w:lang w:val="en-US" w:eastAsia="zh-CN"/>
                <w14:textFill>
                  <w14:solidFill>
                    <w14:schemeClr w14:val="tx1"/>
                  </w14:solidFill>
                </w14:textFill>
              </w:rPr>
              <w:t>3</w:t>
            </w:r>
            <w:r>
              <w:rPr>
                <w:rFonts w:hint="eastAsia" w:cs="Times New Roman"/>
                <w:b w:val="0"/>
                <w:bCs/>
                <w:color w:val="000000" w:themeColor="text1"/>
                <w:lang w:val="en-US" w:eastAsia="zh-CN"/>
                <w14:textFill>
                  <w14:solidFill>
                    <w14:schemeClr w14:val="tx1"/>
                  </w14:solidFill>
                </w14:textFill>
              </w:rPr>
              <w:t>/d，能够满足本项目废水处理需求量，且其处理废水水质与本项目水质基本一致。因此，本项目委托四川洁安环境科技有限公司处理本项目的渗滤液是可行的。</w:t>
            </w:r>
          </w:p>
          <w:p w14:paraId="6A11042B">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3）生活污水依托已建预处理池可行性分析</w:t>
            </w:r>
          </w:p>
          <w:p w14:paraId="3A769DBF">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本项目生活污水依托厂区预处理池处理后，排入园区污水管网，送星光工业园区污水处理厂处理。</w:t>
            </w:r>
          </w:p>
          <w:p w14:paraId="05ECD290">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本项目租用已建厂房进行生产，据调查，租赁厂房所在</w:t>
            </w:r>
            <w:r>
              <w:rPr>
                <w:rFonts w:cs="Times New Roman"/>
                <w:color w:val="000000" w:themeColor="text1"/>
                <w14:textFill>
                  <w14:solidFill>
                    <w14:schemeClr w14:val="tx1"/>
                  </w14:solidFill>
                </w14:textFill>
              </w:rPr>
              <w:t>厂区</w:t>
            </w:r>
            <w:r>
              <w:rPr>
                <w:rFonts w:cs="Times New Roman"/>
                <w:color w:val="000000" w:themeColor="text1"/>
                <w:szCs w:val="21"/>
                <w14:textFill>
                  <w14:solidFill>
                    <w14:schemeClr w14:val="tx1"/>
                  </w14:solidFill>
                </w14:textFill>
              </w:rPr>
              <w:t>已建一座预处理池，处理能力约为</w:t>
            </w:r>
            <w:r>
              <w:rPr>
                <w:rFonts w:hint="eastAsia" w:cs="Times New Roman"/>
                <w:color w:val="000000" w:themeColor="text1"/>
                <w:szCs w:val="21"/>
                <w:lang w:val="en-US" w:eastAsia="zh-CN"/>
                <w14:textFill>
                  <w14:solidFill>
                    <w14:schemeClr w14:val="tx1"/>
                  </w14:solidFill>
                </w14:textFill>
              </w:rPr>
              <w:t>1</w:t>
            </w:r>
            <w:r>
              <w:rPr>
                <w:rFonts w:cs="Times New Roman"/>
                <w:color w:val="000000" w:themeColor="text1"/>
                <w:szCs w:val="21"/>
                <w14:textFill>
                  <w14:solidFill>
                    <w14:schemeClr w14:val="tx1"/>
                  </w14:solidFill>
                </w14:textFill>
              </w:rPr>
              <w:t>0m</w:t>
            </w:r>
            <w:r>
              <w:rPr>
                <w:rFonts w:cs="Times New Roman"/>
                <w:color w:val="000000" w:themeColor="text1"/>
                <w:szCs w:val="21"/>
                <w:vertAlign w:val="superscript"/>
                <w14:textFill>
                  <w14:solidFill>
                    <w14:schemeClr w14:val="tx1"/>
                  </w14:solidFill>
                </w14:textFill>
              </w:rPr>
              <w:t>3</w:t>
            </w:r>
            <w:r>
              <w:rPr>
                <w:rFonts w:cs="Times New Roman"/>
                <w:color w:val="000000" w:themeColor="text1"/>
                <w:szCs w:val="21"/>
                <w14:textFill>
                  <w14:solidFill>
                    <w14:schemeClr w14:val="tx1"/>
                  </w14:solidFill>
                </w14:textFill>
              </w:rPr>
              <w:t>/d，</w:t>
            </w:r>
            <w:r>
              <w:rPr>
                <w:rFonts w:hint="eastAsia" w:cs="Times New Roman"/>
                <w:color w:val="000000" w:themeColor="text1"/>
                <w:szCs w:val="21"/>
                <w:lang w:val="en-US" w:eastAsia="zh-CN"/>
                <w14:textFill>
                  <w14:solidFill>
                    <w14:schemeClr w14:val="tx1"/>
                  </w14:solidFill>
                </w14:textFill>
              </w:rPr>
              <w:t>位于宿舍楼旁，地埋式设置。厂区内已建设较为完善的污水管线，并于厂区西北侧设置1个污水总排口，连接至园区污水管网。</w:t>
            </w:r>
          </w:p>
          <w:p w14:paraId="3D25ABE0">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现状</w:t>
            </w:r>
            <w:r>
              <w:rPr>
                <w:rFonts w:hint="eastAsia" w:cs="Times New Roman"/>
                <w:color w:val="000000" w:themeColor="text1"/>
                <w:szCs w:val="21"/>
                <w:lang w:val="en-US" w:eastAsia="zh-CN"/>
                <w14:textFill>
                  <w14:solidFill>
                    <w14:schemeClr w14:val="tx1"/>
                  </w14:solidFill>
                </w14:textFill>
              </w:rPr>
              <w:t>厂区内</w:t>
            </w:r>
            <w:r>
              <w:rPr>
                <w:rFonts w:hint="eastAsia" w:ascii="Times New Roman" w:hAnsi="Times New Roman" w:eastAsia="宋体" w:cs="Times New Roman"/>
                <w:color w:val="000000" w:themeColor="text1"/>
                <w:szCs w:val="21"/>
                <w:lang w:val="en-US" w:eastAsia="zh-CN"/>
                <w14:textFill>
                  <w14:solidFill>
                    <w14:schemeClr w14:val="tx1"/>
                  </w14:solidFill>
                </w14:textFill>
              </w:rPr>
              <w:t>已有四川三科共兴再生资源有限公司、</w:t>
            </w:r>
            <w:r>
              <w:rPr>
                <w:rFonts w:hint="eastAsia" w:cs="Times New Roman"/>
                <w:color w:val="000000" w:themeColor="text1"/>
                <w:szCs w:val="21"/>
                <w:lang w:val="en-US" w:eastAsia="zh-CN"/>
                <w14:textFill>
                  <w14:solidFill>
                    <w14:schemeClr w14:val="tx1"/>
                  </w14:solidFill>
                </w14:textFill>
              </w:rPr>
              <w:t>中石油有限公司</w:t>
            </w:r>
            <w:r>
              <w:rPr>
                <w:rFonts w:hint="eastAsia" w:ascii="Times New Roman" w:hAnsi="Times New Roman" w:eastAsia="宋体" w:cs="Times New Roman"/>
                <w:color w:val="000000" w:themeColor="text1"/>
                <w:szCs w:val="21"/>
                <w:lang w:val="en-US" w:eastAsia="zh-CN"/>
                <w14:textFill>
                  <w14:solidFill>
                    <w14:schemeClr w14:val="tx1"/>
                  </w14:solidFill>
                </w14:textFill>
              </w:rPr>
              <w:t>在进行生产，已建</w:t>
            </w:r>
            <w:r>
              <w:rPr>
                <w:rFonts w:hint="eastAsia" w:cs="Times New Roman"/>
                <w:color w:val="000000" w:themeColor="text1"/>
                <w:szCs w:val="21"/>
                <w:lang w:val="en-US" w:eastAsia="zh-CN"/>
                <w14:textFill>
                  <w14:solidFill>
                    <w14:schemeClr w14:val="tx1"/>
                  </w14:solidFill>
                </w14:textFill>
              </w:rPr>
              <w:t>预处</w:t>
            </w:r>
            <w:r>
              <w:rPr>
                <w:rFonts w:hint="eastAsia" w:ascii="Times New Roman" w:hAnsi="Times New Roman" w:eastAsia="宋体" w:cs="Times New Roman"/>
                <w:color w:val="000000" w:themeColor="text1"/>
                <w:szCs w:val="21"/>
                <w:lang w:val="en-US" w:eastAsia="zh-CN"/>
                <w14:textFill>
                  <w14:solidFill>
                    <w14:schemeClr w14:val="tx1"/>
                  </w14:solidFill>
                </w14:textFill>
              </w:rPr>
              <w:t>理池处理两个公司的人员生活污水，据调查，厂内现有2家企业均未设置食堂，总计员工人数约30人。</w:t>
            </w:r>
          </w:p>
          <w:p w14:paraId="39710BC3">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参考《四川省用水定额》，结合不设食堂情况，现有2家企业员工生活用水量约100L/</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d·人，总计生活用水量约3m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/d，按照产污系数0.9计，现状排入预处理池的生活污水量约2.7m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w:t>
            </w:r>
          </w:p>
          <w:p w14:paraId="08F3D6E5">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按照预处理停留时间不小于24h计，现状预处理池处理水量为2.7m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/d，冗余处理能力为7.3m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/d，本项目新增生活污水量为2.34m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/d，小于冗余处理能力，依托的预处理池冗余处理能力能够容纳本项目产生的生活污水。</w:t>
            </w:r>
          </w:p>
          <w:p w14:paraId="6C54C258">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预处理池即化粪池，主要起到稳定水质、水量的作用，同时利用沉淀作用和微生物厌氧发酵作用，使有机物分解，易腐败的新鲜粪便转化为稳定的熟污泥。生活</w:t>
            </w:r>
            <w:r>
              <w:rPr>
                <w:rFonts w:hint="eastAsia" w:cs="Times New Roman"/>
                <w:color w:val="000000" w:themeColor="text1"/>
                <w:szCs w:val="21"/>
                <w:vertAlign w:val="baseline"/>
                <w:lang w:val="en-US" w:eastAsia="zh-CN"/>
                <w14:textFill>
                  <w14:solidFill>
                    <w14:schemeClr w14:val="tx1"/>
                  </w14:solidFill>
                </w14:textFill>
              </w:rPr>
              <w:t>污水</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本身水质简单，污染物浓度较低，采用预处理池预处理生活污水，属于可行技术，是常见的生活污水预处理方式。</w:t>
            </w:r>
          </w:p>
          <w:p w14:paraId="63B14D75">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综上，本项目生活</w:t>
            </w:r>
            <w:r>
              <w:rPr>
                <w:rFonts w:hint="eastAsia" w:cs="Times New Roman"/>
                <w:color w:val="000000" w:themeColor="text1"/>
                <w:szCs w:val="21"/>
                <w:lang w:val="en-US" w:eastAsia="zh-CN"/>
                <w14:textFill>
                  <w14:solidFill>
                    <w14:schemeClr w14:val="tx1"/>
                  </w14:solidFill>
                </w14:textFill>
              </w:rPr>
              <w:t>污水依托厂区预处理池处理可行。</w:t>
            </w:r>
          </w:p>
          <w:p w14:paraId="4442CB41">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4）生活污水近期排入星光工业园区污水处理厂可行性分析</w:t>
            </w:r>
          </w:p>
          <w:p w14:paraId="0B61C415">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本项目租用</w:t>
            </w:r>
            <w:r>
              <w:rPr>
                <w:rFonts w:hint="eastAsia" w:cs="Times New Roman"/>
                <w:color w:val="000000" w:themeColor="text1"/>
                <w:szCs w:val="21"/>
                <w:lang w:val="en-US" w:eastAsia="zh-CN"/>
                <w14:textFill>
                  <w14:solidFill>
                    <w14:schemeClr w14:val="tx1"/>
                  </w14:solidFill>
                </w14:textFill>
              </w:rPr>
              <w:t>平昌经济开发区</w:t>
            </w:r>
            <w:r>
              <w:rPr>
                <w:rFonts w:hint="default" w:ascii="Times New Roman" w:hAnsi="Times New Roman" w:cs="Times New Roman"/>
                <w:color w:val="000000" w:themeColor="text1"/>
                <w:lang w:val="en-US" w:eastAsia="zh-CN"/>
                <w14:textFill>
                  <w14:solidFill>
                    <w14:schemeClr w14:val="tx1"/>
                  </w14:solidFill>
                </w14:textFill>
              </w:rPr>
              <w:t>星光机械制造产业园</w:t>
            </w:r>
            <w:r>
              <w:rPr>
                <w:rFonts w:hint="eastAsia" w:ascii="Times New Roman" w:hAnsi="Times New Roman" w:cs="Times New Roman"/>
                <w:color w:val="000000" w:themeColor="text1"/>
                <w:lang w:val="en-US" w:eastAsia="zh-CN"/>
                <w14:textFill>
                  <w14:solidFill>
                    <w14:schemeClr w14:val="tx1"/>
                  </w14:solidFill>
                </w14:textFill>
              </w:rPr>
              <w:t>内</w:t>
            </w:r>
            <w:r>
              <w:rPr>
                <w:rFonts w:cs="Times New Roman"/>
                <w:color w:val="000000" w:themeColor="text1"/>
                <w:szCs w:val="21"/>
                <w14:textFill>
                  <w14:solidFill>
                    <w14:schemeClr w14:val="tx1"/>
                  </w14:solidFill>
                </w14:textFill>
              </w:rPr>
              <w:t>已建厂房进行生产</w:t>
            </w:r>
            <w:r>
              <w:rPr>
                <w:rFonts w:hint="eastAsia" w:cs="Times New Roman"/>
                <w:color w:val="000000" w:themeColor="text1"/>
                <w:szCs w:val="21"/>
                <w:lang w:eastAsia="zh-CN"/>
                <w14:textFill>
                  <w14:solidFill>
                    <w14:schemeClr w14:val="tx1"/>
                  </w14:solidFill>
                </w14:textFill>
              </w:rPr>
              <w:t>，根</w:t>
            </w:r>
            <w:r>
              <w:rPr>
                <w:rFonts w:cs="Times New Roman"/>
                <w:color w:val="000000" w:themeColor="text1"/>
                <w:szCs w:val="21"/>
                <w14:textFill>
                  <w14:solidFill>
                    <w14:schemeClr w14:val="tx1"/>
                  </w14:solidFill>
                </w14:textFill>
              </w:rPr>
              <w:t>据调查，</w:t>
            </w:r>
            <w:r>
              <w:rPr>
                <w:rFonts w:hint="eastAsia" w:cs="Times New Roman"/>
                <w:color w:val="000000" w:themeColor="text1"/>
                <w:szCs w:val="21"/>
                <w:lang w:val="en-US" w:eastAsia="zh-CN"/>
                <w14:textFill>
                  <w14:solidFill>
                    <w14:schemeClr w14:val="tx1"/>
                  </w14:solidFill>
                </w14:textFill>
              </w:rPr>
              <w:t>厂区内已建设较为完善的污水管线，并于厂区西北侧设置1个污水总排口，连接至园区污水管网。现状厂区内现有企业正常通过污水总排口排放生活污水至园区污水管网。</w:t>
            </w:r>
          </w:p>
          <w:p w14:paraId="7874D183">
            <w:pPr>
              <w:keepNext w:val="0"/>
              <w:keepLines w:val="0"/>
              <w:pageBreakBefore w:val="0"/>
              <w:kinsoku/>
              <w:wordWrap/>
              <w:overflowPunct/>
              <w:topLinePunct w:val="0"/>
              <w:autoSpaceDE/>
              <w:autoSpaceDN/>
              <w:bidi w:val="0"/>
              <w:spacing w:line="348" w:lineRule="auto"/>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四川平昌经济开发区共包括四个片区，</w:t>
            </w:r>
            <w:r>
              <w:rPr>
                <w:rFonts w:hint="eastAsia" w:cs="Times New Roman"/>
                <w:color w:val="000000" w:themeColor="text1"/>
                <w:lang w:val="en-US" w:eastAsia="zh-CN"/>
                <w14:textFill>
                  <w14:solidFill>
                    <w14:schemeClr w14:val="tx1"/>
                  </w14:solidFill>
                </w14:textFill>
              </w:rPr>
              <w:t>分别为</w:t>
            </w:r>
            <w:r>
              <w:rPr>
                <w:rFonts w:hint="default" w:ascii="Times New Roman" w:hAnsi="Times New Roman" w:cs="Times New Roman"/>
                <w:color w:val="000000" w:themeColor="text1"/>
                <w:lang w:val="en-US" w:eastAsia="zh-CN"/>
                <w14:textFill>
                  <w14:solidFill>
                    <w14:schemeClr w14:val="tx1"/>
                  </w14:solidFill>
                </w14:textFill>
              </w:rPr>
              <w:t>星光机械制造产业园、金宝食品饮料产业园、驷马清洁能源产业园、石龙门化工园区</w:t>
            </w:r>
            <w:r>
              <w:rPr>
                <w:rFonts w:hint="eastAsia" w:cs="Times New Roman"/>
                <w:color w:val="000000" w:themeColor="text1"/>
                <w:lang w:val="en-US" w:eastAsia="zh-CN"/>
                <w14:textFill>
                  <w14:solidFill>
                    <w14:schemeClr w14:val="tx1"/>
                  </w14:solidFill>
                </w14:textFill>
              </w:rPr>
              <w:t>。目前</w:t>
            </w:r>
            <w:r>
              <w:rPr>
                <w:rFonts w:hint="default" w:ascii="Times New Roman" w:hAnsi="Times New Roman" w:cs="Times New Roman"/>
                <w:color w:val="000000" w:themeColor="text1"/>
                <w:lang w:val="en-US" w:eastAsia="zh-CN"/>
                <w14:textFill>
                  <w14:solidFill>
                    <w14:schemeClr w14:val="tx1"/>
                  </w14:solidFill>
                </w14:textFill>
              </w:rPr>
              <w:t>星光机械制造产业园</w:t>
            </w:r>
            <w:r>
              <w:rPr>
                <w:rFonts w:hint="eastAsia" w:cs="Times New Roman"/>
                <w:color w:val="000000" w:themeColor="text1"/>
                <w:lang w:val="en-US" w:eastAsia="zh-CN"/>
                <w14:textFill>
                  <w14:solidFill>
                    <w14:schemeClr w14:val="tx1"/>
                  </w14:solidFill>
                </w14:textFill>
              </w:rPr>
              <w:t>已建成1座0.3</w:t>
            </w:r>
            <w:r>
              <w:rPr>
                <w:rFonts w:hint="default" w:ascii="Times New Roman" w:hAnsi="Times New Roman" w:cs="Times New Roman"/>
                <w:color w:val="000000" w:themeColor="text1"/>
                <w:lang w:val="en-US" w:eastAsia="zh-CN"/>
                <w14:textFill>
                  <w14:solidFill>
                    <w14:schemeClr w14:val="tx1"/>
                  </w14:solidFill>
                </w14:textFill>
              </w:rPr>
              <w:t>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的工业污水处理厂（</w:t>
            </w:r>
            <w:r>
              <w:rPr>
                <w:rFonts w:hint="default" w:ascii="Times New Roman" w:hAnsi="Times New Roman" w:cs="Times New Roman"/>
                <w:color w:val="000000" w:themeColor="text1"/>
                <w:lang w:eastAsia="zh-CN"/>
                <w14:textFill>
                  <w14:solidFill>
                    <w14:schemeClr w14:val="tx1"/>
                  </w14:solidFill>
                </w14:textFill>
              </w:rPr>
              <w:t>星光工业园区污水处理厂</w:t>
            </w:r>
            <w:r>
              <w:rPr>
                <w:rFonts w:hint="eastAsia" w:cs="Times New Roman"/>
                <w:color w:val="000000" w:themeColor="text1"/>
                <w:lang w:val="en-US" w:eastAsia="zh-CN"/>
                <w14:textFill>
                  <w14:solidFill>
                    <w14:schemeClr w14:val="tx1"/>
                  </w14:solidFill>
                </w14:textFill>
              </w:rPr>
              <w:t>），于2021年建设完成并通过验收投入使用，</w:t>
            </w:r>
            <w:r>
              <w:rPr>
                <w:rFonts w:hint="default" w:ascii="Times New Roman" w:hAnsi="Times New Roman" w:cs="Times New Roman"/>
                <w:color w:val="000000" w:themeColor="text1"/>
                <w:lang w:val="en-US" w:eastAsia="zh-CN"/>
                <w14:textFill>
                  <w14:solidFill>
                    <w14:schemeClr w14:val="tx1"/>
                  </w14:solidFill>
                </w14:textFill>
              </w:rPr>
              <w:t>处理规模为0.3万m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/d，采用预处理（格栅间-调节池→水解酸化池）+生化处理（A</w:t>
            </w:r>
            <w:r>
              <w:rPr>
                <w:rFonts w:hint="default" w:ascii="Times New Roman" w:hAnsi="Times New Roman" w:cs="Times New Roman"/>
                <w:color w:val="000000" w:themeColor="text1"/>
                <w:vertAlign w:val="superscript"/>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/O微曝氧化沟）+深度处理（网格絮凝池+纤维转盘滤池+紫外线消毒）的污水处理工艺。废水处理达到《城镇污水处理厂污染物排放标准》（GB18918-2002）中一级A标后排入巴河</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污水处理厂目前正常运行。</w:t>
            </w:r>
          </w:p>
          <w:p w14:paraId="4DD2FE58">
            <w:pPr>
              <w:keepNext w:val="0"/>
              <w:keepLines w:val="0"/>
              <w:pageBreakBefore w:val="0"/>
              <w:kinsoku/>
              <w:wordWrap/>
              <w:overflowPunct/>
              <w:topLinePunct w:val="0"/>
              <w:autoSpaceDE/>
              <w:autoSpaceDN/>
              <w:bidi w:val="0"/>
              <w:spacing w:line="348" w:lineRule="auto"/>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2022年四川平昌经济开发区规划修编，根据修编后的规划环评</w:t>
            </w:r>
            <w:r>
              <w:rPr>
                <w:rFonts w:hint="eastAsia" w:ascii="Times New Roman" w:hAnsi="Times New Roman" w:cs="Times New Roman"/>
                <w:color w:val="000000" w:themeColor="text1"/>
                <w:lang w:val="en-US" w:eastAsia="zh-CN"/>
                <w14:textFill>
                  <w14:solidFill>
                    <w14:schemeClr w14:val="tx1"/>
                  </w14:solidFill>
                </w14:textFill>
              </w:rPr>
              <w:t>，星光工业园区水务处理厂</w:t>
            </w:r>
            <w:r>
              <w:rPr>
                <w:rFonts w:hint="default" w:ascii="Times New Roman" w:hAnsi="Times New Roman" w:cs="Times New Roman"/>
                <w:color w:val="000000" w:themeColor="text1"/>
                <w:lang w:val="en-US" w:eastAsia="zh-CN"/>
                <w14:textFill>
                  <w14:solidFill>
                    <w14:schemeClr w14:val="tx1"/>
                  </w14:solidFill>
                </w14:textFill>
              </w:rPr>
              <w:t>规划处理规模</w:t>
            </w:r>
            <w:r>
              <w:rPr>
                <w:rFonts w:hint="eastAsia" w:ascii="Times New Roman" w:hAnsi="Times New Roman" w:cs="Times New Roman"/>
                <w:color w:val="000000" w:themeColor="text1"/>
                <w:lang w:val="en-US" w:eastAsia="zh-CN"/>
                <w14:textFill>
                  <w14:solidFill>
                    <w14:schemeClr w14:val="tx1"/>
                  </w14:solidFill>
                </w14:textFill>
              </w:rPr>
              <w:t>需</w:t>
            </w:r>
            <w:r>
              <w:rPr>
                <w:rFonts w:hint="default" w:ascii="Times New Roman" w:hAnsi="Times New Roman" w:cs="Times New Roman"/>
                <w:color w:val="000000" w:themeColor="text1"/>
                <w:lang w:val="en-US" w:eastAsia="zh-CN"/>
                <w14:textFill>
                  <w14:solidFill>
                    <w14:schemeClr w14:val="tx1"/>
                  </w14:solidFill>
                </w14:textFill>
              </w:rPr>
              <w:t>扩能至2万m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/d。</w:t>
            </w:r>
            <w:r>
              <w:rPr>
                <w:rFonts w:hint="eastAsia" w:ascii="Times New Roman" w:hAnsi="Times New Roman" w:cs="Times New Roman"/>
                <w:color w:val="000000" w:themeColor="text1"/>
                <w:lang w:val="en-US" w:eastAsia="zh-CN"/>
                <w14:textFill>
                  <w14:solidFill>
                    <w14:schemeClr w14:val="tx1"/>
                  </w14:solidFill>
                </w14:textFill>
              </w:rPr>
              <w:t>参考根据《</w:t>
            </w:r>
            <w:r>
              <w:rPr>
                <w:rFonts w:hint="default" w:ascii="Times New Roman" w:hAnsi="Times New Roman" w:eastAsia="宋体" w:cs="Times New Roman"/>
                <w:color w:val="000000" w:themeColor="text1"/>
                <w:lang w:val="en-US" w:eastAsia="zh-CN"/>
                <w14:textFill>
                  <w14:solidFill>
                    <w14:schemeClr w14:val="tx1"/>
                  </w14:solidFill>
                </w14:textFill>
              </w:rPr>
              <w:t>平昌海天水务有限公司星光工业园区污水处理厂技改扩能建设项目</w:t>
            </w:r>
            <w:r>
              <w:rPr>
                <w:rFonts w:hint="default" w:ascii="Times New Roman" w:hAnsi="Times New Roman" w:eastAsia="宋体" w:cs="Times New Roman"/>
                <w:color w:val="000000" w:themeColor="text1"/>
                <w14:textFill>
                  <w14:solidFill>
                    <w14:schemeClr w14:val="tx1"/>
                  </w14:solidFill>
                </w14:textFill>
              </w:rPr>
              <w:t>环境影响报告书</w:t>
            </w:r>
            <w:r>
              <w:rPr>
                <w:rFonts w:hint="eastAsia" w:ascii="Times New Roman" w:hAnsi="Times New Roman" w:cs="Times New Roman"/>
                <w:color w:val="000000" w:themeColor="text1"/>
                <w:lang w:val="en-US" w:eastAsia="zh-CN"/>
                <w14:textFill>
                  <w14:solidFill>
                    <w14:schemeClr w14:val="tx1"/>
                  </w14:solidFill>
                </w14:textFill>
              </w:rPr>
              <w:t>》，星光工业园区污水处理厂正在建设扩建工程，</w:t>
            </w:r>
            <w:r>
              <w:rPr>
                <w:rFonts w:hint="eastAsia" w:cs="Times New Roman"/>
                <w:color w:val="000000" w:themeColor="text1"/>
                <w:highlight w:val="none"/>
                <w:lang w:val="en-US" w:eastAsia="zh-CN"/>
                <w14:textFill>
                  <w14:solidFill>
                    <w14:schemeClr w14:val="tx1"/>
                  </w14:solidFill>
                </w14:textFill>
              </w:rPr>
              <w:t>改建MBR膜、提高污泥浓度等，</w:t>
            </w:r>
            <w:r>
              <w:rPr>
                <w:rFonts w:hint="default" w:ascii="Times New Roman" w:hAnsi="Times New Roman" w:cs="Times New Roman"/>
                <w:color w:val="000000" w:themeColor="text1"/>
                <w:highlight w:val="none"/>
                <w:lang w:val="en-US" w:eastAsia="zh-CN"/>
                <w14:textFill>
                  <w14:solidFill>
                    <w14:schemeClr w14:val="tx1"/>
                  </w14:solidFill>
                </w14:textFill>
              </w:rPr>
              <w:t>将处理规模由3000m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/d提升至5000m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highlight w:val="none"/>
                <w:lang w:val="en-US" w:eastAsia="zh-CN"/>
                <w14:textFill>
                  <w14:solidFill>
                    <w14:schemeClr w14:val="tx1"/>
                  </w14:solidFill>
                </w14:textFill>
              </w:rPr>
              <w:t>后续逐步提升</w:t>
            </w:r>
            <w:r>
              <w:rPr>
                <w:rFonts w:hint="default"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现状</w:t>
            </w:r>
            <w:r>
              <w:rPr>
                <w:rFonts w:hint="default" w:ascii="Times New Roman" w:hAnsi="Times New Roman" w:cs="Times New Roman"/>
                <w:color w:val="000000" w:themeColor="text1"/>
                <w:lang w:val="en-US" w:eastAsia="zh-CN"/>
                <w14:textFill>
                  <w14:solidFill>
                    <w14:schemeClr w14:val="tx1"/>
                  </w14:solidFill>
                </w14:textFill>
              </w:rPr>
              <w:t>星光工业</w:t>
            </w:r>
            <w:r>
              <w:rPr>
                <w:rFonts w:hint="eastAsia" w:ascii="Times New Roman" w:hAnsi="Times New Roman" w:cs="Times New Roman"/>
                <w:color w:val="000000" w:themeColor="text1"/>
                <w:lang w:val="en-US" w:eastAsia="zh-CN"/>
                <w14:textFill>
                  <w14:solidFill>
                    <w14:schemeClr w14:val="tx1"/>
                  </w14:solidFill>
                </w14:textFill>
              </w:rPr>
              <w:t>园区</w:t>
            </w:r>
            <w:r>
              <w:rPr>
                <w:rFonts w:hint="default" w:ascii="Times New Roman" w:hAnsi="Times New Roman" w:cs="Times New Roman"/>
                <w:color w:val="000000" w:themeColor="text1"/>
                <w:lang w:val="en-US" w:eastAsia="zh-CN"/>
                <w14:textFill>
                  <w14:solidFill>
                    <w14:schemeClr w14:val="tx1"/>
                  </w14:solidFill>
                </w14:textFill>
              </w:rPr>
              <w:t>污水处理厂目前废水处理量</w:t>
            </w:r>
            <w:r>
              <w:rPr>
                <w:rFonts w:hint="default" w:ascii="Times New Roman" w:hAnsi="Times New Roman" w:cs="Times New Roman"/>
                <w:color w:val="000000" w:themeColor="text1"/>
                <w:highlight w:val="none"/>
                <w:lang w:val="en-US" w:eastAsia="zh-CN"/>
                <w14:textFill>
                  <w14:solidFill>
                    <w14:schemeClr w14:val="tx1"/>
                  </w14:solidFill>
                </w14:textFill>
              </w:rPr>
              <w:t>约为</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500m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/d，剩余处理规模约500m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highlight w:val="none"/>
                <w:lang w:val="en-US" w:eastAsia="zh-CN"/>
                <w14:textFill>
                  <w14:solidFill>
                    <w14:schemeClr w14:val="tx1"/>
                  </w14:solidFill>
                </w14:textFill>
              </w:rPr>
              <w:t>。</w:t>
            </w:r>
          </w:p>
          <w:p w14:paraId="2A58AC7A">
            <w:pPr>
              <w:keepNext w:val="0"/>
              <w:keepLines w:val="0"/>
              <w:pageBreakBefore w:val="0"/>
              <w:kinsoku/>
              <w:wordWrap/>
              <w:overflowPunct/>
              <w:topLinePunct w:val="0"/>
              <w:autoSpaceDE/>
              <w:autoSpaceDN/>
              <w:bidi w:val="0"/>
              <w:spacing w:line="348" w:lineRule="auto"/>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本项目位于星光工业园区污水处理厂服务范围内，区域已接通园区污水管网。本项目生活污水量约</w:t>
            </w:r>
            <w:r>
              <w:rPr>
                <w:rFonts w:hint="eastAsia" w:cs="Times New Roman"/>
                <w:color w:val="000000" w:themeColor="text1"/>
                <w:lang w:val="en-US" w:eastAsia="zh-CN"/>
                <w14:textFill>
                  <w14:solidFill>
                    <w14:schemeClr w14:val="tx1"/>
                  </w14:solidFill>
                </w14:textFill>
              </w:rPr>
              <w:t>2.34</w:t>
            </w:r>
            <w:r>
              <w:rPr>
                <w:rFonts w:hint="eastAsia"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eastAsia" w:ascii="Times New Roman" w:hAnsi="Times New Roman" w:cs="Times New Roman"/>
                <w:color w:val="000000" w:themeColor="text1"/>
                <w:vertAlign w:val="baseline"/>
                <w:lang w:val="en-US" w:eastAsia="zh-CN"/>
                <w14:textFill>
                  <w14:solidFill>
                    <w14:schemeClr w14:val="tx1"/>
                  </w14:solidFill>
                </w14:textFill>
              </w:rPr>
              <w:t>/d，小于</w:t>
            </w:r>
            <w:r>
              <w:rPr>
                <w:rFonts w:hint="default" w:ascii="Times New Roman" w:hAnsi="Times New Roman" w:cs="Times New Roman"/>
                <w:color w:val="000000" w:themeColor="text1"/>
                <w:lang w:val="en-US" w:eastAsia="zh-CN"/>
                <w14:textFill>
                  <w14:solidFill>
                    <w14:schemeClr w14:val="tx1"/>
                  </w14:solidFill>
                </w14:textFill>
              </w:rPr>
              <w:t>星光工业</w:t>
            </w:r>
            <w:r>
              <w:rPr>
                <w:rFonts w:hint="eastAsia" w:ascii="Times New Roman" w:hAnsi="Times New Roman" w:cs="Times New Roman"/>
                <w:color w:val="000000" w:themeColor="text1"/>
                <w:lang w:val="en-US" w:eastAsia="zh-CN"/>
                <w14:textFill>
                  <w14:solidFill>
                    <w14:schemeClr w14:val="tx1"/>
                  </w14:solidFill>
                </w14:textFill>
              </w:rPr>
              <w:t>园区</w:t>
            </w:r>
            <w:r>
              <w:rPr>
                <w:rFonts w:hint="default" w:ascii="Times New Roman" w:hAnsi="Times New Roman" w:cs="Times New Roman"/>
                <w:color w:val="000000" w:themeColor="text1"/>
                <w:lang w:val="en-US" w:eastAsia="zh-CN"/>
                <w14:textFill>
                  <w14:solidFill>
                    <w14:schemeClr w14:val="tx1"/>
                  </w14:solidFill>
                </w14:textFill>
              </w:rPr>
              <w:t>污水处理厂</w:t>
            </w:r>
            <w:r>
              <w:rPr>
                <w:rFonts w:hint="eastAsia" w:ascii="Times New Roman" w:hAnsi="Times New Roman" w:cs="Times New Roman"/>
                <w:color w:val="000000" w:themeColor="text1"/>
                <w:lang w:val="en-US" w:eastAsia="zh-CN"/>
                <w14:textFill>
                  <w14:solidFill>
                    <w14:schemeClr w14:val="tx1"/>
                  </w14:solidFill>
                </w14:textFill>
              </w:rPr>
              <w:t>现状剩余处理规模（2500m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eastAsia" w:ascii="Times New Roman" w:hAnsi="Times New Roman" w:cs="Times New Roman"/>
                <w:color w:val="000000" w:themeColor="text1"/>
                <w:vertAlign w:val="baseline"/>
                <w:lang w:val="en-US" w:eastAsia="zh-CN"/>
                <w14:textFill>
                  <w14:solidFill>
                    <w14:schemeClr w14:val="tx1"/>
                  </w14:solidFill>
                </w14:textFill>
              </w:rPr>
              <w:t>/d</w:t>
            </w:r>
            <w:r>
              <w:rPr>
                <w:rFonts w:hint="eastAsia" w:ascii="Times New Roman" w:hAnsi="Times New Roman" w:cs="Times New Roman"/>
                <w:color w:val="000000" w:themeColor="text1"/>
                <w:lang w:val="en-US" w:eastAsia="zh-CN"/>
                <w14:textFill>
                  <w14:solidFill>
                    <w14:schemeClr w14:val="tx1"/>
                  </w14:solidFill>
                </w14:textFill>
              </w:rPr>
              <w:t>），水量满足依托要求。</w:t>
            </w:r>
          </w:p>
          <w:p w14:paraId="7A180566">
            <w:pPr>
              <w:keepNext w:val="0"/>
              <w:keepLines w:val="0"/>
              <w:pageBreakBefore w:val="0"/>
              <w:kinsoku/>
              <w:wordWrap/>
              <w:overflowPunct/>
              <w:topLinePunct w:val="0"/>
              <w:autoSpaceDE/>
              <w:autoSpaceDN/>
              <w:bidi w:val="0"/>
              <w:spacing w:line="348" w:lineRule="auto"/>
              <w:ind w:firstLine="48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本项目外排废水为生活污水，根据前文分析，生活污水水质能够达到</w:t>
            </w:r>
            <w:r>
              <w:rPr>
                <w:rFonts w:hint="default" w:ascii="Times New Roman" w:hAnsi="Times New Roman" w:eastAsia="宋体" w:cs="Times New Roman"/>
                <w:color w:val="000000" w:themeColor="text1"/>
                <w:lang w:val="en-US" w:eastAsia="zh-CN"/>
                <w14:textFill>
                  <w14:solidFill>
                    <w14:schemeClr w14:val="tx1"/>
                  </w14:solidFill>
                </w14:textFill>
              </w:rPr>
              <w:t>平昌海天水务有限公司星光工业园区污水处理厂</w:t>
            </w:r>
            <w:r>
              <w:rPr>
                <w:rFonts w:hint="eastAsia" w:ascii="Times New Roman" w:hAnsi="Times New Roman" w:eastAsia="宋体" w:cs="Times New Roman"/>
                <w:color w:val="000000" w:themeColor="text1"/>
                <w:lang w:val="en-US" w:eastAsia="zh-CN"/>
                <w14:textFill>
                  <w14:solidFill>
                    <w14:schemeClr w14:val="tx1"/>
                  </w14:solidFill>
                </w14:textFill>
              </w:rPr>
              <w:t>进水水质要求，能够有效处理，不会对</w:t>
            </w:r>
            <w:r>
              <w:rPr>
                <w:rFonts w:hint="default" w:ascii="Times New Roman" w:hAnsi="Times New Roman" w:eastAsia="宋体" w:cs="Times New Roman"/>
                <w:color w:val="000000" w:themeColor="text1"/>
                <w:lang w:val="en-US" w:eastAsia="zh-CN"/>
                <w14:textFill>
                  <w14:solidFill>
                    <w14:schemeClr w14:val="tx1"/>
                  </w14:solidFill>
                </w14:textFill>
              </w:rPr>
              <w:t>星光工业园区污水处理厂</w:t>
            </w:r>
            <w:r>
              <w:rPr>
                <w:rFonts w:hint="eastAsia" w:ascii="Times New Roman" w:hAnsi="Times New Roman" w:eastAsia="宋体" w:cs="Times New Roman"/>
                <w:color w:val="000000" w:themeColor="text1"/>
                <w:lang w:val="en-US" w:eastAsia="zh-CN"/>
                <w14:textFill>
                  <w14:solidFill>
                    <w14:schemeClr w14:val="tx1"/>
                  </w14:solidFill>
                </w14:textFill>
              </w:rPr>
              <w:t>正常运行造成影响，水质满足依托要求。</w:t>
            </w:r>
          </w:p>
          <w:p w14:paraId="67A9B4F1">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综上，本项目</w:t>
            </w:r>
            <w:r>
              <w:rPr>
                <w:rFonts w:hint="eastAsia" w:cs="Times New Roman"/>
                <w:color w:val="000000" w:themeColor="text1"/>
                <w:lang w:val="en-US" w:eastAsia="zh-CN"/>
                <w14:textFill>
                  <w14:solidFill>
                    <w14:schemeClr w14:val="tx1"/>
                  </w14:solidFill>
                </w14:textFill>
              </w:rPr>
              <w:t>生活</w:t>
            </w:r>
            <w:r>
              <w:rPr>
                <w:rFonts w:hint="eastAsia" w:ascii="Times New Roman" w:hAnsi="Times New Roman" w:eastAsia="宋体" w:cs="Times New Roman"/>
                <w:color w:val="000000" w:themeColor="text1"/>
                <w:lang w:val="en-US" w:eastAsia="zh-CN"/>
                <w14:textFill>
                  <w14:solidFill>
                    <w14:schemeClr w14:val="tx1"/>
                  </w14:solidFill>
                </w14:textFill>
              </w:rPr>
              <w:t>废水排放至</w:t>
            </w:r>
            <w:r>
              <w:rPr>
                <w:rFonts w:hint="default" w:ascii="Times New Roman" w:hAnsi="Times New Roman" w:eastAsia="宋体" w:cs="Times New Roman"/>
                <w:color w:val="000000" w:themeColor="text1"/>
                <w:lang w:val="en-US" w:eastAsia="zh-CN"/>
                <w14:textFill>
                  <w14:solidFill>
                    <w14:schemeClr w14:val="tx1"/>
                  </w14:solidFill>
                </w14:textFill>
              </w:rPr>
              <w:t>星光工业园区污水处理厂</w:t>
            </w:r>
            <w:r>
              <w:rPr>
                <w:rFonts w:hint="eastAsia" w:ascii="Times New Roman" w:hAnsi="Times New Roman" w:eastAsia="宋体" w:cs="Times New Roman"/>
                <w:color w:val="000000" w:themeColor="text1"/>
                <w:lang w:val="en-US" w:eastAsia="zh-CN"/>
                <w14:textFill>
                  <w14:solidFill>
                    <w14:schemeClr w14:val="tx1"/>
                  </w14:solidFill>
                </w14:textFill>
              </w:rPr>
              <w:t>进一步处理可行</w:t>
            </w:r>
            <w:r>
              <w:rPr>
                <w:rFonts w:cs="Times New Roman"/>
                <w:color w:val="000000" w:themeColor="text1"/>
                <w:kern w:val="0"/>
                <w:szCs w:val="24"/>
                <w14:textFill>
                  <w14:solidFill>
                    <w14:schemeClr w14:val="tx1"/>
                  </w14:solidFill>
                </w14:textFill>
              </w:rPr>
              <w:t>。</w:t>
            </w:r>
          </w:p>
          <w:bookmarkEnd w:id="50"/>
          <w:bookmarkEnd w:id="51"/>
          <w:p w14:paraId="53B2BAB9">
            <w:pPr>
              <w:keepNext w:val="0"/>
              <w:keepLines w:val="0"/>
              <w:pageBreakBefore w:val="0"/>
              <w:kinsoku/>
              <w:wordWrap/>
              <w:overflowPunct/>
              <w:topLinePunct w:val="0"/>
              <w:autoSpaceDE/>
              <w:autoSpaceDN/>
              <w:bidi w:val="0"/>
              <w:spacing w:line="348" w:lineRule="auto"/>
              <w:ind w:firstLine="482"/>
              <w:textAlignment w:val="auto"/>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10</w:t>
            </w:r>
            <w:r>
              <w:rPr>
                <w:rFonts w:cs="Times New Roman"/>
                <w:b/>
                <w:color w:val="000000" w:themeColor="text1"/>
                <w14:textFill>
                  <w14:solidFill>
                    <w14:schemeClr w14:val="tx1"/>
                  </w14:solidFill>
                </w14:textFill>
              </w:rPr>
              <w:t>）排放口情况</w:t>
            </w:r>
          </w:p>
          <w:p w14:paraId="458BA673">
            <w:pPr>
              <w:keepNext w:val="0"/>
              <w:keepLines w:val="0"/>
              <w:pageBreakBefore w:val="0"/>
              <w:kinsoku/>
              <w:wordWrap/>
              <w:overflowPunct/>
              <w:topLinePunct w:val="0"/>
              <w:autoSpaceDE/>
              <w:autoSpaceDN/>
              <w:bidi w:val="0"/>
              <w:adjustRightInd w:val="0"/>
              <w:snapToGrid w:val="0"/>
              <w:spacing w:line="348" w:lineRule="auto"/>
              <w:ind w:firstLine="480"/>
              <w:textAlignment w:val="auto"/>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本项目不单独设置排放口，依托租赁厂房所在厂区已建污水排放口，排放口情况见下表。</w:t>
            </w:r>
          </w:p>
          <w:p w14:paraId="4410B65A">
            <w:pPr>
              <w:pStyle w:val="12"/>
              <w:keepNext/>
              <w:keepLines w:val="0"/>
              <w:pageBreakBefore w:val="0"/>
              <w:widowControl/>
              <w:kinsoku/>
              <w:wordWrap/>
              <w:overflowPunct/>
              <w:topLinePunct w:val="0"/>
              <w:autoSpaceDE/>
              <w:autoSpaceDN/>
              <w:bidi w:val="0"/>
              <w:adjustRightInd w:val="0"/>
              <w:snapToGrid w:val="0"/>
              <w:spacing w:after="0"/>
              <w:textAlignment w:val="auto"/>
              <w:rPr>
                <w:rFonts w:cs="Times New Roman"/>
                <w:b w:val="0"/>
                <w:color w:val="000000" w:themeColor="text1"/>
                <w:szCs w:val="2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5</w:t>
            </w:r>
            <w:r>
              <w:rPr>
                <w:rFonts w:cs="Times New Roman"/>
                <w:color w:val="000000" w:themeColor="text1"/>
                <w14:textFill>
                  <w14:solidFill>
                    <w14:schemeClr w14:val="tx1"/>
                  </w14:solidFill>
                </w14:textFill>
              </w:rPr>
              <w:t xml:space="preserve"> 本项目废水排放情况</w:t>
            </w:r>
          </w:p>
          <w:tbl>
            <w:tblPr>
              <w:tblStyle w:val="29"/>
              <w:tblW w:w="4999"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489"/>
              <w:gridCol w:w="1016"/>
              <w:gridCol w:w="1033"/>
              <w:gridCol w:w="1428"/>
              <w:gridCol w:w="1718"/>
              <w:gridCol w:w="2373"/>
            </w:tblGrid>
            <w:tr w14:paraId="25B7D92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89" w:type="pct"/>
                  <w:gridSpan w:val="5"/>
                  <w:tcBorders>
                    <w:tl2br w:val="nil"/>
                    <w:tr2bl w:val="nil"/>
                  </w:tcBorders>
                  <w:vAlign w:val="center"/>
                </w:tcPr>
                <w:p w14:paraId="533670C4">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排放口基本情况</w:t>
                  </w:r>
                </w:p>
              </w:tc>
              <w:tc>
                <w:tcPr>
                  <w:tcW w:w="1310" w:type="pct"/>
                  <w:vMerge w:val="restart"/>
                  <w:tcBorders>
                    <w:tl2br w:val="nil"/>
                    <w:tr2bl w:val="nil"/>
                  </w:tcBorders>
                  <w:vAlign w:val="center"/>
                </w:tcPr>
                <w:p w14:paraId="7D2E67FE">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排放标准</w:t>
                  </w:r>
                </w:p>
              </w:tc>
            </w:tr>
            <w:tr w14:paraId="546D379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2" w:type="pct"/>
                  <w:tcBorders>
                    <w:tl2br w:val="nil"/>
                    <w:tr2bl w:val="nil"/>
                  </w:tcBorders>
                  <w:vAlign w:val="center"/>
                </w:tcPr>
                <w:p w14:paraId="0684F08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排放口名称</w:t>
                  </w:r>
                </w:p>
              </w:tc>
              <w:tc>
                <w:tcPr>
                  <w:tcW w:w="561" w:type="pct"/>
                  <w:tcBorders>
                    <w:tl2br w:val="nil"/>
                    <w:tr2bl w:val="nil"/>
                  </w:tcBorders>
                  <w:vAlign w:val="center"/>
                </w:tcPr>
                <w:p w14:paraId="4AA8ED1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编号</w:t>
                  </w:r>
                </w:p>
              </w:tc>
              <w:tc>
                <w:tcPr>
                  <w:tcW w:w="570" w:type="pct"/>
                  <w:tcBorders>
                    <w:tl2br w:val="nil"/>
                    <w:tr2bl w:val="nil"/>
                  </w:tcBorders>
                  <w:vAlign w:val="center"/>
                </w:tcPr>
                <w:p w14:paraId="1FE33C76">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类型</w:t>
                  </w:r>
                </w:p>
              </w:tc>
              <w:tc>
                <w:tcPr>
                  <w:tcW w:w="788" w:type="pct"/>
                  <w:tcBorders>
                    <w:tl2br w:val="nil"/>
                    <w:tr2bl w:val="nil"/>
                  </w:tcBorders>
                  <w:vAlign w:val="center"/>
                </w:tcPr>
                <w:p w14:paraId="0DE9E1BF">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坐标</w:t>
                  </w:r>
                </w:p>
              </w:tc>
              <w:tc>
                <w:tcPr>
                  <w:tcW w:w="945" w:type="pct"/>
                  <w:tcBorders>
                    <w:tl2br w:val="nil"/>
                    <w:tr2bl w:val="nil"/>
                  </w:tcBorders>
                  <w:vAlign w:val="center"/>
                </w:tcPr>
                <w:p w14:paraId="287FC20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排放去向</w:t>
                  </w:r>
                </w:p>
              </w:tc>
              <w:tc>
                <w:tcPr>
                  <w:tcW w:w="1310" w:type="pct"/>
                  <w:vMerge w:val="continue"/>
                  <w:tcBorders>
                    <w:tl2br w:val="nil"/>
                    <w:tr2bl w:val="nil"/>
                  </w:tcBorders>
                  <w:vAlign w:val="center"/>
                </w:tcPr>
                <w:p w14:paraId="5B98854F">
                  <w:pPr>
                    <w:pStyle w:val="13"/>
                    <w:rPr>
                      <w:rFonts w:cs="Times New Roman"/>
                      <w:color w:val="000000" w:themeColor="text1"/>
                      <w14:textFill>
                        <w14:solidFill>
                          <w14:schemeClr w14:val="tx1"/>
                        </w14:solidFill>
                      </w14:textFill>
                    </w:rPr>
                  </w:pPr>
                </w:p>
              </w:tc>
            </w:tr>
            <w:tr w14:paraId="6E744D9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2" w:type="pct"/>
                  <w:tcBorders>
                    <w:tl2br w:val="nil"/>
                    <w:tr2bl w:val="nil"/>
                  </w:tcBorders>
                  <w:vAlign w:val="center"/>
                </w:tcPr>
                <w:p w14:paraId="6CE640D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污水总排口</w:t>
                  </w:r>
                </w:p>
              </w:tc>
              <w:tc>
                <w:tcPr>
                  <w:tcW w:w="561" w:type="pct"/>
                  <w:tcBorders>
                    <w:tl2br w:val="nil"/>
                    <w:tr2bl w:val="nil"/>
                  </w:tcBorders>
                  <w:vAlign w:val="center"/>
                </w:tcPr>
                <w:p w14:paraId="5711CE4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DW001</w:t>
                  </w:r>
                </w:p>
              </w:tc>
              <w:tc>
                <w:tcPr>
                  <w:tcW w:w="570" w:type="pct"/>
                  <w:tcBorders>
                    <w:tl2br w:val="nil"/>
                    <w:tr2bl w:val="nil"/>
                  </w:tcBorders>
                  <w:vAlign w:val="center"/>
                </w:tcPr>
                <w:p w14:paraId="6B36C75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一般排放口</w:t>
                  </w:r>
                </w:p>
              </w:tc>
              <w:tc>
                <w:tcPr>
                  <w:tcW w:w="788" w:type="pct"/>
                  <w:tcBorders>
                    <w:tl2br w:val="nil"/>
                    <w:tr2bl w:val="nil"/>
                  </w:tcBorders>
                  <w:vAlign w:val="center"/>
                </w:tcPr>
                <w:p w14:paraId="4022E476">
                  <w:pPr>
                    <w:pStyle w:val="13"/>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10</w:t>
                  </w:r>
                  <w:r>
                    <w:rPr>
                      <w:rFonts w:hint="eastAsia" w:cs="Times New Roman"/>
                      <w:color w:val="000000" w:themeColor="text1"/>
                      <w:lang w:val="en-US" w:eastAsia="zh-CN"/>
                      <w14:textFill>
                        <w14:solidFill>
                          <w14:schemeClr w14:val="tx1"/>
                        </w14:solidFill>
                      </w14:textFill>
                    </w:rPr>
                    <w:t>7.137619</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31.533821</w:t>
                  </w:r>
                </w:p>
              </w:tc>
              <w:tc>
                <w:tcPr>
                  <w:tcW w:w="945" w:type="pct"/>
                  <w:tcBorders>
                    <w:tl2br w:val="nil"/>
                    <w:tr2bl w:val="nil"/>
                  </w:tcBorders>
                  <w:vAlign w:val="center"/>
                </w:tcPr>
                <w:p w14:paraId="7FC2D087">
                  <w:pPr>
                    <w:pStyle w:val="13"/>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园区污水管网</w:t>
                  </w:r>
                  <w:r>
                    <w:rPr>
                      <w:rFonts w:hint="eastAsia" w:cs="Times New Roman"/>
                      <w:color w:val="000000" w:themeColor="text1"/>
                      <w:lang w:val="en-US" w:eastAsia="zh-CN"/>
                      <w14:textFill>
                        <w14:solidFill>
                          <w14:schemeClr w14:val="tx1"/>
                        </w14:solidFill>
                      </w14:textFill>
                    </w:rPr>
                    <w:t>+星光工业园区污水处理厂</w:t>
                  </w:r>
                </w:p>
              </w:tc>
              <w:tc>
                <w:tcPr>
                  <w:tcW w:w="1310" w:type="pct"/>
                  <w:tcBorders>
                    <w:tl2br w:val="nil"/>
                    <w:tr2bl w:val="nil"/>
                  </w:tcBorders>
                  <w:vAlign w:val="center"/>
                </w:tcPr>
                <w:p w14:paraId="20618ED4">
                  <w:pPr>
                    <w:pStyle w:val="13"/>
                    <w:rPr>
                      <w:rFonts w:hint="default"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星光工业园区污水处理厂进水水质要求</w:t>
                  </w:r>
                </w:p>
              </w:tc>
            </w:tr>
          </w:tbl>
          <w:p w14:paraId="4BE102BA">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11</w:t>
            </w:r>
            <w:r>
              <w:rPr>
                <w:rFonts w:cs="Times New Roman"/>
                <w:b/>
                <w:color w:val="000000" w:themeColor="text1"/>
                <w14:textFill>
                  <w14:solidFill>
                    <w14:schemeClr w14:val="tx1"/>
                  </w14:solidFill>
                </w14:textFill>
              </w:rPr>
              <w:t>）监测计划</w:t>
            </w:r>
          </w:p>
          <w:p w14:paraId="1AFFFCDF">
            <w:pPr>
              <w:ind w:left="0" w:leftChars="0" w:firstLine="480" w:firstLineChars="200"/>
              <w:rPr>
                <w:rFonts w:hint="default"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根据</w:t>
            </w:r>
            <w:r>
              <w:rPr>
                <w:rFonts w:hint="eastAsia" w:ascii="Times New Roman" w:hAnsi="Times New Roman" w:eastAsia="宋体" w:cs="Times New Roman"/>
                <w:color w:val="000000" w:themeColor="text1"/>
                <w:lang w:val="en-US" w:eastAsia="zh-CN"/>
                <w14:textFill>
                  <w14:solidFill>
                    <w14:schemeClr w14:val="tx1"/>
                  </w14:solidFill>
                </w14:textFill>
              </w:rPr>
              <w:t>《排污单位自行监测技术指南 工业固体废物和危险废物治理》（</w:t>
            </w:r>
            <w:r>
              <w:rPr>
                <w:rFonts w:hint="default" w:ascii="Times New Roman" w:hAnsi="Times New Roman" w:eastAsia="宋体" w:cs="Times New Roman"/>
                <w:color w:val="000000" w:themeColor="text1"/>
                <w:lang w:val="en-US" w:eastAsia="zh-CN"/>
                <w14:textFill>
                  <w14:solidFill>
                    <w14:schemeClr w14:val="tx1"/>
                  </w14:solidFill>
                </w14:textFill>
              </w:rPr>
              <w:t>HJ1250-2022</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5.1.1</w:t>
            </w:r>
            <w:r>
              <w:rPr>
                <w:rFonts w:ascii="Times New Roman" w:hAnsi="Times New Roman" w:eastAsia="宋体" w:cs="Times New Roman"/>
                <w:color w:val="000000" w:themeColor="text1"/>
                <w14:textFill>
                  <w14:solidFill>
                    <w14:schemeClr w14:val="tx1"/>
                  </w14:solidFill>
                </w14:textFill>
              </w:rPr>
              <w:t>中</w:t>
            </w:r>
            <w:r>
              <w:rPr>
                <w:rFonts w:hint="eastAsia" w:cs="Times New Roman"/>
                <w:color w:val="000000" w:themeColor="text1"/>
                <w:lang w:val="en-US" w:eastAsia="zh-CN"/>
                <w14:textFill>
                  <w14:solidFill>
                    <w14:schemeClr w14:val="tx1"/>
                  </w14:solidFill>
                </w14:textFill>
              </w:rPr>
              <w:t>表1“生活污水间接排放的不要求开展自行检测，但应说明排放去向”，本项目仅排放生活污水，且属于间接排放，因此，本项目不单独设置废水监测计划，仅说明排放去向。生活污水（含隔油池处理后的食堂废水）经预处理池处理后，通过废水总排口进入</w:t>
            </w:r>
            <w:r>
              <w:rPr>
                <w:rFonts w:hint="eastAsia" w:ascii="Times New Roman" w:hAnsi="Times New Roman" w:cs="Times New Roman"/>
                <w:color w:val="000000" w:themeColor="text1"/>
                <w:lang w:val="en-US" w:eastAsia="zh-CN"/>
                <w14:textFill>
                  <w14:solidFill>
                    <w14:schemeClr w14:val="tx1"/>
                  </w14:solidFill>
                </w14:textFill>
              </w:rPr>
              <w:t>星光工业园区污水处理厂进一步处理，</w:t>
            </w:r>
            <w:r>
              <w:rPr>
                <w:rFonts w:hint="eastAsia" w:cs="Times New Roman"/>
                <w:color w:val="000000" w:themeColor="text1"/>
                <w:lang w:val="en-US" w:eastAsia="zh-CN"/>
                <w14:textFill>
                  <w14:solidFill>
                    <w14:schemeClr w14:val="tx1"/>
                  </w14:solidFill>
                </w14:textFill>
              </w:rPr>
              <w:t>处理达</w:t>
            </w:r>
            <w:r>
              <w:rPr>
                <w:rFonts w:hint="default" w:ascii="Times New Roman" w:hAnsi="Times New Roman" w:cs="Times New Roman"/>
                <w:color w:val="000000" w:themeColor="text1"/>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14:textFill>
                  <w14:solidFill>
                    <w14:schemeClr w14:val="tx1"/>
                  </w14:solidFill>
                </w14:textFill>
              </w:rPr>
              <w:t>标准</w:t>
            </w:r>
            <w:r>
              <w:rPr>
                <w:rFonts w:hint="eastAsia" w:cs="Times New Roman"/>
                <w:color w:val="000000" w:themeColor="text1"/>
                <w:lang w:val="en-US" w:eastAsia="zh-CN"/>
                <w14:textFill>
                  <w14:solidFill>
                    <w14:schemeClr w14:val="tx1"/>
                  </w14:solidFill>
                </w14:textFill>
              </w:rPr>
              <w:t>后排入巴河</w:t>
            </w:r>
            <w:r>
              <w:rPr>
                <w:rFonts w:hint="default" w:ascii="Times New Roman" w:hAnsi="Times New Roman" w:cs="Times New Roman"/>
                <w:color w:val="000000" w:themeColor="text1"/>
                <w14:textFill>
                  <w14:solidFill>
                    <w14:schemeClr w14:val="tx1"/>
                  </w14:solidFill>
                </w14:textFill>
              </w:rPr>
              <w:t>。</w:t>
            </w:r>
          </w:p>
          <w:p w14:paraId="285C4776">
            <w:pPr>
              <w:pStyle w:val="2"/>
              <w:rPr>
                <w:rFonts w:hint="default" w:ascii="Times New Roman" w:hAnsi="Times New Roman" w:cs="Times New Roman"/>
                <w:color w:val="000000" w:themeColor="text1"/>
                <w14:textFill>
                  <w14:solidFill>
                    <w14:schemeClr w14:val="tx1"/>
                  </w14:solidFill>
                </w14:textFill>
              </w:rPr>
            </w:pPr>
          </w:p>
          <w:p w14:paraId="06679B07">
            <w:pPr>
              <w:pStyle w:val="2"/>
              <w:rPr>
                <w:rFonts w:hint="default" w:ascii="Times New Roman" w:hAnsi="Times New Roman" w:cs="Times New Roman"/>
                <w:color w:val="000000" w:themeColor="text1"/>
                <w14:textFill>
                  <w14:solidFill>
                    <w14:schemeClr w14:val="tx1"/>
                  </w14:solidFill>
                </w14:textFill>
              </w:rPr>
            </w:pPr>
          </w:p>
          <w:p w14:paraId="7716BA16">
            <w:pPr>
              <w:ind w:left="0" w:leftChars="0" w:firstLine="0" w:firstLineChars="0"/>
              <w:rPr>
                <w:rFonts w:cs="Times New Roman"/>
                <w:color w:val="000000" w:themeColor="text1"/>
                <w14:textFill>
                  <w14:solidFill>
                    <w14:schemeClr w14:val="tx1"/>
                  </w14:solidFill>
                </w14:textFill>
              </w:rPr>
            </w:pPr>
          </w:p>
          <w:p w14:paraId="1DAB4F54">
            <w:pPr>
              <w:ind w:left="0" w:leftChars="0" w:firstLine="0" w:firstLineChars="0"/>
              <w:rPr>
                <w:rFonts w:cs="Times New Roman"/>
                <w:color w:val="000000" w:themeColor="text1"/>
                <w14:textFill>
                  <w14:solidFill>
                    <w14:schemeClr w14:val="tx1"/>
                  </w14:solidFill>
                </w14:textFill>
              </w:rPr>
            </w:pPr>
          </w:p>
          <w:p w14:paraId="5B26ED26">
            <w:pPr>
              <w:ind w:left="0" w:leftChars="0" w:firstLine="0" w:firstLineChars="0"/>
              <w:rPr>
                <w:rFonts w:cs="Times New Roman"/>
                <w:color w:val="000000" w:themeColor="text1"/>
                <w14:textFill>
                  <w14:solidFill>
                    <w14:schemeClr w14:val="tx1"/>
                  </w14:solidFill>
                </w14:textFill>
              </w:rPr>
            </w:pPr>
          </w:p>
          <w:p w14:paraId="1D514AA3">
            <w:pPr>
              <w:ind w:left="0" w:leftChars="0" w:firstLine="0" w:firstLineChars="0"/>
              <w:rPr>
                <w:rFonts w:cs="Times New Roman"/>
                <w:color w:val="000000" w:themeColor="text1"/>
                <w14:textFill>
                  <w14:solidFill>
                    <w14:schemeClr w14:val="tx1"/>
                  </w14:solidFill>
                </w14:textFill>
              </w:rPr>
            </w:pPr>
          </w:p>
          <w:p w14:paraId="66709920">
            <w:pPr>
              <w:ind w:left="0" w:leftChars="0" w:firstLine="0" w:firstLineChars="0"/>
              <w:rPr>
                <w:rFonts w:cs="Times New Roman"/>
                <w:color w:val="000000" w:themeColor="text1"/>
                <w14:textFill>
                  <w14:solidFill>
                    <w14:schemeClr w14:val="tx1"/>
                  </w14:solidFill>
                </w14:textFill>
              </w:rPr>
            </w:pPr>
          </w:p>
          <w:p w14:paraId="5F08BA06">
            <w:pPr>
              <w:pStyle w:val="2"/>
              <w:rPr>
                <w:rFonts w:cs="Times New Roman"/>
                <w:color w:val="000000" w:themeColor="text1"/>
                <w14:textFill>
                  <w14:solidFill>
                    <w14:schemeClr w14:val="tx1"/>
                  </w14:solidFill>
                </w14:textFill>
              </w:rPr>
            </w:pPr>
          </w:p>
          <w:p w14:paraId="12D51460">
            <w:pPr>
              <w:pStyle w:val="2"/>
              <w:rPr>
                <w:rFonts w:cs="Times New Roman"/>
                <w:color w:val="000000" w:themeColor="text1"/>
                <w14:textFill>
                  <w14:solidFill>
                    <w14:schemeClr w14:val="tx1"/>
                  </w14:solidFill>
                </w14:textFill>
              </w:rPr>
            </w:pPr>
          </w:p>
          <w:p w14:paraId="0DF902F7">
            <w:pPr>
              <w:pStyle w:val="2"/>
              <w:rPr>
                <w:rFonts w:cs="Times New Roman"/>
                <w:color w:val="000000" w:themeColor="text1"/>
                <w14:textFill>
                  <w14:solidFill>
                    <w14:schemeClr w14:val="tx1"/>
                  </w14:solidFill>
                </w14:textFill>
              </w:rPr>
            </w:pPr>
          </w:p>
          <w:p w14:paraId="303260A9">
            <w:pPr>
              <w:pStyle w:val="2"/>
              <w:rPr>
                <w:rFonts w:cs="Times New Roman"/>
                <w:color w:val="000000" w:themeColor="text1"/>
                <w14:textFill>
                  <w14:solidFill>
                    <w14:schemeClr w14:val="tx1"/>
                  </w14:solidFill>
                </w14:textFill>
              </w:rPr>
            </w:pPr>
          </w:p>
          <w:p w14:paraId="09276366">
            <w:pPr>
              <w:pStyle w:val="2"/>
              <w:rPr>
                <w:rFonts w:cs="Times New Roman"/>
                <w:color w:val="000000" w:themeColor="text1"/>
                <w14:textFill>
                  <w14:solidFill>
                    <w14:schemeClr w14:val="tx1"/>
                  </w14:solidFill>
                </w14:textFill>
              </w:rPr>
            </w:pPr>
          </w:p>
          <w:p w14:paraId="16630E1B">
            <w:pPr>
              <w:ind w:left="0" w:leftChars="0" w:firstLine="0" w:firstLineChars="0"/>
              <w:rPr>
                <w:rFonts w:cs="Times New Roman"/>
                <w:color w:val="000000" w:themeColor="text1"/>
                <w14:textFill>
                  <w14:solidFill>
                    <w14:schemeClr w14:val="tx1"/>
                  </w14:solidFill>
                </w14:textFill>
              </w:rPr>
            </w:pPr>
          </w:p>
          <w:p w14:paraId="474C68DE">
            <w:pPr>
              <w:ind w:left="0" w:leftChars="0" w:firstLine="0" w:firstLineChars="0"/>
              <w:rPr>
                <w:rFonts w:cs="Times New Roman"/>
                <w:color w:val="000000" w:themeColor="text1"/>
                <w14:textFill>
                  <w14:solidFill>
                    <w14:schemeClr w14:val="tx1"/>
                  </w14:solidFill>
                </w14:textFill>
              </w:rPr>
            </w:pPr>
          </w:p>
        </w:tc>
      </w:tr>
    </w:tbl>
    <w:p w14:paraId="1A960107">
      <w:pPr>
        <w:ind w:firstLine="48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3516"/>
      </w:tblGrid>
      <w:tr w14:paraId="081D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 w:type="pct"/>
          </w:tcPr>
          <w:p w14:paraId="0495F9C8">
            <w:pPr>
              <w:pStyle w:val="27"/>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运营</w:t>
            </w:r>
          </w:p>
          <w:p w14:paraId="089C2E40">
            <w:pPr>
              <w:pStyle w:val="27"/>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期环</w:t>
            </w:r>
          </w:p>
          <w:p w14:paraId="6AA6F064">
            <w:pPr>
              <w:pStyle w:val="27"/>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境影</w:t>
            </w:r>
          </w:p>
          <w:p w14:paraId="21610D70">
            <w:pPr>
              <w:pStyle w:val="27"/>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响和</w:t>
            </w:r>
          </w:p>
          <w:p w14:paraId="234D44C0">
            <w:pPr>
              <w:pStyle w:val="27"/>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保护</w:t>
            </w:r>
          </w:p>
          <w:p w14:paraId="66534307">
            <w:pPr>
              <w:pStyle w:val="27"/>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措施</w:t>
            </w:r>
          </w:p>
        </w:tc>
        <w:tc>
          <w:tcPr>
            <w:tcW w:w="4851" w:type="pct"/>
          </w:tcPr>
          <w:p w14:paraId="3AA1B38F">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3、噪声的排放及治理措施</w:t>
            </w:r>
          </w:p>
          <w:p w14:paraId="49D15840">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（1）主要噪声源强</w:t>
            </w:r>
          </w:p>
          <w:p w14:paraId="0D556A53">
            <w:pPr>
              <w:keepNext w:val="0"/>
              <w:keepLines w:val="0"/>
              <w:pageBreakBefore w:val="0"/>
              <w:widowControl w:val="0"/>
              <w:kinsoku/>
              <w:wordWrap/>
              <w:overflowPunct/>
              <w:topLinePunct w:val="0"/>
              <w:autoSpaceDE/>
              <w:autoSpaceDN/>
              <w:bidi w:val="0"/>
              <w:adjustRightInd/>
              <w:snapToGrid/>
              <w:ind w:firstLine="482"/>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本项目营运期主要噪声源为生产设备运行噪声，</w:t>
            </w:r>
            <w:r>
              <w:rPr>
                <w:rFonts w:hint="eastAsia" w:cs="Times New Roman"/>
                <w:color w:val="000000" w:themeColor="text1"/>
                <w:lang w:eastAsia="zh-CN"/>
                <w14:textFill>
                  <w14:solidFill>
                    <w14:schemeClr w14:val="tx1"/>
                  </w14:solidFill>
                </w14:textFill>
              </w:rPr>
              <w:t>采取基础减振</w:t>
            </w:r>
            <w:r>
              <w:rPr>
                <w:rFonts w:cs="Times New Roman"/>
                <w:color w:val="000000" w:themeColor="text1"/>
                <w14:textFill>
                  <w14:solidFill>
                    <w14:schemeClr w14:val="tx1"/>
                  </w14:solidFill>
                </w14:textFill>
              </w:rPr>
              <w:t>以后，噪声值约在70-8</w:t>
            </w:r>
            <w:r>
              <w:rPr>
                <w:rFonts w:hint="eastAsia" w:cs="Times New Roman"/>
                <w:color w:val="000000" w:themeColor="text1"/>
                <w:lang w:val="en-US" w:eastAsia="zh-CN"/>
                <w14:textFill>
                  <w14:solidFill>
                    <w14:schemeClr w14:val="tx1"/>
                  </w14:solidFill>
                </w14:textFill>
              </w:rPr>
              <w:t>5</w:t>
            </w:r>
            <w:r>
              <w:rPr>
                <w:rFonts w:cs="Times New Roman"/>
                <w:color w:val="000000" w:themeColor="text1"/>
                <w14:textFill>
                  <w14:solidFill>
                    <w14:schemeClr w14:val="tx1"/>
                  </w14:solidFill>
                </w14:textFill>
              </w:rPr>
              <w:t>dB（A）范围内，厂房为封闭式钢框架厂房，项目生产设备均设置于厂房内，废气处理风机</w:t>
            </w:r>
            <w:r>
              <w:rPr>
                <w:rFonts w:hint="eastAsia" w:cs="Times New Roman"/>
                <w:color w:val="000000" w:themeColor="text1"/>
                <w:lang w:val="en-US" w:eastAsia="zh-CN"/>
                <w14:textFill>
                  <w14:solidFill>
                    <w14:schemeClr w14:val="tx1"/>
                  </w14:solidFill>
                </w14:textFill>
              </w:rPr>
              <w:t>设置在风机房内，</w:t>
            </w:r>
            <w:r>
              <w:rPr>
                <w:rFonts w:cs="Times New Roman"/>
                <w:color w:val="000000" w:themeColor="text1"/>
                <w14:textFill>
                  <w14:solidFill>
                    <w14:schemeClr w14:val="tx1"/>
                  </w14:solidFill>
                </w14:textFill>
              </w:rPr>
              <w:t>可利用厂房建筑结构消减噪声对外环境的影响。主要声源噪声源强情况见下表。</w:t>
            </w:r>
          </w:p>
          <w:p w14:paraId="233F561C">
            <w:pPr>
              <w:pStyle w:val="12"/>
              <w:keepNext w:val="0"/>
              <w:keepLines w:val="0"/>
              <w:pageBreakBefore w:val="0"/>
              <w:widowControl/>
              <w:kinsoku/>
              <w:wordWrap/>
              <w:overflowPunct/>
              <w:topLinePunct w:val="0"/>
              <w:autoSpaceDE/>
              <w:autoSpaceDN/>
              <w:bidi w:val="0"/>
              <w:adjustRightInd w:val="0"/>
              <w:snapToGrid w:val="0"/>
              <w:spacing w:after="0"/>
              <w:textAlignment w:val="auto"/>
              <w:rPr>
                <w:rFonts w:cs="Times New Roman"/>
                <w:b w:val="0"/>
                <w:color w:val="000000" w:themeColor="text1"/>
                <w:szCs w:val="2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6</w:t>
            </w:r>
            <w:r>
              <w:rPr>
                <w:rFonts w:cs="Times New Roman"/>
                <w:color w:val="000000" w:themeColor="text1"/>
                <w14:textFill>
                  <w14:solidFill>
                    <w14:schemeClr w14:val="tx1"/>
                  </w14:solidFill>
                </w14:textFill>
              </w:rPr>
              <w:t xml:space="preserve"> 工业企业（室内）噪声源强调查清单</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1080"/>
              <w:gridCol w:w="617"/>
              <w:gridCol w:w="514"/>
              <w:gridCol w:w="554"/>
              <w:gridCol w:w="554"/>
              <w:gridCol w:w="592"/>
              <w:gridCol w:w="520"/>
              <w:gridCol w:w="520"/>
              <w:gridCol w:w="520"/>
              <w:gridCol w:w="661"/>
              <w:gridCol w:w="467"/>
              <w:gridCol w:w="467"/>
              <w:gridCol w:w="467"/>
              <w:gridCol w:w="499"/>
              <w:gridCol w:w="457"/>
              <w:gridCol w:w="449"/>
              <w:gridCol w:w="449"/>
              <w:gridCol w:w="449"/>
              <w:gridCol w:w="484"/>
              <w:gridCol w:w="476"/>
              <w:gridCol w:w="476"/>
              <w:gridCol w:w="476"/>
              <w:gridCol w:w="476"/>
              <w:gridCol w:w="608"/>
            </w:tblGrid>
            <w:tr w14:paraId="46D2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exact"/>
                <w:jc w:val="center"/>
              </w:trPr>
              <w:tc>
                <w:tcPr>
                  <w:tcW w:w="171" w:type="pct"/>
                  <w:vMerge w:val="restart"/>
                  <w:shd w:val="clear" w:color="auto" w:fill="auto"/>
                  <w:vAlign w:val="center"/>
                </w:tcPr>
                <w:p w14:paraId="59E80F21">
                  <w:pPr>
                    <w:pStyle w:val="51"/>
                    <w:rPr>
                      <w:rFonts w:cs="Times New Roman"/>
                      <w:color w:val="000000" w:themeColor="text1"/>
                      <w14:textFill>
                        <w14:solidFill>
                          <w14:schemeClr w14:val="tx1"/>
                        </w14:solidFill>
                      </w14:textFill>
                    </w:rPr>
                  </w:pPr>
                  <w:bookmarkStart w:id="52" w:name="PT_6"/>
                  <w:r>
                    <w:rPr>
                      <w:rFonts w:cs="Times New Roman"/>
                      <w:color w:val="000000" w:themeColor="text1"/>
                      <w14:textFill>
                        <w14:solidFill>
                          <w14:schemeClr w14:val="tx1"/>
                        </w14:solidFill>
                      </w14:textFill>
                    </w:rPr>
                    <w:t>序号</w:t>
                  </w:r>
                </w:p>
              </w:tc>
              <w:tc>
                <w:tcPr>
                  <w:tcW w:w="407" w:type="pct"/>
                  <w:vMerge w:val="restart"/>
                  <w:shd w:val="clear" w:color="auto" w:fill="auto"/>
                  <w:vAlign w:val="center"/>
                </w:tcPr>
                <w:p w14:paraId="3DCEE15A">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声源名称</w:t>
                  </w:r>
                </w:p>
              </w:tc>
              <w:tc>
                <w:tcPr>
                  <w:tcW w:w="228" w:type="pct"/>
                  <w:shd w:val="clear" w:color="auto" w:fill="auto"/>
                  <w:vAlign w:val="center"/>
                </w:tcPr>
                <w:p w14:paraId="1B82AF9C">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声源源强</w:t>
                  </w:r>
                </w:p>
              </w:tc>
              <w:tc>
                <w:tcPr>
                  <w:tcW w:w="194" w:type="pct"/>
                  <w:vMerge w:val="restart"/>
                  <w:shd w:val="clear" w:color="auto" w:fill="auto"/>
                  <w:vAlign w:val="center"/>
                </w:tcPr>
                <w:p w14:paraId="54C8FE2C">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声源控制措施</w:t>
                  </w:r>
                </w:p>
              </w:tc>
              <w:tc>
                <w:tcPr>
                  <w:tcW w:w="641" w:type="pct"/>
                  <w:gridSpan w:val="3"/>
                  <w:shd w:val="clear" w:color="auto" w:fill="auto"/>
                  <w:vAlign w:val="center"/>
                </w:tcPr>
                <w:p w14:paraId="673092B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空间相对位置/m</w:t>
                  </w:r>
                </w:p>
              </w:tc>
              <w:tc>
                <w:tcPr>
                  <w:tcW w:w="837" w:type="pct"/>
                  <w:gridSpan w:val="4"/>
                  <w:shd w:val="clear" w:color="auto" w:fill="auto"/>
                  <w:vAlign w:val="center"/>
                </w:tcPr>
                <w:p w14:paraId="4A00D206">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距室内边界距离/m</w:t>
                  </w:r>
                </w:p>
              </w:tc>
              <w:tc>
                <w:tcPr>
                  <w:tcW w:w="716" w:type="pct"/>
                  <w:gridSpan w:val="4"/>
                  <w:shd w:val="clear" w:color="auto" w:fill="auto"/>
                  <w:vAlign w:val="center"/>
                </w:tcPr>
                <w:p w14:paraId="28656311">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室内边界声级/dB(A)</w:t>
                  </w:r>
                </w:p>
              </w:tc>
              <w:tc>
                <w:tcPr>
                  <w:tcW w:w="172" w:type="pct"/>
                  <w:vMerge w:val="restart"/>
                  <w:shd w:val="clear" w:color="auto" w:fill="auto"/>
                  <w:vAlign w:val="center"/>
                </w:tcPr>
                <w:p w14:paraId="33D3C336">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运行时段</w:t>
                  </w:r>
                </w:p>
              </w:tc>
              <w:tc>
                <w:tcPr>
                  <w:tcW w:w="689" w:type="pct"/>
                  <w:gridSpan w:val="4"/>
                  <w:vMerge w:val="restart"/>
                  <w:shd w:val="clear" w:color="auto" w:fill="auto"/>
                  <w:vAlign w:val="center"/>
                </w:tcPr>
                <w:p w14:paraId="3FF7D97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建筑物插入损失 / dB(A)</w:t>
                  </w:r>
                  <w:bookmarkStart w:id="53" w:name="PT_10"/>
                  <w:bookmarkEnd w:id="53"/>
                </w:p>
              </w:tc>
              <w:tc>
                <w:tcPr>
                  <w:tcW w:w="941" w:type="pct"/>
                  <w:gridSpan w:val="5"/>
                  <w:shd w:val="clear" w:color="auto" w:fill="auto"/>
                  <w:vAlign w:val="center"/>
                </w:tcPr>
                <w:p w14:paraId="1DF8C70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建筑物外噪声声压级/dB(A)</w:t>
                  </w:r>
                </w:p>
              </w:tc>
            </w:tr>
            <w:tr w14:paraId="59B6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vMerge w:val="continue"/>
                  <w:shd w:val="clear" w:color="auto" w:fill="auto"/>
                  <w:tcMar>
                    <w:top w:w="0" w:type="dxa"/>
                    <w:left w:w="0" w:type="dxa"/>
                    <w:bottom w:w="0" w:type="dxa"/>
                    <w:right w:w="0" w:type="dxa"/>
                  </w:tcMar>
                  <w:vAlign w:val="center"/>
                </w:tcPr>
                <w:p w14:paraId="46D6F985">
                  <w:pPr>
                    <w:pStyle w:val="51"/>
                    <w:rPr>
                      <w:rFonts w:cs="Times New Roman"/>
                      <w:color w:val="000000" w:themeColor="text1"/>
                      <w14:textFill>
                        <w14:solidFill>
                          <w14:schemeClr w14:val="tx1"/>
                        </w14:solidFill>
                      </w14:textFill>
                    </w:rPr>
                  </w:pPr>
                </w:p>
              </w:tc>
              <w:tc>
                <w:tcPr>
                  <w:tcW w:w="407" w:type="pct"/>
                  <w:vMerge w:val="continue"/>
                  <w:shd w:val="clear" w:color="auto" w:fill="auto"/>
                  <w:tcMar>
                    <w:top w:w="0" w:type="dxa"/>
                    <w:left w:w="0" w:type="dxa"/>
                    <w:bottom w:w="0" w:type="dxa"/>
                    <w:right w:w="0" w:type="dxa"/>
                  </w:tcMar>
                  <w:vAlign w:val="center"/>
                </w:tcPr>
                <w:p w14:paraId="1AA565F5">
                  <w:pPr>
                    <w:pStyle w:val="51"/>
                    <w:rPr>
                      <w:rFonts w:cs="Times New Roman"/>
                      <w:color w:val="000000" w:themeColor="text1"/>
                      <w14:textFill>
                        <w14:solidFill>
                          <w14:schemeClr w14:val="tx1"/>
                        </w14:solidFill>
                      </w14:textFill>
                    </w:rPr>
                  </w:pPr>
                </w:p>
              </w:tc>
              <w:tc>
                <w:tcPr>
                  <w:tcW w:w="228" w:type="pct"/>
                  <w:shd w:val="clear" w:color="auto" w:fill="auto"/>
                  <w:tcMar>
                    <w:top w:w="0" w:type="dxa"/>
                    <w:left w:w="0" w:type="dxa"/>
                    <w:bottom w:w="0" w:type="dxa"/>
                    <w:right w:w="0" w:type="dxa"/>
                  </w:tcMar>
                  <w:vAlign w:val="center"/>
                </w:tcPr>
                <w:p w14:paraId="21E070D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声功率级/dB(A)</w:t>
                  </w:r>
                </w:p>
              </w:tc>
              <w:tc>
                <w:tcPr>
                  <w:tcW w:w="194" w:type="pct"/>
                  <w:vMerge w:val="continue"/>
                  <w:shd w:val="clear" w:color="auto" w:fill="auto"/>
                  <w:tcMar>
                    <w:top w:w="0" w:type="dxa"/>
                    <w:left w:w="0" w:type="dxa"/>
                    <w:bottom w:w="0" w:type="dxa"/>
                    <w:right w:w="0" w:type="dxa"/>
                  </w:tcMar>
                  <w:vAlign w:val="center"/>
                </w:tcPr>
                <w:p w14:paraId="47A23067">
                  <w:pPr>
                    <w:pStyle w:val="51"/>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2333F18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X</w:t>
                  </w:r>
                </w:p>
              </w:tc>
              <w:tc>
                <w:tcPr>
                  <w:tcW w:w="209" w:type="pct"/>
                  <w:shd w:val="clear" w:color="auto" w:fill="auto"/>
                  <w:tcMar>
                    <w:top w:w="0" w:type="dxa"/>
                    <w:left w:w="0" w:type="dxa"/>
                    <w:bottom w:w="0" w:type="dxa"/>
                    <w:right w:w="0" w:type="dxa"/>
                  </w:tcMar>
                  <w:vAlign w:val="center"/>
                </w:tcPr>
                <w:p w14:paraId="075F1D95">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Y</w:t>
                  </w:r>
                </w:p>
              </w:tc>
              <w:tc>
                <w:tcPr>
                  <w:tcW w:w="223" w:type="pct"/>
                  <w:shd w:val="clear" w:color="auto" w:fill="auto"/>
                  <w:tcMar>
                    <w:top w:w="0" w:type="dxa"/>
                    <w:left w:w="0" w:type="dxa"/>
                    <w:bottom w:w="0" w:type="dxa"/>
                    <w:right w:w="0" w:type="dxa"/>
                  </w:tcMar>
                  <w:vAlign w:val="center"/>
                </w:tcPr>
                <w:p w14:paraId="5429CA1E">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Z</w:t>
                  </w:r>
                </w:p>
              </w:tc>
              <w:tc>
                <w:tcPr>
                  <w:tcW w:w="196" w:type="pct"/>
                  <w:shd w:val="clear" w:color="auto" w:fill="auto"/>
                  <w:tcMar>
                    <w:top w:w="0" w:type="dxa"/>
                    <w:left w:w="0" w:type="dxa"/>
                    <w:bottom w:w="0" w:type="dxa"/>
                    <w:right w:w="0" w:type="dxa"/>
                  </w:tcMar>
                  <w:vAlign w:val="center"/>
                </w:tcPr>
                <w:p w14:paraId="65E0F1E0">
                  <w:pPr>
                    <w:pStyle w:val="5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西</w:t>
                  </w:r>
                </w:p>
              </w:tc>
              <w:tc>
                <w:tcPr>
                  <w:tcW w:w="196" w:type="pct"/>
                  <w:shd w:val="clear" w:color="auto" w:fill="auto"/>
                  <w:tcMar>
                    <w:top w:w="0" w:type="dxa"/>
                    <w:left w:w="0" w:type="dxa"/>
                    <w:bottom w:w="0" w:type="dxa"/>
                    <w:right w:w="0" w:type="dxa"/>
                  </w:tcMar>
                  <w:vAlign w:val="center"/>
                </w:tcPr>
                <w:p w14:paraId="377F6A0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南</w:t>
                  </w:r>
                </w:p>
              </w:tc>
              <w:tc>
                <w:tcPr>
                  <w:tcW w:w="196" w:type="pct"/>
                  <w:shd w:val="clear" w:color="auto" w:fill="auto"/>
                  <w:tcMar>
                    <w:top w:w="0" w:type="dxa"/>
                    <w:left w:w="0" w:type="dxa"/>
                    <w:bottom w:w="0" w:type="dxa"/>
                    <w:right w:w="0" w:type="dxa"/>
                  </w:tcMar>
                  <w:vAlign w:val="center"/>
                </w:tcPr>
                <w:p w14:paraId="07FE288C">
                  <w:pPr>
                    <w:pStyle w:val="5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东</w:t>
                  </w:r>
                </w:p>
              </w:tc>
              <w:tc>
                <w:tcPr>
                  <w:tcW w:w="246" w:type="pct"/>
                  <w:shd w:val="clear" w:color="auto" w:fill="auto"/>
                  <w:tcMar>
                    <w:top w:w="0" w:type="dxa"/>
                    <w:left w:w="0" w:type="dxa"/>
                    <w:bottom w:w="0" w:type="dxa"/>
                    <w:right w:w="0" w:type="dxa"/>
                  </w:tcMar>
                  <w:vAlign w:val="center"/>
                </w:tcPr>
                <w:p w14:paraId="0F0B8AD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北</w:t>
                  </w:r>
                </w:p>
              </w:tc>
              <w:tc>
                <w:tcPr>
                  <w:tcW w:w="176" w:type="pct"/>
                  <w:shd w:val="clear" w:color="auto" w:fill="auto"/>
                  <w:tcMar>
                    <w:top w:w="0" w:type="dxa"/>
                    <w:left w:w="0" w:type="dxa"/>
                    <w:bottom w:w="0" w:type="dxa"/>
                    <w:right w:w="0" w:type="dxa"/>
                  </w:tcMar>
                  <w:vAlign w:val="center"/>
                </w:tcPr>
                <w:p w14:paraId="129ED69E">
                  <w:pPr>
                    <w:pStyle w:val="5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西</w:t>
                  </w:r>
                </w:p>
              </w:tc>
              <w:tc>
                <w:tcPr>
                  <w:tcW w:w="176" w:type="pct"/>
                  <w:shd w:val="clear" w:color="auto" w:fill="auto"/>
                  <w:tcMar>
                    <w:top w:w="0" w:type="dxa"/>
                    <w:left w:w="0" w:type="dxa"/>
                    <w:bottom w:w="0" w:type="dxa"/>
                    <w:right w:w="0" w:type="dxa"/>
                  </w:tcMar>
                  <w:vAlign w:val="center"/>
                </w:tcPr>
                <w:p w14:paraId="27B0A25D">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南</w:t>
                  </w:r>
                </w:p>
              </w:tc>
              <w:tc>
                <w:tcPr>
                  <w:tcW w:w="176" w:type="pct"/>
                  <w:shd w:val="clear" w:color="auto" w:fill="auto"/>
                  <w:tcMar>
                    <w:top w:w="0" w:type="dxa"/>
                    <w:left w:w="0" w:type="dxa"/>
                    <w:bottom w:w="0" w:type="dxa"/>
                    <w:right w:w="0" w:type="dxa"/>
                  </w:tcMar>
                  <w:vAlign w:val="center"/>
                </w:tcPr>
                <w:p w14:paraId="5E6D3FF2">
                  <w:pPr>
                    <w:pStyle w:val="5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东</w:t>
                  </w:r>
                </w:p>
              </w:tc>
              <w:tc>
                <w:tcPr>
                  <w:tcW w:w="187" w:type="pct"/>
                  <w:shd w:val="clear" w:color="auto" w:fill="auto"/>
                  <w:tcMar>
                    <w:top w:w="0" w:type="dxa"/>
                    <w:left w:w="0" w:type="dxa"/>
                    <w:bottom w:w="0" w:type="dxa"/>
                    <w:right w:w="0" w:type="dxa"/>
                  </w:tcMar>
                  <w:vAlign w:val="center"/>
                </w:tcPr>
                <w:p w14:paraId="42DC4AF1">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北</w:t>
                  </w:r>
                </w:p>
              </w:tc>
              <w:tc>
                <w:tcPr>
                  <w:tcW w:w="172" w:type="pct"/>
                  <w:vMerge w:val="continue"/>
                  <w:shd w:val="clear" w:color="auto" w:fill="auto"/>
                  <w:tcMar>
                    <w:top w:w="0" w:type="dxa"/>
                    <w:left w:w="0" w:type="dxa"/>
                    <w:bottom w:w="0" w:type="dxa"/>
                    <w:right w:w="0" w:type="dxa"/>
                  </w:tcMar>
                  <w:vAlign w:val="center"/>
                </w:tcPr>
                <w:p w14:paraId="4D004F33">
                  <w:pPr>
                    <w:pStyle w:val="51"/>
                    <w:rPr>
                      <w:rFonts w:cs="Times New Roman"/>
                      <w:color w:val="000000" w:themeColor="text1"/>
                      <w14:textFill>
                        <w14:solidFill>
                          <w14:schemeClr w14:val="tx1"/>
                        </w14:solidFill>
                      </w14:textFill>
                    </w:rPr>
                  </w:pPr>
                </w:p>
              </w:tc>
              <w:tc>
                <w:tcPr>
                  <w:tcW w:w="689" w:type="pct"/>
                  <w:gridSpan w:val="4"/>
                  <w:vMerge w:val="continue"/>
                  <w:shd w:val="clear" w:color="auto" w:fill="auto"/>
                  <w:tcMar>
                    <w:top w:w="0" w:type="dxa"/>
                    <w:left w:w="0" w:type="dxa"/>
                    <w:bottom w:w="0" w:type="dxa"/>
                    <w:right w:w="0" w:type="dxa"/>
                  </w:tcMar>
                  <w:vAlign w:val="center"/>
                </w:tcPr>
                <w:p w14:paraId="4712E8C4">
                  <w:pPr>
                    <w:pStyle w:val="51"/>
                    <w:rPr>
                      <w:rFonts w:cs="Times New Roman"/>
                      <w:color w:val="000000" w:themeColor="text1"/>
                      <w14:textFill>
                        <w14:solidFill>
                          <w14:schemeClr w14:val="tx1"/>
                        </w14:solidFill>
                      </w14:textFill>
                    </w:rPr>
                  </w:pPr>
                </w:p>
              </w:tc>
              <w:tc>
                <w:tcPr>
                  <w:tcW w:w="179" w:type="pct"/>
                  <w:shd w:val="clear" w:color="auto" w:fill="auto"/>
                  <w:tcMar>
                    <w:top w:w="0" w:type="dxa"/>
                    <w:left w:w="0" w:type="dxa"/>
                    <w:bottom w:w="0" w:type="dxa"/>
                    <w:right w:w="0" w:type="dxa"/>
                  </w:tcMar>
                  <w:vAlign w:val="center"/>
                </w:tcPr>
                <w:p w14:paraId="660FC885">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东</w:t>
                  </w:r>
                </w:p>
              </w:tc>
              <w:tc>
                <w:tcPr>
                  <w:tcW w:w="179" w:type="pct"/>
                  <w:shd w:val="clear" w:color="auto" w:fill="auto"/>
                  <w:tcMar>
                    <w:top w:w="0" w:type="dxa"/>
                    <w:left w:w="0" w:type="dxa"/>
                    <w:bottom w:w="0" w:type="dxa"/>
                    <w:right w:w="0" w:type="dxa"/>
                  </w:tcMar>
                  <w:vAlign w:val="center"/>
                </w:tcPr>
                <w:p w14:paraId="766FFAF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南</w:t>
                  </w:r>
                </w:p>
              </w:tc>
              <w:tc>
                <w:tcPr>
                  <w:tcW w:w="179" w:type="pct"/>
                  <w:shd w:val="clear" w:color="auto" w:fill="auto"/>
                  <w:tcMar>
                    <w:top w:w="0" w:type="dxa"/>
                    <w:left w:w="0" w:type="dxa"/>
                    <w:bottom w:w="0" w:type="dxa"/>
                    <w:right w:w="0" w:type="dxa"/>
                  </w:tcMar>
                  <w:vAlign w:val="center"/>
                </w:tcPr>
                <w:p w14:paraId="5B2EF3E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西</w:t>
                  </w:r>
                </w:p>
              </w:tc>
              <w:tc>
                <w:tcPr>
                  <w:tcW w:w="179" w:type="pct"/>
                  <w:shd w:val="clear" w:color="auto" w:fill="auto"/>
                  <w:tcMar>
                    <w:top w:w="0" w:type="dxa"/>
                    <w:left w:w="0" w:type="dxa"/>
                    <w:bottom w:w="0" w:type="dxa"/>
                    <w:right w:w="0" w:type="dxa"/>
                  </w:tcMar>
                  <w:vAlign w:val="center"/>
                </w:tcPr>
                <w:p w14:paraId="37BCAE2A">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北</w:t>
                  </w:r>
                </w:p>
              </w:tc>
              <w:tc>
                <w:tcPr>
                  <w:tcW w:w="223" w:type="pct"/>
                  <w:shd w:val="clear" w:color="auto" w:fill="auto"/>
                  <w:tcMar>
                    <w:top w:w="0" w:type="dxa"/>
                    <w:left w:w="0" w:type="dxa"/>
                    <w:bottom w:w="0" w:type="dxa"/>
                    <w:right w:w="0" w:type="dxa"/>
                  </w:tcMar>
                  <w:vAlign w:val="center"/>
                </w:tcPr>
                <w:p w14:paraId="0E0A5805">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建筑物外距离m</w:t>
                  </w:r>
                </w:p>
              </w:tc>
            </w:tr>
            <w:tr w14:paraId="1B29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4EB5653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c>
                <w:tcPr>
                  <w:tcW w:w="407" w:type="pct"/>
                  <w:shd w:val="clear" w:color="auto" w:fill="auto"/>
                  <w:tcMar>
                    <w:top w:w="0" w:type="dxa"/>
                    <w:left w:w="0" w:type="dxa"/>
                    <w:bottom w:w="0" w:type="dxa"/>
                    <w:right w:w="0" w:type="dxa"/>
                  </w:tcMar>
                  <w:vAlign w:val="center"/>
                </w:tcPr>
                <w:p w14:paraId="51201176">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搅拌罐</w:t>
                  </w:r>
                </w:p>
              </w:tc>
              <w:tc>
                <w:tcPr>
                  <w:tcW w:w="228" w:type="pct"/>
                  <w:shd w:val="clear" w:color="auto" w:fill="auto"/>
                  <w:tcMar>
                    <w:top w:w="0" w:type="dxa"/>
                    <w:left w:w="0" w:type="dxa"/>
                    <w:bottom w:w="0" w:type="dxa"/>
                    <w:right w:w="0" w:type="dxa"/>
                  </w:tcMar>
                  <w:vAlign w:val="center"/>
                </w:tcPr>
                <w:p w14:paraId="069DED5A">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75</w:t>
                  </w:r>
                </w:p>
              </w:tc>
              <w:tc>
                <w:tcPr>
                  <w:tcW w:w="194" w:type="pct"/>
                  <w:vMerge w:val="restart"/>
                  <w:shd w:val="clear" w:color="auto" w:fill="auto"/>
                  <w:tcMar>
                    <w:top w:w="0" w:type="dxa"/>
                    <w:left w:w="0" w:type="dxa"/>
                    <w:bottom w:w="0" w:type="dxa"/>
                    <w:right w:w="0" w:type="dxa"/>
                  </w:tcMar>
                  <w:vAlign w:val="center"/>
                </w:tcPr>
                <w:p w14:paraId="3CBF9F6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选用低噪声设备，合理平面布局，建筑隔声，距离衰减。</w:t>
                  </w:r>
                </w:p>
              </w:tc>
              <w:tc>
                <w:tcPr>
                  <w:tcW w:w="209" w:type="pct"/>
                  <w:shd w:val="clear" w:color="auto" w:fill="auto"/>
                  <w:tcMar>
                    <w:top w:w="0" w:type="dxa"/>
                    <w:left w:w="0" w:type="dxa"/>
                    <w:bottom w:w="0" w:type="dxa"/>
                    <w:right w:w="0" w:type="dxa"/>
                  </w:tcMar>
                  <w:vAlign w:val="center"/>
                </w:tcPr>
                <w:p w14:paraId="2720CC5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3.5</w:t>
                  </w:r>
                </w:p>
              </w:tc>
              <w:tc>
                <w:tcPr>
                  <w:tcW w:w="209" w:type="pct"/>
                  <w:shd w:val="clear" w:color="auto" w:fill="auto"/>
                  <w:tcMar>
                    <w:top w:w="0" w:type="dxa"/>
                    <w:left w:w="0" w:type="dxa"/>
                    <w:bottom w:w="0" w:type="dxa"/>
                    <w:right w:w="0" w:type="dxa"/>
                  </w:tcMar>
                  <w:vAlign w:val="center"/>
                </w:tcPr>
                <w:p w14:paraId="1D03E84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39.6</w:t>
                  </w:r>
                </w:p>
              </w:tc>
              <w:tc>
                <w:tcPr>
                  <w:tcW w:w="223" w:type="pct"/>
                  <w:shd w:val="clear" w:color="auto" w:fill="auto"/>
                  <w:tcMar>
                    <w:top w:w="0" w:type="dxa"/>
                    <w:left w:w="0" w:type="dxa"/>
                    <w:bottom w:w="0" w:type="dxa"/>
                    <w:right w:w="0" w:type="dxa"/>
                  </w:tcMar>
                  <w:vAlign w:val="center"/>
                </w:tcPr>
                <w:p w14:paraId="1967A99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w:t>
                  </w:r>
                </w:p>
              </w:tc>
              <w:tc>
                <w:tcPr>
                  <w:tcW w:w="196" w:type="pct"/>
                  <w:shd w:val="clear" w:color="auto" w:fill="auto"/>
                  <w:tcMar>
                    <w:top w:w="0" w:type="dxa"/>
                    <w:left w:w="0" w:type="dxa"/>
                    <w:bottom w:w="0" w:type="dxa"/>
                    <w:right w:w="0" w:type="dxa"/>
                  </w:tcMar>
                  <w:vAlign w:val="center"/>
                </w:tcPr>
                <w:p w14:paraId="4B5E7FC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29.4</w:t>
                  </w:r>
                </w:p>
              </w:tc>
              <w:tc>
                <w:tcPr>
                  <w:tcW w:w="196" w:type="pct"/>
                  <w:shd w:val="clear" w:color="auto" w:fill="auto"/>
                  <w:tcMar>
                    <w:top w:w="0" w:type="dxa"/>
                    <w:left w:w="0" w:type="dxa"/>
                    <w:bottom w:w="0" w:type="dxa"/>
                    <w:right w:w="0" w:type="dxa"/>
                  </w:tcMar>
                  <w:vAlign w:val="center"/>
                </w:tcPr>
                <w:p w14:paraId="34C34E4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80.6</w:t>
                  </w:r>
                </w:p>
              </w:tc>
              <w:tc>
                <w:tcPr>
                  <w:tcW w:w="196" w:type="pct"/>
                  <w:shd w:val="clear" w:color="auto" w:fill="auto"/>
                  <w:tcMar>
                    <w:top w:w="0" w:type="dxa"/>
                    <w:left w:w="0" w:type="dxa"/>
                    <w:bottom w:w="0" w:type="dxa"/>
                    <w:right w:w="0" w:type="dxa"/>
                  </w:tcMar>
                  <w:vAlign w:val="center"/>
                </w:tcPr>
                <w:p w14:paraId="08B7CA5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10.7</w:t>
                  </w:r>
                </w:p>
              </w:tc>
              <w:tc>
                <w:tcPr>
                  <w:tcW w:w="246" w:type="pct"/>
                  <w:shd w:val="clear" w:color="auto" w:fill="auto"/>
                  <w:tcMar>
                    <w:top w:w="0" w:type="dxa"/>
                    <w:left w:w="0" w:type="dxa"/>
                    <w:bottom w:w="0" w:type="dxa"/>
                    <w:right w:w="0" w:type="dxa"/>
                  </w:tcMar>
                  <w:vAlign w:val="center"/>
                </w:tcPr>
                <w:p w14:paraId="20BC5B1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10.6</w:t>
                  </w:r>
                </w:p>
              </w:tc>
              <w:tc>
                <w:tcPr>
                  <w:tcW w:w="176" w:type="pct"/>
                  <w:shd w:val="clear" w:color="auto" w:fill="auto"/>
                  <w:tcMar>
                    <w:top w:w="0" w:type="dxa"/>
                    <w:left w:w="0" w:type="dxa"/>
                    <w:bottom w:w="0" w:type="dxa"/>
                    <w:right w:w="0" w:type="dxa"/>
                  </w:tcMar>
                  <w:vAlign w:val="center"/>
                </w:tcPr>
                <w:p w14:paraId="4654FC1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57.9</w:t>
                  </w:r>
                </w:p>
              </w:tc>
              <w:tc>
                <w:tcPr>
                  <w:tcW w:w="176" w:type="pct"/>
                  <w:shd w:val="clear" w:color="auto" w:fill="auto"/>
                  <w:tcMar>
                    <w:top w:w="0" w:type="dxa"/>
                    <w:left w:w="0" w:type="dxa"/>
                    <w:bottom w:w="0" w:type="dxa"/>
                    <w:right w:w="0" w:type="dxa"/>
                  </w:tcMar>
                  <w:vAlign w:val="center"/>
                </w:tcPr>
                <w:p w14:paraId="36CA785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57.9</w:t>
                  </w:r>
                </w:p>
              </w:tc>
              <w:tc>
                <w:tcPr>
                  <w:tcW w:w="176" w:type="pct"/>
                  <w:shd w:val="clear" w:color="auto" w:fill="auto"/>
                  <w:tcMar>
                    <w:top w:w="0" w:type="dxa"/>
                    <w:left w:w="0" w:type="dxa"/>
                    <w:bottom w:w="0" w:type="dxa"/>
                    <w:right w:w="0" w:type="dxa"/>
                  </w:tcMar>
                  <w:vAlign w:val="center"/>
                </w:tcPr>
                <w:p w14:paraId="3B86F2C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58.1</w:t>
                  </w:r>
                </w:p>
              </w:tc>
              <w:tc>
                <w:tcPr>
                  <w:tcW w:w="187" w:type="pct"/>
                  <w:shd w:val="clear" w:color="auto" w:fill="auto"/>
                  <w:tcMar>
                    <w:top w:w="0" w:type="dxa"/>
                    <w:left w:w="0" w:type="dxa"/>
                    <w:bottom w:w="0" w:type="dxa"/>
                    <w:right w:w="0" w:type="dxa"/>
                  </w:tcMar>
                  <w:vAlign w:val="center"/>
                </w:tcPr>
                <w:p w14:paraId="1AF8464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58.1</w:t>
                  </w:r>
                </w:p>
              </w:tc>
              <w:tc>
                <w:tcPr>
                  <w:tcW w:w="172" w:type="pct"/>
                  <w:vMerge w:val="restart"/>
                  <w:shd w:val="clear" w:color="auto" w:fill="auto"/>
                  <w:tcMar>
                    <w:top w:w="0" w:type="dxa"/>
                    <w:left w:w="0" w:type="dxa"/>
                    <w:bottom w:w="0" w:type="dxa"/>
                    <w:right w:w="0" w:type="dxa"/>
                  </w:tcMar>
                  <w:vAlign w:val="center"/>
                </w:tcPr>
                <w:p w14:paraId="3D675B4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昼间</w:t>
                  </w:r>
                </w:p>
              </w:tc>
              <w:tc>
                <w:tcPr>
                  <w:tcW w:w="169" w:type="pct"/>
                  <w:shd w:val="clear" w:color="auto" w:fill="auto"/>
                  <w:tcMar>
                    <w:top w:w="0" w:type="dxa"/>
                    <w:left w:w="0" w:type="dxa"/>
                    <w:bottom w:w="0" w:type="dxa"/>
                    <w:right w:w="0" w:type="dxa"/>
                  </w:tcMar>
                  <w:vAlign w:val="center"/>
                </w:tcPr>
                <w:p w14:paraId="48AC9BF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77A4C07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8B417A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7FFF02B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77F314F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31.9</w:t>
                  </w:r>
                </w:p>
              </w:tc>
              <w:tc>
                <w:tcPr>
                  <w:tcW w:w="179" w:type="pct"/>
                  <w:shd w:val="clear" w:color="auto" w:fill="auto"/>
                  <w:tcMar>
                    <w:top w:w="0" w:type="dxa"/>
                    <w:left w:w="0" w:type="dxa"/>
                    <w:bottom w:w="0" w:type="dxa"/>
                    <w:right w:w="0" w:type="dxa"/>
                  </w:tcMar>
                  <w:vAlign w:val="center"/>
                </w:tcPr>
                <w:p w14:paraId="0F4AFC5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31.9</w:t>
                  </w:r>
                </w:p>
              </w:tc>
              <w:tc>
                <w:tcPr>
                  <w:tcW w:w="179" w:type="pct"/>
                  <w:shd w:val="clear" w:color="auto" w:fill="auto"/>
                  <w:tcMar>
                    <w:top w:w="0" w:type="dxa"/>
                    <w:left w:w="0" w:type="dxa"/>
                    <w:bottom w:w="0" w:type="dxa"/>
                    <w:right w:w="0" w:type="dxa"/>
                  </w:tcMar>
                  <w:vAlign w:val="center"/>
                </w:tcPr>
                <w:p w14:paraId="5F5A542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32.1</w:t>
                  </w:r>
                </w:p>
              </w:tc>
              <w:tc>
                <w:tcPr>
                  <w:tcW w:w="179" w:type="pct"/>
                  <w:shd w:val="clear" w:color="auto" w:fill="auto"/>
                  <w:tcMar>
                    <w:top w:w="0" w:type="dxa"/>
                    <w:left w:w="0" w:type="dxa"/>
                    <w:bottom w:w="0" w:type="dxa"/>
                    <w:right w:w="0" w:type="dxa"/>
                  </w:tcMar>
                  <w:vAlign w:val="center"/>
                </w:tcPr>
                <w:p w14:paraId="1184B37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32.1</w:t>
                  </w:r>
                </w:p>
              </w:tc>
              <w:tc>
                <w:tcPr>
                  <w:tcW w:w="223" w:type="pct"/>
                  <w:shd w:val="clear" w:color="auto" w:fill="auto"/>
                  <w:tcMar>
                    <w:top w:w="0" w:type="dxa"/>
                    <w:left w:w="0" w:type="dxa"/>
                    <w:bottom w:w="0" w:type="dxa"/>
                    <w:right w:w="0" w:type="dxa"/>
                  </w:tcMar>
                  <w:vAlign w:val="center"/>
                </w:tcPr>
                <w:p w14:paraId="361B98F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2F17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2478FA2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w:t>
                  </w:r>
                </w:p>
              </w:tc>
              <w:tc>
                <w:tcPr>
                  <w:tcW w:w="407" w:type="pct"/>
                  <w:shd w:val="clear" w:color="auto" w:fill="auto"/>
                  <w:tcMar>
                    <w:top w:w="0" w:type="dxa"/>
                    <w:left w:w="0" w:type="dxa"/>
                    <w:bottom w:w="0" w:type="dxa"/>
                    <w:right w:w="0" w:type="dxa"/>
                  </w:tcMar>
                  <w:vAlign w:val="center"/>
                </w:tcPr>
                <w:p w14:paraId="276ED27E">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全自动高压隔膜压滤机</w:t>
                  </w:r>
                </w:p>
              </w:tc>
              <w:tc>
                <w:tcPr>
                  <w:tcW w:w="228" w:type="pct"/>
                  <w:shd w:val="clear" w:color="auto" w:fill="auto"/>
                  <w:tcMar>
                    <w:top w:w="0" w:type="dxa"/>
                    <w:left w:w="0" w:type="dxa"/>
                    <w:bottom w:w="0" w:type="dxa"/>
                    <w:right w:w="0" w:type="dxa"/>
                  </w:tcMar>
                  <w:vAlign w:val="center"/>
                </w:tcPr>
                <w:p w14:paraId="6D9E38C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85</w:t>
                  </w:r>
                </w:p>
              </w:tc>
              <w:tc>
                <w:tcPr>
                  <w:tcW w:w="194" w:type="pct"/>
                  <w:vMerge w:val="continue"/>
                  <w:shd w:val="clear" w:color="auto" w:fill="auto"/>
                  <w:tcMar>
                    <w:top w:w="0" w:type="dxa"/>
                    <w:left w:w="0" w:type="dxa"/>
                    <w:bottom w:w="0" w:type="dxa"/>
                    <w:right w:w="0" w:type="dxa"/>
                  </w:tcMar>
                  <w:vAlign w:val="center"/>
                </w:tcPr>
                <w:p w14:paraId="29D67F1E">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47B13F2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9.1</w:t>
                  </w:r>
                </w:p>
              </w:tc>
              <w:tc>
                <w:tcPr>
                  <w:tcW w:w="209" w:type="pct"/>
                  <w:shd w:val="clear" w:color="auto" w:fill="auto"/>
                  <w:tcMar>
                    <w:top w:w="0" w:type="dxa"/>
                    <w:left w:w="0" w:type="dxa"/>
                    <w:bottom w:w="0" w:type="dxa"/>
                    <w:right w:w="0" w:type="dxa"/>
                  </w:tcMar>
                  <w:vAlign w:val="center"/>
                </w:tcPr>
                <w:p w14:paraId="26E4B4C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27.9</w:t>
                  </w:r>
                </w:p>
              </w:tc>
              <w:tc>
                <w:tcPr>
                  <w:tcW w:w="223" w:type="pct"/>
                  <w:shd w:val="clear" w:color="auto" w:fill="auto"/>
                  <w:tcMar>
                    <w:top w:w="0" w:type="dxa"/>
                    <w:left w:w="0" w:type="dxa"/>
                    <w:bottom w:w="0" w:type="dxa"/>
                    <w:right w:w="0" w:type="dxa"/>
                  </w:tcMar>
                  <w:vAlign w:val="center"/>
                </w:tcPr>
                <w:p w14:paraId="14AF81A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w:t>
                  </w:r>
                </w:p>
              </w:tc>
              <w:tc>
                <w:tcPr>
                  <w:tcW w:w="196" w:type="pct"/>
                  <w:shd w:val="clear" w:color="auto" w:fill="auto"/>
                  <w:tcMar>
                    <w:top w:w="0" w:type="dxa"/>
                    <w:left w:w="0" w:type="dxa"/>
                    <w:bottom w:w="0" w:type="dxa"/>
                    <w:right w:w="0" w:type="dxa"/>
                  </w:tcMar>
                  <w:vAlign w:val="center"/>
                </w:tcPr>
                <w:p w14:paraId="3A2FCD1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30.2</w:t>
                  </w:r>
                </w:p>
              </w:tc>
              <w:tc>
                <w:tcPr>
                  <w:tcW w:w="196" w:type="pct"/>
                  <w:shd w:val="clear" w:color="auto" w:fill="auto"/>
                  <w:tcMar>
                    <w:top w:w="0" w:type="dxa"/>
                    <w:left w:w="0" w:type="dxa"/>
                    <w:bottom w:w="0" w:type="dxa"/>
                    <w:right w:w="0" w:type="dxa"/>
                  </w:tcMar>
                  <w:vAlign w:val="center"/>
                </w:tcPr>
                <w:p w14:paraId="72403B9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67.7</w:t>
                  </w:r>
                </w:p>
              </w:tc>
              <w:tc>
                <w:tcPr>
                  <w:tcW w:w="196" w:type="pct"/>
                  <w:shd w:val="clear" w:color="auto" w:fill="auto"/>
                  <w:tcMar>
                    <w:top w:w="0" w:type="dxa"/>
                    <w:left w:w="0" w:type="dxa"/>
                    <w:bottom w:w="0" w:type="dxa"/>
                    <w:right w:w="0" w:type="dxa"/>
                  </w:tcMar>
                  <w:vAlign w:val="center"/>
                </w:tcPr>
                <w:p w14:paraId="4BB554F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10.3</w:t>
                  </w:r>
                </w:p>
              </w:tc>
              <w:tc>
                <w:tcPr>
                  <w:tcW w:w="246" w:type="pct"/>
                  <w:shd w:val="clear" w:color="auto" w:fill="auto"/>
                  <w:tcMar>
                    <w:top w:w="0" w:type="dxa"/>
                    <w:left w:w="0" w:type="dxa"/>
                    <w:bottom w:w="0" w:type="dxa"/>
                    <w:right w:w="0" w:type="dxa"/>
                  </w:tcMar>
                  <w:vAlign w:val="center"/>
                </w:tcPr>
                <w:p w14:paraId="3DD2BAC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23.5</w:t>
                  </w:r>
                </w:p>
              </w:tc>
              <w:tc>
                <w:tcPr>
                  <w:tcW w:w="176" w:type="pct"/>
                  <w:shd w:val="clear" w:color="auto" w:fill="auto"/>
                  <w:tcMar>
                    <w:top w:w="0" w:type="dxa"/>
                    <w:left w:w="0" w:type="dxa"/>
                    <w:bottom w:w="0" w:type="dxa"/>
                    <w:right w:w="0" w:type="dxa"/>
                  </w:tcMar>
                  <w:vAlign w:val="center"/>
                </w:tcPr>
                <w:p w14:paraId="67A408E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67.9</w:t>
                  </w:r>
                </w:p>
              </w:tc>
              <w:tc>
                <w:tcPr>
                  <w:tcW w:w="176" w:type="pct"/>
                  <w:shd w:val="clear" w:color="auto" w:fill="auto"/>
                  <w:tcMar>
                    <w:top w:w="0" w:type="dxa"/>
                    <w:left w:w="0" w:type="dxa"/>
                    <w:bottom w:w="0" w:type="dxa"/>
                    <w:right w:w="0" w:type="dxa"/>
                  </w:tcMar>
                  <w:vAlign w:val="center"/>
                </w:tcPr>
                <w:p w14:paraId="257197E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67.9</w:t>
                  </w:r>
                </w:p>
              </w:tc>
              <w:tc>
                <w:tcPr>
                  <w:tcW w:w="176" w:type="pct"/>
                  <w:shd w:val="clear" w:color="auto" w:fill="auto"/>
                  <w:tcMar>
                    <w:top w:w="0" w:type="dxa"/>
                    <w:left w:w="0" w:type="dxa"/>
                    <w:bottom w:w="0" w:type="dxa"/>
                    <w:right w:w="0" w:type="dxa"/>
                  </w:tcMar>
                  <w:vAlign w:val="center"/>
                </w:tcPr>
                <w:p w14:paraId="5266432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68.1</w:t>
                  </w:r>
                </w:p>
              </w:tc>
              <w:tc>
                <w:tcPr>
                  <w:tcW w:w="187" w:type="pct"/>
                  <w:shd w:val="clear" w:color="auto" w:fill="auto"/>
                  <w:tcMar>
                    <w:top w:w="0" w:type="dxa"/>
                    <w:left w:w="0" w:type="dxa"/>
                    <w:bottom w:w="0" w:type="dxa"/>
                    <w:right w:w="0" w:type="dxa"/>
                  </w:tcMar>
                  <w:vAlign w:val="center"/>
                </w:tcPr>
                <w:p w14:paraId="6639F15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68.0</w:t>
                  </w:r>
                </w:p>
              </w:tc>
              <w:tc>
                <w:tcPr>
                  <w:tcW w:w="172" w:type="pct"/>
                  <w:vMerge w:val="continue"/>
                  <w:shd w:val="clear" w:color="auto" w:fill="auto"/>
                  <w:tcMar>
                    <w:top w:w="0" w:type="dxa"/>
                    <w:left w:w="0" w:type="dxa"/>
                    <w:bottom w:w="0" w:type="dxa"/>
                    <w:right w:w="0" w:type="dxa"/>
                  </w:tcMar>
                  <w:vAlign w:val="center"/>
                </w:tcPr>
                <w:p w14:paraId="3EA98D63">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53B0B33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4E56C8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BBF554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3B210D5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56AAA4D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41.9</w:t>
                  </w:r>
                </w:p>
              </w:tc>
              <w:tc>
                <w:tcPr>
                  <w:tcW w:w="179" w:type="pct"/>
                  <w:shd w:val="clear" w:color="auto" w:fill="auto"/>
                  <w:tcMar>
                    <w:top w:w="0" w:type="dxa"/>
                    <w:left w:w="0" w:type="dxa"/>
                    <w:bottom w:w="0" w:type="dxa"/>
                    <w:right w:w="0" w:type="dxa"/>
                  </w:tcMar>
                  <w:vAlign w:val="center"/>
                </w:tcPr>
                <w:p w14:paraId="1CEF19D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41.9</w:t>
                  </w:r>
                </w:p>
              </w:tc>
              <w:tc>
                <w:tcPr>
                  <w:tcW w:w="179" w:type="pct"/>
                  <w:shd w:val="clear" w:color="auto" w:fill="auto"/>
                  <w:tcMar>
                    <w:top w:w="0" w:type="dxa"/>
                    <w:left w:w="0" w:type="dxa"/>
                    <w:bottom w:w="0" w:type="dxa"/>
                    <w:right w:w="0" w:type="dxa"/>
                  </w:tcMar>
                  <w:vAlign w:val="center"/>
                </w:tcPr>
                <w:p w14:paraId="139DCA9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42.1</w:t>
                  </w:r>
                </w:p>
              </w:tc>
              <w:tc>
                <w:tcPr>
                  <w:tcW w:w="179" w:type="pct"/>
                  <w:shd w:val="clear" w:color="auto" w:fill="auto"/>
                  <w:tcMar>
                    <w:top w:w="0" w:type="dxa"/>
                    <w:left w:w="0" w:type="dxa"/>
                    <w:bottom w:w="0" w:type="dxa"/>
                    <w:right w:w="0" w:type="dxa"/>
                  </w:tcMar>
                  <w:vAlign w:val="center"/>
                </w:tcPr>
                <w:p w14:paraId="7E2D500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223" w:type="pct"/>
                  <w:shd w:val="clear" w:color="auto" w:fill="auto"/>
                  <w:tcMar>
                    <w:top w:w="0" w:type="dxa"/>
                    <w:left w:w="0" w:type="dxa"/>
                    <w:bottom w:w="0" w:type="dxa"/>
                    <w:right w:w="0" w:type="dxa"/>
                  </w:tcMar>
                  <w:vAlign w:val="center"/>
                </w:tcPr>
                <w:p w14:paraId="21BB668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10A0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4E2B471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w:t>
                  </w:r>
                </w:p>
              </w:tc>
              <w:tc>
                <w:tcPr>
                  <w:tcW w:w="407" w:type="pct"/>
                  <w:shd w:val="clear" w:color="auto" w:fill="auto"/>
                  <w:tcMar>
                    <w:top w:w="0" w:type="dxa"/>
                    <w:left w:w="0" w:type="dxa"/>
                    <w:bottom w:w="0" w:type="dxa"/>
                    <w:right w:w="0" w:type="dxa"/>
                  </w:tcMar>
                  <w:vAlign w:val="center"/>
                </w:tcPr>
                <w:p w14:paraId="18224D00">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泵1#</w:t>
                  </w:r>
                </w:p>
              </w:tc>
              <w:tc>
                <w:tcPr>
                  <w:tcW w:w="228" w:type="pct"/>
                  <w:shd w:val="clear" w:color="auto" w:fill="auto"/>
                  <w:tcMar>
                    <w:top w:w="0" w:type="dxa"/>
                    <w:left w:w="0" w:type="dxa"/>
                    <w:bottom w:w="0" w:type="dxa"/>
                    <w:right w:w="0" w:type="dxa"/>
                  </w:tcMar>
                  <w:vAlign w:val="center"/>
                </w:tcPr>
                <w:p w14:paraId="12B7C8FA">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2C53E264">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43E120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18.3</w:t>
                  </w:r>
                </w:p>
              </w:tc>
              <w:tc>
                <w:tcPr>
                  <w:tcW w:w="209" w:type="pct"/>
                  <w:shd w:val="clear" w:color="auto" w:fill="auto"/>
                  <w:tcMar>
                    <w:top w:w="0" w:type="dxa"/>
                    <w:left w:w="0" w:type="dxa"/>
                    <w:bottom w:w="0" w:type="dxa"/>
                    <w:right w:w="0" w:type="dxa"/>
                  </w:tcMar>
                  <w:vAlign w:val="center"/>
                </w:tcPr>
                <w:p w14:paraId="4AA4B3F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41.2</w:t>
                  </w:r>
                </w:p>
              </w:tc>
              <w:tc>
                <w:tcPr>
                  <w:tcW w:w="223" w:type="pct"/>
                  <w:shd w:val="clear" w:color="auto" w:fill="auto"/>
                  <w:tcMar>
                    <w:top w:w="0" w:type="dxa"/>
                    <w:left w:w="0" w:type="dxa"/>
                    <w:bottom w:w="0" w:type="dxa"/>
                    <w:right w:w="0" w:type="dxa"/>
                  </w:tcMar>
                  <w:vAlign w:val="center"/>
                </w:tcPr>
                <w:p w14:paraId="6E08ED7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0.2</w:t>
                  </w:r>
                </w:p>
              </w:tc>
              <w:tc>
                <w:tcPr>
                  <w:tcW w:w="196" w:type="pct"/>
                  <w:shd w:val="clear" w:color="auto" w:fill="auto"/>
                  <w:tcMar>
                    <w:top w:w="0" w:type="dxa"/>
                    <w:left w:w="0" w:type="dxa"/>
                    <w:bottom w:w="0" w:type="dxa"/>
                    <w:right w:w="0" w:type="dxa"/>
                  </w:tcMar>
                  <w:vAlign w:val="center"/>
                </w:tcPr>
                <w:p w14:paraId="7053A59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15.7</w:t>
                  </w:r>
                </w:p>
              </w:tc>
              <w:tc>
                <w:tcPr>
                  <w:tcW w:w="196" w:type="pct"/>
                  <w:shd w:val="clear" w:color="auto" w:fill="auto"/>
                  <w:tcMar>
                    <w:top w:w="0" w:type="dxa"/>
                    <w:left w:w="0" w:type="dxa"/>
                    <w:bottom w:w="0" w:type="dxa"/>
                    <w:right w:w="0" w:type="dxa"/>
                  </w:tcMar>
                  <w:vAlign w:val="center"/>
                </w:tcPr>
                <w:p w14:paraId="1537BC6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75.7</w:t>
                  </w:r>
                </w:p>
              </w:tc>
              <w:tc>
                <w:tcPr>
                  <w:tcW w:w="196" w:type="pct"/>
                  <w:shd w:val="clear" w:color="auto" w:fill="auto"/>
                  <w:tcMar>
                    <w:top w:w="0" w:type="dxa"/>
                    <w:left w:w="0" w:type="dxa"/>
                    <w:bottom w:w="0" w:type="dxa"/>
                    <w:right w:w="0" w:type="dxa"/>
                  </w:tcMar>
                  <w:vAlign w:val="center"/>
                </w:tcPr>
                <w:p w14:paraId="0F687DE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24.6</w:t>
                  </w:r>
                </w:p>
              </w:tc>
              <w:tc>
                <w:tcPr>
                  <w:tcW w:w="246" w:type="pct"/>
                  <w:shd w:val="clear" w:color="auto" w:fill="auto"/>
                  <w:tcMar>
                    <w:top w:w="0" w:type="dxa"/>
                    <w:left w:w="0" w:type="dxa"/>
                    <w:bottom w:w="0" w:type="dxa"/>
                    <w:right w:w="0" w:type="dxa"/>
                  </w:tcMar>
                  <w:vAlign w:val="center"/>
                </w:tcPr>
                <w:p w14:paraId="1B1F5B6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16.6</w:t>
                  </w:r>
                </w:p>
              </w:tc>
              <w:tc>
                <w:tcPr>
                  <w:tcW w:w="176" w:type="pct"/>
                  <w:shd w:val="clear" w:color="auto" w:fill="auto"/>
                  <w:tcMar>
                    <w:top w:w="0" w:type="dxa"/>
                    <w:left w:w="0" w:type="dxa"/>
                    <w:bottom w:w="0" w:type="dxa"/>
                    <w:right w:w="0" w:type="dxa"/>
                  </w:tcMar>
                  <w:vAlign w:val="center"/>
                </w:tcPr>
                <w:p w14:paraId="16C7818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76" w:type="pct"/>
                  <w:shd w:val="clear" w:color="auto" w:fill="auto"/>
                  <w:tcMar>
                    <w:top w:w="0" w:type="dxa"/>
                    <w:left w:w="0" w:type="dxa"/>
                    <w:bottom w:w="0" w:type="dxa"/>
                    <w:right w:w="0" w:type="dxa"/>
                  </w:tcMar>
                  <w:vAlign w:val="center"/>
                </w:tcPr>
                <w:p w14:paraId="46D608A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76" w:type="pct"/>
                  <w:shd w:val="clear" w:color="auto" w:fill="auto"/>
                  <w:tcMar>
                    <w:top w:w="0" w:type="dxa"/>
                    <w:left w:w="0" w:type="dxa"/>
                    <w:bottom w:w="0" w:type="dxa"/>
                    <w:right w:w="0" w:type="dxa"/>
                  </w:tcMar>
                  <w:vAlign w:val="center"/>
                </w:tcPr>
                <w:p w14:paraId="759F483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87" w:type="pct"/>
                  <w:shd w:val="clear" w:color="auto" w:fill="auto"/>
                  <w:tcMar>
                    <w:top w:w="0" w:type="dxa"/>
                    <w:left w:w="0" w:type="dxa"/>
                    <w:bottom w:w="0" w:type="dxa"/>
                    <w:right w:w="0" w:type="dxa"/>
                  </w:tcMar>
                  <w:vAlign w:val="center"/>
                </w:tcPr>
                <w:p w14:paraId="14404D9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72" w:type="pct"/>
                  <w:vMerge w:val="continue"/>
                  <w:shd w:val="clear" w:color="auto" w:fill="auto"/>
                  <w:tcMar>
                    <w:top w:w="0" w:type="dxa"/>
                    <w:left w:w="0" w:type="dxa"/>
                    <w:bottom w:w="0" w:type="dxa"/>
                    <w:right w:w="0" w:type="dxa"/>
                  </w:tcMar>
                  <w:vAlign w:val="center"/>
                </w:tcPr>
                <w:p w14:paraId="759F79AA">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2FF7CF8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3B398A2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9DD12B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300E4D8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0705EE3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179" w:type="pct"/>
                  <w:shd w:val="clear" w:color="auto" w:fill="auto"/>
                  <w:tcMar>
                    <w:top w:w="0" w:type="dxa"/>
                    <w:left w:w="0" w:type="dxa"/>
                    <w:bottom w:w="0" w:type="dxa"/>
                    <w:right w:w="0" w:type="dxa"/>
                  </w:tcMar>
                  <w:vAlign w:val="center"/>
                </w:tcPr>
                <w:p w14:paraId="4C7F0E2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179" w:type="pct"/>
                  <w:shd w:val="clear" w:color="auto" w:fill="auto"/>
                  <w:tcMar>
                    <w:top w:w="0" w:type="dxa"/>
                    <w:left w:w="0" w:type="dxa"/>
                    <w:bottom w:w="0" w:type="dxa"/>
                    <w:right w:w="0" w:type="dxa"/>
                  </w:tcMar>
                  <w:vAlign w:val="center"/>
                </w:tcPr>
                <w:p w14:paraId="6D119DE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179" w:type="pct"/>
                  <w:shd w:val="clear" w:color="auto" w:fill="auto"/>
                  <w:tcMar>
                    <w:top w:w="0" w:type="dxa"/>
                    <w:left w:w="0" w:type="dxa"/>
                    <w:bottom w:w="0" w:type="dxa"/>
                    <w:right w:w="0" w:type="dxa"/>
                  </w:tcMar>
                  <w:vAlign w:val="center"/>
                </w:tcPr>
                <w:p w14:paraId="23F3EF6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223" w:type="pct"/>
                  <w:shd w:val="clear" w:color="auto" w:fill="auto"/>
                  <w:tcMar>
                    <w:top w:w="0" w:type="dxa"/>
                    <w:left w:w="0" w:type="dxa"/>
                    <w:bottom w:w="0" w:type="dxa"/>
                    <w:right w:w="0" w:type="dxa"/>
                  </w:tcMar>
                  <w:vAlign w:val="center"/>
                </w:tcPr>
                <w:p w14:paraId="7570CE9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1520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7BB35FD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w:t>
                  </w:r>
                </w:p>
              </w:tc>
              <w:tc>
                <w:tcPr>
                  <w:tcW w:w="407" w:type="pct"/>
                  <w:shd w:val="clear" w:color="auto" w:fill="auto"/>
                  <w:tcMar>
                    <w:top w:w="0" w:type="dxa"/>
                    <w:left w:w="0" w:type="dxa"/>
                    <w:bottom w:w="0" w:type="dxa"/>
                    <w:right w:w="0" w:type="dxa"/>
                  </w:tcMar>
                  <w:vAlign w:val="center"/>
                </w:tcPr>
                <w:p w14:paraId="0B7D8F27">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泵2#</w:t>
                  </w:r>
                </w:p>
              </w:tc>
              <w:tc>
                <w:tcPr>
                  <w:tcW w:w="228" w:type="pct"/>
                  <w:shd w:val="clear" w:color="auto" w:fill="auto"/>
                  <w:tcMar>
                    <w:top w:w="0" w:type="dxa"/>
                    <w:left w:w="0" w:type="dxa"/>
                    <w:bottom w:w="0" w:type="dxa"/>
                    <w:right w:w="0" w:type="dxa"/>
                  </w:tcMar>
                  <w:vAlign w:val="center"/>
                </w:tcPr>
                <w:p w14:paraId="63B8F73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3DA84055">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686E5CC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52.9</w:t>
                  </w:r>
                </w:p>
              </w:tc>
              <w:tc>
                <w:tcPr>
                  <w:tcW w:w="209" w:type="pct"/>
                  <w:shd w:val="clear" w:color="auto" w:fill="auto"/>
                  <w:tcMar>
                    <w:top w:w="0" w:type="dxa"/>
                    <w:left w:w="0" w:type="dxa"/>
                    <w:bottom w:w="0" w:type="dxa"/>
                    <w:right w:w="0" w:type="dxa"/>
                  </w:tcMar>
                  <w:vAlign w:val="center"/>
                </w:tcPr>
                <w:p w14:paraId="31F1881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-13.8</w:t>
                  </w:r>
                </w:p>
              </w:tc>
              <w:tc>
                <w:tcPr>
                  <w:tcW w:w="223" w:type="pct"/>
                  <w:shd w:val="clear" w:color="auto" w:fill="auto"/>
                  <w:tcMar>
                    <w:top w:w="0" w:type="dxa"/>
                    <w:left w:w="0" w:type="dxa"/>
                    <w:bottom w:w="0" w:type="dxa"/>
                    <w:right w:w="0" w:type="dxa"/>
                  </w:tcMar>
                  <w:vAlign w:val="center"/>
                </w:tcPr>
                <w:p w14:paraId="6B60E28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0.2</w:t>
                  </w:r>
                </w:p>
              </w:tc>
              <w:tc>
                <w:tcPr>
                  <w:tcW w:w="196" w:type="pct"/>
                  <w:shd w:val="clear" w:color="auto" w:fill="auto"/>
                  <w:tcMar>
                    <w:top w:w="0" w:type="dxa"/>
                    <w:left w:w="0" w:type="dxa"/>
                    <w:bottom w:w="0" w:type="dxa"/>
                    <w:right w:w="0" w:type="dxa"/>
                  </w:tcMar>
                  <w:vAlign w:val="center"/>
                </w:tcPr>
                <w:p w14:paraId="4092563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12.0</w:t>
                  </w:r>
                </w:p>
              </w:tc>
              <w:tc>
                <w:tcPr>
                  <w:tcW w:w="196" w:type="pct"/>
                  <w:shd w:val="clear" w:color="auto" w:fill="auto"/>
                  <w:tcMar>
                    <w:top w:w="0" w:type="dxa"/>
                    <w:left w:w="0" w:type="dxa"/>
                    <w:bottom w:w="0" w:type="dxa"/>
                    <w:right w:w="0" w:type="dxa"/>
                  </w:tcMar>
                  <w:vAlign w:val="center"/>
                </w:tcPr>
                <w:p w14:paraId="53EDB1C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11.2</w:t>
                  </w:r>
                </w:p>
              </w:tc>
              <w:tc>
                <w:tcPr>
                  <w:tcW w:w="196" w:type="pct"/>
                  <w:shd w:val="clear" w:color="auto" w:fill="auto"/>
                  <w:tcMar>
                    <w:top w:w="0" w:type="dxa"/>
                    <w:left w:w="0" w:type="dxa"/>
                    <w:bottom w:w="0" w:type="dxa"/>
                    <w:right w:w="0" w:type="dxa"/>
                  </w:tcMar>
                  <w:vAlign w:val="center"/>
                </w:tcPr>
                <w:p w14:paraId="257D4CA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30.0</w:t>
                  </w:r>
                </w:p>
              </w:tc>
              <w:tc>
                <w:tcPr>
                  <w:tcW w:w="246" w:type="pct"/>
                  <w:shd w:val="clear" w:color="auto" w:fill="auto"/>
                  <w:tcMar>
                    <w:top w:w="0" w:type="dxa"/>
                    <w:left w:w="0" w:type="dxa"/>
                    <w:bottom w:w="0" w:type="dxa"/>
                    <w:right w:w="0" w:type="dxa"/>
                  </w:tcMar>
                  <w:vAlign w:val="center"/>
                </w:tcPr>
                <w:p w14:paraId="63DFDF2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81.4</w:t>
                  </w:r>
                </w:p>
              </w:tc>
              <w:tc>
                <w:tcPr>
                  <w:tcW w:w="176" w:type="pct"/>
                  <w:shd w:val="clear" w:color="auto" w:fill="auto"/>
                  <w:tcMar>
                    <w:top w:w="0" w:type="dxa"/>
                    <w:left w:w="0" w:type="dxa"/>
                    <w:bottom w:w="0" w:type="dxa"/>
                    <w:right w:w="0" w:type="dxa"/>
                  </w:tcMar>
                  <w:vAlign w:val="center"/>
                </w:tcPr>
                <w:p w14:paraId="401674D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76" w:type="pct"/>
                  <w:shd w:val="clear" w:color="auto" w:fill="auto"/>
                  <w:tcMar>
                    <w:top w:w="0" w:type="dxa"/>
                    <w:left w:w="0" w:type="dxa"/>
                    <w:bottom w:w="0" w:type="dxa"/>
                    <w:right w:w="0" w:type="dxa"/>
                  </w:tcMar>
                  <w:vAlign w:val="center"/>
                </w:tcPr>
                <w:p w14:paraId="133ADFC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63.1</w:t>
                  </w:r>
                </w:p>
              </w:tc>
              <w:tc>
                <w:tcPr>
                  <w:tcW w:w="176" w:type="pct"/>
                  <w:shd w:val="clear" w:color="auto" w:fill="auto"/>
                  <w:tcMar>
                    <w:top w:w="0" w:type="dxa"/>
                    <w:left w:w="0" w:type="dxa"/>
                    <w:bottom w:w="0" w:type="dxa"/>
                    <w:right w:w="0" w:type="dxa"/>
                  </w:tcMar>
                  <w:vAlign w:val="center"/>
                </w:tcPr>
                <w:p w14:paraId="1C8BC37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87" w:type="pct"/>
                  <w:shd w:val="clear" w:color="auto" w:fill="auto"/>
                  <w:tcMar>
                    <w:top w:w="0" w:type="dxa"/>
                    <w:left w:w="0" w:type="dxa"/>
                    <w:bottom w:w="0" w:type="dxa"/>
                    <w:right w:w="0" w:type="dxa"/>
                  </w:tcMar>
                  <w:vAlign w:val="center"/>
                </w:tcPr>
                <w:p w14:paraId="7A922C5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72" w:type="pct"/>
                  <w:vMerge w:val="continue"/>
                  <w:shd w:val="clear" w:color="auto" w:fill="auto"/>
                  <w:tcMar>
                    <w:top w:w="0" w:type="dxa"/>
                    <w:left w:w="0" w:type="dxa"/>
                    <w:bottom w:w="0" w:type="dxa"/>
                    <w:right w:w="0" w:type="dxa"/>
                  </w:tcMar>
                  <w:vAlign w:val="center"/>
                </w:tcPr>
                <w:p w14:paraId="1C56ADC8">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1EAB667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72B7ECC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DE916B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56BC43F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56ACF21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179" w:type="pct"/>
                  <w:shd w:val="clear" w:color="auto" w:fill="auto"/>
                  <w:tcMar>
                    <w:top w:w="0" w:type="dxa"/>
                    <w:left w:w="0" w:type="dxa"/>
                    <w:bottom w:w="0" w:type="dxa"/>
                    <w:right w:w="0" w:type="dxa"/>
                  </w:tcMar>
                  <w:vAlign w:val="center"/>
                </w:tcPr>
                <w:p w14:paraId="612A32F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37.1</w:t>
                  </w:r>
                </w:p>
              </w:tc>
              <w:tc>
                <w:tcPr>
                  <w:tcW w:w="179" w:type="pct"/>
                  <w:shd w:val="clear" w:color="auto" w:fill="auto"/>
                  <w:tcMar>
                    <w:top w:w="0" w:type="dxa"/>
                    <w:left w:w="0" w:type="dxa"/>
                    <w:bottom w:w="0" w:type="dxa"/>
                    <w:right w:w="0" w:type="dxa"/>
                  </w:tcMar>
                  <w:vAlign w:val="center"/>
                </w:tcPr>
                <w:p w14:paraId="02406C8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179" w:type="pct"/>
                  <w:shd w:val="clear" w:color="auto" w:fill="auto"/>
                  <w:tcMar>
                    <w:top w:w="0" w:type="dxa"/>
                    <w:left w:w="0" w:type="dxa"/>
                    <w:bottom w:w="0" w:type="dxa"/>
                    <w:right w:w="0" w:type="dxa"/>
                  </w:tcMar>
                  <w:vAlign w:val="center"/>
                </w:tcPr>
                <w:p w14:paraId="7A6F3A8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223" w:type="pct"/>
                  <w:shd w:val="clear" w:color="auto" w:fill="auto"/>
                  <w:tcMar>
                    <w:top w:w="0" w:type="dxa"/>
                    <w:left w:w="0" w:type="dxa"/>
                    <w:bottom w:w="0" w:type="dxa"/>
                    <w:right w:w="0" w:type="dxa"/>
                  </w:tcMar>
                  <w:vAlign w:val="center"/>
                </w:tcPr>
                <w:p w14:paraId="25E2CEF1">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r>
            <w:tr w14:paraId="3834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7289E9F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w:t>
                  </w:r>
                </w:p>
              </w:tc>
              <w:tc>
                <w:tcPr>
                  <w:tcW w:w="407" w:type="pct"/>
                  <w:shd w:val="clear" w:color="auto" w:fill="auto"/>
                  <w:tcMar>
                    <w:top w:w="0" w:type="dxa"/>
                    <w:left w:w="0" w:type="dxa"/>
                    <w:bottom w:w="0" w:type="dxa"/>
                    <w:right w:w="0" w:type="dxa"/>
                  </w:tcMar>
                  <w:vAlign w:val="center"/>
                </w:tcPr>
                <w:p w14:paraId="5C827956">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回转窑</w:t>
                  </w:r>
                </w:p>
              </w:tc>
              <w:tc>
                <w:tcPr>
                  <w:tcW w:w="228" w:type="pct"/>
                  <w:shd w:val="clear" w:color="auto" w:fill="auto"/>
                  <w:tcMar>
                    <w:top w:w="0" w:type="dxa"/>
                    <w:left w:w="0" w:type="dxa"/>
                    <w:bottom w:w="0" w:type="dxa"/>
                    <w:right w:w="0" w:type="dxa"/>
                  </w:tcMar>
                  <w:vAlign w:val="center"/>
                </w:tcPr>
                <w:p w14:paraId="1EF44415">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85</w:t>
                  </w:r>
                </w:p>
              </w:tc>
              <w:tc>
                <w:tcPr>
                  <w:tcW w:w="194" w:type="pct"/>
                  <w:vMerge w:val="continue"/>
                  <w:shd w:val="clear" w:color="auto" w:fill="auto"/>
                  <w:tcMar>
                    <w:top w:w="0" w:type="dxa"/>
                    <w:left w:w="0" w:type="dxa"/>
                    <w:bottom w:w="0" w:type="dxa"/>
                    <w:right w:w="0" w:type="dxa"/>
                  </w:tcMar>
                  <w:vAlign w:val="center"/>
                </w:tcPr>
                <w:p w14:paraId="62F8E081">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2D25347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24.9</w:t>
                  </w:r>
                </w:p>
              </w:tc>
              <w:tc>
                <w:tcPr>
                  <w:tcW w:w="209" w:type="pct"/>
                  <w:shd w:val="clear" w:color="auto" w:fill="auto"/>
                  <w:tcMar>
                    <w:top w:w="0" w:type="dxa"/>
                    <w:left w:w="0" w:type="dxa"/>
                    <w:bottom w:w="0" w:type="dxa"/>
                    <w:right w:w="0" w:type="dxa"/>
                  </w:tcMar>
                  <w:vAlign w:val="center"/>
                </w:tcPr>
                <w:p w14:paraId="575AE72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w:t>
                  </w:r>
                </w:p>
              </w:tc>
              <w:tc>
                <w:tcPr>
                  <w:tcW w:w="223" w:type="pct"/>
                  <w:shd w:val="clear" w:color="auto" w:fill="auto"/>
                  <w:tcMar>
                    <w:top w:w="0" w:type="dxa"/>
                    <w:left w:w="0" w:type="dxa"/>
                    <w:bottom w:w="0" w:type="dxa"/>
                    <w:right w:w="0" w:type="dxa"/>
                  </w:tcMar>
                  <w:vAlign w:val="center"/>
                </w:tcPr>
                <w:p w14:paraId="539FAB2A">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2.5</w:t>
                  </w:r>
                </w:p>
              </w:tc>
              <w:tc>
                <w:tcPr>
                  <w:tcW w:w="196" w:type="pct"/>
                  <w:shd w:val="clear" w:color="auto" w:fill="auto"/>
                  <w:tcMar>
                    <w:top w:w="0" w:type="dxa"/>
                    <w:left w:w="0" w:type="dxa"/>
                    <w:bottom w:w="0" w:type="dxa"/>
                    <w:right w:w="0" w:type="dxa"/>
                  </w:tcMar>
                  <w:vAlign w:val="center"/>
                </w:tcPr>
                <w:p w14:paraId="2E61679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31.1</w:t>
                  </w:r>
                </w:p>
              </w:tc>
              <w:tc>
                <w:tcPr>
                  <w:tcW w:w="196" w:type="pct"/>
                  <w:shd w:val="clear" w:color="auto" w:fill="auto"/>
                  <w:tcMar>
                    <w:top w:w="0" w:type="dxa"/>
                    <w:left w:w="0" w:type="dxa"/>
                    <w:bottom w:w="0" w:type="dxa"/>
                    <w:right w:w="0" w:type="dxa"/>
                  </w:tcMar>
                  <w:vAlign w:val="center"/>
                </w:tcPr>
                <w:p w14:paraId="37CA4D6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33.4</w:t>
                  </w:r>
                </w:p>
              </w:tc>
              <w:tc>
                <w:tcPr>
                  <w:tcW w:w="196" w:type="pct"/>
                  <w:shd w:val="clear" w:color="auto" w:fill="auto"/>
                  <w:tcMar>
                    <w:top w:w="0" w:type="dxa"/>
                    <w:left w:w="0" w:type="dxa"/>
                    <w:bottom w:w="0" w:type="dxa"/>
                    <w:right w:w="0" w:type="dxa"/>
                  </w:tcMar>
                  <w:vAlign w:val="center"/>
                </w:tcPr>
                <w:p w14:paraId="45146C0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10.3</w:t>
                  </w:r>
                </w:p>
              </w:tc>
              <w:tc>
                <w:tcPr>
                  <w:tcW w:w="246" w:type="pct"/>
                  <w:shd w:val="clear" w:color="auto" w:fill="auto"/>
                  <w:tcMar>
                    <w:top w:w="0" w:type="dxa"/>
                    <w:left w:w="0" w:type="dxa"/>
                    <w:bottom w:w="0" w:type="dxa"/>
                    <w:right w:w="0" w:type="dxa"/>
                  </w:tcMar>
                  <w:vAlign w:val="center"/>
                </w:tcPr>
                <w:p w14:paraId="534F926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57.8</w:t>
                  </w:r>
                </w:p>
              </w:tc>
              <w:tc>
                <w:tcPr>
                  <w:tcW w:w="176" w:type="pct"/>
                  <w:shd w:val="clear" w:color="auto" w:fill="auto"/>
                  <w:tcMar>
                    <w:top w:w="0" w:type="dxa"/>
                    <w:left w:w="0" w:type="dxa"/>
                    <w:bottom w:w="0" w:type="dxa"/>
                    <w:right w:w="0" w:type="dxa"/>
                  </w:tcMar>
                  <w:vAlign w:val="center"/>
                </w:tcPr>
                <w:p w14:paraId="40E3DD65">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r>
                    <w:rPr>
                      <w:rFonts w:cs="Times New Roman"/>
                      <w:color w:val="000000" w:themeColor="text1"/>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8</w:t>
                  </w:r>
                </w:p>
              </w:tc>
              <w:tc>
                <w:tcPr>
                  <w:tcW w:w="176" w:type="pct"/>
                  <w:shd w:val="clear" w:color="auto" w:fill="auto"/>
                  <w:tcMar>
                    <w:top w:w="0" w:type="dxa"/>
                    <w:left w:w="0" w:type="dxa"/>
                    <w:bottom w:w="0" w:type="dxa"/>
                    <w:right w:w="0" w:type="dxa"/>
                  </w:tcMar>
                  <w:vAlign w:val="center"/>
                </w:tcPr>
                <w:p w14:paraId="2832D43A">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71.2</w:t>
                  </w:r>
                </w:p>
              </w:tc>
              <w:tc>
                <w:tcPr>
                  <w:tcW w:w="176" w:type="pct"/>
                  <w:shd w:val="clear" w:color="auto" w:fill="auto"/>
                  <w:tcMar>
                    <w:top w:w="0" w:type="dxa"/>
                    <w:left w:w="0" w:type="dxa"/>
                    <w:bottom w:w="0" w:type="dxa"/>
                    <w:right w:w="0" w:type="dxa"/>
                  </w:tcMar>
                  <w:vAlign w:val="center"/>
                </w:tcPr>
                <w:p w14:paraId="1C4A0DE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70.6</w:t>
                  </w:r>
                </w:p>
              </w:tc>
              <w:tc>
                <w:tcPr>
                  <w:tcW w:w="187" w:type="pct"/>
                  <w:shd w:val="clear" w:color="auto" w:fill="auto"/>
                  <w:tcMar>
                    <w:top w:w="0" w:type="dxa"/>
                    <w:left w:w="0" w:type="dxa"/>
                    <w:bottom w:w="0" w:type="dxa"/>
                    <w:right w:w="0" w:type="dxa"/>
                  </w:tcMar>
                  <w:vAlign w:val="center"/>
                </w:tcPr>
                <w:p w14:paraId="22C20AD0">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71.5</w:t>
                  </w:r>
                </w:p>
              </w:tc>
              <w:tc>
                <w:tcPr>
                  <w:tcW w:w="172" w:type="pct"/>
                  <w:vMerge w:val="continue"/>
                  <w:shd w:val="clear" w:color="auto" w:fill="auto"/>
                  <w:tcMar>
                    <w:top w:w="0" w:type="dxa"/>
                    <w:left w:w="0" w:type="dxa"/>
                    <w:bottom w:w="0" w:type="dxa"/>
                    <w:right w:w="0" w:type="dxa"/>
                  </w:tcMar>
                  <w:vAlign w:val="center"/>
                </w:tcPr>
                <w:p w14:paraId="71854B52">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43319F7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53A5E24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012FE9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2C331DE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484" w:type="dxa"/>
                  <w:shd w:val="clear" w:color="auto" w:fill="auto"/>
                  <w:tcMar>
                    <w:top w:w="0" w:type="dxa"/>
                    <w:left w:w="0" w:type="dxa"/>
                    <w:bottom w:w="0" w:type="dxa"/>
                    <w:right w:w="0" w:type="dxa"/>
                  </w:tcMar>
                  <w:vAlign w:val="center"/>
                </w:tcPr>
                <w:p w14:paraId="376BFB06">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46.8</w:t>
                  </w:r>
                </w:p>
              </w:tc>
              <w:tc>
                <w:tcPr>
                  <w:tcW w:w="484" w:type="dxa"/>
                  <w:shd w:val="clear" w:color="auto" w:fill="auto"/>
                  <w:tcMar>
                    <w:top w:w="0" w:type="dxa"/>
                    <w:left w:w="0" w:type="dxa"/>
                    <w:bottom w:w="0" w:type="dxa"/>
                    <w:right w:w="0" w:type="dxa"/>
                  </w:tcMar>
                  <w:vAlign w:val="center"/>
                </w:tcPr>
                <w:p w14:paraId="0B8CD858">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45.2</w:t>
                  </w:r>
                </w:p>
              </w:tc>
              <w:tc>
                <w:tcPr>
                  <w:tcW w:w="484" w:type="dxa"/>
                  <w:shd w:val="clear" w:color="auto" w:fill="auto"/>
                  <w:tcMar>
                    <w:top w:w="0" w:type="dxa"/>
                    <w:left w:w="0" w:type="dxa"/>
                    <w:bottom w:w="0" w:type="dxa"/>
                    <w:right w:w="0" w:type="dxa"/>
                  </w:tcMar>
                  <w:vAlign w:val="center"/>
                </w:tcPr>
                <w:p w14:paraId="5471EA79">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44.6</w:t>
                  </w:r>
                </w:p>
              </w:tc>
              <w:tc>
                <w:tcPr>
                  <w:tcW w:w="484" w:type="dxa"/>
                  <w:shd w:val="clear" w:color="auto" w:fill="auto"/>
                  <w:tcMar>
                    <w:top w:w="0" w:type="dxa"/>
                    <w:left w:w="0" w:type="dxa"/>
                    <w:bottom w:w="0" w:type="dxa"/>
                    <w:right w:w="0" w:type="dxa"/>
                  </w:tcMar>
                  <w:vAlign w:val="center"/>
                </w:tcPr>
                <w:p w14:paraId="509DB70D">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45.5</w:t>
                  </w:r>
                </w:p>
              </w:tc>
              <w:tc>
                <w:tcPr>
                  <w:tcW w:w="223" w:type="pct"/>
                  <w:shd w:val="clear" w:color="auto" w:fill="auto"/>
                  <w:tcMar>
                    <w:top w:w="0" w:type="dxa"/>
                    <w:left w:w="0" w:type="dxa"/>
                    <w:bottom w:w="0" w:type="dxa"/>
                    <w:right w:w="0" w:type="dxa"/>
                  </w:tcMar>
                  <w:vAlign w:val="center"/>
                </w:tcPr>
                <w:p w14:paraId="5AA38BC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3268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5BCECA5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w:t>
                  </w:r>
                </w:p>
              </w:tc>
              <w:tc>
                <w:tcPr>
                  <w:tcW w:w="407" w:type="pct"/>
                  <w:shd w:val="clear" w:color="auto" w:fill="auto"/>
                  <w:tcMar>
                    <w:top w:w="0" w:type="dxa"/>
                    <w:left w:w="0" w:type="dxa"/>
                    <w:bottom w:w="0" w:type="dxa"/>
                    <w:right w:w="0" w:type="dxa"/>
                  </w:tcMar>
                  <w:vAlign w:val="center"/>
                </w:tcPr>
                <w:p w14:paraId="43FF24F0">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冷渣机</w:t>
                  </w:r>
                </w:p>
              </w:tc>
              <w:tc>
                <w:tcPr>
                  <w:tcW w:w="228" w:type="pct"/>
                  <w:shd w:val="clear" w:color="auto" w:fill="auto"/>
                  <w:tcMar>
                    <w:top w:w="0" w:type="dxa"/>
                    <w:left w:w="0" w:type="dxa"/>
                    <w:bottom w:w="0" w:type="dxa"/>
                    <w:right w:w="0" w:type="dxa"/>
                  </w:tcMar>
                  <w:vAlign w:val="center"/>
                </w:tcPr>
                <w:p w14:paraId="6FD5386A">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70</w:t>
                  </w:r>
                </w:p>
              </w:tc>
              <w:tc>
                <w:tcPr>
                  <w:tcW w:w="194" w:type="pct"/>
                  <w:vMerge w:val="continue"/>
                  <w:shd w:val="clear" w:color="auto" w:fill="auto"/>
                  <w:tcMar>
                    <w:top w:w="0" w:type="dxa"/>
                    <w:left w:w="0" w:type="dxa"/>
                    <w:bottom w:w="0" w:type="dxa"/>
                    <w:right w:w="0" w:type="dxa"/>
                  </w:tcMar>
                  <w:vAlign w:val="center"/>
                </w:tcPr>
                <w:p w14:paraId="60F9DB9B">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0E9C984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28</w:t>
                  </w:r>
                </w:p>
              </w:tc>
              <w:tc>
                <w:tcPr>
                  <w:tcW w:w="209" w:type="pct"/>
                  <w:shd w:val="clear" w:color="auto" w:fill="auto"/>
                  <w:tcMar>
                    <w:top w:w="0" w:type="dxa"/>
                    <w:left w:w="0" w:type="dxa"/>
                    <w:bottom w:w="0" w:type="dxa"/>
                    <w:right w:w="0" w:type="dxa"/>
                  </w:tcMar>
                  <w:vAlign w:val="center"/>
                </w:tcPr>
                <w:p w14:paraId="4C6E1B1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-19.9</w:t>
                  </w:r>
                </w:p>
              </w:tc>
              <w:tc>
                <w:tcPr>
                  <w:tcW w:w="223" w:type="pct"/>
                  <w:shd w:val="clear" w:color="auto" w:fill="auto"/>
                  <w:tcMar>
                    <w:top w:w="0" w:type="dxa"/>
                    <w:left w:w="0" w:type="dxa"/>
                    <w:bottom w:w="0" w:type="dxa"/>
                    <w:right w:w="0" w:type="dxa"/>
                  </w:tcMar>
                  <w:vAlign w:val="center"/>
                </w:tcPr>
                <w:p w14:paraId="25ED66DB">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2.5</w:t>
                  </w:r>
                </w:p>
              </w:tc>
              <w:tc>
                <w:tcPr>
                  <w:tcW w:w="196" w:type="pct"/>
                  <w:shd w:val="clear" w:color="auto" w:fill="auto"/>
                  <w:tcMar>
                    <w:top w:w="0" w:type="dxa"/>
                    <w:left w:w="0" w:type="dxa"/>
                    <w:bottom w:w="0" w:type="dxa"/>
                    <w:right w:w="0" w:type="dxa"/>
                  </w:tcMar>
                  <w:vAlign w:val="center"/>
                </w:tcPr>
                <w:p w14:paraId="27A7300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36.8</w:t>
                  </w:r>
                </w:p>
              </w:tc>
              <w:tc>
                <w:tcPr>
                  <w:tcW w:w="196" w:type="pct"/>
                  <w:shd w:val="clear" w:color="auto" w:fill="auto"/>
                  <w:tcMar>
                    <w:top w:w="0" w:type="dxa"/>
                    <w:left w:w="0" w:type="dxa"/>
                    <w:bottom w:w="0" w:type="dxa"/>
                    <w:right w:w="0" w:type="dxa"/>
                  </w:tcMar>
                  <w:vAlign w:val="center"/>
                </w:tcPr>
                <w:p w14:paraId="76775DB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16.4</w:t>
                  </w:r>
                </w:p>
              </w:tc>
              <w:tc>
                <w:tcPr>
                  <w:tcW w:w="196" w:type="pct"/>
                  <w:shd w:val="clear" w:color="auto" w:fill="auto"/>
                  <w:tcMar>
                    <w:top w:w="0" w:type="dxa"/>
                    <w:left w:w="0" w:type="dxa"/>
                    <w:bottom w:w="0" w:type="dxa"/>
                    <w:right w:w="0" w:type="dxa"/>
                  </w:tcMar>
                  <w:vAlign w:val="center"/>
                </w:tcPr>
                <w:p w14:paraId="722E1BF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5.1</w:t>
                  </w:r>
                </w:p>
              </w:tc>
              <w:tc>
                <w:tcPr>
                  <w:tcW w:w="246" w:type="pct"/>
                  <w:shd w:val="clear" w:color="auto" w:fill="auto"/>
                  <w:tcMar>
                    <w:top w:w="0" w:type="dxa"/>
                    <w:left w:w="0" w:type="dxa"/>
                    <w:bottom w:w="0" w:type="dxa"/>
                    <w:right w:w="0" w:type="dxa"/>
                  </w:tcMar>
                  <w:vAlign w:val="center"/>
                </w:tcPr>
                <w:p w14:paraId="036AC6E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74.4</w:t>
                  </w:r>
                </w:p>
              </w:tc>
              <w:tc>
                <w:tcPr>
                  <w:tcW w:w="176" w:type="pct"/>
                  <w:shd w:val="clear" w:color="auto" w:fill="auto"/>
                  <w:tcMar>
                    <w:top w:w="0" w:type="dxa"/>
                    <w:left w:w="0" w:type="dxa"/>
                    <w:bottom w:w="0" w:type="dxa"/>
                    <w:right w:w="0" w:type="dxa"/>
                  </w:tcMar>
                  <w:vAlign w:val="center"/>
                </w:tcPr>
                <w:p w14:paraId="4BD7334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52.9</w:t>
                  </w:r>
                </w:p>
              </w:tc>
              <w:tc>
                <w:tcPr>
                  <w:tcW w:w="176" w:type="pct"/>
                  <w:shd w:val="clear" w:color="auto" w:fill="auto"/>
                  <w:tcMar>
                    <w:top w:w="0" w:type="dxa"/>
                    <w:left w:w="0" w:type="dxa"/>
                    <w:bottom w:w="0" w:type="dxa"/>
                    <w:right w:w="0" w:type="dxa"/>
                  </w:tcMar>
                  <w:vAlign w:val="center"/>
                </w:tcPr>
                <w:p w14:paraId="328B345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53.0</w:t>
                  </w:r>
                </w:p>
              </w:tc>
              <w:tc>
                <w:tcPr>
                  <w:tcW w:w="176" w:type="pct"/>
                  <w:shd w:val="clear" w:color="auto" w:fill="auto"/>
                  <w:tcMar>
                    <w:top w:w="0" w:type="dxa"/>
                    <w:left w:w="0" w:type="dxa"/>
                    <w:bottom w:w="0" w:type="dxa"/>
                    <w:right w:w="0" w:type="dxa"/>
                  </w:tcMar>
                  <w:vAlign w:val="center"/>
                </w:tcPr>
                <w:p w14:paraId="621322C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53.6</w:t>
                  </w:r>
                </w:p>
              </w:tc>
              <w:tc>
                <w:tcPr>
                  <w:tcW w:w="187" w:type="pct"/>
                  <w:shd w:val="clear" w:color="auto" w:fill="auto"/>
                  <w:tcMar>
                    <w:top w:w="0" w:type="dxa"/>
                    <w:left w:w="0" w:type="dxa"/>
                    <w:bottom w:w="0" w:type="dxa"/>
                    <w:right w:w="0" w:type="dxa"/>
                  </w:tcMar>
                  <w:vAlign w:val="center"/>
                </w:tcPr>
                <w:p w14:paraId="77D752C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52.9</w:t>
                  </w:r>
                </w:p>
              </w:tc>
              <w:tc>
                <w:tcPr>
                  <w:tcW w:w="172" w:type="pct"/>
                  <w:vMerge w:val="continue"/>
                  <w:shd w:val="clear" w:color="auto" w:fill="auto"/>
                  <w:tcMar>
                    <w:top w:w="0" w:type="dxa"/>
                    <w:left w:w="0" w:type="dxa"/>
                    <w:bottom w:w="0" w:type="dxa"/>
                    <w:right w:w="0" w:type="dxa"/>
                  </w:tcMar>
                  <w:vAlign w:val="center"/>
                </w:tcPr>
                <w:p w14:paraId="38589E27">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7C47391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AC1C29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5E5A06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16B0BA6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45D0056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26.9</w:t>
                  </w:r>
                </w:p>
              </w:tc>
              <w:tc>
                <w:tcPr>
                  <w:tcW w:w="179" w:type="pct"/>
                  <w:shd w:val="clear" w:color="auto" w:fill="auto"/>
                  <w:tcMar>
                    <w:top w:w="0" w:type="dxa"/>
                    <w:left w:w="0" w:type="dxa"/>
                    <w:bottom w:w="0" w:type="dxa"/>
                    <w:right w:w="0" w:type="dxa"/>
                  </w:tcMar>
                  <w:vAlign w:val="center"/>
                </w:tcPr>
                <w:p w14:paraId="45E7C55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27.0</w:t>
                  </w:r>
                </w:p>
              </w:tc>
              <w:tc>
                <w:tcPr>
                  <w:tcW w:w="179" w:type="pct"/>
                  <w:shd w:val="clear" w:color="auto" w:fill="auto"/>
                  <w:tcMar>
                    <w:top w:w="0" w:type="dxa"/>
                    <w:left w:w="0" w:type="dxa"/>
                    <w:bottom w:w="0" w:type="dxa"/>
                    <w:right w:w="0" w:type="dxa"/>
                  </w:tcMar>
                  <w:vAlign w:val="center"/>
                </w:tcPr>
                <w:p w14:paraId="511711A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27.6</w:t>
                  </w:r>
                </w:p>
              </w:tc>
              <w:tc>
                <w:tcPr>
                  <w:tcW w:w="179" w:type="pct"/>
                  <w:shd w:val="clear" w:color="auto" w:fill="auto"/>
                  <w:tcMar>
                    <w:top w:w="0" w:type="dxa"/>
                    <w:left w:w="0" w:type="dxa"/>
                    <w:bottom w:w="0" w:type="dxa"/>
                    <w:right w:w="0" w:type="dxa"/>
                  </w:tcMar>
                  <w:vAlign w:val="center"/>
                </w:tcPr>
                <w:p w14:paraId="2557686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26.9</w:t>
                  </w:r>
                </w:p>
              </w:tc>
              <w:tc>
                <w:tcPr>
                  <w:tcW w:w="223" w:type="pct"/>
                  <w:shd w:val="clear" w:color="auto" w:fill="auto"/>
                  <w:tcMar>
                    <w:top w:w="0" w:type="dxa"/>
                    <w:left w:w="0" w:type="dxa"/>
                    <w:bottom w:w="0" w:type="dxa"/>
                    <w:right w:w="0" w:type="dxa"/>
                  </w:tcMar>
                  <w:vAlign w:val="center"/>
                </w:tcPr>
                <w:p w14:paraId="78631DD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7EC4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53C06D8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w:t>
                  </w:r>
                </w:p>
              </w:tc>
              <w:tc>
                <w:tcPr>
                  <w:tcW w:w="407" w:type="pct"/>
                  <w:shd w:val="clear" w:color="auto" w:fill="auto"/>
                  <w:tcMar>
                    <w:top w:w="0" w:type="dxa"/>
                    <w:left w:w="0" w:type="dxa"/>
                    <w:bottom w:w="0" w:type="dxa"/>
                    <w:right w:w="0" w:type="dxa"/>
                  </w:tcMar>
                  <w:vAlign w:val="center"/>
                </w:tcPr>
                <w:p w14:paraId="4A7F1658">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补氧风机</w:t>
                  </w:r>
                </w:p>
              </w:tc>
              <w:tc>
                <w:tcPr>
                  <w:tcW w:w="228" w:type="pct"/>
                  <w:shd w:val="clear" w:color="auto" w:fill="auto"/>
                  <w:tcMar>
                    <w:top w:w="0" w:type="dxa"/>
                    <w:left w:w="0" w:type="dxa"/>
                    <w:bottom w:w="0" w:type="dxa"/>
                    <w:right w:w="0" w:type="dxa"/>
                  </w:tcMar>
                  <w:vAlign w:val="center"/>
                </w:tcPr>
                <w:p w14:paraId="739E1C8D">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w:t>
                  </w:r>
                </w:p>
              </w:tc>
              <w:tc>
                <w:tcPr>
                  <w:tcW w:w="194" w:type="pct"/>
                  <w:vMerge w:val="continue"/>
                  <w:shd w:val="clear" w:color="auto" w:fill="auto"/>
                  <w:tcMar>
                    <w:top w:w="0" w:type="dxa"/>
                    <w:left w:w="0" w:type="dxa"/>
                    <w:bottom w:w="0" w:type="dxa"/>
                    <w:right w:w="0" w:type="dxa"/>
                  </w:tcMar>
                  <w:vAlign w:val="center"/>
                </w:tcPr>
                <w:p w14:paraId="363C6D4C">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20A96D6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12.7</w:t>
                  </w:r>
                </w:p>
              </w:tc>
              <w:tc>
                <w:tcPr>
                  <w:tcW w:w="209" w:type="pct"/>
                  <w:shd w:val="clear" w:color="auto" w:fill="auto"/>
                  <w:tcMar>
                    <w:top w:w="0" w:type="dxa"/>
                    <w:left w:w="0" w:type="dxa"/>
                    <w:bottom w:w="0" w:type="dxa"/>
                    <w:right w:w="0" w:type="dxa"/>
                  </w:tcMar>
                  <w:vAlign w:val="center"/>
                </w:tcPr>
                <w:p w14:paraId="66B9290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9.1</w:t>
                  </w:r>
                </w:p>
              </w:tc>
              <w:tc>
                <w:tcPr>
                  <w:tcW w:w="223" w:type="pct"/>
                  <w:shd w:val="clear" w:color="auto" w:fill="auto"/>
                  <w:tcMar>
                    <w:top w:w="0" w:type="dxa"/>
                    <w:left w:w="0" w:type="dxa"/>
                    <w:bottom w:w="0" w:type="dxa"/>
                    <w:right w:w="0" w:type="dxa"/>
                  </w:tcMar>
                  <w:vAlign w:val="center"/>
                </w:tcPr>
                <w:p w14:paraId="0BD010EC">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96" w:type="pct"/>
                  <w:shd w:val="clear" w:color="auto" w:fill="auto"/>
                  <w:tcMar>
                    <w:top w:w="0" w:type="dxa"/>
                    <w:left w:w="0" w:type="dxa"/>
                    <w:bottom w:w="0" w:type="dxa"/>
                    <w:right w:w="0" w:type="dxa"/>
                  </w:tcMar>
                  <w:vAlign w:val="center"/>
                </w:tcPr>
                <w:p w14:paraId="54C7E9A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36.1</w:t>
                  </w:r>
                </w:p>
              </w:tc>
              <w:tc>
                <w:tcPr>
                  <w:tcW w:w="196" w:type="pct"/>
                  <w:shd w:val="clear" w:color="auto" w:fill="auto"/>
                  <w:tcMar>
                    <w:top w:w="0" w:type="dxa"/>
                    <w:left w:w="0" w:type="dxa"/>
                    <w:bottom w:w="0" w:type="dxa"/>
                    <w:right w:w="0" w:type="dxa"/>
                  </w:tcMar>
                  <w:vAlign w:val="center"/>
                </w:tcPr>
                <w:p w14:paraId="5D1E132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49.2</w:t>
                  </w:r>
                </w:p>
              </w:tc>
              <w:tc>
                <w:tcPr>
                  <w:tcW w:w="196" w:type="pct"/>
                  <w:shd w:val="clear" w:color="auto" w:fill="auto"/>
                  <w:tcMar>
                    <w:top w:w="0" w:type="dxa"/>
                    <w:left w:w="0" w:type="dxa"/>
                    <w:bottom w:w="0" w:type="dxa"/>
                    <w:right w:w="0" w:type="dxa"/>
                  </w:tcMar>
                  <w:vAlign w:val="center"/>
                </w:tcPr>
                <w:p w14:paraId="7589920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4.8</w:t>
                  </w:r>
                </w:p>
              </w:tc>
              <w:tc>
                <w:tcPr>
                  <w:tcW w:w="246" w:type="pct"/>
                  <w:shd w:val="clear" w:color="auto" w:fill="auto"/>
                  <w:tcMar>
                    <w:top w:w="0" w:type="dxa"/>
                    <w:left w:w="0" w:type="dxa"/>
                    <w:bottom w:w="0" w:type="dxa"/>
                    <w:right w:w="0" w:type="dxa"/>
                  </w:tcMar>
                  <w:vAlign w:val="center"/>
                </w:tcPr>
                <w:p w14:paraId="681A4CB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41.6</w:t>
                  </w:r>
                </w:p>
              </w:tc>
              <w:tc>
                <w:tcPr>
                  <w:tcW w:w="176" w:type="pct"/>
                  <w:shd w:val="clear" w:color="auto" w:fill="auto"/>
                  <w:tcMar>
                    <w:top w:w="0" w:type="dxa"/>
                    <w:left w:w="0" w:type="dxa"/>
                    <w:bottom w:w="0" w:type="dxa"/>
                    <w:right w:w="0" w:type="dxa"/>
                  </w:tcMar>
                  <w:vAlign w:val="center"/>
                </w:tcPr>
                <w:p w14:paraId="2D831C5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6" w:type="pct"/>
                  <w:shd w:val="clear" w:color="auto" w:fill="auto"/>
                  <w:tcMar>
                    <w:top w:w="0" w:type="dxa"/>
                    <w:left w:w="0" w:type="dxa"/>
                    <w:bottom w:w="0" w:type="dxa"/>
                    <w:right w:w="0" w:type="dxa"/>
                  </w:tcMar>
                  <w:vAlign w:val="center"/>
                </w:tcPr>
                <w:p w14:paraId="2FBC166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6" w:type="pct"/>
                  <w:shd w:val="clear" w:color="auto" w:fill="auto"/>
                  <w:tcMar>
                    <w:top w:w="0" w:type="dxa"/>
                    <w:left w:w="0" w:type="dxa"/>
                    <w:bottom w:w="0" w:type="dxa"/>
                    <w:right w:w="0" w:type="dxa"/>
                  </w:tcMar>
                  <w:vAlign w:val="center"/>
                </w:tcPr>
                <w:p w14:paraId="1679824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73.6</w:t>
                  </w:r>
                </w:p>
              </w:tc>
              <w:tc>
                <w:tcPr>
                  <w:tcW w:w="187" w:type="pct"/>
                  <w:shd w:val="clear" w:color="auto" w:fill="auto"/>
                  <w:tcMar>
                    <w:top w:w="0" w:type="dxa"/>
                    <w:left w:w="0" w:type="dxa"/>
                    <w:bottom w:w="0" w:type="dxa"/>
                    <w:right w:w="0" w:type="dxa"/>
                  </w:tcMar>
                  <w:vAlign w:val="center"/>
                </w:tcPr>
                <w:p w14:paraId="024066C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2" w:type="pct"/>
                  <w:vMerge w:val="continue"/>
                  <w:shd w:val="clear" w:color="auto" w:fill="auto"/>
                  <w:tcMar>
                    <w:top w:w="0" w:type="dxa"/>
                    <w:left w:w="0" w:type="dxa"/>
                    <w:bottom w:w="0" w:type="dxa"/>
                    <w:right w:w="0" w:type="dxa"/>
                  </w:tcMar>
                  <w:vAlign w:val="center"/>
                </w:tcPr>
                <w:p w14:paraId="4916B782">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01D8CEE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CAAB40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4381001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0634D0B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0C7BDE1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179" w:type="pct"/>
                  <w:shd w:val="clear" w:color="auto" w:fill="auto"/>
                  <w:tcMar>
                    <w:top w:w="0" w:type="dxa"/>
                    <w:left w:w="0" w:type="dxa"/>
                    <w:bottom w:w="0" w:type="dxa"/>
                    <w:right w:w="0" w:type="dxa"/>
                  </w:tcMar>
                  <w:vAlign w:val="center"/>
                </w:tcPr>
                <w:p w14:paraId="7AB948B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179" w:type="pct"/>
                  <w:shd w:val="clear" w:color="auto" w:fill="auto"/>
                  <w:tcMar>
                    <w:top w:w="0" w:type="dxa"/>
                    <w:left w:w="0" w:type="dxa"/>
                    <w:bottom w:w="0" w:type="dxa"/>
                    <w:right w:w="0" w:type="dxa"/>
                  </w:tcMar>
                  <w:vAlign w:val="center"/>
                </w:tcPr>
                <w:p w14:paraId="3540E94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47.6</w:t>
                  </w:r>
                </w:p>
              </w:tc>
              <w:tc>
                <w:tcPr>
                  <w:tcW w:w="179" w:type="pct"/>
                  <w:shd w:val="clear" w:color="auto" w:fill="auto"/>
                  <w:tcMar>
                    <w:top w:w="0" w:type="dxa"/>
                    <w:left w:w="0" w:type="dxa"/>
                    <w:bottom w:w="0" w:type="dxa"/>
                    <w:right w:w="0" w:type="dxa"/>
                  </w:tcMar>
                  <w:vAlign w:val="center"/>
                </w:tcPr>
                <w:p w14:paraId="15F0377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223" w:type="pct"/>
                  <w:shd w:val="clear" w:color="auto" w:fill="auto"/>
                  <w:tcMar>
                    <w:top w:w="0" w:type="dxa"/>
                    <w:left w:w="0" w:type="dxa"/>
                    <w:bottom w:w="0" w:type="dxa"/>
                    <w:right w:w="0" w:type="dxa"/>
                  </w:tcMar>
                  <w:vAlign w:val="center"/>
                </w:tcPr>
                <w:p w14:paraId="3BCB522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0FE5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354C691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w:t>
                  </w:r>
                </w:p>
              </w:tc>
              <w:tc>
                <w:tcPr>
                  <w:tcW w:w="407" w:type="pct"/>
                  <w:shd w:val="clear" w:color="auto" w:fill="auto"/>
                  <w:tcMar>
                    <w:top w:w="0" w:type="dxa"/>
                    <w:left w:w="0" w:type="dxa"/>
                    <w:bottom w:w="0" w:type="dxa"/>
                    <w:right w:w="0" w:type="dxa"/>
                  </w:tcMar>
                  <w:vAlign w:val="center"/>
                </w:tcPr>
                <w:p w14:paraId="61515B7B">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风机1#</w:t>
                  </w:r>
                </w:p>
              </w:tc>
              <w:tc>
                <w:tcPr>
                  <w:tcW w:w="228" w:type="pct"/>
                  <w:shd w:val="clear" w:color="auto" w:fill="auto"/>
                  <w:tcMar>
                    <w:top w:w="0" w:type="dxa"/>
                    <w:left w:w="0" w:type="dxa"/>
                    <w:bottom w:w="0" w:type="dxa"/>
                    <w:right w:w="0" w:type="dxa"/>
                  </w:tcMar>
                  <w:vAlign w:val="center"/>
                </w:tcPr>
                <w:p w14:paraId="11CBB99A">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w:t>
                  </w:r>
                </w:p>
              </w:tc>
              <w:tc>
                <w:tcPr>
                  <w:tcW w:w="194" w:type="pct"/>
                  <w:vMerge w:val="continue"/>
                  <w:shd w:val="clear" w:color="auto" w:fill="auto"/>
                  <w:tcMar>
                    <w:top w:w="0" w:type="dxa"/>
                    <w:left w:w="0" w:type="dxa"/>
                    <w:bottom w:w="0" w:type="dxa"/>
                    <w:right w:w="0" w:type="dxa"/>
                  </w:tcMar>
                  <w:vAlign w:val="center"/>
                </w:tcPr>
                <w:p w14:paraId="4F041466">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6990F1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37.6</w:t>
                  </w:r>
                </w:p>
              </w:tc>
              <w:tc>
                <w:tcPr>
                  <w:tcW w:w="209" w:type="pct"/>
                  <w:shd w:val="clear" w:color="auto" w:fill="auto"/>
                  <w:tcMar>
                    <w:top w:w="0" w:type="dxa"/>
                    <w:left w:w="0" w:type="dxa"/>
                    <w:bottom w:w="0" w:type="dxa"/>
                    <w:right w:w="0" w:type="dxa"/>
                  </w:tcMar>
                  <w:vAlign w:val="center"/>
                </w:tcPr>
                <w:p w14:paraId="10B88FE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-27.1</w:t>
                  </w:r>
                </w:p>
              </w:tc>
              <w:tc>
                <w:tcPr>
                  <w:tcW w:w="223" w:type="pct"/>
                  <w:shd w:val="clear" w:color="auto" w:fill="auto"/>
                  <w:tcMar>
                    <w:top w:w="0" w:type="dxa"/>
                    <w:left w:w="0" w:type="dxa"/>
                    <w:bottom w:w="0" w:type="dxa"/>
                    <w:right w:w="0" w:type="dxa"/>
                  </w:tcMar>
                  <w:vAlign w:val="center"/>
                </w:tcPr>
                <w:p w14:paraId="2360AA2E">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w:t>
                  </w:r>
                </w:p>
              </w:tc>
              <w:tc>
                <w:tcPr>
                  <w:tcW w:w="196" w:type="pct"/>
                  <w:shd w:val="clear" w:color="auto" w:fill="auto"/>
                  <w:tcMar>
                    <w:top w:w="0" w:type="dxa"/>
                    <w:left w:w="0" w:type="dxa"/>
                    <w:bottom w:w="0" w:type="dxa"/>
                    <w:right w:w="0" w:type="dxa"/>
                  </w:tcMar>
                  <w:vAlign w:val="center"/>
                </w:tcPr>
                <w:p w14:paraId="3D56ACB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31.9</w:t>
                  </w:r>
                </w:p>
              </w:tc>
              <w:tc>
                <w:tcPr>
                  <w:tcW w:w="196" w:type="pct"/>
                  <w:shd w:val="clear" w:color="auto" w:fill="auto"/>
                  <w:tcMar>
                    <w:top w:w="0" w:type="dxa"/>
                    <w:left w:w="0" w:type="dxa"/>
                    <w:bottom w:w="0" w:type="dxa"/>
                    <w:right w:w="0" w:type="dxa"/>
                  </w:tcMar>
                  <w:vAlign w:val="center"/>
                </w:tcPr>
                <w:p w14:paraId="43BE677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5.8</w:t>
                  </w:r>
                </w:p>
              </w:tc>
              <w:tc>
                <w:tcPr>
                  <w:tcW w:w="196" w:type="pct"/>
                  <w:shd w:val="clear" w:color="auto" w:fill="auto"/>
                  <w:tcMar>
                    <w:top w:w="0" w:type="dxa"/>
                    <w:left w:w="0" w:type="dxa"/>
                    <w:bottom w:w="0" w:type="dxa"/>
                    <w:right w:w="0" w:type="dxa"/>
                  </w:tcMar>
                  <w:vAlign w:val="center"/>
                </w:tcPr>
                <w:p w14:paraId="13A4CE8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10.3</w:t>
                  </w:r>
                </w:p>
              </w:tc>
              <w:tc>
                <w:tcPr>
                  <w:tcW w:w="246" w:type="pct"/>
                  <w:shd w:val="clear" w:color="auto" w:fill="auto"/>
                  <w:tcMar>
                    <w:top w:w="0" w:type="dxa"/>
                    <w:left w:w="0" w:type="dxa"/>
                    <w:bottom w:w="0" w:type="dxa"/>
                    <w:right w:w="0" w:type="dxa"/>
                  </w:tcMar>
                  <w:vAlign w:val="center"/>
                </w:tcPr>
                <w:p w14:paraId="73B9C07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85.4</w:t>
                  </w:r>
                </w:p>
              </w:tc>
              <w:tc>
                <w:tcPr>
                  <w:tcW w:w="176" w:type="pct"/>
                  <w:shd w:val="clear" w:color="auto" w:fill="auto"/>
                  <w:tcMar>
                    <w:top w:w="0" w:type="dxa"/>
                    <w:left w:w="0" w:type="dxa"/>
                    <w:bottom w:w="0" w:type="dxa"/>
                    <w:right w:w="0" w:type="dxa"/>
                  </w:tcMar>
                  <w:vAlign w:val="center"/>
                </w:tcPr>
                <w:p w14:paraId="01E7F08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6" w:type="pct"/>
                  <w:shd w:val="clear" w:color="auto" w:fill="auto"/>
                  <w:tcMar>
                    <w:top w:w="0" w:type="dxa"/>
                    <w:left w:w="0" w:type="dxa"/>
                    <w:bottom w:w="0" w:type="dxa"/>
                    <w:right w:w="0" w:type="dxa"/>
                  </w:tcMar>
                  <w:vAlign w:val="center"/>
                </w:tcPr>
                <w:p w14:paraId="7401F4A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73.4</w:t>
                  </w:r>
                </w:p>
              </w:tc>
              <w:tc>
                <w:tcPr>
                  <w:tcW w:w="176" w:type="pct"/>
                  <w:shd w:val="clear" w:color="auto" w:fill="auto"/>
                  <w:tcMar>
                    <w:top w:w="0" w:type="dxa"/>
                    <w:left w:w="0" w:type="dxa"/>
                    <w:bottom w:w="0" w:type="dxa"/>
                    <w:right w:w="0" w:type="dxa"/>
                  </w:tcMar>
                  <w:vAlign w:val="center"/>
                </w:tcPr>
                <w:p w14:paraId="2FD6B0D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73.1</w:t>
                  </w:r>
                </w:p>
              </w:tc>
              <w:tc>
                <w:tcPr>
                  <w:tcW w:w="187" w:type="pct"/>
                  <w:shd w:val="clear" w:color="auto" w:fill="auto"/>
                  <w:tcMar>
                    <w:top w:w="0" w:type="dxa"/>
                    <w:left w:w="0" w:type="dxa"/>
                    <w:bottom w:w="0" w:type="dxa"/>
                    <w:right w:w="0" w:type="dxa"/>
                  </w:tcMar>
                  <w:vAlign w:val="center"/>
                </w:tcPr>
                <w:p w14:paraId="7317184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2" w:type="pct"/>
                  <w:vMerge w:val="continue"/>
                  <w:shd w:val="clear" w:color="auto" w:fill="auto"/>
                  <w:tcMar>
                    <w:top w:w="0" w:type="dxa"/>
                    <w:left w:w="0" w:type="dxa"/>
                    <w:bottom w:w="0" w:type="dxa"/>
                    <w:right w:w="0" w:type="dxa"/>
                  </w:tcMar>
                  <w:vAlign w:val="center"/>
                </w:tcPr>
                <w:p w14:paraId="5B942A08">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0F2745B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6B435C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5062D3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4852FB3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4373AA3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179" w:type="pct"/>
                  <w:shd w:val="clear" w:color="auto" w:fill="auto"/>
                  <w:tcMar>
                    <w:top w:w="0" w:type="dxa"/>
                    <w:left w:w="0" w:type="dxa"/>
                    <w:bottom w:w="0" w:type="dxa"/>
                    <w:right w:w="0" w:type="dxa"/>
                  </w:tcMar>
                  <w:vAlign w:val="center"/>
                </w:tcPr>
                <w:p w14:paraId="046CE60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47.4</w:t>
                  </w:r>
                </w:p>
              </w:tc>
              <w:tc>
                <w:tcPr>
                  <w:tcW w:w="179" w:type="pct"/>
                  <w:shd w:val="clear" w:color="auto" w:fill="auto"/>
                  <w:tcMar>
                    <w:top w:w="0" w:type="dxa"/>
                    <w:left w:w="0" w:type="dxa"/>
                    <w:bottom w:w="0" w:type="dxa"/>
                    <w:right w:w="0" w:type="dxa"/>
                  </w:tcMar>
                  <w:vAlign w:val="center"/>
                </w:tcPr>
                <w:p w14:paraId="66B90AF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47.1</w:t>
                  </w:r>
                </w:p>
              </w:tc>
              <w:tc>
                <w:tcPr>
                  <w:tcW w:w="179" w:type="pct"/>
                  <w:shd w:val="clear" w:color="auto" w:fill="auto"/>
                  <w:tcMar>
                    <w:top w:w="0" w:type="dxa"/>
                    <w:left w:w="0" w:type="dxa"/>
                    <w:bottom w:w="0" w:type="dxa"/>
                    <w:right w:w="0" w:type="dxa"/>
                  </w:tcMar>
                  <w:vAlign w:val="center"/>
                </w:tcPr>
                <w:p w14:paraId="5272C48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223" w:type="pct"/>
                  <w:shd w:val="clear" w:color="auto" w:fill="auto"/>
                  <w:tcMar>
                    <w:top w:w="0" w:type="dxa"/>
                    <w:left w:w="0" w:type="dxa"/>
                    <w:bottom w:w="0" w:type="dxa"/>
                    <w:right w:w="0" w:type="dxa"/>
                  </w:tcMar>
                  <w:vAlign w:val="center"/>
                </w:tcPr>
                <w:p w14:paraId="3FEA7F3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28A6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84C365E">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407" w:type="pct"/>
                  <w:shd w:val="clear" w:color="auto" w:fill="auto"/>
                  <w:tcMar>
                    <w:top w:w="0" w:type="dxa"/>
                    <w:left w:w="0" w:type="dxa"/>
                    <w:bottom w:w="0" w:type="dxa"/>
                    <w:right w:w="0" w:type="dxa"/>
                  </w:tcMar>
                  <w:vAlign w:val="center"/>
                </w:tcPr>
                <w:p w14:paraId="025F5F05">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循环泵</w:t>
                  </w:r>
                </w:p>
              </w:tc>
              <w:tc>
                <w:tcPr>
                  <w:tcW w:w="228" w:type="pct"/>
                  <w:shd w:val="clear" w:color="auto" w:fill="auto"/>
                  <w:tcMar>
                    <w:top w:w="0" w:type="dxa"/>
                    <w:left w:w="0" w:type="dxa"/>
                    <w:bottom w:w="0" w:type="dxa"/>
                    <w:right w:w="0" w:type="dxa"/>
                  </w:tcMar>
                  <w:vAlign w:val="center"/>
                </w:tcPr>
                <w:p w14:paraId="1E176185">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2F0819B5">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535419E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34.6</w:t>
                  </w:r>
                </w:p>
              </w:tc>
              <w:tc>
                <w:tcPr>
                  <w:tcW w:w="209" w:type="pct"/>
                  <w:shd w:val="clear" w:color="auto" w:fill="auto"/>
                  <w:tcMar>
                    <w:top w:w="0" w:type="dxa"/>
                    <w:left w:w="0" w:type="dxa"/>
                    <w:bottom w:w="0" w:type="dxa"/>
                    <w:right w:w="0" w:type="dxa"/>
                  </w:tcMar>
                  <w:vAlign w:val="center"/>
                </w:tcPr>
                <w:p w14:paraId="4EDD45D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-22</w:t>
                  </w:r>
                </w:p>
              </w:tc>
              <w:tc>
                <w:tcPr>
                  <w:tcW w:w="223" w:type="pct"/>
                  <w:shd w:val="clear" w:color="auto" w:fill="auto"/>
                  <w:tcMar>
                    <w:top w:w="0" w:type="dxa"/>
                    <w:left w:w="0" w:type="dxa"/>
                    <w:bottom w:w="0" w:type="dxa"/>
                    <w:right w:w="0" w:type="dxa"/>
                  </w:tcMar>
                  <w:vAlign w:val="center"/>
                </w:tcPr>
                <w:p w14:paraId="625F4822">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w:t>
                  </w:r>
                </w:p>
              </w:tc>
              <w:tc>
                <w:tcPr>
                  <w:tcW w:w="196" w:type="pct"/>
                  <w:shd w:val="clear" w:color="auto" w:fill="auto"/>
                  <w:tcMar>
                    <w:top w:w="0" w:type="dxa"/>
                    <w:left w:w="0" w:type="dxa"/>
                    <w:bottom w:w="0" w:type="dxa"/>
                    <w:right w:w="0" w:type="dxa"/>
                  </w:tcMar>
                  <w:vAlign w:val="center"/>
                </w:tcPr>
                <w:p w14:paraId="2813DFC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32.0</w:t>
                  </w:r>
                </w:p>
              </w:tc>
              <w:tc>
                <w:tcPr>
                  <w:tcW w:w="196" w:type="pct"/>
                  <w:shd w:val="clear" w:color="auto" w:fill="auto"/>
                  <w:tcMar>
                    <w:top w:w="0" w:type="dxa"/>
                    <w:left w:w="0" w:type="dxa"/>
                    <w:bottom w:w="0" w:type="dxa"/>
                    <w:right w:w="0" w:type="dxa"/>
                  </w:tcMar>
                  <w:vAlign w:val="center"/>
                </w:tcPr>
                <w:p w14:paraId="0C4188B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11.7</w:t>
                  </w:r>
                </w:p>
              </w:tc>
              <w:tc>
                <w:tcPr>
                  <w:tcW w:w="196" w:type="pct"/>
                  <w:shd w:val="clear" w:color="auto" w:fill="auto"/>
                  <w:tcMar>
                    <w:top w:w="0" w:type="dxa"/>
                    <w:left w:w="0" w:type="dxa"/>
                    <w:bottom w:w="0" w:type="dxa"/>
                    <w:right w:w="0" w:type="dxa"/>
                  </w:tcMar>
                  <w:vAlign w:val="center"/>
                </w:tcPr>
                <w:p w14:paraId="3EF47BD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10.0</w:t>
                  </w:r>
                </w:p>
              </w:tc>
              <w:tc>
                <w:tcPr>
                  <w:tcW w:w="246" w:type="pct"/>
                  <w:shd w:val="clear" w:color="auto" w:fill="auto"/>
                  <w:tcMar>
                    <w:top w:w="0" w:type="dxa"/>
                    <w:left w:w="0" w:type="dxa"/>
                    <w:bottom w:w="0" w:type="dxa"/>
                    <w:right w:w="0" w:type="dxa"/>
                  </w:tcMar>
                  <w:vAlign w:val="center"/>
                </w:tcPr>
                <w:p w14:paraId="51E27A8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79.5</w:t>
                  </w:r>
                </w:p>
              </w:tc>
              <w:tc>
                <w:tcPr>
                  <w:tcW w:w="176" w:type="pct"/>
                  <w:shd w:val="clear" w:color="auto" w:fill="auto"/>
                  <w:tcMar>
                    <w:top w:w="0" w:type="dxa"/>
                    <w:left w:w="0" w:type="dxa"/>
                    <w:bottom w:w="0" w:type="dxa"/>
                    <w:right w:w="0" w:type="dxa"/>
                  </w:tcMar>
                  <w:vAlign w:val="center"/>
                </w:tcPr>
                <w:p w14:paraId="6944B36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76" w:type="pct"/>
                  <w:shd w:val="clear" w:color="auto" w:fill="auto"/>
                  <w:tcMar>
                    <w:top w:w="0" w:type="dxa"/>
                    <w:left w:w="0" w:type="dxa"/>
                    <w:bottom w:w="0" w:type="dxa"/>
                    <w:right w:w="0" w:type="dxa"/>
                  </w:tcMar>
                  <w:vAlign w:val="center"/>
                </w:tcPr>
                <w:p w14:paraId="1B32AD7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76" w:type="pct"/>
                  <w:shd w:val="clear" w:color="auto" w:fill="auto"/>
                  <w:tcMar>
                    <w:top w:w="0" w:type="dxa"/>
                    <w:left w:w="0" w:type="dxa"/>
                    <w:bottom w:w="0" w:type="dxa"/>
                    <w:right w:w="0" w:type="dxa"/>
                  </w:tcMar>
                  <w:vAlign w:val="center"/>
                </w:tcPr>
                <w:p w14:paraId="0269D30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63.1</w:t>
                  </w:r>
                </w:p>
              </w:tc>
              <w:tc>
                <w:tcPr>
                  <w:tcW w:w="187" w:type="pct"/>
                  <w:shd w:val="clear" w:color="auto" w:fill="auto"/>
                  <w:tcMar>
                    <w:top w:w="0" w:type="dxa"/>
                    <w:left w:w="0" w:type="dxa"/>
                    <w:bottom w:w="0" w:type="dxa"/>
                    <w:right w:w="0" w:type="dxa"/>
                  </w:tcMar>
                  <w:vAlign w:val="center"/>
                </w:tcPr>
                <w:p w14:paraId="7B7AA94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72" w:type="pct"/>
                  <w:vMerge w:val="continue"/>
                  <w:shd w:val="clear" w:color="auto" w:fill="auto"/>
                  <w:tcMar>
                    <w:top w:w="0" w:type="dxa"/>
                    <w:left w:w="0" w:type="dxa"/>
                    <w:bottom w:w="0" w:type="dxa"/>
                    <w:right w:w="0" w:type="dxa"/>
                  </w:tcMar>
                  <w:vAlign w:val="center"/>
                </w:tcPr>
                <w:p w14:paraId="4A3446A6">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7C84204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7379ABE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C7718A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1379E1D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6C8DA16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179" w:type="pct"/>
                  <w:shd w:val="clear" w:color="auto" w:fill="auto"/>
                  <w:tcMar>
                    <w:top w:w="0" w:type="dxa"/>
                    <w:left w:w="0" w:type="dxa"/>
                    <w:bottom w:w="0" w:type="dxa"/>
                    <w:right w:w="0" w:type="dxa"/>
                  </w:tcMar>
                  <w:vAlign w:val="center"/>
                </w:tcPr>
                <w:p w14:paraId="3138431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179" w:type="pct"/>
                  <w:shd w:val="clear" w:color="auto" w:fill="auto"/>
                  <w:tcMar>
                    <w:top w:w="0" w:type="dxa"/>
                    <w:left w:w="0" w:type="dxa"/>
                    <w:bottom w:w="0" w:type="dxa"/>
                    <w:right w:w="0" w:type="dxa"/>
                  </w:tcMar>
                  <w:vAlign w:val="center"/>
                </w:tcPr>
                <w:p w14:paraId="774451D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37.1</w:t>
                  </w:r>
                </w:p>
              </w:tc>
              <w:tc>
                <w:tcPr>
                  <w:tcW w:w="179" w:type="pct"/>
                  <w:shd w:val="clear" w:color="auto" w:fill="auto"/>
                  <w:tcMar>
                    <w:top w:w="0" w:type="dxa"/>
                    <w:left w:w="0" w:type="dxa"/>
                    <w:bottom w:w="0" w:type="dxa"/>
                    <w:right w:w="0" w:type="dxa"/>
                  </w:tcMar>
                  <w:vAlign w:val="center"/>
                </w:tcPr>
                <w:p w14:paraId="65B6944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223" w:type="pct"/>
                  <w:shd w:val="clear" w:color="auto" w:fill="auto"/>
                  <w:tcMar>
                    <w:top w:w="0" w:type="dxa"/>
                    <w:left w:w="0" w:type="dxa"/>
                    <w:bottom w:w="0" w:type="dxa"/>
                    <w:right w:w="0" w:type="dxa"/>
                  </w:tcMar>
                  <w:vAlign w:val="center"/>
                </w:tcPr>
                <w:p w14:paraId="2CEE68FD">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r>
            <w:tr w14:paraId="3490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295A8FDE">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407" w:type="pct"/>
                  <w:shd w:val="clear" w:color="auto" w:fill="auto"/>
                  <w:tcMar>
                    <w:top w:w="0" w:type="dxa"/>
                    <w:left w:w="0" w:type="dxa"/>
                    <w:bottom w:w="0" w:type="dxa"/>
                    <w:right w:w="0" w:type="dxa"/>
                  </w:tcMar>
                  <w:vAlign w:val="center"/>
                </w:tcPr>
                <w:p w14:paraId="547BE9BC">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空压机</w:t>
                  </w:r>
                </w:p>
              </w:tc>
              <w:tc>
                <w:tcPr>
                  <w:tcW w:w="228" w:type="pct"/>
                  <w:shd w:val="clear" w:color="auto" w:fill="auto"/>
                  <w:tcMar>
                    <w:top w:w="0" w:type="dxa"/>
                    <w:left w:w="0" w:type="dxa"/>
                    <w:bottom w:w="0" w:type="dxa"/>
                    <w:right w:w="0" w:type="dxa"/>
                  </w:tcMar>
                  <w:vAlign w:val="center"/>
                </w:tcPr>
                <w:p w14:paraId="77801269">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w:t>
                  </w:r>
                </w:p>
              </w:tc>
              <w:tc>
                <w:tcPr>
                  <w:tcW w:w="194" w:type="pct"/>
                  <w:vMerge w:val="continue"/>
                  <w:shd w:val="clear" w:color="auto" w:fill="auto"/>
                  <w:tcMar>
                    <w:top w:w="0" w:type="dxa"/>
                    <w:left w:w="0" w:type="dxa"/>
                    <w:bottom w:w="0" w:type="dxa"/>
                    <w:right w:w="0" w:type="dxa"/>
                  </w:tcMar>
                  <w:vAlign w:val="center"/>
                </w:tcPr>
                <w:p w14:paraId="206A6673">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FA55BA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-19.9</w:t>
                  </w:r>
                </w:p>
              </w:tc>
              <w:tc>
                <w:tcPr>
                  <w:tcW w:w="209" w:type="pct"/>
                  <w:shd w:val="clear" w:color="auto" w:fill="auto"/>
                  <w:tcMar>
                    <w:top w:w="0" w:type="dxa"/>
                    <w:left w:w="0" w:type="dxa"/>
                    <w:bottom w:w="0" w:type="dxa"/>
                    <w:right w:w="0" w:type="dxa"/>
                  </w:tcMar>
                  <w:vAlign w:val="center"/>
                </w:tcPr>
                <w:p w14:paraId="6E7E0F1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-36.2</w:t>
                  </w:r>
                </w:p>
              </w:tc>
              <w:tc>
                <w:tcPr>
                  <w:tcW w:w="223" w:type="pct"/>
                  <w:shd w:val="clear" w:color="auto" w:fill="auto"/>
                  <w:tcMar>
                    <w:top w:w="0" w:type="dxa"/>
                    <w:left w:w="0" w:type="dxa"/>
                    <w:bottom w:w="0" w:type="dxa"/>
                    <w:right w:w="0" w:type="dxa"/>
                  </w:tcMar>
                  <w:vAlign w:val="center"/>
                </w:tcPr>
                <w:p w14:paraId="65EE1E99">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196" w:type="pct"/>
                  <w:shd w:val="clear" w:color="auto" w:fill="auto"/>
                  <w:tcMar>
                    <w:top w:w="0" w:type="dxa"/>
                    <w:left w:w="0" w:type="dxa"/>
                    <w:bottom w:w="0" w:type="dxa"/>
                    <w:right w:w="0" w:type="dxa"/>
                  </w:tcMar>
                  <w:vAlign w:val="center"/>
                </w:tcPr>
                <w:p w14:paraId="3986754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36.8</w:t>
                  </w:r>
                </w:p>
              </w:tc>
              <w:tc>
                <w:tcPr>
                  <w:tcW w:w="196" w:type="pct"/>
                  <w:shd w:val="clear" w:color="auto" w:fill="auto"/>
                  <w:tcMar>
                    <w:top w:w="0" w:type="dxa"/>
                    <w:left w:w="0" w:type="dxa"/>
                    <w:bottom w:w="0" w:type="dxa"/>
                    <w:right w:w="0" w:type="dxa"/>
                  </w:tcMar>
                  <w:vAlign w:val="center"/>
                </w:tcPr>
                <w:p w14:paraId="161FE61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24.3</w:t>
                  </w:r>
                </w:p>
              </w:tc>
              <w:tc>
                <w:tcPr>
                  <w:tcW w:w="196" w:type="pct"/>
                  <w:shd w:val="clear" w:color="auto" w:fill="auto"/>
                  <w:tcMar>
                    <w:top w:w="0" w:type="dxa"/>
                    <w:left w:w="0" w:type="dxa"/>
                    <w:bottom w:w="0" w:type="dxa"/>
                    <w:right w:w="0" w:type="dxa"/>
                  </w:tcMar>
                  <w:vAlign w:val="center"/>
                </w:tcPr>
                <w:p w14:paraId="6115B53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15.7</w:t>
                  </w:r>
                </w:p>
              </w:tc>
              <w:tc>
                <w:tcPr>
                  <w:tcW w:w="246" w:type="pct"/>
                  <w:shd w:val="clear" w:color="auto" w:fill="auto"/>
                  <w:tcMar>
                    <w:top w:w="0" w:type="dxa"/>
                    <w:left w:w="0" w:type="dxa"/>
                    <w:bottom w:w="0" w:type="dxa"/>
                    <w:right w:w="0" w:type="dxa"/>
                  </w:tcMar>
                  <w:vAlign w:val="center"/>
                </w:tcPr>
                <w:p w14:paraId="1C6CE60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88.8</w:t>
                  </w:r>
                </w:p>
              </w:tc>
              <w:tc>
                <w:tcPr>
                  <w:tcW w:w="176" w:type="pct"/>
                  <w:shd w:val="clear" w:color="auto" w:fill="auto"/>
                  <w:tcMar>
                    <w:top w:w="0" w:type="dxa"/>
                    <w:left w:w="0" w:type="dxa"/>
                    <w:bottom w:w="0" w:type="dxa"/>
                    <w:right w:w="0" w:type="dxa"/>
                  </w:tcMar>
                  <w:vAlign w:val="center"/>
                </w:tcPr>
                <w:p w14:paraId="3E7B57C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72.0</w:t>
                  </w:r>
                </w:p>
              </w:tc>
              <w:tc>
                <w:tcPr>
                  <w:tcW w:w="176" w:type="pct"/>
                  <w:shd w:val="clear" w:color="auto" w:fill="auto"/>
                  <w:tcMar>
                    <w:top w:w="0" w:type="dxa"/>
                    <w:left w:w="0" w:type="dxa"/>
                    <w:bottom w:w="0" w:type="dxa"/>
                    <w:right w:w="0" w:type="dxa"/>
                  </w:tcMar>
                  <w:vAlign w:val="center"/>
                </w:tcPr>
                <w:p w14:paraId="48931DD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72.0</w:t>
                  </w:r>
                </w:p>
              </w:tc>
              <w:tc>
                <w:tcPr>
                  <w:tcW w:w="176" w:type="pct"/>
                  <w:shd w:val="clear" w:color="auto" w:fill="auto"/>
                  <w:tcMar>
                    <w:top w:w="0" w:type="dxa"/>
                    <w:left w:w="0" w:type="dxa"/>
                    <w:bottom w:w="0" w:type="dxa"/>
                    <w:right w:w="0" w:type="dxa"/>
                  </w:tcMar>
                  <w:vAlign w:val="center"/>
                </w:tcPr>
                <w:p w14:paraId="3E15CFE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72.1</w:t>
                  </w:r>
                </w:p>
              </w:tc>
              <w:tc>
                <w:tcPr>
                  <w:tcW w:w="187" w:type="pct"/>
                  <w:shd w:val="clear" w:color="auto" w:fill="auto"/>
                  <w:tcMar>
                    <w:top w:w="0" w:type="dxa"/>
                    <w:left w:w="0" w:type="dxa"/>
                    <w:bottom w:w="0" w:type="dxa"/>
                    <w:right w:w="0" w:type="dxa"/>
                  </w:tcMar>
                  <w:vAlign w:val="center"/>
                </w:tcPr>
                <w:p w14:paraId="6956584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72.0</w:t>
                  </w:r>
                </w:p>
              </w:tc>
              <w:tc>
                <w:tcPr>
                  <w:tcW w:w="172" w:type="pct"/>
                  <w:vMerge w:val="continue"/>
                  <w:shd w:val="clear" w:color="auto" w:fill="auto"/>
                  <w:tcMar>
                    <w:top w:w="0" w:type="dxa"/>
                    <w:left w:w="0" w:type="dxa"/>
                    <w:bottom w:w="0" w:type="dxa"/>
                    <w:right w:w="0" w:type="dxa"/>
                  </w:tcMar>
                  <w:vAlign w:val="center"/>
                </w:tcPr>
                <w:p w14:paraId="49C4F0FA">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515EA22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BBC8B2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46C3C4F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4EA8FDD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32A2030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46.0</w:t>
                  </w:r>
                </w:p>
              </w:tc>
              <w:tc>
                <w:tcPr>
                  <w:tcW w:w="179" w:type="pct"/>
                  <w:shd w:val="clear" w:color="auto" w:fill="auto"/>
                  <w:tcMar>
                    <w:top w:w="0" w:type="dxa"/>
                    <w:left w:w="0" w:type="dxa"/>
                    <w:bottom w:w="0" w:type="dxa"/>
                    <w:right w:w="0" w:type="dxa"/>
                  </w:tcMar>
                  <w:vAlign w:val="center"/>
                </w:tcPr>
                <w:p w14:paraId="361BFC4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46.0</w:t>
                  </w:r>
                </w:p>
              </w:tc>
              <w:tc>
                <w:tcPr>
                  <w:tcW w:w="179" w:type="pct"/>
                  <w:shd w:val="clear" w:color="auto" w:fill="auto"/>
                  <w:tcMar>
                    <w:top w:w="0" w:type="dxa"/>
                    <w:left w:w="0" w:type="dxa"/>
                    <w:bottom w:w="0" w:type="dxa"/>
                    <w:right w:w="0" w:type="dxa"/>
                  </w:tcMar>
                  <w:vAlign w:val="center"/>
                </w:tcPr>
                <w:p w14:paraId="10B1D80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46.1</w:t>
                  </w:r>
                </w:p>
              </w:tc>
              <w:tc>
                <w:tcPr>
                  <w:tcW w:w="179" w:type="pct"/>
                  <w:shd w:val="clear" w:color="auto" w:fill="auto"/>
                  <w:tcMar>
                    <w:top w:w="0" w:type="dxa"/>
                    <w:left w:w="0" w:type="dxa"/>
                    <w:bottom w:w="0" w:type="dxa"/>
                    <w:right w:w="0" w:type="dxa"/>
                  </w:tcMar>
                  <w:vAlign w:val="center"/>
                </w:tcPr>
                <w:p w14:paraId="4AF98C4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46.0</w:t>
                  </w:r>
                </w:p>
              </w:tc>
              <w:tc>
                <w:tcPr>
                  <w:tcW w:w="223" w:type="pct"/>
                  <w:shd w:val="clear" w:color="auto" w:fill="auto"/>
                  <w:tcMar>
                    <w:top w:w="0" w:type="dxa"/>
                    <w:left w:w="0" w:type="dxa"/>
                    <w:bottom w:w="0" w:type="dxa"/>
                    <w:right w:w="0" w:type="dxa"/>
                  </w:tcMar>
                  <w:vAlign w:val="center"/>
                </w:tcPr>
                <w:p w14:paraId="01414F57">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r>
            <w:tr w14:paraId="3F8F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8CD920B">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11</w:t>
                  </w:r>
                </w:p>
              </w:tc>
              <w:tc>
                <w:tcPr>
                  <w:tcW w:w="407" w:type="pct"/>
                  <w:shd w:val="clear" w:color="auto" w:fill="auto"/>
                  <w:tcMar>
                    <w:top w:w="0" w:type="dxa"/>
                    <w:left w:w="0" w:type="dxa"/>
                    <w:bottom w:w="0" w:type="dxa"/>
                    <w:right w:w="0" w:type="dxa"/>
                  </w:tcMar>
                  <w:vAlign w:val="center"/>
                </w:tcPr>
                <w:p w14:paraId="5AFA828B">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轮辊机</w:t>
                  </w:r>
                </w:p>
              </w:tc>
              <w:tc>
                <w:tcPr>
                  <w:tcW w:w="228" w:type="pct"/>
                  <w:shd w:val="clear" w:color="auto" w:fill="auto"/>
                  <w:tcMar>
                    <w:top w:w="0" w:type="dxa"/>
                    <w:left w:w="0" w:type="dxa"/>
                    <w:bottom w:w="0" w:type="dxa"/>
                    <w:right w:w="0" w:type="dxa"/>
                  </w:tcMar>
                  <w:vAlign w:val="center"/>
                </w:tcPr>
                <w:p w14:paraId="360DFB02">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6DACFE85">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2B07A79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-17.3</w:t>
                  </w:r>
                </w:p>
              </w:tc>
              <w:tc>
                <w:tcPr>
                  <w:tcW w:w="209" w:type="pct"/>
                  <w:shd w:val="clear" w:color="auto" w:fill="auto"/>
                  <w:tcMar>
                    <w:top w:w="0" w:type="dxa"/>
                    <w:left w:w="0" w:type="dxa"/>
                    <w:bottom w:w="0" w:type="dxa"/>
                    <w:right w:w="0" w:type="dxa"/>
                  </w:tcMar>
                  <w:vAlign w:val="center"/>
                </w:tcPr>
                <w:p w14:paraId="47B8824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-28.1</w:t>
                  </w:r>
                </w:p>
              </w:tc>
              <w:tc>
                <w:tcPr>
                  <w:tcW w:w="223" w:type="pct"/>
                  <w:shd w:val="clear" w:color="auto" w:fill="auto"/>
                  <w:tcMar>
                    <w:top w:w="0" w:type="dxa"/>
                    <w:left w:w="0" w:type="dxa"/>
                    <w:bottom w:w="0" w:type="dxa"/>
                    <w:right w:w="0" w:type="dxa"/>
                  </w:tcMar>
                  <w:vAlign w:val="center"/>
                </w:tcPr>
                <w:p w14:paraId="501360B5">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96" w:type="pct"/>
                  <w:shd w:val="clear" w:color="auto" w:fill="auto"/>
                  <w:tcMar>
                    <w:top w:w="0" w:type="dxa"/>
                    <w:left w:w="0" w:type="dxa"/>
                    <w:bottom w:w="0" w:type="dxa"/>
                    <w:right w:w="0" w:type="dxa"/>
                  </w:tcMar>
                  <w:vAlign w:val="center"/>
                </w:tcPr>
                <w:p w14:paraId="3B57BE6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30.7</w:t>
                  </w:r>
                </w:p>
              </w:tc>
              <w:tc>
                <w:tcPr>
                  <w:tcW w:w="196" w:type="pct"/>
                  <w:shd w:val="clear" w:color="auto" w:fill="auto"/>
                  <w:tcMar>
                    <w:top w:w="0" w:type="dxa"/>
                    <w:left w:w="0" w:type="dxa"/>
                    <w:bottom w:w="0" w:type="dxa"/>
                    <w:right w:w="0" w:type="dxa"/>
                  </w:tcMar>
                  <w:vAlign w:val="center"/>
                </w:tcPr>
                <w:p w14:paraId="65CA5B4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30.2</w:t>
                  </w:r>
                </w:p>
              </w:tc>
              <w:tc>
                <w:tcPr>
                  <w:tcW w:w="196" w:type="pct"/>
                  <w:shd w:val="clear" w:color="auto" w:fill="auto"/>
                  <w:tcMar>
                    <w:top w:w="0" w:type="dxa"/>
                    <w:left w:w="0" w:type="dxa"/>
                    <w:bottom w:w="0" w:type="dxa"/>
                    <w:right w:w="0" w:type="dxa"/>
                  </w:tcMar>
                  <w:vAlign w:val="center"/>
                </w:tcPr>
                <w:p w14:paraId="4639AEB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21.7</w:t>
                  </w:r>
                </w:p>
              </w:tc>
              <w:tc>
                <w:tcPr>
                  <w:tcW w:w="246" w:type="pct"/>
                  <w:shd w:val="clear" w:color="auto" w:fill="auto"/>
                  <w:tcMar>
                    <w:top w:w="0" w:type="dxa"/>
                    <w:left w:w="0" w:type="dxa"/>
                    <w:bottom w:w="0" w:type="dxa"/>
                    <w:right w:w="0" w:type="dxa"/>
                  </w:tcMar>
                  <w:vAlign w:val="center"/>
                </w:tcPr>
                <w:p w14:paraId="1958A3F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82.9</w:t>
                  </w:r>
                </w:p>
              </w:tc>
              <w:tc>
                <w:tcPr>
                  <w:tcW w:w="176" w:type="pct"/>
                  <w:shd w:val="clear" w:color="auto" w:fill="auto"/>
                  <w:tcMar>
                    <w:top w:w="0" w:type="dxa"/>
                    <w:left w:w="0" w:type="dxa"/>
                    <w:bottom w:w="0" w:type="dxa"/>
                    <w:right w:w="0" w:type="dxa"/>
                  </w:tcMar>
                  <w:vAlign w:val="center"/>
                </w:tcPr>
                <w:p w14:paraId="3149BBB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739510E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13375D5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87" w:type="pct"/>
                  <w:shd w:val="clear" w:color="auto" w:fill="auto"/>
                  <w:tcMar>
                    <w:top w:w="0" w:type="dxa"/>
                    <w:left w:w="0" w:type="dxa"/>
                    <w:bottom w:w="0" w:type="dxa"/>
                    <w:right w:w="0" w:type="dxa"/>
                  </w:tcMar>
                  <w:vAlign w:val="center"/>
                </w:tcPr>
                <w:p w14:paraId="1433D98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2" w:type="pct"/>
                  <w:vMerge w:val="continue"/>
                  <w:shd w:val="clear" w:color="auto" w:fill="auto"/>
                  <w:tcMar>
                    <w:top w:w="0" w:type="dxa"/>
                    <w:left w:w="0" w:type="dxa"/>
                    <w:bottom w:w="0" w:type="dxa"/>
                    <w:right w:w="0" w:type="dxa"/>
                  </w:tcMar>
                  <w:vAlign w:val="center"/>
                </w:tcPr>
                <w:p w14:paraId="3740CF6B">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4998CFB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5A7131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72D08D7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54356AD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7E08496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0FB51C3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5471CEA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5A5F357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223" w:type="pct"/>
                  <w:shd w:val="clear" w:color="auto" w:fill="auto"/>
                  <w:tcMar>
                    <w:top w:w="0" w:type="dxa"/>
                    <w:left w:w="0" w:type="dxa"/>
                    <w:bottom w:w="0" w:type="dxa"/>
                    <w:right w:w="0" w:type="dxa"/>
                  </w:tcMar>
                  <w:vAlign w:val="center"/>
                </w:tcPr>
                <w:p w14:paraId="1CD2B85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61E3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7FAC744">
                  <w:pPr>
                    <w:pStyle w:val="13"/>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2</w:t>
                  </w:r>
                </w:p>
              </w:tc>
              <w:tc>
                <w:tcPr>
                  <w:tcW w:w="407" w:type="pct"/>
                  <w:shd w:val="clear" w:color="auto" w:fill="auto"/>
                  <w:tcMar>
                    <w:top w:w="0" w:type="dxa"/>
                    <w:left w:w="0" w:type="dxa"/>
                    <w:bottom w:w="0" w:type="dxa"/>
                    <w:right w:w="0" w:type="dxa"/>
                  </w:tcMar>
                  <w:vAlign w:val="center"/>
                </w:tcPr>
                <w:p w14:paraId="32F4F11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搅拌机</w:t>
                  </w:r>
                </w:p>
              </w:tc>
              <w:tc>
                <w:tcPr>
                  <w:tcW w:w="228" w:type="pct"/>
                  <w:shd w:val="clear" w:color="auto" w:fill="auto"/>
                  <w:tcMar>
                    <w:top w:w="0" w:type="dxa"/>
                    <w:left w:w="0" w:type="dxa"/>
                    <w:bottom w:w="0" w:type="dxa"/>
                    <w:right w:w="0" w:type="dxa"/>
                  </w:tcMar>
                  <w:vAlign w:val="center"/>
                </w:tcPr>
                <w:p w14:paraId="25041859">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3AB4B93E">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7A48251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-20.9</w:t>
                  </w:r>
                </w:p>
              </w:tc>
              <w:tc>
                <w:tcPr>
                  <w:tcW w:w="209" w:type="pct"/>
                  <w:shd w:val="clear" w:color="auto" w:fill="auto"/>
                  <w:tcMar>
                    <w:top w:w="0" w:type="dxa"/>
                    <w:left w:w="0" w:type="dxa"/>
                    <w:bottom w:w="0" w:type="dxa"/>
                    <w:right w:w="0" w:type="dxa"/>
                  </w:tcMar>
                  <w:vAlign w:val="center"/>
                </w:tcPr>
                <w:p w14:paraId="34082AA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-20.9</w:t>
                  </w:r>
                </w:p>
              </w:tc>
              <w:tc>
                <w:tcPr>
                  <w:tcW w:w="223" w:type="pct"/>
                  <w:shd w:val="clear" w:color="auto" w:fill="auto"/>
                  <w:tcMar>
                    <w:top w:w="0" w:type="dxa"/>
                    <w:left w:w="0" w:type="dxa"/>
                    <w:bottom w:w="0" w:type="dxa"/>
                    <w:right w:w="0" w:type="dxa"/>
                  </w:tcMar>
                  <w:vAlign w:val="center"/>
                </w:tcPr>
                <w:p w14:paraId="79C9D98A">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96" w:type="pct"/>
                  <w:shd w:val="clear" w:color="auto" w:fill="auto"/>
                  <w:tcMar>
                    <w:top w:w="0" w:type="dxa"/>
                    <w:left w:w="0" w:type="dxa"/>
                    <w:bottom w:w="0" w:type="dxa"/>
                    <w:right w:w="0" w:type="dxa"/>
                  </w:tcMar>
                  <w:vAlign w:val="center"/>
                </w:tcPr>
                <w:p w14:paraId="143F4C8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30.6</w:t>
                  </w:r>
                </w:p>
              </w:tc>
              <w:tc>
                <w:tcPr>
                  <w:tcW w:w="196" w:type="pct"/>
                  <w:shd w:val="clear" w:color="auto" w:fill="auto"/>
                  <w:tcMar>
                    <w:top w:w="0" w:type="dxa"/>
                    <w:left w:w="0" w:type="dxa"/>
                    <w:bottom w:w="0" w:type="dxa"/>
                    <w:right w:w="0" w:type="dxa"/>
                  </w:tcMar>
                  <w:vAlign w:val="center"/>
                </w:tcPr>
                <w:p w14:paraId="33C772B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38.3</w:t>
                  </w:r>
                </w:p>
              </w:tc>
              <w:tc>
                <w:tcPr>
                  <w:tcW w:w="196" w:type="pct"/>
                  <w:shd w:val="clear" w:color="auto" w:fill="auto"/>
                  <w:tcMar>
                    <w:top w:w="0" w:type="dxa"/>
                    <w:left w:w="0" w:type="dxa"/>
                    <w:bottom w:w="0" w:type="dxa"/>
                    <w:right w:w="0" w:type="dxa"/>
                  </w:tcMar>
                  <w:vAlign w:val="center"/>
                </w:tcPr>
                <w:p w14:paraId="748F098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21.9</w:t>
                  </w:r>
                </w:p>
              </w:tc>
              <w:tc>
                <w:tcPr>
                  <w:tcW w:w="246" w:type="pct"/>
                  <w:shd w:val="clear" w:color="auto" w:fill="auto"/>
                  <w:tcMar>
                    <w:top w:w="0" w:type="dxa"/>
                    <w:left w:w="0" w:type="dxa"/>
                    <w:bottom w:w="0" w:type="dxa"/>
                    <w:right w:w="0" w:type="dxa"/>
                  </w:tcMar>
                  <w:vAlign w:val="center"/>
                </w:tcPr>
                <w:p w14:paraId="17FF759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74.9</w:t>
                  </w:r>
                </w:p>
              </w:tc>
              <w:tc>
                <w:tcPr>
                  <w:tcW w:w="176" w:type="pct"/>
                  <w:shd w:val="clear" w:color="auto" w:fill="auto"/>
                  <w:tcMar>
                    <w:top w:w="0" w:type="dxa"/>
                    <w:left w:w="0" w:type="dxa"/>
                    <w:bottom w:w="0" w:type="dxa"/>
                    <w:right w:w="0" w:type="dxa"/>
                  </w:tcMar>
                  <w:vAlign w:val="center"/>
                </w:tcPr>
                <w:p w14:paraId="2C24050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409DAF3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147CFFB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87" w:type="pct"/>
                  <w:shd w:val="clear" w:color="auto" w:fill="auto"/>
                  <w:tcMar>
                    <w:top w:w="0" w:type="dxa"/>
                    <w:left w:w="0" w:type="dxa"/>
                    <w:bottom w:w="0" w:type="dxa"/>
                    <w:right w:w="0" w:type="dxa"/>
                  </w:tcMar>
                  <w:vAlign w:val="center"/>
                </w:tcPr>
                <w:p w14:paraId="149FDB5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2" w:type="pct"/>
                  <w:vMerge w:val="continue"/>
                  <w:shd w:val="clear" w:color="auto" w:fill="auto"/>
                  <w:tcMar>
                    <w:top w:w="0" w:type="dxa"/>
                    <w:left w:w="0" w:type="dxa"/>
                    <w:bottom w:w="0" w:type="dxa"/>
                    <w:right w:w="0" w:type="dxa"/>
                  </w:tcMar>
                  <w:vAlign w:val="center"/>
                </w:tcPr>
                <w:p w14:paraId="52D88DB9">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3DA71AC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8B1407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34B6CDE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3E0830E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0419E70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3016024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32DD4D7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352972B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223" w:type="pct"/>
                  <w:shd w:val="clear" w:color="auto" w:fill="auto"/>
                  <w:tcMar>
                    <w:top w:w="0" w:type="dxa"/>
                    <w:left w:w="0" w:type="dxa"/>
                    <w:bottom w:w="0" w:type="dxa"/>
                    <w:right w:w="0" w:type="dxa"/>
                  </w:tcMar>
                  <w:vAlign w:val="center"/>
                </w:tcPr>
                <w:p w14:paraId="06FD38B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653B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 w:type="pct"/>
                  <w:shd w:val="clear" w:color="auto" w:fill="auto"/>
                  <w:tcMar>
                    <w:top w:w="0" w:type="dxa"/>
                    <w:left w:w="0" w:type="dxa"/>
                    <w:bottom w:w="0" w:type="dxa"/>
                    <w:right w:w="0" w:type="dxa"/>
                  </w:tcMar>
                  <w:vAlign w:val="center"/>
                </w:tcPr>
                <w:p w14:paraId="642FEC25">
                  <w:pPr>
                    <w:pStyle w:val="13"/>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3</w:t>
                  </w:r>
                </w:p>
              </w:tc>
              <w:tc>
                <w:tcPr>
                  <w:tcW w:w="407" w:type="pct"/>
                  <w:shd w:val="clear" w:color="auto" w:fill="auto"/>
                  <w:tcMar>
                    <w:top w:w="0" w:type="dxa"/>
                    <w:left w:w="0" w:type="dxa"/>
                    <w:bottom w:w="0" w:type="dxa"/>
                    <w:right w:w="0" w:type="dxa"/>
                  </w:tcMar>
                  <w:vAlign w:val="center"/>
                </w:tcPr>
                <w:p w14:paraId="16314BE8">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静压机</w:t>
                  </w:r>
                </w:p>
              </w:tc>
              <w:tc>
                <w:tcPr>
                  <w:tcW w:w="228" w:type="pct"/>
                  <w:shd w:val="clear" w:color="auto" w:fill="auto"/>
                  <w:tcMar>
                    <w:top w:w="0" w:type="dxa"/>
                    <w:left w:w="0" w:type="dxa"/>
                    <w:bottom w:w="0" w:type="dxa"/>
                    <w:right w:w="0" w:type="dxa"/>
                  </w:tcMar>
                  <w:vAlign w:val="center"/>
                </w:tcPr>
                <w:p w14:paraId="6C3D4F61">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70</w:t>
                  </w:r>
                </w:p>
              </w:tc>
              <w:tc>
                <w:tcPr>
                  <w:tcW w:w="194" w:type="pct"/>
                  <w:vMerge w:val="continue"/>
                  <w:shd w:val="clear" w:color="auto" w:fill="auto"/>
                  <w:tcMar>
                    <w:top w:w="0" w:type="dxa"/>
                    <w:left w:w="0" w:type="dxa"/>
                    <w:bottom w:w="0" w:type="dxa"/>
                    <w:right w:w="0" w:type="dxa"/>
                  </w:tcMar>
                  <w:vAlign w:val="center"/>
                </w:tcPr>
                <w:p w14:paraId="2683F48C">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398A504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w:t>
                  </w:r>
                </w:p>
              </w:tc>
              <w:tc>
                <w:tcPr>
                  <w:tcW w:w="209" w:type="pct"/>
                  <w:shd w:val="clear" w:color="auto" w:fill="auto"/>
                  <w:tcMar>
                    <w:top w:w="0" w:type="dxa"/>
                    <w:left w:w="0" w:type="dxa"/>
                    <w:bottom w:w="0" w:type="dxa"/>
                    <w:right w:w="0" w:type="dxa"/>
                  </w:tcMar>
                  <w:vAlign w:val="center"/>
                </w:tcPr>
                <w:p w14:paraId="34937B0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-9.2</w:t>
                  </w:r>
                </w:p>
              </w:tc>
              <w:tc>
                <w:tcPr>
                  <w:tcW w:w="223" w:type="pct"/>
                  <w:shd w:val="clear" w:color="auto" w:fill="auto"/>
                  <w:tcMar>
                    <w:top w:w="0" w:type="dxa"/>
                    <w:left w:w="0" w:type="dxa"/>
                    <w:bottom w:w="0" w:type="dxa"/>
                    <w:right w:w="0" w:type="dxa"/>
                  </w:tcMar>
                  <w:vAlign w:val="center"/>
                </w:tcPr>
                <w:p w14:paraId="18DB6890">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96" w:type="pct"/>
                  <w:shd w:val="clear" w:color="auto" w:fill="auto"/>
                  <w:tcMar>
                    <w:top w:w="0" w:type="dxa"/>
                    <w:left w:w="0" w:type="dxa"/>
                    <w:bottom w:w="0" w:type="dxa"/>
                    <w:right w:w="0" w:type="dxa"/>
                  </w:tcMar>
                  <w:vAlign w:val="center"/>
                </w:tcPr>
                <w:p w14:paraId="35E6FBA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30.5</w:t>
                  </w:r>
                </w:p>
              </w:tc>
              <w:tc>
                <w:tcPr>
                  <w:tcW w:w="196" w:type="pct"/>
                  <w:shd w:val="clear" w:color="auto" w:fill="auto"/>
                  <w:tcMar>
                    <w:top w:w="0" w:type="dxa"/>
                    <w:left w:w="0" w:type="dxa"/>
                    <w:bottom w:w="0" w:type="dxa"/>
                    <w:right w:w="0" w:type="dxa"/>
                  </w:tcMar>
                  <w:vAlign w:val="center"/>
                </w:tcPr>
                <w:p w14:paraId="6868A87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51.5</w:t>
                  </w:r>
                </w:p>
              </w:tc>
              <w:tc>
                <w:tcPr>
                  <w:tcW w:w="196" w:type="pct"/>
                  <w:shd w:val="clear" w:color="auto" w:fill="auto"/>
                  <w:tcMar>
                    <w:top w:w="0" w:type="dxa"/>
                    <w:left w:w="0" w:type="dxa"/>
                    <w:bottom w:w="0" w:type="dxa"/>
                    <w:right w:w="0" w:type="dxa"/>
                  </w:tcMar>
                  <w:vAlign w:val="center"/>
                </w:tcPr>
                <w:p w14:paraId="79B0BBD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21.9</w:t>
                  </w:r>
                </w:p>
              </w:tc>
              <w:tc>
                <w:tcPr>
                  <w:tcW w:w="246" w:type="pct"/>
                  <w:shd w:val="clear" w:color="auto" w:fill="auto"/>
                  <w:tcMar>
                    <w:top w:w="0" w:type="dxa"/>
                    <w:left w:w="0" w:type="dxa"/>
                    <w:bottom w:w="0" w:type="dxa"/>
                    <w:right w:w="0" w:type="dxa"/>
                  </w:tcMar>
                  <w:vAlign w:val="center"/>
                </w:tcPr>
                <w:p w14:paraId="3530831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61.7</w:t>
                  </w:r>
                </w:p>
              </w:tc>
              <w:tc>
                <w:tcPr>
                  <w:tcW w:w="176" w:type="pct"/>
                  <w:shd w:val="clear" w:color="auto" w:fill="auto"/>
                  <w:tcMar>
                    <w:top w:w="0" w:type="dxa"/>
                    <w:left w:w="0" w:type="dxa"/>
                    <w:bottom w:w="0" w:type="dxa"/>
                    <w:right w:w="0" w:type="dxa"/>
                  </w:tcMar>
                  <w:vAlign w:val="center"/>
                </w:tcPr>
                <w:p w14:paraId="2B6F444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52.0</w:t>
                  </w:r>
                </w:p>
              </w:tc>
              <w:tc>
                <w:tcPr>
                  <w:tcW w:w="176" w:type="pct"/>
                  <w:shd w:val="clear" w:color="auto" w:fill="auto"/>
                  <w:tcMar>
                    <w:top w:w="0" w:type="dxa"/>
                    <w:left w:w="0" w:type="dxa"/>
                    <w:bottom w:w="0" w:type="dxa"/>
                    <w:right w:w="0" w:type="dxa"/>
                  </w:tcMar>
                  <w:vAlign w:val="center"/>
                </w:tcPr>
                <w:p w14:paraId="6121495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52.0</w:t>
                  </w:r>
                </w:p>
              </w:tc>
              <w:tc>
                <w:tcPr>
                  <w:tcW w:w="176" w:type="pct"/>
                  <w:shd w:val="clear" w:color="auto" w:fill="auto"/>
                  <w:tcMar>
                    <w:top w:w="0" w:type="dxa"/>
                    <w:left w:w="0" w:type="dxa"/>
                    <w:bottom w:w="0" w:type="dxa"/>
                    <w:right w:w="0" w:type="dxa"/>
                  </w:tcMar>
                  <w:vAlign w:val="center"/>
                </w:tcPr>
                <w:p w14:paraId="2624D85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52.0</w:t>
                  </w:r>
                </w:p>
              </w:tc>
              <w:tc>
                <w:tcPr>
                  <w:tcW w:w="187" w:type="pct"/>
                  <w:shd w:val="clear" w:color="auto" w:fill="auto"/>
                  <w:tcMar>
                    <w:top w:w="0" w:type="dxa"/>
                    <w:left w:w="0" w:type="dxa"/>
                    <w:bottom w:w="0" w:type="dxa"/>
                    <w:right w:w="0" w:type="dxa"/>
                  </w:tcMar>
                  <w:vAlign w:val="center"/>
                </w:tcPr>
                <w:p w14:paraId="3D2CDDA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52.0</w:t>
                  </w:r>
                </w:p>
              </w:tc>
              <w:tc>
                <w:tcPr>
                  <w:tcW w:w="172" w:type="pct"/>
                  <w:vMerge w:val="continue"/>
                  <w:shd w:val="clear" w:color="auto" w:fill="auto"/>
                  <w:tcMar>
                    <w:top w:w="0" w:type="dxa"/>
                    <w:left w:w="0" w:type="dxa"/>
                    <w:bottom w:w="0" w:type="dxa"/>
                    <w:right w:w="0" w:type="dxa"/>
                  </w:tcMar>
                  <w:vAlign w:val="center"/>
                </w:tcPr>
                <w:p w14:paraId="2DB3902B">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384F04D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4D9F08A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320D8CC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39FD58D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322D633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61A16B8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70FD50A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5669253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223" w:type="pct"/>
                  <w:shd w:val="clear" w:color="auto" w:fill="auto"/>
                  <w:tcMar>
                    <w:top w:w="0" w:type="dxa"/>
                    <w:left w:w="0" w:type="dxa"/>
                    <w:bottom w:w="0" w:type="dxa"/>
                    <w:right w:w="0" w:type="dxa"/>
                  </w:tcMar>
                  <w:vAlign w:val="center"/>
                </w:tcPr>
                <w:p w14:paraId="3986ADD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0B0C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C0792E2">
                  <w:pPr>
                    <w:pStyle w:val="13"/>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4</w:t>
                  </w:r>
                </w:p>
              </w:tc>
              <w:tc>
                <w:tcPr>
                  <w:tcW w:w="407" w:type="pct"/>
                  <w:shd w:val="clear" w:color="auto" w:fill="auto"/>
                  <w:tcMar>
                    <w:top w:w="0" w:type="dxa"/>
                    <w:left w:w="0" w:type="dxa"/>
                    <w:bottom w:w="0" w:type="dxa"/>
                    <w:right w:w="0" w:type="dxa"/>
                  </w:tcMar>
                  <w:vAlign w:val="center"/>
                </w:tcPr>
                <w:p w14:paraId="6FCD9114">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叠码机</w:t>
                  </w:r>
                </w:p>
              </w:tc>
              <w:tc>
                <w:tcPr>
                  <w:tcW w:w="228" w:type="pct"/>
                  <w:shd w:val="clear" w:color="auto" w:fill="auto"/>
                  <w:tcMar>
                    <w:top w:w="0" w:type="dxa"/>
                    <w:left w:w="0" w:type="dxa"/>
                    <w:bottom w:w="0" w:type="dxa"/>
                    <w:right w:w="0" w:type="dxa"/>
                  </w:tcMar>
                  <w:vAlign w:val="center"/>
                </w:tcPr>
                <w:p w14:paraId="10D07FF4">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75</w:t>
                  </w:r>
                </w:p>
              </w:tc>
              <w:tc>
                <w:tcPr>
                  <w:tcW w:w="194" w:type="pct"/>
                  <w:vMerge w:val="continue"/>
                  <w:shd w:val="clear" w:color="auto" w:fill="auto"/>
                  <w:tcMar>
                    <w:top w:w="0" w:type="dxa"/>
                    <w:left w:w="0" w:type="dxa"/>
                    <w:bottom w:w="0" w:type="dxa"/>
                    <w:right w:w="0" w:type="dxa"/>
                  </w:tcMar>
                  <w:vAlign w:val="center"/>
                </w:tcPr>
                <w:p w14:paraId="336A44D2">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65B767B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-16.3</w:t>
                  </w:r>
                </w:p>
              </w:tc>
              <w:tc>
                <w:tcPr>
                  <w:tcW w:w="209" w:type="pct"/>
                  <w:shd w:val="clear" w:color="auto" w:fill="auto"/>
                  <w:tcMar>
                    <w:top w:w="0" w:type="dxa"/>
                    <w:left w:w="0" w:type="dxa"/>
                    <w:bottom w:w="0" w:type="dxa"/>
                    <w:right w:w="0" w:type="dxa"/>
                  </w:tcMar>
                  <w:vAlign w:val="center"/>
                </w:tcPr>
                <w:p w14:paraId="3AA3213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w:t>
                  </w:r>
                </w:p>
              </w:tc>
              <w:tc>
                <w:tcPr>
                  <w:tcW w:w="223" w:type="pct"/>
                  <w:shd w:val="clear" w:color="auto" w:fill="auto"/>
                  <w:tcMar>
                    <w:top w:w="0" w:type="dxa"/>
                    <w:left w:w="0" w:type="dxa"/>
                    <w:bottom w:w="0" w:type="dxa"/>
                    <w:right w:w="0" w:type="dxa"/>
                  </w:tcMar>
                  <w:vAlign w:val="center"/>
                </w:tcPr>
                <w:p w14:paraId="77BF6BBD">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96" w:type="pct"/>
                  <w:shd w:val="clear" w:color="auto" w:fill="auto"/>
                  <w:tcMar>
                    <w:top w:w="0" w:type="dxa"/>
                    <w:left w:w="0" w:type="dxa"/>
                    <w:bottom w:w="0" w:type="dxa"/>
                    <w:right w:w="0" w:type="dxa"/>
                  </w:tcMar>
                  <w:vAlign w:val="center"/>
                </w:tcPr>
                <w:p w14:paraId="78A8645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18.4</w:t>
                  </w:r>
                </w:p>
              </w:tc>
              <w:tc>
                <w:tcPr>
                  <w:tcW w:w="196" w:type="pct"/>
                  <w:shd w:val="clear" w:color="auto" w:fill="auto"/>
                  <w:tcMar>
                    <w:top w:w="0" w:type="dxa"/>
                    <w:left w:w="0" w:type="dxa"/>
                    <w:bottom w:w="0" w:type="dxa"/>
                    <w:right w:w="0" w:type="dxa"/>
                  </w:tcMar>
                  <w:vAlign w:val="center"/>
                </w:tcPr>
                <w:p w14:paraId="3D62BCB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51.3</w:t>
                  </w:r>
                </w:p>
              </w:tc>
              <w:tc>
                <w:tcPr>
                  <w:tcW w:w="196" w:type="pct"/>
                  <w:shd w:val="clear" w:color="auto" w:fill="auto"/>
                  <w:tcMar>
                    <w:top w:w="0" w:type="dxa"/>
                    <w:left w:w="0" w:type="dxa"/>
                    <w:bottom w:w="0" w:type="dxa"/>
                    <w:right w:w="0" w:type="dxa"/>
                  </w:tcMar>
                  <w:vAlign w:val="center"/>
                </w:tcPr>
                <w:p w14:paraId="7E6C2F6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33.9</w:t>
                  </w:r>
                </w:p>
              </w:tc>
              <w:tc>
                <w:tcPr>
                  <w:tcW w:w="246" w:type="pct"/>
                  <w:shd w:val="clear" w:color="auto" w:fill="auto"/>
                  <w:tcMar>
                    <w:top w:w="0" w:type="dxa"/>
                    <w:left w:w="0" w:type="dxa"/>
                    <w:bottom w:w="0" w:type="dxa"/>
                    <w:right w:w="0" w:type="dxa"/>
                  </w:tcMar>
                  <w:vAlign w:val="center"/>
                </w:tcPr>
                <w:p w14:paraId="5BE5B12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61.9</w:t>
                  </w:r>
                </w:p>
              </w:tc>
              <w:tc>
                <w:tcPr>
                  <w:tcW w:w="176" w:type="pct"/>
                  <w:shd w:val="clear" w:color="auto" w:fill="auto"/>
                  <w:tcMar>
                    <w:top w:w="0" w:type="dxa"/>
                    <w:left w:w="0" w:type="dxa"/>
                    <w:bottom w:w="0" w:type="dxa"/>
                    <w:right w:w="0" w:type="dxa"/>
                  </w:tcMar>
                  <w:vAlign w:val="center"/>
                </w:tcPr>
                <w:p w14:paraId="3862CD3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57.0</w:t>
                  </w:r>
                </w:p>
              </w:tc>
              <w:tc>
                <w:tcPr>
                  <w:tcW w:w="176" w:type="pct"/>
                  <w:shd w:val="clear" w:color="auto" w:fill="auto"/>
                  <w:tcMar>
                    <w:top w:w="0" w:type="dxa"/>
                    <w:left w:w="0" w:type="dxa"/>
                    <w:bottom w:w="0" w:type="dxa"/>
                    <w:right w:w="0" w:type="dxa"/>
                  </w:tcMar>
                  <w:vAlign w:val="center"/>
                </w:tcPr>
                <w:p w14:paraId="25D8F4E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57.0</w:t>
                  </w:r>
                </w:p>
              </w:tc>
              <w:tc>
                <w:tcPr>
                  <w:tcW w:w="176" w:type="pct"/>
                  <w:shd w:val="clear" w:color="auto" w:fill="auto"/>
                  <w:tcMar>
                    <w:top w:w="0" w:type="dxa"/>
                    <w:left w:w="0" w:type="dxa"/>
                    <w:bottom w:w="0" w:type="dxa"/>
                    <w:right w:w="0" w:type="dxa"/>
                  </w:tcMar>
                  <w:vAlign w:val="center"/>
                </w:tcPr>
                <w:p w14:paraId="3820EC3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57.0</w:t>
                  </w:r>
                </w:p>
              </w:tc>
              <w:tc>
                <w:tcPr>
                  <w:tcW w:w="187" w:type="pct"/>
                  <w:shd w:val="clear" w:color="auto" w:fill="auto"/>
                  <w:tcMar>
                    <w:top w:w="0" w:type="dxa"/>
                    <w:left w:w="0" w:type="dxa"/>
                    <w:bottom w:w="0" w:type="dxa"/>
                    <w:right w:w="0" w:type="dxa"/>
                  </w:tcMar>
                  <w:vAlign w:val="center"/>
                </w:tcPr>
                <w:p w14:paraId="53BEF88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57.0</w:t>
                  </w:r>
                </w:p>
              </w:tc>
              <w:tc>
                <w:tcPr>
                  <w:tcW w:w="172" w:type="pct"/>
                  <w:vMerge w:val="continue"/>
                  <w:shd w:val="clear" w:color="auto" w:fill="auto"/>
                  <w:tcMar>
                    <w:top w:w="0" w:type="dxa"/>
                    <w:left w:w="0" w:type="dxa"/>
                    <w:bottom w:w="0" w:type="dxa"/>
                    <w:right w:w="0" w:type="dxa"/>
                  </w:tcMar>
                  <w:vAlign w:val="center"/>
                </w:tcPr>
                <w:p w14:paraId="2F24D08D">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7055947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B3C4A2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518533D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0BC5BEC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48BC82D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31.0</w:t>
                  </w:r>
                </w:p>
              </w:tc>
              <w:tc>
                <w:tcPr>
                  <w:tcW w:w="179" w:type="pct"/>
                  <w:shd w:val="clear" w:color="auto" w:fill="auto"/>
                  <w:tcMar>
                    <w:top w:w="0" w:type="dxa"/>
                    <w:left w:w="0" w:type="dxa"/>
                    <w:bottom w:w="0" w:type="dxa"/>
                    <w:right w:w="0" w:type="dxa"/>
                  </w:tcMar>
                  <w:vAlign w:val="center"/>
                </w:tcPr>
                <w:p w14:paraId="3DDBF49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31.0</w:t>
                  </w:r>
                </w:p>
              </w:tc>
              <w:tc>
                <w:tcPr>
                  <w:tcW w:w="179" w:type="pct"/>
                  <w:shd w:val="clear" w:color="auto" w:fill="auto"/>
                  <w:tcMar>
                    <w:top w:w="0" w:type="dxa"/>
                    <w:left w:w="0" w:type="dxa"/>
                    <w:bottom w:w="0" w:type="dxa"/>
                    <w:right w:w="0" w:type="dxa"/>
                  </w:tcMar>
                  <w:vAlign w:val="center"/>
                </w:tcPr>
                <w:p w14:paraId="79CD71B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31.0</w:t>
                  </w:r>
                </w:p>
              </w:tc>
              <w:tc>
                <w:tcPr>
                  <w:tcW w:w="179" w:type="pct"/>
                  <w:shd w:val="clear" w:color="auto" w:fill="auto"/>
                  <w:tcMar>
                    <w:top w:w="0" w:type="dxa"/>
                    <w:left w:w="0" w:type="dxa"/>
                    <w:bottom w:w="0" w:type="dxa"/>
                    <w:right w:w="0" w:type="dxa"/>
                  </w:tcMar>
                  <w:vAlign w:val="center"/>
                </w:tcPr>
                <w:p w14:paraId="08FB569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31.0</w:t>
                  </w:r>
                </w:p>
              </w:tc>
              <w:tc>
                <w:tcPr>
                  <w:tcW w:w="223" w:type="pct"/>
                  <w:shd w:val="clear" w:color="auto" w:fill="auto"/>
                  <w:tcMar>
                    <w:top w:w="0" w:type="dxa"/>
                    <w:left w:w="0" w:type="dxa"/>
                    <w:bottom w:w="0" w:type="dxa"/>
                    <w:right w:w="0" w:type="dxa"/>
                  </w:tcMar>
                  <w:vAlign w:val="center"/>
                </w:tcPr>
                <w:p w14:paraId="4E301ED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522F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5787F7D3">
                  <w:pPr>
                    <w:pStyle w:val="13"/>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5</w:t>
                  </w:r>
                </w:p>
              </w:tc>
              <w:tc>
                <w:tcPr>
                  <w:tcW w:w="407" w:type="pct"/>
                  <w:shd w:val="clear" w:color="auto" w:fill="auto"/>
                  <w:tcMar>
                    <w:top w:w="0" w:type="dxa"/>
                    <w:left w:w="0" w:type="dxa"/>
                    <w:bottom w:w="0" w:type="dxa"/>
                    <w:right w:w="0" w:type="dxa"/>
                  </w:tcMar>
                  <w:vAlign w:val="center"/>
                </w:tcPr>
                <w:p w14:paraId="469AA4CE">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输送系统</w:t>
                  </w:r>
                </w:p>
              </w:tc>
              <w:tc>
                <w:tcPr>
                  <w:tcW w:w="228" w:type="pct"/>
                  <w:shd w:val="clear" w:color="auto" w:fill="auto"/>
                  <w:tcMar>
                    <w:top w:w="0" w:type="dxa"/>
                    <w:left w:w="0" w:type="dxa"/>
                    <w:bottom w:w="0" w:type="dxa"/>
                    <w:right w:w="0" w:type="dxa"/>
                  </w:tcMar>
                  <w:vAlign w:val="center"/>
                </w:tcPr>
                <w:p w14:paraId="154CA77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30AF5BE3">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49CF54E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-18.9</w:t>
                  </w:r>
                </w:p>
              </w:tc>
              <w:tc>
                <w:tcPr>
                  <w:tcW w:w="209" w:type="pct"/>
                  <w:shd w:val="clear" w:color="auto" w:fill="auto"/>
                  <w:tcMar>
                    <w:top w:w="0" w:type="dxa"/>
                    <w:left w:w="0" w:type="dxa"/>
                    <w:bottom w:w="0" w:type="dxa"/>
                    <w:right w:w="0" w:type="dxa"/>
                  </w:tcMar>
                  <w:vAlign w:val="center"/>
                </w:tcPr>
                <w:p w14:paraId="463E6A4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-10.3</w:t>
                  </w:r>
                </w:p>
              </w:tc>
              <w:tc>
                <w:tcPr>
                  <w:tcW w:w="223" w:type="pct"/>
                  <w:shd w:val="clear" w:color="auto" w:fill="auto"/>
                  <w:tcMar>
                    <w:top w:w="0" w:type="dxa"/>
                    <w:left w:w="0" w:type="dxa"/>
                    <w:bottom w:w="0" w:type="dxa"/>
                    <w:right w:w="0" w:type="dxa"/>
                  </w:tcMar>
                  <w:vAlign w:val="center"/>
                </w:tcPr>
                <w:p w14:paraId="76C4D0BD">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196" w:type="pct"/>
                  <w:shd w:val="clear" w:color="auto" w:fill="auto"/>
                  <w:tcMar>
                    <w:top w:w="0" w:type="dxa"/>
                    <w:left w:w="0" w:type="dxa"/>
                    <w:bottom w:w="0" w:type="dxa"/>
                    <w:right w:w="0" w:type="dxa"/>
                  </w:tcMar>
                  <w:vAlign w:val="center"/>
                </w:tcPr>
                <w:p w14:paraId="79E5BF5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23.9</w:t>
                  </w:r>
                </w:p>
              </w:tc>
              <w:tc>
                <w:tcPr>
                  <w:tcW w:w="196" w:type="pct"/>
                  <w:shd w:val="clear" w:color="auto" w:fill="auto"/>
                  <w:tcMar>
                    <w:top w:w="0" w:type="dxa"/>
                    <w:left w:w="0" w:type="dxa"/>
                    <w:bottom w:w="0" w:type="dxa"/>
                    <w:right w:w="0" w:type="dxa"/>
                  </w:tcMar>
                  <w:vAlign w:val="center"/>
                </w:tcPr>
                <w:p w14:paraId="02A7440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46.7</w:t>
                  </w:r>
                </w:p>
              </w:tc>
              <w:tc>
                <w:tcPr>
                  <w:tcW w:w="196" w:type="pct"/>
                  <w:shd w:val="clear" w:color="auto" w:fill="auto"/>
                  <w:tcMar>
                    <w:top w:w="0" w:type="dxa"/>
                    <w:left w:w="0" w:type="dxa"/>
                    <w:bottom w:w="0" w:type="dxa"/>
                    <w:right w:w="0" w:type="dxa"/>
                  </w:tcMar>
                  <w:vAlign w:val="center"/>
                </w:tcPr>
                <w:p w14:paraId="0DD56C8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28.5</w:t>
                  </w:r>
                </w:p>
              </w:tc>
              <w:tc>
                <w:tcPr>
                  <w:tcW w:w="246" w:type="pct"/>
                  <w:shd w:val="clear" w:color="auto" w:fill="auto"/>
                  <w:tcMar>
                    <w:top w:w="0" w:type="dxa"/>
                    <w:left w:w="0" w:type="dxa"/>
                    <w:bottom w:w="0" w:type="dxa"/>
                    <w:right w:w="0" w:type="dxa"/>
                  </w:tcMar>
                  <w:vAlign w:val="center"/>
                </w:tcPr>
                <w:p w14:paraId="1163E63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66.5</w:t>
                  </w:r>
                </w:p>
              </w:tc>
              <w:tc>
                <w:tcPr>
                  <w:tcW w:w="176" w:type="pct"/>
                  <w:shd w:val="clear" w:color="auto" w:fill="auto"/>
                  <w:tcMar>
                    <w:top w:w="0" w:type="dxa"/>
                    <w:left w:w="0" w:type="dxa"/>
                    <w:bottom w:w="0" w:type="dxa"/>
                    <w:right w:w="0" w:type="dxa"/>
                  </w:tcMar>
                  <w:vAlign w:val="center"/>
                </w:tcPr>
                <w:p w14:paraId="56E46FE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56A8E16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2C915D0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87" w:type="pct"/>
                  <w:shd w:val="clear" w:color="auto" w:fill="auto"/>
                  <w:tcMar>
                    <w:top w:w="0" w:type="dxa"/>
                    <w:left w:w="0" w:type="dxa"/>
                    <w:bottom w:w="0" w:type="dxa"/>
                    <w:right w:w="0" w:type="dxa"/>
                  </w:tcMar>
                  <w:vAlign w:val="center"/>
                </w:tcPr>
                <w:p w14:paraId="4C46FDF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2" w:type="pct"/>
                  <w:vMerge w:val="continue"/>
                  <w:shd w:val="clear" w:color="auto" w:fill="auto"/>
                  <w:tcMar>
                    <w:top w:w="0" w:type="dxa"/>
                    <w:left w:w="0" w:type="dxa"/>
                    <w:bottom w:w="0" w:type="dxa"/>
                    <w:right w:w="0" w:type="dxa"/>
                  </w:tcMar>
                  <w:vAlign w:val="center"/>
                </w:tcPr>
                <w:p w14:paraId="19FF1C18">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3386E8E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F754CA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095D71B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536280E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239DC79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7E4BE76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1308597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4BC3545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223" w:type="pct"/>
                  <w:shd w:val="clear" w:color="auto" w:fill="auto"/>
                  <w:tcMar>
                    <w:top w:w="0" w:type="dxa"/>
                    <w:left w:w="0" w:type="dxa"/>
                    <w:bottom w:w="0" w:type="dxa"/>
                    <w:right w:w="0" w:type="dxa"/>
                  </w:tcMar>
                  <w:vAlign w:val="center"/>
                </w:tcPr>
                <w:p w14:paraId="5F00916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757E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52700C1">
                  <w:pPr>
                    <w:pStyle w:val="13"/>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6</w:t>
                  </w:r>
                </w:p>
              </w:tc>
              <w:tc>
                <w:tcPr>
                  <w:tcW w:w="407" w:type="pct"/>
                  <w:shd w:val="clear" w:color="auto" w:fill="auto"/>
                  <w:tcMar>
                    <w:top w:w="0" w:type="dxa"/>
                    <w:left w:w="0" w:type="dxa"/>
                    <w:bottom w:w="0" w:type="dxa"/>
                    <w:right w:w="0" w:type="dxa"/>
                  </w:tcMar>
                  <w:vAlign w:val="center"/>
                </w:tcPr>
                <w:p w14:paraId="7831FE15">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蒸养箱</w:t>
                  </w:r>
                </w:p>
              </w:tc>
              <w:tc>
                <w:tcPr>
                  <w:tcW w:w="228" w:type="pct"/>
                  <w:shd w:val="clear" w:color="auto" w:fill="auto"/>
                  <w:tcMar>
                    <w:top w:w="0" w:type="dxa"/>
                    <w:left w:w="0" w:type="dxa"/>
                    <w:bottom w:w="0" w:type="dxa"/>
                    <w:right w:w="0" w:type="dxa"/>
                  </w:tcMar>
                  <w:vAlign w:val="center"/>
                </w:tcPr>
                <w:p w14:paraId="61BBBC8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60</w:t>
                  </w:r>
                </w:p>
              </w:tc>
              <w:tc>
                <w:tcPr>
                  <w:tcW w:w="194" w:type="pct"/>
                  <w:vMerge w:val="continue"/>
                  <w:shd w:val="clear" w:color="auto" w:fill="auto"/>
                  <w:tcMar>
                    <w:top w:w="0" w:type="dxa"/>
                    <w:left w:w="0" w:type="dxa"/>
                    <w:bottom w:w="0" w:type="dxa"/>
                    <w:right w:w="0" w:type="dxa"/>
                  </w:tcMar>
                  <w:vAlign w:val="center"/>
                </w:tcPr>
                <w:p w14:paraId="455BE8B4">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A5970F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-33.1</w:t>
                  </w:r>
                </w:p>
              </w:tc>
              <w:tc>
                <w:tcPr>
                  <w:tcW w:w="209" w:type="pct"/>
                  <w:shd w:val="clear" w:color="auto" w:fill="auto"/>
                  <w:tcMar>
                    <w:top w:w="0" w:type="dxa"/>
                    <w:left w:w="0" w:type="dxa"/>
                    <w:bottom w:w="0" w:type="dxa"/>
                    <w:right w:w="0" w:type="dxa"/>
                  </w:tcMar>
                  <w:vAlign w:val="center"/>
                </w:tcPr>
                <w:p w14:paraId="66F479A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0.9</w:t>
                  </w:r>
                </w:p>
              </w:tc>
              <w:tc>
                <w:tcPr>
                  <w:tcW w:w="223" w:type="pct"/>
                  <w:shd w:val="clear" w:color="auto" w:fill="auto"/>
                  <w:tcMar>
                    <w:top w:w="0" w:type="dxa"/>
                    <w:left w:w="0" w:type="dxa"/>
                    <w:bottom w:w="0" w:type="dxa"/>
                    <w:right w:w="0" w:type="dxa"/>
                  </w:tcMar>
                  <w:vAlign w:val="center"/>
                </w:tcPr>
                <w:p w14:paraId="38E35F1B">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196" w:type="pct"/>
                  <w:shd w:val="clear" w:color="auto" w:fill="auto"/>
                  <w:tcMar>
                    <w:top w:w="0" w:type="dxa"/>
                    <w:left w:w="0" w:type="dxa"/>
                    <w:bottom w:w="0" w:type="dxa"/>
                    <w:right w:w="0" w:type="dxa"/>
                  </w:tcMar>
                  <w:vAlign w:val="center"/>
                </w:tcPr>
                <w:p w14:paraId="27D6FE3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31.2</w:t>
                  </w:r>
                </w:p>
              </w:tc>
              <w:tc>
                <w:tcPr>
                  <w:tcW w:w="196" w:type="pct"/>
                  <w:shd w:val="clear" w:color="auto" w:fill="auto"/>
                  <w:tcMar>
                    <w:top w:w="0" w:type="dxa"/>
                    <w:left w:w="0" w:type="dxa"/>
                    <w:bottom w:w="0" w:type="dxa"/>
                    <w:right w:w="0" w:type="dxa"/>
                  </w:tcMar>
                  <w:vAlign w:val="center"/>
                </w:tcPr>
                <w:p w14:paraId="682D79E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63.2</w:t>
                  </w:r>
                </w:p>
              </w:tc>
              <w:tc>
                <w:tcPr>
                  <w:tcW w:w="196" w:type="pct"/>
                  <w:shd w:val="clear" w:color="auto" w:fill="auto"/>
                  <w:tcMar>
                    <w:top w:w="0" w:type="dxa"/>
                    <w:left w:w="0" w:type="dxa"/>
                    <w:bottom w:w="0" w:type="dxa"/>
                    <w:right w:w="0" w:type="dxa"/>
                  </w:tcMar>
                  <w:vAlign w:val="center"/>
                </w:tcPr>
                <w:p w14:paraId="26EDE2D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21.1</w:t>
                  </w:r>
                </w:p>
              </w:tc>
              <w:tc>
                <w:tcPr>
                  <w:tcW w:w="246" w:type="pct"/>
                  <w:shd w:val="clear" w:color="auto" w:fill="auto"/>
                  <w:tcMar>
                    <w:top w:w="0" w:type="dxa"/>
                    <w:left w:w="0" w:type="dxa"/>
                    <w:bottom w:w="0" w:type="dxa"/>
                    <w:right w:w="0" w:type="dxa"/>
                  </w:tcMar>
                  <w:vAlign w:val="center"/>
                </w:tcPr>
                <w:p w14:paraId="23E0CD8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49.9</w:t>
                  </w:r>
                </w:p>
              </w:tc>
              <w:tc>
                <w:tcPr>
                  <w:tcW w:w="176" w:type="pct"/>
                  <w:shd w:val="clear" w:color="auto" w:fill="auto"/>
                  <w:tcMar>
                    <w:top w:w="0" w:type="dxa"/>
                    <w:left w:w="0" w:type="dxa"/>
                    <w:bottom w:w="0" w:type="dxa"/>
                    <w:right w:w="0" w:type="dxa"/>
                  </w:tcMar>
                  <w:vAlign w:val="center"/>
                </w:tcPr>
                <w:p w14:paraId="7DDC008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6" w:type="pct"/>
                  <w:shd w:val="clear" w:color="auto" w:fill="auto"/>
                  <w:tcMar>
                    <w:top w:w="0" w:type="dxa"/>
                    <w:left w:w="0" w:type="dxa"/>
                    <w:bottom w:w="0" w:type="dxa"/>
                    <w:right w:w="0" w:type="dxa"/>
                  </w:tcMar>
                  <w:vAlign w:val="center"/>
                </w:tcPr>
                <w:p w14:paraId="57C5955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6" w:type="pct"/>
                  <w:shd w:val="clear" w:color="auto" w:fill="auto"/>
                  <w:tcMar>
                    <w:top w:w="0" w:type="dxa"/>
                    <w:left w:w="0" w:type="dxa"/>
                    <w:bottom w:w="0" w:type="dxa"/>
                    <w:right w:w="0" w:type="dxa"/>
                  </w:tcMar>
                  <w:vAlign w:val="center"/>
                </w:tcPr>
                <w:p w14:paraId="3C9ED8C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87" w:type="pct"/>
                  <w:shd w:val="clear" w:color="auto" w:fill="auto"/>
                  <w:tcMar>
                    <w:top w:w="0" w:type="dxa"/>
                    <w:left w:w="0" w:type="dxa"/>
                    <w:bottom w:w="0" w:type="dxa"/>
                    <w:right w:w="0" w:type="dxa"/>
                  </w:tcMar>
                  <w:vAlign w:val="center"/>
                </w:tcPr>
                <w:p w14:paraId="6014778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2" w:type="pct"/>
                  <w:vMerge w:val="continue"/>
                  <w:shd w:val="clear" w:color="auto" w:fill="auto"/>
                  <w:tcMar>
                    <w:top w:w="0" w:type="dxa"/>
                    <w:left w:w="0" w:type="dxa"/>
                    <w:bottom w:w="0" w:type="dxa"/>
                    <w:right w:w="0" w:type="dxa"/>
                  </w:tcMar>
                  <w:vAlign w:val="center"/>
                </w:tcPr>
                <w:p w14:paraId="4757AEC0">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146032B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DB4F68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56E47E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70AF2D7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668F072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701750A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2FF4E66B">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5E01189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223" w:type="pct"/>
                  <w:shd w:val="clear" w:color="auto" w:fill="auto"/>
                  <w:tcMar>
                    <w:top w:w="0" w:type="dxa"/>
                    <w:left w:w="0" w:type="dxa"/>
                    <w:bottom w:w="0" w:type="dxa"/>
                    <w:right w:w="0" w:type="dxa"/>
                  </w:tcMar>
                  <w:vAlign w:val="center"/>
                </w:tcPr>
                <w:p w14:paraId="36306FD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74E2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E93BAC8">
                  <w:pPr>
                    <w:pStyle w:val="13"/>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7</w:t>
                  </w:r>
                </w:p>
              </w:tc>
              <w:tc>
                <w:tcPr>
                  <w:tcW w:w="407" w:type="pct"/>
                  <w:shd w:val="clear" w:color="auto" w:fill="auto"/>
                  <w:tcMar>
                    <w:top w:w="0" w:type="dxa"/>
                    <w:left w:w="0" w:type="dxa"/>
                    <w:bottom w:w="0" w:type="dxa"/>
                    <w:right w:w="0" w:type="dxa"/>
                  </w:tcMar>
                  <w:vAlign w:val="center"/>
                </w:tcPr>
                <w:p w14:paraId="6D3FD800">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蒸汽发生器</w:t>
                  </w:r>
                </w:p>
              </w:tc>
              <w:tc>
                <w:tcPr>
                  <w:tcW w:w="228" w:type="pct"/>
                  <w:shd w:val="clear" w:color="auto" w:fill="auto"/>
                  <w:tcMar>
                    <w:top w:w="0" w:type="dxa"/>
                    <w:left w:w="0" w:type="dxa"/>
                    <w:bottom w:w="0" w:type="dxa"/>
                    <w:right w:w="0" w:type="dxa"/>
                  </w:tcMar>
                  <w:vAlign w:val="center"/>
                </w:tcPr>
                <w:p w14:paraId="29E01D0E">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60</w:t>
                  </w:r>
                </w:p>
              </w:tc>
              <w:tc>
                <w:tcPr>
                  <w:tcW w:w="194" w:type="pct"/>
                  <w:vMerge w:val="continue"/>
                  <w:shd w:val="clear" w:color="auto" w:fill="auto"/>
                  <w:tcMar>
                    <w:top w:w="0" w:type="dxa"/>
                    <w:left w:w="0" w:type="dxa"/>
                    <w:bottom w:w="0" w:type="dxa"/>
                    <w:right w:w="0" w:type="dxa"/>
                  </w:tcMar>
                  <w:vAlign w:val="center"/>
                </w:tcPr>
                <w:p w14:paraId="591ED81E">
                  <w:pPr>
                    <w:pStyle w:val="13"/>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4D6231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-36.2</w:t>
                  </w:r>
                </w:p>
              </w:tc>
              <w:tc>
                <w:tcPr>
                  <w:tcW w:w="209" w:type="pct"/>
                  <w:shd w:val="clear" w:color="auto" w:fill="auto"/>
                  <w:tcMar>
                    <w:top w:w="0" w:type="dxa"/>
                    <w:left w:w="0" w:type="dxa"/>
                    <w:bottom w:w="0" w:type="dxa"/>
                    <w:right w:w="0" w:type="dxa"/>
                  </w:tcMar>
                  <w:vAlign w:val="center"/>
                </w:tcPr>
                <w:p w14:paraId="269BE1C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4.5</w:t>
                  </w:r>
                </w:p>
              </w:tc>
              <w:tc>
                <w:tcPr>
                  <w:tcW w:w="223" w:type="pct"/>
                  <w:shd w:val="clear" w:color="auto" w:fill="auto"/>
                  <w:tcMar>
                    <w:top w:w="0" w:type="dxa"/>
                    <w:left w:w="0" w:type="dxa"/>
                    <w:bottom w:w="0" w:type="dxa"/>
                    <w:right w:w="0" w:type="dxa"/>
                  </w:tcMar>
                  <w:vAlign w:val="center"/>
                </w:tcPr>
                <w:p w14:paraId="36DC55BC">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0.8</w:t>
                  </w:r>
                </w:p>
              </w:tc>
              <w:tc>
                <w:tcPr>
                  <w:tcW w:w="196" w:type="pct"/>
                  <w:shd w:val="clear" w:color="auto" w:fill="auto"/>
                  <w:tcMar>
                    <w:top w:w="0" w:type="dxa"/>
                    <w:left w:w="0" w:type="dxa"/>
                    <w:bottom w:w="0" w:type="dxa"/>
                    <w:right w:w="0" w:type="dxa"/>
                  </w:tcMar>
                  <w:vAlign w:val="center"/>
                </w:tcPr>
                <w:p w14:paraId="681A36A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32.3</w:t>
                  </w:r>
                </w:p>
              </w:tc>
              <w:tc>
                <w:tcPr>
                  <w:tcW w:w="196" w:type="pct"/>
                  <w:shd w:val="clear" w:color="auto" w:fill="auto"/>
                  <w:tcMar>
                    <w:top w:w="0" w:type="dxa"/>
                    <w:left w:w="0" w:type="dxa"/>
                    <w:bottom w:w="0" w:type="dxa"/>
                    <w:right w:w="0" w:type="dxa"/>
                  </w:tcMar>
                  <w:vAlign w:val="center"/>
                </w:tcPr>
                <w:p w14:paraId="593D7AC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67.9</w:t>
                  </w:r>
                </w:p>
              </w:tc>
              <w:tc>
                <w:tcPr>
                  <w:tcW w:w="196" w:type="pct"/>
                  <w:shd w:val="clear" w:color="auto" w:fill="auto"/>
                  <w:tcMar>
                    <w:top w:w="0" w:type="dxa"/>
                    <w:left w:w="0" w:type="dxa"/>
                    <w:bottom w:w="0" w:type="dxa"/>
                    <w:right w:w="0" w:type="dxa"/>
                  </w:tcMar>
                  <w:vAlign w:val="center"/>
                </w:tcPr>
                <w:p w14:paraId="5CC050E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20.1</w:t>
                  </w:r>
                </w:p>
              </w:tc>
              <w:tc>
                <w:tcPr>
                  <w:tcW w:w="246" w:type="pct"/>
                  <w:shd w:val="clear" w:color="auto" w:fill="auto"/>
                  <w:tcMar>
                    <w:top w:w="0" w:type="dxa"/>
                    <w:left w:w="0" w:type="dxa"/>
                    <w:bottom w:w="0" w:type="dxa"/>
                    <w:right w:w="0" w:type="dxa"/>
                  </w:tcMar>
                  <w:vAlign w:val="center"/>
                </w:tcPr>
                <w:p w14:paraId="1C6A965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45.2</w:t>
                  </w:r>
                </w:p>
              </w:tc>
              <w:tc>
                <w:tcPr>
                  <w:tcW w:w="176" w:type="pct"/>
                  <w:shd w:val="clear" w:color="auto" w:fill="auto"/>
                  <w:tcMar>
                    <w:top w:w="0" w:type="dxa"/>
                    <w:left w:w="0" w:type="dxa"/>
                    <w:bottom w:w="0" w:type="dxa"/>
                    <w:right w:w="0" w:type="dxa"/>
                  </w:tcMar>
                  <w:vAlign w:val="center"/>
                </w:tcPr>
                <w:p w14:paraId="6408496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6" w:type="pct"/>
                  <w:shd w:val="clear" w:color="auto" w:fill="auto"/>
                  <w:tcMar>
                    <w:top w:w="0" w:type="dxa"/>
                    <w:left w:w="0" w:type="dxa"/>
                    <w:bottom w:w="0" w:type="dxa"/>
                    <w:right w:w="0" w:type="dxa"/>
                  </w:tcMar>
                  <w:vAlign w:val="center"/>
                </w:tcPr>
                <w:p w14:paraId="2C1C8C0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6" w:type="pct"/>
                  <w:shd w:val="clear" w:color="auto" w:fill="auto"/>
                  <w:tcMar>
                    <w:top w:w="0" w:type="dxa"/>
                    <w:left w:w="0" w:type="dxa"/>
                    <w:bottom w:w="0" w:type="dxa"/>
                    <w:right w:w="0" w:type="dxa"/>
                  </w:tcMar>
                  <w:vAlign w:val="center"/>
                </w:tcPr>
                <w:p w14:paraId="60F46C5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87" w:type="pct"/>
                  <w:shd w:val="clear" w:color="auto" w:fill="auto"/>
                  <w:tcMar>
                    <w:top w:w="0" w:type="dxa"/>
                    <w:left w:w="0" w:type="dxa"/>
                    <w:bottom w:w="0" w:type="dxa"/>
                    <w:right w:w="0" w:type="dxa"/>
                  </w:tcMar>
                  <w:vAlign w:val="center"/>
                </w:tcPr>
                <w:p w14:paraId="680BAD7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2" w:type="pct"/>
                  <w:vMerge w:val="continue"/>
                  <w:shd w:val="clear" w:color="auto" w:fill="auto"/>
                  <w:tcMar>
                    <w:top w:w="0" w:type="dxa"/>
                    <w:left w:w="0" w:type="dxa"/>
                    <w:bottom w:w="0" w:type="dxa"/>
                    <w:right w:w="0" w:type="dxa"/>
                  </w:tcMar>
                  <w:vAlign w:val="center"/>
                </w:tcPr>
                <w:p w14:paraId="4739D6FE">
                  <w:pPr>
                    <w:pStyle w:val="13"/>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49CEC80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ACFEC7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37A231F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5ADCED0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133138E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55F338A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48FAF75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663921B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223" w:type="pct"/>
                  <w:shd w:val="clear" w:color="auto" w:fill="auto"/>
                  <w:tcMar>
                    <w:top w:w="0" w:type="dxa"/>
                    <w:left w:w="0" w:type="dxa"/>
                    <w:bottom w:w="0" w:type="dxa"/>
                    <w:right w:w="0" w:type="dxa"/>
                  </w:tcMar>
                  <w:vAlign w:val="center"/>
                </w:tcPr>
                <w:p w14:paraId="52715ED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578E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5"/>
                  <w:shd w:val="clear" w:color="auto" w:fill="auto"/>
                  <w:tcMar>
                    <w:top w:w="0" w:type="dxa"/>
                    <w:left w:w="0" w:type="dxa"/>
                    <w:bottom w:w="0" w:type="dxa"/>
                    <w:right w:w="0" w:type="dxa"/>
                  </w:tcMar>
                  <w:vAlign w:val="center"/>
                </w:tcPr>
                <w:p w14:paraId="288B611D">
                  <w:pPr>
                    <w:pStyle w:val="13"/>
                    <w:jc w:val="left"/>
                    <w:rPr>
                      <w:rFonts w:cs="Times New Roman"/>
                      <w:color w:val="000000" w:themeColor="text1"/>
                      <w14:textFill>
                        <w14:solidFill>
                          <w14:schemeClr w14:val="tx1"/>
                        </w14:solidFill>
                      </w14:textFill>
                    </w:rPr>
                  </w:pPr>
                  <w:r>
                    <w:rPr>
                      <w:rFonts w:cs="Times New Roman"/>
                      <w:bCs/>
                      <w:color w:val="000000" w:themeColor="text1"/>
                      <w:szCs w:val="21"/>
                      <w14:textFill>
                        <w14:solidFill>
                          <w14:schemeClr w14:val="tx1"/>
                        </w14:solidFill>
                      </w14:textFill>
                    </w:rPr>
                    <w:t>表中坐标以</w:t>
                  </w:r>
                  <w:r>
                    <w:rPr>
                      <w:rFonts w:hint="eastAsia" w:cs="Times New Roman"/>
                      <w:bCs/>
                      <w:color w:val="000000" w:themeColor="text1"/>
                      <w:szCs w:val="21"/>
                      <w:lang w:val="en-US" w:eastAsia="zh-CN"/>
                      <w14:textFill>
                        <w14:solidFill>
                          <w14:schemeClr w14:val="tx1"/>
                        </w14:solidFill>
                      </w14:textFill>
                    </w:rPr>
                    <w:t>厂区中心</w:t>
                  </w:r>
                  <w:r>
                    <w:rPr>
                      <w:rFonts w:cs="Times New Roman"/>
                      <w:bCs/>
                      <w:color w:val="000000" w:themeColor="text1"/>
                      <w:szCs w:val="21"/>
                      <w14:textFill>
                        <w14:solidFill>
                          <w14:schemeClr w14:val="tx1"/>
                        </w14:solidFill>
                      </w14:textFill>
                    </w:rPr>
                    <w:t>（</w:t>
                  </w:r>
                  <w:bookmarkStart w:id="54" w:name="PO_4"/>
                  <w:r>
                    <w:rPr>
                      <w:rFonts w:cs="Times New Roman"/>
                      <w:bCs/>
                      <w:color w:val="000000" w:themeColor="text1"/>
                      <w:szCs w:val="21"/>
                      <w14:textFill>
                        <w14:solidFill>
                          <w14:schemeClr w14:val="tx1"/>
                        </w14:solidFill>
                      </w14:textFill>
                    </w:rPr>
                    <w:t>10</w:t>
                  </w:r>
                  <w:bookmarkEnd w:id="54"/>
                  <w:r>
                    <w:rPr>
                      <w:rFonts w:hint="eastAsia" w:cs="Times New Roman"/>
                      <w:bCs/>
                      <w:color w:val="000000" w:themeColor="text1"/>
                      <w:szCs w:val="21"/>
                      <w:lang w:val="en-US" w:eastAsia="zh-CN"/>
                      <w14:textFill>
                        <w14:solidFill>
                          <w14:schemeClr w14:val="tx1"/>
                        </w14:solidFill>
                      </w14:textFill>
                    </w:rPr>
                    <w:t>7°8′17.472″，31°31′55.248″</w:t>
                  </w:r>
                  <w:r>
                    <w:rPr>
                      <w:rFonts w:cs="Times New Roman"/>
                      <w:bCs/>
                      <w:color w:val="000000" w:themeColor="text1"/>
                      <w:szCs w:val="21"/>
                      <w14:textFill>
                        <w14:solidFill>
                          <w14:schemeClr w14:val="tx1"/>
                        </w14:solidFill>
                      </w14:textFill>
                    </w:rPr>
                    <w:t>）为坐标原点，噪声设备为最大可能同时使用设备。</w:t>
                  </w:r>
                </w:p>
              </w:tc>
            </w:tr>
            <w:bookmarkEnd w:id="52"/>
          </w:tbl>
          <w:p w14:paraId="51F065BC">
            <w:pPr>
              <w:ind w:firstLine="480"/>
              <w:rPr>
                <w:rFonts w:cs="Times New Roman"/>
                <w:color w:val="000000" w:themeColor="text1"/>
                <w14:textFill>
                  <w14:solidFill>
                    <w14:schemeClr w14:val="tx1"/>
                  </w14:solidFill>
                </w14:textFill>
              </w:rPr>
            </w:pPr>
          </w:p>
          <w:p w14:paraId="045F6205">
            <w:pPr>
              <w:pStyle w:val="19"/>
              <w:rPr>
                <w:color w:val="000000" w:themeColor="text1"/>
                <w14:textFill>
                  <w14:solidFill>
                    <w14:schemeClr w14:val="tx1"/>
                  </w14:solidFill>
                </w14:textFill>
              </w:rPr>
            </w:pPr>
          </w:p>
          <w:p w14:paraId="26C4F2F2">
            <w:pPr>
              <w:pStyle w:val="35"/>
              <w:rPr>
                <w:color w:val="000000" w:themeColor="text1"/>
                <w14:textFill>
                  <w14:solidFill>
                    <w14:schemeClr w14:val="tx1"/>
                  </w14:solidFill>
                </w14:textFill>
              </w:rPr>
            </w:pPr>
          </w:p>
          <w:p w14:paraId="51BA12F8">
            <w:pPr>
              <w:rPr>
                <w:color w:val="000000" w:themeColor="text1"/>
                <w14:textFill>
                  <w14:solidFill>
                    <w14:schemeClr w14:val="tx1"/>
                  </w14:solidFill>
                </w14:textFill>
              </w:rPr>
            </w:pPr>
          </w:p>
          <w:p w14:paraId="7215141A">
            <w:pPr>
              <w:rPr>
                <w:color w:val="000000" w:themeColor="text1"/>
                <w14:textFill>
                  <w14:solidFill>
                    <w14:schemeClr w14:val="tx1"/>
                  </w14:solidFill>
                </w14:textFill>
              </w:rPr>
            </w:pPr>
          </w:p>
          <w:p w14:paraId="629AA24A">
            <w:pPr>
              <w:rPr>
                <w:color w:val="000000" w:themeColor="text1"/>
                <w14:textFill>
                  <w14:solidFill>
                    <w14:schemeClr w14:val="tx1"/>
                  </w14:solidFill>
                </w14:textFill>
              </w:rPr>
            </w:pPr>
          </w:p>
          <w:p w14:paraId="7CD4CBDF">
            <w:pPr>
              <w:rPr>
                <w:color w:val="000000" w:themeColor="text1"/>
                <w14:textFill>
                  <w14:solidFill>
                    <w14:schemeClr w14:val="tx1"/>
                  </w14:solidFill>
                </w14:textFill>
              </w:rPr>
            </w:pPr>
          </w:p>
          <w:p w14:paraId="3E625E91">
            <w:pPr>
              <w:rPr>
                <w:color w:val="000000" w:themeColor="text1"/>
                <w14:textFill>
                  <w14:solidFill>
                    <w14:schemeClr w14:val="tx1"/>
                  </w14:solidFill>
                </w14:textFill>
              </w:rPr>
            </w:pPr>
          </w:p>
          <w:p w14:paraId="2C4AC2E9">
            <w:pPr>
              <w:rPr>
                <w:color w:val="000000" w:themeColor="text1"/>
                <w14:textFill>
                  <w14:solidFill>
                    <w14:schemeClr w14:val="tx1"/>
                  </w14:solidFill>
                </w14:textFill>
              </w:rPr>
            </w:pPr>
          </w:p>
          <w:p w14:paraId="71B36A55">
            <w:pPr>
              <w:rPr>
                <w:color w:val="000000" w:themeColor="text1"/>
                <w14:textFill>
                  <w14:solidFill>
                    <w14:schemeClr w14:val="tx1"/>
                  </w14:solidFill>
                </w14:textFill>
              </w:rPr>
            </w:pPr>
          </w:p>
          <w:p w14:paraId="4ECAA940">
            <w:pPr>
              <w:rPr>
                <w:color w:val="000000" w:themeColor="text1"/>
                <w14:textFill>
                  <w14:solidFill>
                    <w14:schemeClr w14:val="tx1"/>
                  </w14:solidFill>
                </w14:textFill>
              </w:rPr>
            </w:pPr>
          </w:p>
          <w:p w14:paraId="7E0E25D8">
            <w:pPr>
              <w:rPr>
                <w:color w:val="000000" w:themeColor="text1"/>
                <w14:textFill>
                  <w14:solidFill>
                    <w14:schemeClr w14:val="tx1"/>
                  </w14:solidFill>
                </w14:textFill>
              </w:rPr>
            </w:pPr>
          </w:p>
          <w:p w14:paraId="7F707A09">
            <w:pPr>
              <w:rPr>
                <w:color w:val="000000" w:themeColor="text1"/>
                <w14:textFill>
                  <w14:solidFill>
                    <w14:schemeClr w14:val="tx1"/>
                  </w14:solidFill>
                </w14:textFill>
              </w:rPr>
            </w:pPr>
          </w:p>
          <w:p w14:paraId="0C38A098">
            <w:pPr>
              <w:rPr>
                <w:color w:val="000000" w:themeColor="text1"/>
                <w14:textFill>
                  <w14:solidFill>
                    <w14:schemeClr w14:val="tx1"/>
                  </w14:solidFill>
                </w14:textFill>
              </w:rPr>
            </w:pPr>
          </w:p>
          <w:p w14:paraId="3E3BB5B1">
            <w:pPr>
              <w:rPr>
                <w:color w:val="000000" w:themeColor="text1"/>
                <w14:textFill>
                  <w14:solidFill>
                    <w14:schemeClr w14:val="tx1"/>
                  </w14:solidFill>
                </w14:textFill>
              </w:rPr>
            </w:pPr>
          </w:p>
          <w:p w14:paraId="07419CCC">
            <w:pPr>
              <w:ind w:left="0" w:leftChars="0" w:firstLine="0" w:firstLineChars="0"/>
              <w:rPr>
                <w:color w:val="000000" w:themeColor="text1"/>
                <w14:textFill>
                  <w14:solidFill>
                    <w14:schemeClr w14:val="tx1"/>
                  </w14:solidFill>
                </w14:textFill>
              </w:rPr>
            </w:pPr>
          </w:p>
        </w:tc>
      </w:tr>
    </w:tbl>
    <w:p w14:paraId="3C841F0A">
      <w:pPr>
        <w:ind w:firstLine="480"/>
        <w:rPr>
          <w:rFonts w:cs="Times New Roman"/>
          <w:color w:val="000000" w:themeColor="text1"/>
          <w14:textFill>
            <w14:solidFill>
              <w14:schemeClr w14:val="tx1"/>
            </w14:solidFill>
          </w14:textFill>
        </w:rPr>
        <w:sectPr>
          <w:pgSz w:w="16838" w:h="11906" w:orient="landscape"/>
          <w:pgMar w:top="1080" w:right="1440" w:bottom="1080" w:left="1440" w:header="851" w:footer="992" w:gutter="0"/>
          <w:cols w:space="425" w:num="1"/>
          <w:docGrid w:type="lines" w:linePitch="326" w:charSpace="0"/>
        </w:sectPr>
      </w:pP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280"/>
      </w:tblGrid>
      <w:tr w14:paraId="1BFA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5" w:hRule="atLeast"/>
        </w:trPr>
        <w:tc>
          <w:tcPr>
            <w:tcW w:w="414" w:type="dxa"/>
          </w:tcPr>
          <w:p w14:paraId="1301D424">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运营</w:t>
            </w:r>
          </w:p>
          <w:p w14:paraId="4834240C">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期环</w:t>
            </w:r>
          </w:p>
          <w:p w14:paraId="1357B854">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境影</w:t>
            </w:r>
          </w:p>
          <w:p w14:paraId="27472B6F">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响和</w:t>
            </w:r>
          </w:p>
          <w:p w14:paraId="705A0EA6">
            <w:pPr>
              <w:pStyle w:val="27"/>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保护</w:t>
            </w:r>
          </w:p>
          <w:p w14:paraId="71704C5C">
            <w:pPr>
              <w:pStyle w:val="27"/>
              <w:rPr>
                <w:rFonts w:cs="Times New Roman"/>
                <w:color w:val="000000" w:themeColor="text1"/>
                <w14:textFill>
                  <w14:solidFill>
                    <w14:schemeClr w14:val="tx1"/>
                  </w14:solidFill>
                </w14:textFill>
              </w:rPr>
            </w:pPr>
            <w:r>
              <w:rPr>
                <w:rFonts w:cs="Times New Roman"/>
                <w:color w:val="000000" w:themeColor="text1"/>
                <w:sz w:val="24"/>
                <w:szCs w:val="28"/>
                <w14:textFill>
                  <w14:solidFill>
                    <w14:schemeClr w14:val="tx1"/>
                  </w14:solidFill>
                </w14:textFill>
              </w:rPr>
              <w:t>措施</w:t>
            </w:r>
          </w:p>
        </w:tc>
        <w:tc>
          <w:tcPr>
            <w:tcW w:w="9548" w:type="dxa"/>
          </w:tcPr>
          <w:p w14:paraId="6A2A2728">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（2）噪声治理措施</w:t>
            </w:r>
          </w:p>
          <w:p w14:paraId="4DD8BDAE">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本项目营运期间拟采取以下降噪措施：</w:t>
            </w:r>
          </w:p>
          <w:p w14:paraId="0EF18CE9">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rFonts w:cs="Times New Roman"/>
                <w:color w:val="000000" w:themeColor="text1"/>
                <w14:textFill>
                  <w14:solidFill>
                    <w14:schemeClr w14:val="tx1"/>
                  </w14:solidFill>
                </w14:textFill>
              </w:rPr>
              <w:t>选用低噪设备：选用先进的低噪设备，从声源上降低设备本身噪声。</w:t>
            </w:r>
          </w:p>
          <w:p w14:paraId="63B7922C">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rFonts w:cs="Times New Roman"/>
                <w:color w:val="000000" w:themeColor="text1"/>
                <w14:textFill>
                  <w14:solidFill>
                    <w14:schemeClr w14:val="tx1"/>
                  </w14:solidFill>
                </w14:textFill>
              </w:rPr>
              <w:t>合理平面布局：车间内划定分区合理布置声源位置，将高噪声设备合理在车间内布置</w:t>
            </w:r>
            <w:r>
              <w:rPr>
                <w:rFonts w:hint="eastAsia" w:cs="Times New Roman"/>
                <w:color w:val="000000" w:themeColor="text1"/>
                <w:lang w:eastAsia="zh-CN"/>
                <w14:textFill>
                  <w14:solidFill>
                    <w14:schemeClr w14:val="tx1"/>
                  </w14:solidFill>
                </w14:textFill>
              </w:rPr>
              <w:t>；设置</w:t>
            </w:r>
            <w:r>
              <w:rPr>
                <w:rFonts w:hint="eastAsia" w:cs="Times New Roman"/>
                <w:color w:val="000000" w:themeColor="text1"/>
                <w:lang w:val="en-US" w:eastAsia="zh-CN"/>
                <w14:textFill>
                  <w14:solidFill>
                    <w14:schemeClr w14:val="tx1"/>
                  </w14:solidFill>
                </w14:textFill>
              </w:rPr>
              <w:t>独立密闭风机房</w:t>
            </w:r>
            <w:r>
              <w:rPr>
                <w:rFonts w:cs="Times New Roman"/>
                <w:color w:val="000000" w:themeColor="text1"/>
                <w14:textFill>
                  <w14:solidFill>
                    <w14:schemeClr w14:val="tx1"/>
                  </w14:solidFill>
                </w14:textFill>
              </w:rPr>
              <w:t>。</w:t>
            </w:r>
          </w:p>
          <w:p w14:paraId="146F7F6C">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rFonts w:cs="Times New Roman"/>
                <w:color w:val="000000" w:themeColor="text1"/>
                <w14:textFill>
                  <w14:solidFill>
                    <w14:schemeClr w14:val="tx1"/>
                  </w14:solidFill>
                </w14:textFill>
              </w:rPr>
              <w:t>基础</w:t>
            </w:r>
            <w:r>
              <w:rPr>
                <w:rFonts w:hint="eastAsia" w:cs="Times New Roman"/>
                <w:color w:val="000000" w:themeColor="text1"/>
                <w:lang w:eastAsia="zh-CN"/>
                <w14:textFill>
                  <w14:solidFill>
                    <w14:schemeClr w14:val="tx1"/>
                  </w14:solidFill>
                </w14:textFill>
              </w:rPr>
              <w:t>减振</w:t>
            </w:r>
            <w:r>
              <w:rPr>
                <w:rFonts w:cs="Times New Roman"/>
                <w:color w:val="000000" w:themeColor="text1"/>
                <w14:textFill>
                  <w14:solidFill>
                    <w14:schemeClr w14:val="tx1"/>
                  </w14:solidFill>
                </w14:textFill>
              </w:rPr>
              <w:t>：因机械设备运转不平衡将导致设备振动和墙体振动从而产生噪声。因此，在机械设备与基础之间增加弹簧或者由弹性材料制作的减振垫层、减振器，</w:t>
            </w:r>
            <w:r>
              <w:rPr>
                <w:rFonts w:hint="eastAsia" w:cs="Times New Roman"/>
                <w:color w:val="000000" w:themeColor="text1"/>
                <w:lang w:val="en-US" w:eastAsia="zh-CN"/>
                <w14:textFill>
                  <w14:solidFill>
                    <w14:schemeClr w14:val="tx1"/>
                  </w14:solidFill>
                </w14:textFill>
              </w:rPr>
              <w:t>免烧生产设备设置减振沟。</w:t>
            </w:r>
            <w:r>
              <w:rPr>
                <w:rFonts w:cs="Times New Roman"/>
                <w:color w:val="000000" w:themeColor="text1"/>
                <w14:textFill>
                  <w14:solidFill>
                    <w14:schemeClr w14:val="tx1"/>
                  </w14:solidFill>
                </w14:textFill>
              </w:rPr>
              <w:t>这样能有效减少能量的传递，以减小其振动噪声影响，风机口消声。</w:t>
            </w:r>
          </w:p>
          <w:p w14:paraId="1478191F">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w:t>
            </w:r>
            <w:r>
              <w:rPr>
                <w:rFonts w:cs="Times New Roman"/>
                <w:color w:val="000000" w:themeColor="text1"/>
                <w14:textFill>
                  <w14:solidFill>
                    <w14:schemeClr w14:val="tx1"/>
                  </w14:solidFill>
                </w14:textFill>
              </w:rPr>
              <w:t>加强维护：定期维护机械设备，以确保设备正常运转，防止设备异常运转造成噪声污染。定期对工厂中陈旧的设备进行及时更换。在采购工厂新设备时，采购人员应将产品的噪声标准考虑在内，并作为评价产品综合性能的一个重要指标。应该优先选择低噪声、低振动的设备。</w:t>
            </w:r>
          </w:p>
          <w:p w14:paraId="5E68674B">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⑤</w:t>
            </w:r>
            <w:r>
              <w:rPr>
                <w:rFonts w:cs="Times New Roman"/>
                <w:color w:val="000000" w:themeColor="text1"/>
                <w14:textFill>
                  <w14:solidFill>
                    <w14:schemeClr w14:val="tx1"/>
                  </w14:solidFill>
                </w14:textFill>
              </w:rPr>
              <w:t>加强管理：加强管理，对原料运输下料时，做到轻卸、缓放、严禁夜间卸料。车间内根据生产工艺划定分区，可有效减少厂区内物料转运频次，降低因物料转移过程中因碰撞、跌落、摩擦产生的噪声影响。加强职工环保意识教育，提倡文明生产，防止人为噪声。</w:t>
            </w:r>
          </w:p>
          <w:p w14:paraId="664F8874">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⑥</w:t>
            </w:r>
            <w:r>
              <w:rPr>
                <w:rFonts w:cs="Times New Roman"/>
                <w:color w:val="000000" w:themeColor="text1"/>
                <w14:textFill>
                  <w14:solidFill>
                    <w14:schemeClr w14:val="tx1"/>
                  </w14:solidFill>
                </w14:textFill>
              </w:rPr>
              <w:t>生产车间封闭，生产时关闭门窗，依托车间现有建筑隔声，可有效降低噪声。</w:t>
            </w:r>
          </w:p>
          <w:p w14:paraId="7DCDD926">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（3）声环境保护目标</w:t>
            </w:r>
          </w:p>
          <w:p w14:paraId="6C5E3637">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5</w:t>
            </w:r>
            <w:r>
              <w:rPr>
                <w:rFonts w:cs="Times New Roman"/>
                <w:color w:val="000000" w:themeColor="text1"/>
                <w14:textFill>
                  <w14:solidFill>
                    <w14:schemeClr w14:val="tx1"/>
                  </w14:solidFill>
                </w14:textFill>
              </w:rPr>
              <w:t>0m范围内无声环境保护目标。</w:t>
            </w:r>
          </w:p>
          <w:p w14:paraId="0B80EF4B">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（4）噪声预测</w:t>
            </w:r>
          </w:p>
          <w:p w14:paraId="26EF3EC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根据《环境影响评价技术导则·声环境》（HJ2.4-2021）推荐的户外声传播衰减模式进行预测，考虑遮挡物衰减、空气吸收衰减、地面附加衰减，对某些难以定量的参数，查相关资料进行估算。</w:t>
            </w:r>
          </w:p>
          <w:p w14:paraId="4347CA3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本项目噪声源主要为室内声源。进行环境噪声预测时所使用的工业噪声源按点声源处理。</w:t>
            </w:r>
          </w:p>
          <w:p w14:paraId="6F760E2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1）室内声源</w:t>
            </w:r>
          </w:p>
          <w:p w14:paraId="1F0953F2">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rFonts w:cs="Times New Roman"/>
                <w:color w:val="000000" w:themeColor="text1"/>
                <w14:textFill>
                  <w14:solidFill>
                    <w14:schemeClr w14:val="tx1"/>
                  </w14:solidFill>
                </w14:textFill>
              </w:rPr>
              <w:t>首先计算出某个室内声源靠近围护结构处声压级</w:t>
            </w:r>
          </w:p>
          <w:p w14:paraId="43E62EE0">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885315" cy="427990"/>
                  <wp:effectExtent l="0" t="0" r="635" b="0"/>
                  <wp:docPr id="9" name="图片 9"/>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36">
                            <a:extLst>
                              <a:ext uri="{28A0092B-C50C-407E-A947-70E740481C1C}">
                                <a14:useLocalDpi xmlns:a14="http://schemas.microsoft.com/office/drawing/2010/main" val="0"/>
                              </a:ext>
                            </a:extLst>
                          </a:blip>
                          <a:stretch>
                            <a:fillRect/>
                          </a:stretch>
                        </pic:blipFill>
                        <pic:spPr>
                          <a:xfrm>
                            <a:off x="0" y="0"/>
                            <a:ext cx="1885315" cy="427990"/>
                          </a:xfrm>
                          <a:prstGeom prst="rect">
                            <a:avLst/>
                          </a:prstGeom>
                        </pic:spPr>
                      </pic:pic>
                    </a:graphicData>
                  </a:graphic>
                </wp:inline>
              </w:drawing>
            </w:r>
          </w:p>
          <w:p w14:paraId="70A1178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式中：L</w:t>
            </w:r>
            <w:r>
              <w:rPr>
                <w:rFonts w:cs="Times New Roman"/>
                <w:color w:val="000000" w:themeColor="text1"/>
                <w:vertAlign w:val="subscript"/>
                <w14:textFill>
                  <w14:solidFill>
                    <w14:schemeClr w14:val="tx1"/>
                  </w14:solidFill>
                </w14:textFill>
              </w:rPr>
              <w:t>P1</w:t>
            </w:r>
            <w:r>
              <w:rPr>
                <w:rFonts w:cs="Times New Roman"/>
                <w:color w:val="000000" w:themeColor="text1"/>
                <w14:textFill>
                  <w14:solidFill>
                    <w14:schemeClr w14:val="tx1"/>
                  </w14:solidFill>
                </w14:textFill>
              </w:rPr>
              <w:t>—室内声源靠近围护结构处产生的声压级，dB（A）；</w:t>
            </w:r>
          </w:p>
          <w:p w14:paraId="6F113D5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L</w:t>
            </w:r>
            <w:r>
              <w:rPr>
                <w:rFonts w:cs="Times New Roman"/>
                <w:color w:val="000000" w:themeColor="text1"/>
                <w:vertAlign w:val="subscript"/>
                <w14:textFill>
                  <w14:solidFill>
                    <w14:schemeClr w14:val="tx1"/>
                  </w14:solidFill>
                </w14:textFill>
              </w:rPr>
              <w:t>W</w:t>
            </w:r>
            <w:r>
              <w:rPr>
                <w:rFonts w:cs="Times New Roman"/>
                <w:color w:val="000000" w:themeColor="text1"/>
                <w14:textFill>
                  <w14:solidFill>
                    <w14:schemeClr w14:val="tx1"/>
                  </w14:solidFill>
                </w14:textFill>
              </w:rPr>
              <w:t>—点声源声级，dB（A）</w:t>
            </w:r>
          </w:p>
          <w:p w14:paraId="036AE03E">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Q—指向性因子，设备不靠墙防治，取1；</w:t>
            </w:r>
          </w:p>
          <w:p w14:paraId="36294F77">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R—房间常数R=Sα(1-α)；</w:t>
            </w:r>
          </w:p>
          <w:p w14:paraId="69DA50C2">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S—围墙结构的表面积，m</w:t>
            </w:r>
            <w:r>
              <w:rPr>
                <w:rFonts w:cs="Times New Roman"/>
                <w:color w:val="000000" w:themeColor="text1"/>
                <w:vertAlign w:val="superscript"/>
                <w14:textFill>
                  <w14:solidFill>
                    <w14:schemeClr w14:val="tx1"/>
                  </w14:solidFill>
                </w14:textFill>
              </w:rPr>
              <w:t>2</w:t>
            </w:r>
            <w:r>
              <w:rPr>
                <w:rFonts w:cs="Times New Roman"/>
                <w:color w:val="000000" w:themeColor="text1"/>
                <w14:textFill>
                  <w14:solidFill>
                    <w14:schemeClr w14:val="tx1"/>
                  </w14:solidFill>
                </w14:textFill>
              </w:rPr>
              <w:t>，平均取100m</w:t>
            </w:r>
            <w:r>
              <w:rPr>
                <w:rFonts w:cs="Times New Roman"/>
                <w:color w:val="000000" w:themeColor="text1"/>
                <w:vertAlign w:val="superscript"/>
                <w14:textFill>
                  <w14:solidFill>
                    <w14:schemeClr w14:val="tx1"/>
                  </w14:solidFill>
                </w14:textFill>
              </w:rPr>
              <w:t>2</w:t>
            </w:r>
            <w:r>
              <w:rPr>
                <w:rFonts w:cs="Times New Roman"/>
                <w:color w:val="000000" w:themeColor="text1"/>
                <w14:textFill>
                  <w14:solidFill>
                    <w14:schemeClr w14:val="tx1"/>
                  </w14:solidFill>
                </w14:textFill>
              </w:rPr>
              <w:t>；</w:t>
            </w:r>
          </w:p>
          <w:p w14:paraId="77591C1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α—围墙结构的平均吸声系数，取0.1；</w:t>
            </w:r>
          </w:p>
          <w:p w14:paraId="30974A44">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r—室内某个声源与靠近围墙结构处的距离。</w:t>
            </w:r>
          </w:p>
          <w:p w14:paraId="3708D743">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rFonts w:cs="Times New Roman"/>
                <w:color w:val="000000" w:themeColor="text1"/>
                <w14:textFill>
                  <w14:solidFill>
                    <w14:schemeClr w14:val="tx1"/>
                  </w14:solidFill>
                </w14:textFill>
              </w:rPr>
              <w:t>计算室内声源靠近围护结构处产生的声压级Lp1i（T）；</w:t>
            </w:r>
          </w:p>
          <w:p w14:paraId="693706E5">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2266315" cy="685165"/>
                  <wp:effectExtent l="0" t="0" r="635" b="635"/>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37">
                            <a:extLst>
                              <a:ext uri="{28A0092B-C50C-407E-A947-70E740481C1C}">
                                <a14:useLocalDpi xmlns:a14="http://schemas.microsoft.com/office/drawing/2010/main" val="0"/>
                              </a:ext>
                            </a:extLst>
                          </a:blip>
                          <a:stretch>
                            <a:fillRect/>
                          </a:stretch>
                        </pic:blipFill>
                        <pic:spPr>
                          <a:xfrm>
                            <a:off x="0" y="0"/>
                            <a:ext cx="2266315" cy="685165"/>
                          </a:xfrm>
                          <a:prstGeom prst="rect">
                            <a:avLst/>
                          </a:prstGeom>
                        </pic:spPr>
                      </pic:pic>
                    </a:graphicData>
                  </a:graphic>
                </wp:inline>
              </w:drawing>
            </w:r>
          </w:p>
          <w:p w14:paraId="7F106C0F">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式中：L</w:t>
            </w:r>
            <w:r>
              <w:rPr>
                <w:rFonts w:cs="Times New Roman"/>
                <w:color w:val="000000" w:themeColor="text1"/>
                <w:vertAlign w:val="subscript"/>
                <w14:textFill>
                  <w14:solidFill>
                    <w14:schemeClr w14:val="tx1"/>
                  </w14:solidFill>
                </w14:textFill>
              </w:rPr>
              <w:t>p1i</w:t>
            </w:r>
            <w:r>
              <w:rPr>
                <w:rFonts w:cs="Times New Roman"/>
                <w:color w:val="000000" w:themeColor="text1"/>
                <w14:textFill>
                  <w14:solidFill>
                    <w14:schemeClr w14:val="tx1"/>
                  </w14:solidFill>
                </w14:textFill>
              </w:rPr>
              <w:t>（T）—靠近围护结构处室内N个声源i倍频带的叠加声压级，dB；</w:t>
            </w:r>
          </w:p>
          <w:p w14:paraId="340E78B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L</w:t>
            </w:r>
            <w:r>
              <w:rPr>
                <w:rFonts w:cs="Times New Roman"/>
                <w:color w:val="000000" w:themeColor="text1"/>
                <w:vertAlign w:val="subscript"/>
                <w14:textFill>
                  <w14:solidFill>
                    <w14:schemeClr w14:val="tx1"/>
                  </w14:solidFill>
                </w14:textFill>
              </w:rPr>
              <w:t>p1ij</w:t>
            </w:r>
            <w:r>
              <w:rPr>
                <w:rFonts w:cs="Times New Roman"/>
                <w:color w:val="000000" w:themeColor="text1"/>
                <w14:textFill>
                  <w14:solidFill>
                    <w14:schemeClr w14:val="tx1"/>
                  </w14:solidFill>
                </w14:textFill>
              </w:rPr>
              <w:t>—室内j声源i倍频带的声压级，dB；</w:t>
            </w:r>
          </w:p>
          <w:p w14:paraId="2A3A6C6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N—室内声源总数。</w:t>
            </w:r>
          </w:p>
          <w:p w14:paraId="1E5CCC43">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rFonts w:cs="Times New Roman"/>
                <w:color w:val="000000" w:themeColor="text1"/>
                <w14:textFill>
                  <w14:solidFill>
                    <w14:schemeClr w14:val="tx1"/>
                  </w14:solidFill>
                </w14:textFill>
              </w:rPr>
              <w:t>计算室外靠近围护结构处产生的声压级Lp2i（T）；</w:t>
            </w:r>
          </w:p>
          <w:p w14:paraId="6914E5F4">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875790" cy="266065"/>
                  <wp:effectExtent l="0" t="0" r="0" b="635"/>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38">
                            <a:extLst>
                              <a:ext uri="{28A0092B-C50C-407E-A947-70E740481C1C}">
                                <a14:useLocalDpi xmlns:a14="http://schemas.microsoft.com/office/drawing/2010/main" val="0"/>
                              </a:ext>
                            </a:extLst>
                          </a:blip>
                          <a:stretch>
                            <a:fillRect/>
                          </a:stretch>
                        </pic:blipFill>
                        <pic:spPr>
                          <a:xfrm>
                            <a:off x="0" y="0"/>
                            <a:ext cx="1875790" cy="266065"/>
                          </a:xfrm>
                          <a:prstGeom prst="rect">
                            <a:avLst/>
                          </a:prstGeom>
                        </pic:spPr>
                      </pic:pic>
                    </a:graphicData>
                  </a:graphic>
                </wp:inline>
              </w:drawing>
            </w:r>
          </w:p>
          <w:p w14:paraId="61C6A3A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式中：T</w:t>
            </w:r>
            <w:r>
              <w:rPr>
                <w:rFonts w:cs="Times New Roman"/>
                <w:color w:val="000000" w:themeColor="text1"/>
                <w:vertAlign w:val="subscript"/>
                <w14:textFill>
                  <w14:solidFill>
                    <w14:schemeClr w14:val="tx1"/>
                  </w14:solidFill>
                </w14:textFill>
              </w:rPr>
              <w:t>Li</w:t>
            </w:r>
            <w:r>
              <w:rPr>
                <w:rFonts w:cs="Times New Roman"/>
                <w:color w:val="000000" w:themeColor="text1"/>
                <w14:textFill>
                  <w14:solidFill>
                    <w14:schemeClr w14:val="tx1"/>
                  </w14:solidFill>
                </w14:textFill>
              </w:rPr>
              <w:t>—围护结构i倍频带的隔声量，dB。</w:t>
            </w:r>
          </w:p>
          <w:p w14:paraId="1C80E143">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w:t>
            </w:r>
            <w:r>
              <w:rPr>
                <w:rFonts w:cs="Times New Roman"/>
                <w:color w:val="000000" w:themeColor="text1"/>
                <w14:textFill>
                  <w14:solidFill>
                    <w14:schemeClr w14:val="tx1"/>
                  </w14:solidFill>
                </w14:textFill>
              </w:rPr>
              <w:t>将室外声压级Lp2i（T）换算成等效室外声源，计算出等效室外声源的声功率级</w:t>
            </w:r>
          </w:p>
          <w:p w14:paraId="174E8588">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771015" cy="266065"/>
                  <wp:effectExtent l="0" t="0" r="635" b="635"/>
                  <wp:docPr id="27" name="图片 27"/>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39">
                            <a:extLst>
                              <a:ext uri="{28A0092B-C50C-407E-A947-70E740481C1C}">
                                <a14:useLocalDpi xmlns:a14="http://schemas.microsoft.com/office/drawing/2010/main" val="0"/>
                              </a:ext>
                            </a:extLst>
                          </a:blip>
                          <a:stretch>
                            <a:fillRect/>
                          </a:stretch>
                        </pic:blipFill>
                        <pic:spPr>
                          <a:xfrm>
                            <a:off x="0" y="0"/>
                            <a:ext cx="1771015" cy="266065"/>
                          </a:xfrm>
                          <a:prstGeom prst="rect">
                            <a:avLst/>
                          </a:prstGeom>
                        </pic:spPr>
                      </pic:pic>
                    </a:graphicData>
                  </a:graphic>
                </wp:inline>
              </w:drawing>
            </w:r>
          </w:p>
          <w:p w14:paraId="3A65831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式中：Lw —中心位置位于透声面积（S）处的等效声源的倍频带声功率级，dB；</w:t>
            </w:r>
          </w:p>
          <w:p w14:paraId="63636E56">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S—透声面积。</w:t>
            </w:r>
          </w:p>
          <w:p w14:paraId="788CB6AD">
            <w:pPr>
              <w:ind w:firstLine="480"/>
              <w:rPr>
                <w:rFonts w:cs="Times New Roman"/>
                <w:color w:val="000000" w:themeColor="text1"/>
                <w14:textFill>
                  <w14:solidFill>
                    <w14:schemeClr w14:val="tx1"/>
                  </w14:solidFill>
                </w14:textFill>
              </w:rPr>
            </w:pPr>
            <w:r>
              <w:rPr>
                <w:rFonts w:hint="eastAsia" w:cs="Times New Roman"/>
                <w:color w:val="000000" w:themeColor="text1"/>
                <w:lang w:eastAsia="zh-CN"/>
                <w14:textFill>
                  <w14:solidFill>
                    <w14:schemeClr w14:val="tx1"/>
                  </w14:solidFill>
                </w14:textFill>
              </w:rPr>
              <w:t>⑤</w:t>
            </w:r>
            <w:r>
              <w:rPr>
                <w:rFonts w:cs="Times New Roman"/>
                <w:color w:val="000000" w:themeColor="text1"/>
                <w14:textFill>
                  <w14:solidFill>
                    <w14:schemeClr w14:val="tx1"/>
                  </w14:solidFill>
                </w14:textFill>
              </w:rPr>
              <w:t>按室外声源预测方法计算预测点处的A声级。</w:t>
            </w:r>
          </w:p>
          <w:p w14:paraId="4948F818">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2）噪声贡献值计算</w:t>
            </w:r>
          </w:p>
          <w:p w14:paraId="0F628444">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3458845" cy="636270"/>
                  <wp:effectExtent l="0" t="0" r="825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3458845" cy="636270"/>
                          </a:xfrm>
                          <a:prstGeom prst="rect">
                            <a:avLst/>
                          </a:prstGeom>
                          <a:noFill/>
                          <a:ln>
                            <a:noFill/>
                          </a:ln>
                        </pic:spPr>
                      </pic:pic>
                    </a:graphicData>
                  </a:graphic>
                </wp:inline>
              </w:drawing>
            </w:r>
          </w:p>
          <w:p w14:paraId="5178EC7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式中：L</w:t>
            </w:r>
            <w:r>
              <w:rPr>
                <w:rFonts w:cs="Times New Roman"/>
                <w:color w:val="000000" w:themeColor="text1"/>
                <w:vertAlign w:val="subscript"/>
                <w14:textFill>
                  <w14:solidFill>
                    <w14:schemeClr w14:val="tx1"/>
                  </w14:solidFill>
                </w14:textFill>
              </w:rPr>
              <w:t>eqg</w:t>
            </w:r>
            <w:r>
              <w:rPr>
                <w:rFonts w:cs="Times New Roman"/>
                <w:color w:val="000000" w:themeColor="text1"/>
                <w14:textFill>
                  <w14:solidFill>
                    <w14:schemeClr w14:val="tx1"/>
                  </w14:solidFill>
                </w14:textFill>
              </w:rPr>
              <w:t>—建设项目声源在预测点产生的噪声贡献值，dB；</w:t>
            </w:r>
          </w:p>
          <w:p w14:paraId="27152B56">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 ——用于计算等效声级的时间，s；</w:t>
            </w:r>
          </w:p>
          <w:p w14:paraId="722C575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N ——室外声源个数；</w:t>
            </w:r>
          </w:p>
          <w:p w14:paraId="2A204B7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w:t>
            </w:r>
            <w:r>
              <w:rPr>
                <w:rFonts w:cs="Times New Roman"/>
                <w:color w:val="000000" w:themeColor="text1"/>
                <w:vertAlign w:val="subscript"/>
                <w14:textFill>
                  <w14:solidFill>
                    <w14:schemeClr w14:val="tx1"/>
                  </w14:solidFill>
                </w14:textFill>
              </w:rPr>
              <w:t>i</w:t>
            </w:r>
            <w:r>
              <w:rPr>
                <w:rFonts w:cs="Times New Roman"/>
                <w:color w:val="000000" w:themeColor="text1"/>
                <w14:textFill>
                  <w14:solidFill>
                    <w14:schemeClr w14:val="tx1"/>
                  </w14:solidFill>
                </w14:textFill>
              </w:rPr>
              <w:t>——在T 时间内i 声源工作时间，s；</w:t>
            </w:r>
          </w:p>
          <w:p w14:paraId="33FB4B54">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M ——等效室外声源个数；</w:t>
            </w:r>
          </w:p>
          <w:p w14:paraId="4A85931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w:t>
            </w:r>
            <w:r>
              <w:rPr>
                <w:rFonts w:cs="Times New Roman"/>
                <w:color w:val="000000" w:themeColor="text1"/>
                <w:vertAlign w:val="subscript"/>
                <w14:textFill>
                  <w14:solidFill>
                    <w14:schemeClr w14:val="tx1"/>
                  </w14:solidFill>
                </w14:textFill>
              </w:rPr>
              <w:t>j</w:t>
            </w:r>
            <w:r>
              <w:rPr>
                <w:rFonts w:cs="Times New Roman"/>
                <w:color w:val="000000" w:themeColor="text1"/>
                <w14:textFill>
                  <w14:solidFill>
                    <w14:schemeClr w14:val="tx1"/>
                  </w14:solidFill>
                </w14:textFill>
              </w:rPr>
              <w:t>——在T 时间内j 声源工作时间，s。</w:t>
            </w:r>
          </w:p>
          <w:p w14:paraId="4A9A13F1">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SEQ seq \c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 xml:space="preserve"> 各预测点噪声贡献值 单位：dB（A）</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852"/>
              <w:gridCol w:w="852"/>
              <w:gridCol w:w="955"/>
              <w:gridCol w:w="953"/>
              <w:gridCol w:w="1506"/>
              <w:gridCol w:w="1506"/>
              <w:gridCol w:w="1261"/>
            </w:tblGrid>
            <w:tr w14:paraId="2571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646" w:type="pct"/>
                  <w:vMerge w:val="restart"/>
                  <w:vAlign w:val="center"/>
                </w:tcPr>
                <w:p w14:paraId="04F17BB0">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预测方位</w:t>
                  </w:r>
                </w:p>
              </w:tc>
              <w:tc>
                <w:tcPr>
                  <w:tcW w:w="1467" w:type="pct"/>
                  <w:gridSpan w:val="3"/>
                  <w:vAlign w:val="center"/>
                </w:tcPr>
                <w:p w14:paraId="3F22B66D">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最大值点空间相对位置/m</w:t>
                  </w:r>
                </w:p>
              </w:tc>
              <w:tc>
                <w:tcPr>
                  <w:tcW w:w="526" w:type="pct"/>
                  <w:vMerge w:val="restart"/>
                  <w:vAlign w:val="center"/>
                </w:tcPr>
                <w:p w14:paraId="31BD42DF">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时段</w:t>
                  </w:r>
                </w:p>
              </w:tc>
              <w:tc>
                <w:tcPr>
                  <w:tcW w:w="831" w:type="pct"/>
                  <w:vMerge w:val="restart"/>
                  <w:vAlign w:val="center"/>
                </w:tcPr>
                <w:p w14:paraId="44BB4598">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贡献值（dB(A)）</w:t>
                  </w:r>
                </w:p>
              </w:tc>
              <w:tc>
                <w:tcPr>
                  <w:tcW w:w="831" w:type="pct"/>
                  <w:vMerge w:val="restart"/>
                  <w:vAlign w:val="center"/>
                </w:tcPr>
                <w:p w14:paraId="5F69B73A">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标准限值（dB(A)）</w:t>
                  </w:r>
                </w:p>
              </w:tc>
              <w:tc>
                <w:tcPr>
                  <w:tcW w:w="696" w:type="pct"/>
                  <w:vMerge w:val="restart"/>
                  <w:vAlign w:val="center"/>
                </w:tcPr>
                <w:p w14:paraId="75A71232">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达标情况</w:t>
                  </w:r>
                </w:p>
              </w:tc>
            </w:tr>
            <w:tr w14:paraId="0B2A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46" w:type="pct"/>
                  <w:vMerge w:val="continue"/>
                  <w:shd w:val="clear" w:color="auto" w:fill="FFFFFF"/>
                  <w:vAlign w:val="center"/>
                </w:tcPr>
                <w:p w14:paraId="20480C09">
                  <w:pPr>
                    <w:pStyle w:val="13"/>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07028226">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X</w:t>
                  </w:r>
                </w:p>
              </w:tc>
              <w:tc>
                <w:tcPr>
                  <w:tcW w:w="470" w:type="pct"/>
                  <w:shd w:val="clear" w:color="auto" w:fill="FFFFFF"/>
                  <w:vAlign w:val="center"/>
                </w:tcPr>
                <w:p w14:paraId="0647AD39">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Y</w:t>
                  </w:r>
                </w:p>
              </w:tc>
              <w:tc>
                <w:tcPr>
                  <w:tcW w:w="527" w:type="pct"/>
                  <w:shd w:val="clear" w:color="auto" w:fill="FFFFFF"/>
                  <w:vAlign w:val="center"/>
                </w:tcPr>
                <w:p w14:paraId="06CD06C7">
                  <w:pPr>
                    <w:pStyle w:val="51"/>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Z</w:t>
                  </w:r>
                </w:p>
              </w:tc>
              <w:tc>
                <w:tcPr>
                  <w:tcW w:w="526" w:type="pct"/>
                  <w:vMerge w:val="continue"/>
                  <w:shd w:val="clear" w:color="auto" w:fill="FFFFFF"/>
                  <w:vAlign w:val="center"/>
                </w:tcPr>
                <w:p w14:paraId="0289B413">
                  <w:pPr>
                    <w:pStyle w:val="13"/>
                    <w:rPr>
                      <w:rFonts w:hint="default" w:ascii="Times New Roman" w:hAnsi="Times New Roman" w:cs="Times New Roman"/>
                      <w:color w:val="000000" w:themeColor="text1"/>
                      <w:sz w:val="21"/>
                      <w:szCs w:val="21"/>
                      <w14:textFill>
                        <w14:solidFill>
                          <w14:schemeClr w14:val="tx1"/>
                        </w14:solidFill>
                      </w14:textFill>
                    </w:rPr>
                  </w:pPr>
                </w:p>
              </w:tc>
              <w:tc>
                <w:tcPr>
                  <w:tcW w:w="831" w:type="pct"/>
                  <w:vMerge w:val="continue"/>
                  <w:shd w:val="clear" w:color="auto" w:fill="FFFFFF"/>
                  <w:vAlign w:val="center"/>
                </w:tcPr>
                <w:p w14:paraId="77CDDDB8">
                  <w:pPr>
                    <w:pStyle w:val="13"/>
                    <w:rPr>
                      <w:rFonts w:hint="default" w:ascii="Times New Roman" w:hAnsi="Times New Roman" w:cs="Times New Roman"/>
                      <w:color w:val="000000" w:themeColor="text1"/>
                      <w:sz w:val="21"/>
                      <w:szCs w:val="21"/>
                      <w14:textFill>
                        <w14:solidFill>
                          <w14:schemeClr w14:val="tx1"/>
                        </w14:solidFill>
                      </w14:textFill>
                    </w:rPr>
                  </w:pPr>
                </w:p>
              </w:tc>
              <w:tc>
                <w:tcPr>
                  <w:tcW w:w="831" w:type="pct"/>
                  <w:vMerge w:val="continue"/>
                  <w:shd w:val="clear" w:color="auto" w:fill="FFFFFF"/>
                  <w:vAlign w:val="center"/>
                </w:tcPr>
                <w:p w14:paraId="2FBFCB1E">
                  <w:pPr>
                    <w:pStyle w:val="13"/>
                    <w:rPr>
                      <w:rFonts w:hint="default" w:ascii="Times New Roman" w:hAnsi="Times New Roman" w:cs="Times New Roman"/>
                      <w:color w:val="000000" w:themeColor="text1"/>
                      <w:sz w:val="21"/>
                      <w:szCs w:val="21"/>
                      <w14:textFill>
                        <w14:solidFill>
                          <w14:schemeClr w14:val="tx1"/>
                        </w14:solidFill>
                      </w14:textFill>
                    </w:rPr>
                  </w:pPr>
                </w:p>
              </w:tc>
              <w:tc>
                <w:tcPr>
                  <w:tcW w:w="696" w:type="pct"/>
                  <w:vMerge w:val="continue"/>
                  <w:shd w:val="clear" w:color="auto" w:fill="FFFFFF"/>
                  <w:vAlign w:val="center"/>
                </w:tcPr>
                <w:p w14:paraId="6BDFFE42">
                  <w:pPr>
                    <w:pStyle w:val="13"/>
                    <w:rPr>
                      <w:rFonts w:hint="default" w:ascii="Times New Roman" w:hAnsi="Times New Roman" w:cs="Times New Roman"/>
                      <w:color w:val="000000" w:themeColor="text1"/>
                      <w:sz w:val="21"/>
                      <w:szCs w:val="21"/>
                      <w14:textFill>
                        <w14:solidFill>
                          <w14:schemeClr w14:val="tx1"/>
                        </w14:solidFill>
                      </w14:textFill>
                    </w:rPr>
                  </w:pPr>
                </w:p>
              </w:tc>
            </w:tr>
            <w:tr w14:paraId="2940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69C4C3A2">
                  <w:pPr>
                    <w:pStyle w:val="13"/>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整体厂房</w:t>
                  </w:r>
                  <w:r>
                    <w:rPr>
                      <w:rFonts w:hint="default" w:ascii="Times New Roman" w:hAnsi="Times New Roman" w:cs="Times New Roman"/>
                      <w:color w:val="000000" w:themeColor="text1"/>
                      <w:sz w:val="21"/>
                      <w:szCs w:val="21"/>
                      <w14:textFill>
                        <w14:solidFill>
                          <w14:schemeClr w14:val="tx1"/>
                        </w14:solidFill>
                      </w14:textFill>
                    </w:rPr>
                    <w:t>东侧</w:t>
                  </w:r>
                </w:p>
              </w:tc>
              <w:tc>
                <w:tcPr>
                  <w:tcW w:w="470" w:type="pct"/>
                  <w:shd w:val="clear" w:color="auto" w:fill="FFFFFF"/>
                  <w:vAlign w:val="center"/>
                </w:tcPr>
                <w:p w14:paraId="0F8B9518">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112.6</w:t>
                  </w:r>
                </w:p>
              </w:tc>
              <w:tc>
                <w:tcPr>
                  <w:tcW w:w="470" w:type="pct"/>
                  <w:shd w:val="clear" w:color="auto" w:fill="FFFFFF"/>
                  <w:vAlign w:val="center"/>
                </w:tcPr>
                <w:p w14:paraId="78E38578">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-19.2</w:t>
                  </w:r>
                </w:p>
              </w:tc>
              <w:tc>
                <w:tcPr>
                  <w:tcW w:w="527" w:type="pct"/>
                  <w:shd w:val="clear" w:color="auto" w:fill="FFFFFF"/>
                  <w:vAlign w:val="center"/>
                </w:tcPr>
                <w:p w14:paraId="4B843EEF">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2B6F37DC">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昼间</w:t>
                  </w:r>
                </w:p>
              </w:tc>
              <w:tc>
                <w:tcPr>
                  <w:tcW w:w="831" w:type="pct"/>
                  <w:shd w:val="clear" w:color="auto" w:fill="FFFFFF"/>
                  <w:vAlign w:val="center"/>
                </w:tcPr>
                <w:p w14:paraId="64BEAF03">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47.2</w:t>
                  </w:r>
                </w:p>
              </w:tc>
              <w:tc>
                <w:tcPr>
                  <w:tcW w:w="831" w:type="pct"/>
                  <w:shd w:val="clear" w:color="auto" w:fill="FFFFFF"/>
                  <w:vAlign w:val="center"/>
                </w:tcPr>
                <w:p w14:paraId="024CF9DC">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5E1A1262">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4BBF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408CE153">
                  <w:pPr>
                    <w:pStyle w:val="13"/>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06D29349">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112.6</w:t>
                  </w:r>
                </w:p>
              </w:tc>
              <w:tc>
                <w:tcPr>
                  <w:tcW w:w="470" w:type="pct"/>
                  <w:shd w:val="clear" w:color="auto" w:fill="FFFFFF"/>
                  <w:vAlign w:val="center"/>
                </w:tcPr>
                <w:p w14:paraId="4E7BCA37">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-19.2</w:t>
                  </w:r>
                </w:p>
              </w:tc>
              <w:tc>
                <w:tcPr>
                  <w:tcW w:w="527" w:type="pct"/>
                  <w:shd w:val="clear" w:color="auto" w:fill="FFFFFF"/>
                  <w:vAlign w:val="center"/>
                </w:tcPr>
                <w:p w14:paraId="0F370C1F">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78279862">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夜间</w:t>
                  </w:r>
                </w:p>
              </w:tc>
              <w:tc>
                <w:tcPr>
                  <w:tcW w:w="831" w:type="pct"/>
                  <w:shd w:val="clear" w:color="auto" w:fill="FFFFFF"/>
                  <w:vAlign w:val="center"/>
                </w:tcPr>
                <w:p w14:paraId="6049853D">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47.2</w:t>
                  </w:r>
                </w:p>
              </w:tc>
              <w:tc>
                <w:tcPr>
                  <w:tcW w:w="831" w:type="pct"/>
                  <w:shd w:val="clear" w:color="auto" w:fill="FFFFFF"/>
                  <w:vAlign w:val="center"/>
                </w:tcPr>
                <w:p w14:paraId="01C8313E">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3C1B2ECA">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7D90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318BA735">
                  <w:pPr>
                    <w:pStyle w:val="13"/>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整体厂房</w:t>
                  </w:r>
                  <w:r>
                    <w:rPr>
                      <w:rFonts w:hint="default" w:ascii="Times New Roman" w:hAnsi="Times New Roman" w:cs="Times New Roman"/>
                      <w:color w:val="000000" w:themeColor="text1"/>
                      <w:sz w:val="21"/>
                      <w:szCs w:val="21"/>
                      <w14:textFill>
                        <w14:solidFill>
                          <w14:schemeClr w14:val="tx1"/>
                        </w14:solidFill>
                      </w14:textFill>
                    </w:rPr>
                    <w:t>南侧</w:t>
                  </w:r>
                </w:p>
              </w:tc>
              <w:tc>
                <w:tcPr>
                  <w:tcW w:w="470" w:type="pct"/>
                  <w:shd w:val="clear" w:color="auto" w:fill="FFFFFF"/>
                  <w:vAlign w:val="center"/>
                </w:tcPr>
                <w:p w14:paraId="2CC56FF9">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47.6</w:t>
                  </w:r>
                </w:p>
              </w:tc>
              <w:tc>
                <w:tcPr>
                  <w:tcW w:w="470" w:type="pct"/>
                  <w:shd w:val="clear" w:color="auto" w:fill="FFFFFF"/>
                  <w:vAlign w:val="center"/>
                </w:tcPr>
                <w:p w14:paraId="2D657667">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-57</w:t>
                  </w:r>
                </w:p>
              </w:tc>
              <w:tc>
                <w:tcPr>
                  <w:tcW w:w="527" w:type="pct"/>
                  <w:shd w:val="clear" w:color="auto" w:fill="FFFFFF"/>
                  <w:vAlign w:val="center"/>
                </w:tcPr>
                <w:p w14:paraId="287C2A2E">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3E6AFB9B">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昼间</w:t>
                  </w:r>
                </w:p>
              </w:tc>
              <w:tc>
                <w:tcPr>
                  <w:tcW w:w="831" w:type="pct"/>
                  <w:shd w:val="clear" w:color="auto" w:fill="FFFFFF"/>
                  <w:vAlign w:val="center"/>
                </w:tcPr>
                <w:p w14:paraId="29433B6F">
                  <w:pPr>
                    <w:ind w:firstLine="420" w:firstLineChars="200"/>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eastAsia="Arial" w:cs="Times New Roman"/>
                      <w:b w:val="0"/>
                      <w:bCs/>
                      <w:color w:val="000000" w:themeColor="text1"/>
                      <w:sz w:val="21"/>
                      <w:szCs w:val="21"/>
                      <w14:textFill>
                        <w14:solidFill>
                          <w14:schemeClr w14:val="tx1"/>
                        </w14:solidFill>
                      </w14:textFill>
                    </w:rPr>
                    <w:t>53.6</w:t>
                  </w:r>
                </w:p>
              </w:tc>
              <w:tc>
                <w:tcPr>
                  <w:tcW w:w="831" w:type="pct"/>
                  <w:shd w:val="clear" w:color="auto" w:fill="FFFFFF"/>
                  <w:vAlign w:val="center"/>
                </w:tcPr>
                <w:p w14:paraId="134BC7CD">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5D3CB8F8">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7B71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51E4DFB7">
                  <w:pPr>
                    <w:pStyle w:val="13"/>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7045DE8A">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47.6</w:t>
                  </w:r>
                </w:p>
              </w:tc>
              <w:tc>
                <w:tcPr>
                  <w:tcW w:w="470" w:type="pct"/>
                  <w:shd w:val="clear" w:color="auto" w:fill="FFFFFF"/>
                  <w:vAlign w:val="center"/>
                </w:tcPr>
                <w:p w14:paraId="724EFF95">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-57</w:t>
                  </w:r>
                </w:p>
              </w:tc>
              <w:tc>
                <w:tcPr>
                  <w:tcW w:w="527" w:type="pct"/>
                  <w:shd w:val="clear" w:color="auto" w:fill="FFFFFF"/>
                  <w:vAlign w:val="center"/>
                </w:tcPr>
                <w:p w14:paraId="6F880EA6">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3B1288E3">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夜间</w:t>
                  </w:r>
                </w:p>
              </w:tc>
              <w:tc>
                <w:tcPr>
                  <w:tcW w:w="831" w:type="pct"/>
                  <w:shd w:val="clear" w:color="auto" w:fill="FFFFFF"/>
                  <w:vAlign w:val="center"/>
                </w:tcPr>
                <w:p w14:paraId="236B8D7F">
                  <w:pPr>
                    <w:ind w:firstLine="420" w:firstLineChars="200"/>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eastAsia="Arial" w:cs="Times New Roman"/>
                      <w:b w:val="0"/>
                      <w:bCs/>
                      <w:color w:val="000000" w:themeColor="text1"/>
                      <w:sz w:val="21"/>
                      <w:szCs w:val="21"/>
                      <w14:textFill>
                        <w14:solidFill>
                          <w14:schemeClr w14:val="tx1"/>
                        </w14:solidFill>
                      </w14:textFill>
                    </w:rPr>
                    <w:t>53.6</w:t>
                  </w:r>
                </w:p>
              </w:tc>
              <w:tc>
                <w:tcPr>
                  <w:tcW w:w="831" w:type="pct"/>
                  <w:shd w:val="clear" w:color="auto" w:fill="FFFFFF"/>
                  <w:vAlign w:val="center"/>
                </w:tcPr>
                <w:p w14:paraId="3E9DAFFA">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7F3EE2E6">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3DD2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55F37C68">
                  <w:pPr>
                    <w:pStyle w:val="13"/>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整体厂房</w:t>
                  </w:r>
                  <w:r>
                    <w:rPr>
                      <w:rFonts w:hint="default" w:ascii="Times New Roman" w:hAnsi="Times New Roman" w:cs="Times New Roman"/>
                      <w:color w:val="000000" w:themeColor="text1"/>
                      <w:sz w:val="21"/>
                      <w:szCs w:val="21"/>
                      <w14:textFill>
                        <w14:solidFill>
                          <w14:schemeClr w14:val="tx1"/>
                        </w14:solidFill>
                      </w14:textFill>
                    </w:rPr>
                    <w:t>西侧</w:t>
                  </w:r>
                </w:p>
              </w:tc>
              <w:tc>
                <w:tcPr>
                  <w:tcW w:w="470" w:type="pct"/>
                  <w:shd w:val="clear" w:color="auto" w:fill="FFFFFF"/>
                  <w:vAlign w:val="center"/>
                </w:tcPr>
                <w:p w14:paraId="1EA01BD3">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-47.6</w:t>
                  </w:r>
                </w:p>
              </w:tc>
              <w:tc>
                <w:tcPr>
                  <w:tcW w:w="470" w:type="pct"/>
                  <w:shd w:val="clear" w:color="auto" w:fill="FFFFFF"/>
                  <w:vAlign w:val="center"/>
                </w:tcPr>
                <w:p w14:paraId="7F58270B">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-48.8</w:t>
                  </w:r>
                </w:p>
              </w:tc>
              <w:tc>
                <w:tcPr>
                  <w:tcW w:w="527" w:type="pct"/>
                  <w:shd w:val="clear" w:color="auto" w:fill="FFFFFF"/>
                  <w:vAlign w:val="center"/>
                </w:tcPr>
                <w:p w14:paraId="73DED671">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46D59A39">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昼间</w:t>
                  </w:r>
                </w:p>
              </w:tc>
              <w:tc>
                <w:tcPr>
                  <w:tcW w:w="831" w:type="pct"/>
                  <w:shd w:val="clear" w:color="auto" w:fill="FFFFFF"/>
                  <w:vAlign w:val="center"/>
                </w:tcPr>
                <w:p w14:paraId="0B8A4936">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52.1</w:t>
                  </w:r>
                </w:p>
              </w:tc>
              <w:tc>
                <w:tcPr>
                  <w:tcW w:w="831" w:type="pct"/>
                  <w:shd w:val="clear" w:color="auto" w:fill="FFFFFF"/>
                  <w:vAlign w:val="center"/>
                </w:tcPr>
                <w:p w14:paraId="5327618D">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28D63C42">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3A20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4029E92B">
                  <w:pPr>
                    <w:pStyle w:val="13"/>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420FC1E6">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-47.6</w:t>
                  </w:r>
                </w:p>
              </w:tc>
              <w:tc>
                <w:tcPr>
                  <w:tcW w:w="470" w:type="pct"/>
                  <w:shd w:val="clear" w:color="auto" w:fill="FFFFFF"/>
                  <w:vAlign w:val="center"/>
                </w:tcPr>
                <w:p w14:paraId="4DC41DE7">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-48.8</w:t>
                  </w:r>
                </w:p>
              </w:tc>
              <w:tc>
                <w:tcPr>
                  <w:tcW w:w="527" w:type="pct"/>
                  <w:shd w:val="clear" w:color="auto" w:fill="FFFFFF"/>
                  <w:vAlign w:val="center"/>
                </w:tcPr>
                <w:p w14:paraId="2F83391A">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1A196786">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夜间</w:t>
                  </w:r>
                </w:p>
              </w:tc>
              <w:tc>
                <w:tcPr>
                  <w:tcW w:w="831" w:type="pct"/>
                  <w:shd w:val="clear" w:color="auto" w:fill="FFFFFF"/>
                  <w:vAlign w:val="center"/>
                </w:tcPr>
                <w:p w14:paraId="0A0DD81B">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52.1</w:t>
                  </w:r>
                </w:p>
              </w:tc>
              <w:tc>
                <w:tcPr>
                  <w:tcW w:w="831" w:type="pct"/>
                  <w:shd w:val="clear" w:color="auto" w:fill="FFFFFF"/>
                  <w:vAlign w:val="center"/>
                </w:tcPr>
                <w:p w14:paraId="3344F767">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74D4DABF">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4731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0F9E9980">
                  <w:pPr>
                    <w:pStyle w:val="13"/>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整体厂房</w:t>
                  </w:r>
                  <w:r>
                    <w:rPr>
                      <w:rFonts w:hint="default" w:ascii="Times New Roman" w:hAnsi="Times New Roman" w:cs="Times New Roman"/>
                      <w:color w:val="000000" w:themeColor="text1"/>
                      <w:sz w:val="21"/>
                      <w:szCs w:val="21"/>
                      <w14:textFill>
                        <w14:solidFill>
                          <w14:schemeClr w14:val="tx1"/>
                        </w14:solidFill>
                      </w14:textFill>
                    </w:rPr>
                    <w:t>北侧</w:t>
                  </w:r>
                </w:p>
              </w:tc>
              <w:tc>
                <w:tcPr>
                  <w:tcW w:w="470" w:type="pct"/>
                  <w:shd w:val="clear" w:color="auto" w:fill="FFFFFF"/>
                  <w:vAlign w:val="center"/>
                </w:tcPr>
                <w:p w14:paraId="2C0A5F45">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-4.9</w:t>
                  </w:r>
                </w:p>
              </w:tc>
              <w:tc>
                <w:tcPr>
                  <w:tcW w:w="470" w:type="pct"/>
                  <w:shd w:val="clear" w:color="auto" w:fill="FFFFFF"/>
                  <w:vAlign w:val="center"/>
                </w:tcPr>
                <w:p w14:paraId="24F5A06D">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53.8</w:t>
                  </w:r>
                </w:p>
              </w:tc>
              <w:tc>
                <w:tcPr>
                  <w:tcW w:w="527" w:type="pct"/>
                  <w:shd w:val="clear" w:color="auto" w:fill="FFFFFF"/>
                  <w:vAlign w:val="center"/>
                </w:tcPr>
                <w:p w14:paraId="7E183E93">
                  <w:pPr>
                    <w:pStyle w:val="13"/>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03258A76">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昼间</w:t>
                  </w:r>
                </w:p>
              </w:tc>
              <w:tc>
                <w:tcPr>
                  <w:tcW w:w="831" w:type="pct"/>
                  <w:shd w:val="clear" w:color="auto" w:fill="FFFFFF"/>
                  <w:vAlign w:val="center"/>
                </w:tcPr>
                <w:p w14:paraId="523D8A7C">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52.8</w:t>
                  </w:r>
                </w:p>
              </w:tc>
              <w:tc>
                <w:tcPr>
                  <w:tcW w:w="831" w:type="pct"/>
                  <w:shd w:val="clear" w:color="auto" w:fill="FFFFFF"/>
                  <w:vAlign w:val="center"/>
                </w:tcPr>
                <w:p w14:paraId="1DF6AB0A">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1B0C7002">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54BB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7BE91DD1">
                  <w:pPr>
                    <w:pStyle w:val="13"/>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5E888092">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-4.9</w:t>
                  </w:r>
                </w:p>
              </w:tc>
              <w:tc>
                <w:tcPr>
                  <w:tcW w:w="470" w:type="pct"/>
                  <w:shd w:val="clear" w:color="auto" w:fill="FFFFFF"/>
                  <w:vAlign w:val="center"/>
                </w:tcPr>
                <w:p w14:paraId="0C4A2FFD">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53.8</w:t>
                  </w:r>
                </w:p>
              </w:tc>
              <w:tc>
                <w:tcPr>
                  <w:tcW w:w="527" w:type="pct"/>
                  <w:shd w:val="clear" w:color="auto" w:fill="FFFFFF"/>
                  <w:vAlign w:val="center"/>
                </w:tcPr>
                <w:p w14:paraId="0D8A5826">
                  <w:pPr>
                    <w:pStyle w:val="13"/>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3BE7241C">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夜间</w:t>
                  </w:r>
                </w:p>
              </w:tc>
              <w:tc>
                <w:tcPr>
                  <w:tcW w:w="831" w:type="pct"/>
                  <w:shd w:val="clear" w:color="auto" w:fill="FFFFFF"/>
                  <w:vAlign w:val="center"/>
                </w:tcPr>
                <w:p w14:paraId="533279C1">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52.8</w:t>
                  </w:r>
                </w:p>
              </w:tc>
              <w:tc>
                <w:tcPr>
                  <w:tcW w:w="831" w:type="pct"/>
                  <w:shd w:val="clear" w:color="auto" w:fill="FFFFFF"/>
                  <w:vAlign w:val="center"/>
                </w:tcPr>
                <w:p w14:paraId="60CFFEF2">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6FB19555">
                  <w:pPr>
                    <w:pStyle w:val="13"/>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bl>
          <w:p w14:paraId="5810D58C">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由上表可知，项目在营运过程中通过采取对设备基础减震、隔声消声等措施后，厂界噪声预测值满足《工业企业厂界环境噪声排放标准》（GB12348-2008）中的3类标准限值要求（即昼间≤65dB(A)</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夜间≤55</w:t>
            </w:r>
            <w:r>
              <w:rPr>
                <w:rFonts w:hint="default" w:ascii="Times New Roman" w:hAnsi="Times New Roman" w:cs="Times New Roman"/>
                <w:color w:val="000000" w:themeColor="text1"/>
                <w14:textFill>
                  <w14:solidFill>
                    <w14:schemeClr w14:val="tx1"/>
                  </w14:solidFill>
                </w14:textFill>
              </w:rPr>
              <w:t>dB(A)），实现达标排放。</w:t>
            </w:r>
          </w:p>
          <w:p w14:paraId="543DEB6F">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（5）监测要求</w:t>
            </w:r>
          </w:p>
          <w:p w14:paraId="121BCD4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根据《排污单位自行监测技术指南 总则》（HJ 819-2017），项目噪声监测要求见下表。</w:t>
            </w:r>
          </w:p>
          <w:p w14:paraId="4F9F5E5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 xml:space="preserve">8 </w:t>
            </w:r>
            <w:r>
              <w:rPr>
                <w:rFonts w:cs="Times New Roman"/>
                <w:color w:val="000000" w:themeColor="text1"/>
                <w14:textFill>
                  <w14:solidFill>
                    <w14:schemeClr w14:val="tx1"/>
                  </w14:solidFill>
                </w14:textFill>
              </w:rPr>
              <w:t>各预测点噪声贡献值 单位：dB（A）</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4"/>
              <w:gridCol w:w="3120"/>
              <w:gridCol w:w="3120"/>
            </w:tblGrid>
            <w:tr w14:paraId="41232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4" w:type="pct"/>
                  <w:shd w:val="clear" w:color="auto" w:fill="auto"/>
                  <w:vAlign w:val="center"/>
                </w:tcPr>
                <w:p w14:paraId="2FF2C38A">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监测点位</w:t>
                  </w:r>
                </w:p>
              </w:tc>
              <w:tc>
                <w:tcPr>
                  <w:tcW w:w="1723" w:type="pct"/>
                  <w:shd w:val="clear" w:color="auto" w:fill="auto"/>
                  <w:vAlign w:val="center"/>
                </w:tcPr>
                <w:p w14:paraId="0F4444C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监测因子</w:t>
                  </w:r>
                </w:p>
              </w:tc>
              <w:tc>
                <w:tcPr>
                  <w:tcW w:w="1723" w:type="pct"/>
                  <w:shd w:val="clear" w:color="auto" w:fill="auto"/>
                  <w:vAlign w:val="center"/>
                </w:tcPr>
                <w:p w14:paraId="490E3565">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监测频次</w:t>
                  </w:r>
                </w:p>
              </w:tc>
            </w:tr>
            <w:tr w14:paraId="33AB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4" w:type="pct"/>
                  <w:shd w:val="clear" w:color="auto" w:fill="auto"/>
                  <w:vAlign w:val="center"/>
                </w:tcPr>
                <w:p w14:paraId="7D9AF77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项目区域四周外1m处</w:t>
                  </w:r>
                </w:p>
              </w:tc>
              <w:tc>
                <w:tcPr>
                  <w:tcW w:w="1723" w:type="pct"/>
                  <w:shd w:val="clear" w:color="auto" w:fill="auto"/>
                  <w:vAlign w:val="center"/>
                </w:tcPr>
                <w:p w14:paraId="3D1593D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Leq（dB（A））（昼间、夜间）</w:t>
                  </w:r>
                </w:p>
              </w:tc>
              <w:tc>
                <w:tcPr>
                  <w:tcW w:w="1723" w:type="pct"/>
                  <w:shd w:val="clear" w:color="auto" w:fill="auto"/>
                  <w:vAlign w:val="center"/>
                </w:tcPr>
                <w:p w14:paraId="7FD5445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1次/季度</w:t>
                  </w:r>
                </w:p>
              </w:tc>
            </w:tr>
          </w:tbl>
          <w:p w14:paraId="047B244D">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4、运营期固体废物环境影响分析和保护措施</w:t>
            </w:r>
          </w:p>
          <w:p w14:paraId="62C620D9">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本项目产生的固体废物为生活垃圾、一般固废、危险废物。</w:t>
            </w:r>
          </w:p>
          <w:p w14:paraId="65E71F30">
            <w:pPr>
              <w:ind w:firstLine="48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（1）生活垃圾</w:t>
            </w:r>
          </w:p>
          <w:p w14:paraId="6EA46607">
            <w:pPr>
              <w:ind w:firstLine="480"/>
              <w:rPr>
                <w:rFonts w:hint="default" w:cs="Times New Roman"/>
                <w:color w:val="000000" w:themeColor="text1"/>
                <w:lang w:val="en-US"/>
                <w14:textFill>
                  <w14:solidFill>
                    <w14:schemeClr w14:val="tx1"/>
                  </w14:solidFill>
                </w14:textFill>
              </w:rPr>
            </w:pPr>
            <w:r>
              <w:rPr>
                <w:rFonts w:cs="Times New Roman"/>
                <w:color w:val="000000" w:themeColor="text1"/>
                <w14:textFill>
                  <w14:solidFill>
                    <w14:schemeClr w14:val="tx1"/>
                  </w14:solidFill>
                </w14:textFill>
              </w:rPr>
              <w:t>办公生活垃圾主要为废纸、垃圾袋、清扫垃圾等。厂内工作人员共</w:t>
            </w:r>
            <w:r>
              <w:rPr>
                <w:rFonts w:hint="eastAsia" w:cs="Times New Roman"/>
                <w:color w:val="000000" w:themeColor="text1"/>
                <w:lang w:val="en-US" w:eastAsia="zh-CN"/>
                <w14:textFill>
                  <w14:solidFill>
                    <w14:schemeClr w14:val="tx1"/>
                  </w14:solidFill>
                </w14:textFill>
              </w:rPr>
              <w:t>20</w:t>
            </w:r>
            <w:r>
              <w:rPr>
                <w:rFonts w:cs="Times New Roman"/>
                <w:color w:val="000000" w:themeColor="text1"/>
                <w14:textFill>
                  <w14:solidFill>
                    <w14:schemeClr w14:val="tx1"/>
                  </w14:solidFill>
                </w14:textFill>
              </w:rPr>
              <w:t>人，产生垃圾按0.5kg/d·人计，则垃圾产生量为</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t>0kg/d，</w:t>
            </w:r>
            <w:r>
              <w:rPr>
                <w:rFonts w:hint="eastAsia" w:cs="Times New Roman"/>
                <w:color w:val="000000" w:themeColor="text1"/>
                <w:lang w:val="en-US" w:eastAsia="zh-CN"/>
                <w14:textFill>
                  <w14:solidFill>
                    <w14:schemeClr w14:val="tx1"/>
                  </w14:solidFill>
                </w14:textFill>
              </w:rPr>
              <w:t>3.3</w:t>
            </w:r>
            <w:r>
              <w:rPr>
                <w:rFonts w:cs="Times New Roman"/>
                <w:color w:val="000000" w:themeColor="text1"/>
                <w14:textFill>
                  <w14:solidFill>
                    <w14:schemeClr w14:val="tx1"/>
                  </w14:solidFill>
                </w14:textFill>
              </w:rPr>
              <w:t>t/a；经收集后由环卫部门清运处置。</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根据《固体废物分类与代码目录》，属于SW64其他垃圾，900-099-S64。</w:t>
            </w:r>
          </w:p>
          <w:p w14:paraId="6D4FBBCA">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（2）一般固废</w:t>
            </w:r>
          </w:p>
          <w:p w14:paraId="4ECB4827">
            <w:pPr>
              <w:ind w:firstLine="480"/>
              <w:rPr>
                <w:rFonts w:hint="default" w:ascii="Times New Roman" w:hAnsi="Times New Roman" w:eastAsia="宋体" w:cs="Times New Roman"/>
                <w:color w:val="000000" w:themeColor="text1"/>
                <w:lang w:eastAsia="zh-CN"/>
                <w14:textFill>
                  <w14:solidFill>
                    <w14:schemeClr w14:val="tx1"/>
                  </w14:solidFill>
                </w14:textFill>
              </w:rPr>
            </w:pPr>
            <w:bookmarkStart w:id="55" w:name="OLE_LINK174"/>
            <w:bookmarkStart w:id="56" w:name="OLE_LINK175"/>
            <w:r>
              <w:rPr>
                <w:rFonts w:hint="default" w:ascii="Times New Roman" w:hAnsi="Times New Roman" w:cs="Times New Roman"/>
                <w:color w:val="000000" w:themeColor="text1"/>
                <w14:textFill>
                  <w14:solidFill>
                    <w14:schemeClr w14:val="tx1"/>
                  </w14:solidFill>
                </w14:textFill>
              </w:rPr>
              <w:t>①</w:t>
            </w:r>
            <w:r>
              <w:rPr>
                <w:rFonts w:hint="default" w:ascii="Times New Roman" w:hAnsi="Times New Roman" w:cs="Times New Roman"/>
                <w:color w:val="000000" w:themeColor="text1"/>
                <w:lang w:val="en-US" w:eastAsia="zh-CN"/>
                <w14:textFill>
                  <w14:solidFill>
                    <w14:schemeClr w14:val="tx1"/>
                  </w14:solidFill>
                </w14:textFill>
              </w:rPr>
              <w:t>S1废包装</w:t>
            </w:r>
          </w:p>
          <w:p w14:paraId="2BB6EC40">
            <w:pPr>
              <w:spacing w:before="15"/>
              <w:ind w:firstLine="504"/>
              <w:rPr>
                <w:rFonts w:hint="eastAsia" w:cs="Times New Roman"/>
                <w:color w:val="000000" w:themeColor="text1"/>
                <w:spacing w:val="6"/>
                <w:lang w:val="en-US" w:eastAsia="zh-CN"/>
                <w14:textFill>
                  <w14:solidFill>
                    <w14:schemeClr w14:val="tx1"/>
                  </w14:solidFill>
                </w14:textFill>
              </w:rPr>
            </w:pPr>
            <w:r>
              <w:rPr>
                <w:rFonts w:hint="eastAsia" w:cs="Times New Roman"/>
                <w:color w:val="000000" w:themeColor="text1"/>
                <w:spacing w:val="6"/>
                <w:lang w:val="en-US" w:eastAsia="zh-CN"/>
                <w14:textFill>
                  <w14:solidFill>
                    <w14:schemeClr w14:val="tx1"/>
                  </w14:solidFill>
                </w14:textFill>
              </w:rPr>
              <w:t>本项目废包装主要来自氧化钙、硫酸亚铁、氢氧化钠、粉末活性炭使用产生的废包装袋，固化剂、生物除臭剂使用产生的废包装桶。</w:t>
            </w:r>
          </w:p>
          <w:p w14:paraId="6768DCCD">
            <w:pPr>
              <w:spacing w:before="15"/>
              <w:ind w:firstLine="504"/>
              <w:rPr>
                <w:rFonts w:hint="eastAsia" w:cs="Times New Roman"/>
                <w:color w:val="000000" w:themeColor="text1"/>
                <w:spacing w:val="6"/>
                <w:lang w:val="en-US" w:eastAsia="zh-CN"/>
                <w14:textFill>
                  <w14:solidFill>
                    <w14:schemeClr w14:val="tx1"/>
                  </w14:solidFill>
                </w14:textFill>
              </w:rPr>
            </w:pPr>
            <w:r>
              <w:rPr>
                <w:rFonts w:hint="eastAsia" w:cs="Times New Roman"/>
                <w:color w:val="000000" w:themeColor="text1"/>
                <w:spacing w:val="6"/>
                <w:lang w:val="en-US" w:eastAsia="zh-CN"/>
                <w14:textFill>
                  <w14:solidFill>
                    <w14:schemeClr w14:val="tx1"/>
                  </w14:solidFill>
                </w14:textFill>
              </w:rPr>
              <w:t>氧化钙、硫酸亚铁等包装袋规格为25kg/袋，单个包装袋重量约0.1kg，相关药剂总用量约1579t/a，则废包装袋产生量约1579*1000/25=6316个，约6.316t/a。</w:t>
            </w:r>
          </w:p>
          <w:p w14:paraId="058A4E42">
            <w:pPr>
              <w:spacing w:before="15"/>
              <w:ind w:firstLine="504"/>
              <w:rPr>
                <w:rFonts w:hint="default" w:cs="Times New Roman"/>
                <w:color w:val="000000" w:themeColor="text1"/>
                <w:spacing w:val="6"/>
                <w:lang w:val="en-US" w:eastAsia="zh-CN"/>
                <w14:textFill>
                  <w14:solidFill>
                    <w14:schemeClr w14:val="tx1"/>
                  </w14:solidFill>
                </w14:textFill>
              </w:rPr>
            </w:pPr>
            <w:r>
              <w:rPr>
                <w:rFonts w:hint="eastAsia" w:cs="Times New Roman"/>
                <w:color w:val="000000" w:themeColor="text1"/>
                <w:spacing w:val="6"/>
                <w:lang w:val="en-US" w:eastAsia="zh-CN"/>
                <w14:textFill>
                  <w14:solidFill>
                    <w14:schemeClr w14:val="tx1"/>
                  </w14:solidFill>
                </w14:textFill>
              </w:rPr>
              <w:t>固化剂采用25kg桶装，单个桶重约1.5kg；生物除臭剂采用50L桶装，单个桶重约2.5kg。固化剂用量约80t/a，则固化剂废桶产生量约80*1000/25=3200个，8t/a；生物除臭剂用量约50t/a，则生物除臭剂废桶产生量约50*1000/50=1000个，2.5t/a</w:t>
            </w:r>
            <w:r>
              <w:rPr>
                <w:rFonts w:cs="Times New Roman"/>
                <w:color w:val="000000" w:themeColor="text1"/>
                <w14:textFill>
                  <w14:solidFill>
                    <w14:schemeClr w14:val="tx1"/>
                  </w14:solidFill>
                </w14:textFill>
              </w:rPr>
              <w:t>。</w:t>
            </w:r>
          </w:p>
          <w:p w14:paraId="1D24B22F">
            <w:pPr>
              <w:spacing w:before="15"/>
              <w:ind w:firstLine="504"/>
              <w:rPr>
                <w:rFonts w:cs="Times New Roman"/>
                <w:color w:val="000000" w:themeColor="text1"/>
                <w:spacing w:val="6"/>
                <w14:textFill>
                  <w14:solidFill>
                    <w14:schemeClr w14:val="tx1"/>
                  </w14:solidFill>
                </w14:textFill>
              </w:rPr>
            </w:pPr>
            <w:r>
              <w:rPr>
                <w:rFonts w:hint="eastAsia" w:cs="Times New Roman"/>
                <w:color w:val="000000" w:themeColor="text1"/>
                <w:spacing w:val="6"/>
                <w:lang w:val="en-US" w:eastAsia="zh-CN"/>
                <w14:textFill>
                  <w14:solidFill>
                    <w14:schemeClr w14:val="tx1"/>
                  </w14:solidFill>
                </w14:textFill>
              </w:rPr>
              <w:t>则计算废包装产生量总计约6.316+8+2.5=16.816t/a。废包装</w:t>
            </w:r>
            <w:r>
              <w:rPr>
                <w:rFonts w:cs="Times New Roman"/>
                <w:color w:val="000000" w:themeColor="text1"/>
                <w14:textFill>
                  <w14:solidFill>
                    <w14:schemeClr w14:val="tx1"/>
                  </w14:solidFill>
                </w14:textFill>
              </w:rPr>
              <w:t>收集后于</w:t>
            </w:r>
            <w:r>
              <w:rPr>
                <w:rFonts w:cs="Times New Roman"/>
                <w:color w:val="000000" w:themeColor="text1"/>
                <w:spacing w:val="-3"/>
                <w14:textFill>
                  <w14:solidFill>
                    <w14:schemeClr w14:val="tx1"/>
                  </w14:solidFill>
                </w14:textFill>
              </w:rPr>
              <w:t>一般固废暂存间暂存，定期</w:t>
            </w:r>
            <w:r>
              <w:rPr>
                <w:rFonts w:cs="Times New Roman"/>
                <w:color w:val="000000" w:themeColor="text1"/>
                <w14:textFill>
                  <w14:solidFill>
                    <w14:schemeClr w14:val="tx1"/>
                  </w14:solidFill>
                </w14:textFill>
              </w:rPr>
              <w:t>交由</w:t>
            </w:r>
            <w:r>
              <w:rPr>
                <w:rFonts w:hint="eastAsia" w:cs="Times New Roman"/>
                <w:color w:val="000000" w:themeColor="text1"/>
                <w:lang w:val="en-US" w:eastAsia="zh-CN"/>
                <w14:textFill>
                  <w14:solidFill>
                    <w14:schemeClr w14:val="tx1"/>
                  </w14:solidFill>
                </w14:textFill>
              </w:rPr>
              <w:t>外售废品回收站或交由厂家综合利用</w:t>
            </w:r>
            <w:r>
              <w:rPr>
                <w:rFonts w:cs="Times New Roman"/>
                <w:color w:val="000000" w:themeColor="text1"/>
                <w14:textFill>
                  <w14:solidFill>
                    <w14:schemeClr w14:val="tx1"/>
                  </w14:solidFill>
                </w14:textFill>
              </w:rPr>
              <w:t>。</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根据《固体废物分类与代码目录》，属于SW17可再生类废物，900-099-S17。</w:t>
            </w:r>
          </w:p>
          <w:bookmarkEnd w:id="55"/>
          <w:bookmarkEnd w:id="56"/>
          <w:p w14:paraId="3B5D2F2C">
            <w:pPr>
              <w:spacing w:before="15"/>
              <w:ind w:firstLine="504"/>
              <w:rPr>
                <w:rFonts w:hint="default" w:ascii="Times New Roman" w:hAnsi="Times New Roman" w:eastAsia="宋体"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②</w:t>
            </w:r>
            <w:r>
              <w:rPr>
                <w:rFonts w:hint="default" w:ascii="Times New Roman" w:hAnsi="Times New Roman" w:cs="Times New Roman"/>
                <w:color w:val="000000" w:themeColor="text1"/>
                <w:spacing w:val="6"/>
                <w:lang w:val="en-US" w:eastAsia="zh-CN"/>
                <w14:textFill>
                  <w14:solidFill>
                    <w14:schemeClr w14:val="tx1"/>
                  </w14:solidFill>
                </w14:textFill>
              </w:rPr>
              <w:t>S2不合格品</w:t>
            </w:r>
          </w:p>
          <w:p w14:paraId="06C5486D">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在</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生产中（主要是压制成型工序和蒸养工序）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，可能会出现不完整成品、开裂成品等不合格品</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半成品</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，产生量约为产量的1%，</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产生量约</w:t>
            </w:r>
            <w:r>
              <w:rPr>
                <w:rFonts w:hint="eastAsia" w:cs="Times New Roman"/>
                <w:color w:val="000000" w:themeColor="text1"/>
                <w:kern w:val="0"/>
                <w:sz w:val="24"/>
                <w:szCs w:val="24"/>
                <w:lang w:val="en-US" w:eastAsia="zh-CN" w:bidi="ar"/>
                <w14:textFill>
                  <w14:solidFill>
                    <w14:schemeClr w14:val="tx1"/>
                  </w14:solidFill>
                </w14:textFill>
              </w:rPr>
              <w:t>220000*1%=</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2</w:t>
            </w:r>
            <w:r>
              <w:rPr>
                <w:rFonts w:hint="eastAsia"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00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/a。</w:t>
            </w:r>
          </w:p>
          <w:p w14:paraId="6B38ADE5">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不合格品全部收集回到</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轮辊工序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，重新利用。</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根据《固体废物分类与代码目录》，属于SW17可再生类废物，900-003-S17。</w:t>
            </w:r>
          </w:p>
          <w:p w14:paraId="156E75F6">
            <w:pPr>
              <w:spacing w:before="15"/>
              <w:ind w:firstLine="504"/>
              <w:rPr>
                <w:rFonts w:hint="default" w:ascii="Times New Roman" w:hAnsi="Times New Roman"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③</w:t>
            </w:r>
            <w:r>
              <w:rPr>
                <w:rFonts w:hint="default" w:ascii="Times New Roman" w:hAnsi="Times New Roman" w:cs="Times New Roman"/>
                <w:color w:val="000000" w:themeColor="text1"/>
                <w:spacing w:val="6"/>
                <w:lang w:val="en-US" w:eastAsia="zh-CN"/>
                <w14:textFill>
                  <w14:solidFill>
                    <w14:schemeClr w14:val="tx1"/>
                  </w14:solidFill>
                </w14:textFill>
              </w:rPr>
              <w:t>S3废模具</w:t>
            </w:r>
          </w:p>
          <w:p w14:paraId="2DB205FA">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建设单位外购压制成型工序所需模具，模具随着使用会产生破损，无法使用，本项目共有20套模具，破损占比按20%考虑，则年破损模具4套，单套模具重量约0.2</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t，则废模具产生量约1t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/a。</w:t>
            </w:r>
          </w:p>
          <w:p w14:paraId="3FE6625C">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废模具暂存在一般固废暂存间，定期交由厂家回收综合利用。</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根据《固体废物分类与代码目录》，属于SW59其他工业固体废物，900-099-S59。</w:t>
            </w:r>
          </w:p>
          <w:p w14:paraId="52B4E747">
            <w:pPr>
              <w:spacing w:before="15"/>
              <w:ind w:firstLine="504"/>
              <w:rPr>
                <w:rFonts w:hint="default" w:ascii="Times New Roman" w:hAnsi="Times New Roman" w:eastAsia="宋体"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④</w:t>
            </w:r>
            <w:r>
              <w:rPr>
                <w:rFonts w:hint="default" w:ascii="Times New Roman" w:hAnsi="Times New Roman" w:cs="Times New Roman"/>
                <w:color w:val="000000" w:themeColor="text1"/>
                <w:spacing w:val="6"/>
                <w:lang w:val="en-US" w:eastAsia="zh-CN"/>
                <w14:textFill>
                  <w14:solidFill>
                    <w14:schemeClr w14:val="tx1"/>
                  </w14:solidFill>
                </w14:textFill>
              </w:rPr>
              <w:t>S4旋风除尘器、布袋除尘器1#集尘</w:t>
            </w:r>
          </w:p>
          <w:p w14:paraId="40D13158">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煅烧</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废气经</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旋风除尘+</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布袋除尘器1#+喷射活性炭+布袋除尘器2#+</w:t>
            </w:r>
            <w:r>
              <w:rPr>
                <w:rFonts w:hint="eastAsia" w:cs="Times New Roman"/>
                <w:color w:val="000000" w:themeColor="text1"/>
                <w:kern w:val="0"/>
                <w:sz w:val="24"/>
                <w:szCs w:val="24"/>
                <w:lang w:val="en-US" w:eastAsia="zh-CN" w:bidi="ar"/>
                <w14:textFill>
                  <w14:solidFill>
                    <w14:schemeClr w14:val="tx1"/>
                  </w14:solidFill>
                </w14:textFill>
              </w:rPr>
              <w:t>2座脱酸塔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处理后排放。定期清理旋风除尘器</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和布袋除尘器1#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，产生集尘</w:t>
            </w:r>
            <w:r>
              <w:rPr>
                <w:rFonts w:hint="eastAsia" w:cs="Times New Roman"/>
                <w:color w:val="000000" w:themeColor="text1"/>
                <w:kern w:val="0"/>
                <w:sz w:val="24"/>
                <w:szCs w:val="24"/>
                <w:lang w:val="en-US" w:eastAsia="zh-CN" w:bidi="ar"/>
                <w14:textFill>
                  <w14:solidFill>
                    <w14:schemeClr w14:val="tx1"/>
                  </w14:solidFill>
                </w14:textFill>
              </w:rPr>
              <w:t>，主要成分为颗粒物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w:t>
            </w:r>
            <w:r>
              <w:rPr>
                <w:rFonts w:hint="eastAsia" w:cs="Times New Roman"/>
                <w:color w:val="000000" w:themeColor="text1"/>
                <w:kern w:val="0"/>
                <w:sz w:val="24"/>
                <w:szCs w:val="24"/>
                <w:lang w:val="en-US" w:eastAsia="zh-CN" w:bidi="ar"/>
                <w14:textFill>
                  <w14:solidFill>
                    <w14:schemeClr w14:val="tx1"/>
                  </w14:solidFill>
                </w14:textFill>
              </w:rPr>
              <w:t>大气专项评价</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废气章节计算，旋风除尘器集尘</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和布袋除尘器1#集尘</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量约</w:t>
            </w:r>
            <w:r>
              <w:rPr>
                <w:rFonts w:hint="eastAsia" w:cs="Times New Roman"/>
                <w:color w:val="000000" w:themeColor="text1"/>
                <w:kern w:val="0"/>
                <w:sz w:val="24"/>
                <w:szCs w:val="24"/>
                <w:lang w:val="en-US" w:eastAsia="zh-CN" w:bidi="ar"/>
                <w14:textFill>
                  <w14:solidFill>
                    <w14:schemeClr w14:val="tx1"/>
                  </w14:solidFill>
                </w14:textFill>
              </w:rPr>
              <w:t>34.116-0.1365=33.9795t/a</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，收集到的粉尘全部作为原料，投加至</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生产线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轮辊机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内回用。</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根据《固体废物分类与代码目录》，属于SW59其他工业固体废物，900-099-S59。</w:t>
            </w:r>
          </w:p>
          <w:p w14:paraId="61A66A56">
            <w:pPr>
              <w:spacing w:before="15"/>
              <w:ind w:firstLine="504"/>
              <w:rPr>
                <w:rFonts w:hint="default" w:ascii="Times New Roman" w:hAnsi="Times New Roman" w:cs="Times New Roman"/>
                <w:color w:val="000000" w:themeColor="text1"/>
                <w:spacing w:val="6"/>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⑤</w:t>
            </w:r>
            <w:r>
              <w:rPr>
                <w:rFonts w:hint="default" w:ascii="Times New Roman" w:hAnsi="Times New Roman" w:cs="Times New Roman"/>
                <w:color w:val="000000" w:themeColor="text1"/>
                <w:spacing w:val="6"/>
                <w:lang w:val="en-US" w:eastAsia="zh-CN"/>
                <w14:textFill>
                  <w14:solidFill>
                    <w14:schemeClr w14:val="tx1"/>
                  </w14:solidFill>
                </w14:textFill>
              </w:rPr>
              <w:t>S6</w:t>
            </w:r>
            <w:r>
              <w:rPr>
                <w:rFonts w:hint="default" w:ascii="Times New Roman" w:hAnsi="Times New Roman" w:cs="Times New Roman"/>
                <w:color w:val="000000" w:themeColor="text1"/>
                <w:spacing w:val="6"/>
                <w14:textFill>
                  <w14:solidFill>
                    <w14:schemeClr w14:val="tx1"/>
                  </w14:solidFill>
                </w14:textFill>
              </w:rPr>
              <w:t>废布袋</w:t>
            </w:r>
          </w:p>
          <w:p w14:paraId="76051DB2">
            <w:pPr>
              <w:spacing w:before="15"/>
              <w:ind w:firstLine="504"/>
              <w:rPr>
                <w:rFonts w:hint="default" w:ascii="Times New Roman" w:hAnsi="Times New Roman" w:cs="Times New Roman"/>
                <w:color w:val="000000" w:themeColor="text1"/>
                <w:spacing w:val="6"/>
                <w14:textFill>
                  <w14:solidFill>
                    <w14:schemeClr w14:val="tx1"/>
                  </w14:solidFill>
                </w14:textFill>
              </w:rPr>
            </w:pPr>
            <w:r>
              <w:rPr>
                <w:rFonts w:cs="Times New Roman"/>
                <w:color w:val="000000" w:themeColor="text1"/>
                <w:spacing w:val="6"/>
                <w14:textFill>
                  <w14:solidFill>
                    <w14:schemeClr w14:val="tx1"/>
                  </w14:solidFill>
                </w14:textFill>
              </w:rPr>
              <w:t>为确保布袋除尘器处理效果，</w:t>
            </w:r>
            <w:r>
              <w:rPr>
                <w:rFonts w:hint="eastAsia" w:cs="Times New Roman"/>
                <w:color w:val="000000" w:themeColor="text1"/>
                <w:spacing w:val="6"/>
                <w:lang w:val="en-US" w:eastAsia="zh-CN"/>
                <w14:textFill>
                  <w14:solidFill>
                    <w14:schemeClr w14:val="tx1"/>
                  </w14:solidFill>
                </w14:textFill>
              </w:rPr>
              <w:t>各布袋除尘器的</w:t>
            </w:r>
            <w:r>
              <w:rPr>
                <w:rFonts w:cs="Times New Roman"/>
                <w:color w:val="000000" w:themeColor="text1"/>
                <w:spacing w:val="6"/>
                <w14:textFill>
                  <w14:solidFill>
                    <w14:schemeClr w14:val="tx1"/>
                  </w14:solidFill>
                </w14:textFill>
              </w:rPr>
              <w:t>布袋定期进行更换。废布袋产生量约0.</w:t>
            </w:r>
            <w:r>
              <w:rPr>
                <w:rFonts w:hint="eastAsia" w:cs="Times New Roman"/>
                <w:color w:val="000000" w:themeColor="text1"/>
                <w:spacing w:val="6"/>
                <w:lang w:val="en-US" w:eastAsia="zh-CN"/>
                <w14:textFill>
                  <w14:solidFill>
                    <w14:schemeClr w14:val="tx1"/>
                  </w14:solidFill>
                </w14:textFill>
              </w:rPr>
              <w:t>3</w:t>
            </w:r>
            <w:r>
              <w:rPr>
                <w:rFonts w:cs="Times New Roman"/>
                <w:color w:val="000000" w:themeColor="text1"/>
                <w:spacing w:val="6"/>
                <w14:textFill>
                  <w14:solidFill>
                    <w14:schemeClr w14:val="tx1"/>
                  </w14:solidFill>
                </w14:textFill>
              </w:rPr>
              <w:t>t/a，采用密封桶装</w:t>
            </w:r>
            <w:r>
              <w:rPr>
                <w:rFonts w:cs="Times New Roman"/>
                <w:color w:val="000000" w:themeColor="text1"/>
                <w14:textFill>
                  <w14:solidFill>
                    <w14:schemeClr w14:val="tx1"/>
                  </w14:solidFill>
                </w14:textFill>
              </w:rPr>
              <w:t>收集后于</w:t>
            </w:r>
            <w:r>
              <w:rPr>
                <w:rFonts w:cs="Times New Roman"/>
                <w:color w:val="000000" w:themeColor="text1"/>
                <w:spacing w:val="-3"/>
                <w14:textFill>
                  <w14:solidFill>
                    <w14:schemeClr w14:val="tx1"/>
                  </w14:solidFill>
                </w14:textFill>
              </w:rPr>
              <w:t>一般固废暂存间暂存，交由厂家回收利用</w:t>
            </w:r>
            <w:r>
              <w:rPr>
                <w:rFonts w:cs="Times New Roman"/>
                <w:color w:val="000000" w:themeColor="text1"/>
                <w:spacing w:val="6"/>
                <w14:textFill>
                  <w14:solidFill>
                    <w14:schemeClr w14:val="tx1"/>
                  </w14:solidFill>
                </w14:textFill>
              </w:rPr>
              <w:t>。</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根据《固体废物分类与代码目录》，属于SW59其他工业固体废物，900-099-S59。</w:t>
            </w:r>
          </w:p>
          <w:p w14:paraId="6171F295">
            <w:pPr>
              <w:spacing w:line="360" w:lineRule="auto"/>
              <w:ind w:firstLine="480"/>
              <w:rPr>
                <w:rFonts w:hint="eastAsia"/>
                <w:color w:val="000000" w:themeColor="text1"/>
                <w:lang w:val="en-US" w:eastAsia="zh-CN"/>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⑥</w:t>
            </w:r>
            <w:r>
              <w:rPr>
                <w:rFonts w:hint="eastAsia"/>
                <w:color w:val="000000" w:themeColor="text1"/>
                <w:lang w:val="en-US" w:eastAsia="zh-CN"/>
                <w14:textFill>
                  <w14:solidFill>
                    <w14:schemeClr w14:val="tx1"/>
                  </w14:solidFill>
                </w14:textFill>
              </w:rPr>
              <w:t>初期雨水池污泥</w:t>
            </w:r>
          </w:p>
          <w:p w14:paraId="4626690C">
            <w:pPr>
              <w:spacing w:line="360" w:lineRule="auto"/>
              <w:ind w:firstLine="48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本项目拟建设1座150m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的初期雨水收集池，</w:t>
            </w:r>
            <w:r>
              <w:rPr>
                <w:rFonts w:hint="default" w:cs="Times New Roman"/>
                <w:b w:val="0"/>
                <w:bCs w:val="0"/>
                <w:color w:val="000000" w:themeColor="text1"/>
                <w:szCs w:val="24"/>
                <w14:textFill>
                  <w14:solidFill>
                    <w14:schemeClr w14:val="tx1"/>
                  </w14:solidFill>
                </w14:textFill>
              </w:rPr>
              <w:t>初期雨水最大收集量为</w:t>
            </w:r>
            <w:r>
              <w:rPr>
                <w:rFonts w:hint="eastAsia" w:cs="Times New Roman"/>
                <w:b w:val="0"/>
                <w:bCs w:val="0"/>
                <w:color w:val="000000" w:themeColor="text1"/>
                <w:szCs w:val="24"/>
                <w:lang w:val="en-US" w:eastAsia="zh-CN"/>
                <w14:textFill>
                  <w14:solidFill>
                    <w14:schemeClr w14:val="tx1"/>
                  </w14:solidFill>
                </w14:textFill>
              </w:rPr>
              <w:t>106.71</w:t>
            </w:r>
            <w:r>
              <w:rPr>
                <w:rFonts w:hint="default" w:cs="Times New Roman"/>
                <w:b w:val="0"/>
                <w:bCs w:val="0"/>
                <w:color w:val="000000" w:themeColor="text1"/>
                <w:szCs w:val="24"/>
                <w14:textFill>
                  <w14:solidFill>
                    <w14:schemeClr w14:val="tx1"/>
                  </w14:solidFill>
                </w14:textFill>
              </w:rPr>
              <w:t>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/次（</w:t>
            </w:r>
            <w:r>
              <w:rPr>
                <w:rFonts w:hint="eastAsia" w:cs="Times New Roman"/>
                <w:b w:val="0"/>
                <w:bCs w:val="0"/>
                <w:color w:val="000000" w:themeColor="text1"/>
                <w:szCs w:val="24"/>
                <w:lang w:val="en-US" w:eastAsia="zh-CN"/>
                <w14:textFill>
                  <w14:solidFill>
                    <w14:schemeClr w14:val="tx1"/>
                  </w14:solidFill>
                </w14:textFill>
              </w:rPr>
              <w:t>426.84m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/a（每年4次））</w:t>
            </w:r>
            <w:r>
              <w:rPr>
                <w:rFonts w:hint="eastAsia" w:cs="Times New Roman"/>
                <w:b w:val="0"/>
                <w:bCs w:val="0"/>
                <w:color w:val="000000" w:themeColor="text1"/>
                <w:szCs w:val="24"/>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经过沉淀会产生一定的污泥。</w:t>
            </w:r>
            <w:r>
              <w:rPr>
                <w:rFonts w:hint="eastAsia" w:cs="Times New Roman"/>
                <w:b w:val="0"/>
                <w:bCs w:val="0"/>
                <w:color w:val="000000" w:themeColor="text1"/>
                <w:szCs w:val="24"/>
                <w:lang w:val="en-US" w:eastAsia="zh-CN"/>
                <w14:textFill>
                  <w14:solidFill>
                    <w14:schemeClr w14:val="tx1"/>
                  </w14:solidFill>
                </w14:textFill>
              </w:rPr>
              <w:t>由于本项目受污染的初期雨水中污染物种类与压滤废水基本一致，但水质优于压滤废水。按最不利情况，</w:t>
            </w:r>
            <w:r>
              <w:rPr>
                <w:rFonts w:hint="eastAsia"/>
                <w:color w:val="000000" w:themeColor="text1"/>
                <w:lang w:val="en-US" w:eastAsia="zh-CN"/>
                <w14:textFill>
                  <w14:solidFill>
                    <w14:schemeClr w14:val="tx1"/>
                  </w14:solidFill>
                </w14:textFill>
              </w:rPr>
              <w:t>初期雨水中SS的浓度与压滤废水一样，为500mg/L</w:t>
            </w:r>
            <w:r>
              <w:rPr>
                <w:rFonts w:hint="default" w:ascii="Times New Roman" w:hAnsi="Times New Roman" w:eastAsia="宋体" w:cs="Times New Roman"/>
                <w:color w:val="000000" w:themeColor="text1"/>
                <w:sz w:val="24"/>
                <w:szCs w:val="24"/>
                <w14:textFill>
                  <w14:solidFill>
                    <w14:schemeClr w14:val="tx1"/>
                  </w14:solidFill>
                </w14:textFill>
              </w:rPr>
              <w:t>，则污泥产生量约</w:t>
            </w:r>
            <w:r>
              <w:rPr>
                <w:rFonts w:hint="eastAsia" w:cs="Times New Roman"/>
                <w:color w:val="000000" w:themeColor="text1"/>
                <w:sz w:val="24"/>
                <w:szCs w:val="24"/>
                <w:lang w:val="en-US" w:eastAsia="zh-CN"/>
                <w14:textFill>
                  <w14:solidFill>
                    <w14:schemeClr w14:val="tx1"/>
                  </w14:solidFill>
                </w14:textFill>
              </w:rPr>
              <w:t>426.84*500/1000000=0.21t</w:t>
            </w:r>
            <w:r>
              <w:rPr>
                <w:rFonts w:hint="default" w:ascii="Times New Roman" w:hAnsi="Times New Roman" w:eastAsia="宋体" w:cs="Times New Roman"/>
                <w:color w:val="000000" w:themeColor="text1"/>
                <w:sz w:val="24"/>
                <w:szCs w:val="24"/>
                <w14:textFill>
                  <w14:solidFill>
                    <w14:schemeClr w14:val="tx1"/>
                  </w14:solidFill>
                </w14:textFill>
              </w:rPr>
              <w:t>/a。污泥</w:t>
            </w:r>
            <w:r>
              <w:rPr>
                <w:rFonts w:hint="eastAsia" w:ascii="Times New Roman" w:hAnsi="Times New Roman" w:cs="Times New Roman"/>
                <w:color w:val="000000" w:themeColor="text1"/>
                <w:sz w:val="24"/>
                <w:szCs w:val="24"/>
                <w:lang w:val="en-US" w:eastAsia="zh-CN"/>
                <w14:textFill>
                  <w14:solidFill>
                    <w14:schemeClr w14:val="tx1"/>
                  </w14:solidFill>
                </w14:textFill>
              </w:rPr>
              <w:t>1年</w:t>
            </w:r>
            <w:r>
              <w:rPr>
                <w:rFonts w:hint="default" w:ascii="Times New Roman" w:hAnsi="Times New Roman" w:eastAsia="宋体" w:cs="Times New Roman"/>
                <w:color w:val="000000" w:themeColor="text1"/>
                <w:sz w:val="24"/>
                <w:szCs w:val="24"/>
                <w14:textFill>
                  <w14:solidFill>
                    <w14:schemeClr w14:val="tx1"/>
                  </w14:solidFill>
                </w14:textFill>
              </w:rPr>
              <w:t>清掏</w:t>
            </w:r>
            <w:r>
              <w:rPr>
                <w:rFonts w:hint="eastAsia" w:ascii="Times New Roman" w:hAnsi="Times New Roman" w:cs="Times New Roman"/>
                <w:color w:val="000000" w:themeColor="text1"/>
                <w:sz w:val="24"/>
                <w:szCs w:val="24"/>
                <w:lang w:val="en-US" w:eastAsia="zh-CN"/>
                <w14:textFill>
                  <w14:solidFill>
                    <w14:schemeClr w14:val="tx1"/>
                  </w14:solidFill>
                </w14:textFill>
              </w:rPr>
              <w:t>1次</w:t>
            </w:r>
            <w:r>
              <w:rPr>
                <w:rFonts w:hint="default" w:ascii="Times New Roman" w:hAnsi="Times New Roman" w:eastAsia="宋体" w:cs="Times New Roman"/>
                <w:color w:val="000000" w:themeColor="text1"/>
                <w:sz w:val="24"/>
                <w:szCs w:val="24"/>
                <w14:textFill>
                  <w14:solidFill>
                    <w14:schemeClr w14:val="tx1"/>
                  </w14:solidFill>
                </w14:textFill>
              </w:rPr>
              <w:t>，并</w:t>
            </w:r>
            <w:r>
              <w:rPr>
                <w:rFonts w:hint="eastAsia" w:cs="Times New Roman"/>
                <w:color w:val="000000" w:themeColor="text1"/>
                <w:sz w:val="24"/>
                <w:szCs w:val="24"/>
                <w:lang w:val="en-US" w:eastAsia="zh-CN"/>
                <w14:textFill>
                  <w14:solidFill>
                    <w14:schemeClr w14:val="tx1"/>
                  </w14:solidFill>
                </w14:textFill>
              </w:rPr>
              <w:t>委托有资质固废处置单位</w:t>
            </w:r>
            <w:r>
              <w:rPr>
                <w:rFonts w:hint="default" w:ascii="Times New Roman" w:hAnsi="Times New Roman" w:eastAsia="宋体" w:cs="Times New Roman"/>
                <w:color w:val="000000" w:themeColor="text1"/>
                <w:sz w:val="24"/>
                <w:szCs w:val="24"/>
                <w14:textFill>
                  <w14:solidFill>
                    <w14:schemeClr w14:val="tx1"/>
                  </w14:solidFill>
                </w14:textFill>
              </w:rPr>
              <w:t>统一清运、处理，实现无害化处置</w:t>
            </w:r>
            <w:r>
              <w:rPr>
                <w:rFonts w:hint="eastAsia"/>
                <w:color w:val="000000" w:themeColor="text1"/>
                <w:lang w:val="en-US" w:eastAsia="zh-CN"/>
                <w14:textFill>
                  <w14:solidFill>
                    <w14:schemeClr w14:val="tx1"/>
                  </w14:solidFill>
                </w14:textFill>
              </w:rPr>
              <w:t>。</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据《固体废物分类与代码目录》，属于SW07污泥，900-099-S07。</w:t>
            </w:r>
          </w:p>
          <w:p w14:paraId="7F44016A">
            <w:pPr>
              <w:spacing w:before="15"/>
              <w:ind w:firstLine="470"/>
              <w:rPr>
                <w:rFonts w:cs="Times New Roman"/>
                <w:b/>
                <w:color w:val="000000" w:themeColor="text1"/>
                <w:spacing w:val="-3"/>
                <w14:textFill>
                  <w14:solidFill>
                    <w14:schemeClr w14:val="tx1"/>
                  </w14:solidFill>
                </w14:textFill>
              </w:rPr>
            </w:pPr>
            <w:r>
              <w:rPr>
                <w:rFonts w:cs="Times New Roman"/>
                <w:b/>
                <w:color w:val="000000" w:themeColor="text1"/>
                <w:spacing w:val="-3"/>
                <w14:textFill>
                  <w14:solidFill>
                    <w14:schemeClr w14:val="tx1"/>
                  </w14:solidFill>
                </w14:textFill>
              </w:rPr>
              <w:t>（3）危险废物</w:t>
            </w:r>
          </w:p>
          <w:p w14:paraId="51569D95">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①S7废活性炭（布袋除尘器2#集尘）</w:t>
            </w:r>
          </w:p>
          <w:p w14:paraId="6D776B25">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w:t>
            </w:r>
            <w:r>
              <w:rPr>
                <w:rFonts w:hint="eastAsia" w:ascii="宋体" w:hAnsi="宋体" w:cs="宋体"/>
                <w:color w:val="000000" w:themeColor="text1"/>
                <w:kern w:val="0"/>
                <w:sz w:val="24"/>
                <w:szCs w:val="24"/>
                <w:lang w:val="en-US" w:eastAsia="zh-CN" w:bidi="ar"/>
                <w14:textFill>
                  <w14:solidFill>
                    <w14:schemeClr w14:val="tx1"/>
                  </w14:solidFill>
                </w14:textFill>
              </w:rPr>
              <w:t>煅烧</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废气经</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ascii="宋体" w:hAnsi="宋体" w:eastAsia="宋体" w:cs="宋体"/>
                <w:color w:val="000000" w:themeColor="text1"/>
                <w:kern w:val="0"/>
                <w:sz w:val="24"/>
                <w:szCs w:val="24"/>
                <w:lang w:val="en-US" w:eastAsia="zh-CN" w:bidi="ar"/>
                <w14:textFill>
                  <w14:solidFill>
                    <w14:schemeClr w14:val="tx1"/>
                  </w14:solidFill>
                </w14:textFill>
              </w:rPr>
              <w:t>旋风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除尘+</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布袋除尘器1#+喷射活性炭+布袋除尘器2#+</w:t>
            </w:r>
            <w:r>
              <w:rPr>
                <w:rFonts w:hint="eastAsia" w:cs="Times New Roman"/>
                <w:color w:val="000000" w:themeColor="text1"/>
                <w:kern w:val="0"/>
                <w:sz w:val="24"/>
                <w:szCs w:val="24"/>
                <w:lang w:val="en-US" w:eastAsia="zh-CN" w:bidi="ar"/>
                <w14:textFill>
                  <w14:solidFill>
                    <w14:schemeClr w14:val="tx1"/>
                  </w14:solidFill>
                </w14:textFill>
              </w:rPr>
              <w:t>2座脱酸塔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处理后排放。</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布袋除尘器2#收集喷入的活性炭，定期清理，产生废活性炭。</w:t>
            </w:r>
            <w:r>
              <w:rPr>
                <w:rFonts w:hint="eastAsia" w:cs="Times New Roman"/>
                <w:color w:val="000000" w:themeColor="text1"/>
                <w:kern w:val="0"/>
                <w:sz w:val="24"/>
                <w:szCs w:val="24"/>
                <w:lang w:val="en-US" w:eastAsia="zh-CN" w:bidi="ar"/>
                <w14:textFill>
                  <w14:solidFill>
                    <w14:schemeClr w14:val="tx1"/>
                  </w14:solidFill>
                </w14:textFill>
              </w:rPr>
              <w:t>主要成分为活性炭、二噁英、颗粒物。</w:t>
            </w:r>
          </w:p>
          <w:p w14:paraId="2650B331">
            <w:pPr>
              <w:keepNext w:val="0"/>
              <w:keepLines w:val="0"/>
              <w:widowControl/>
              <w:suppressLineNumbers w:val="0"/>
              <w:jc w:val="left"/>
              <w:rPr>
                <w:rFonts w:hint="default" w:ascii="宋体" w:hAnsi="宋体" w:eastAsia="宋体" w:cs="宋体"/>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根据废气章节计算，</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收集到的废活性炭和少量布袋除尘器拦截的其他粉尘量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约</w:t>
            </w:r>
            <w:r>
              <w:rPr>
                <w:rFonts w:hint="eastAsia" w:cs="Times New Roman"/>
                <w:color w:val="000000" w:themeColor="text1"/>
                <w:kern w:val="0"/>
                <w:sz w:val="24"/>
                <w:szCs w:val="24"/>
                <w:lang w:val="en-US" w:eastAsia="zh-CN" w:bidi="ar"/>
                <w14:textFill>
                  <w14:solidFill>
                    <w14:schemeClr w14:val="tx1"/>
                  </w14:solidFill>
                </w14:textFill>
              </w:rPr>
              <w:t>15.84*99%+34.116*(1-60%)*(1-99%)*0.99=15.8167t/a。</w:t>
            </w:r>
          </w:p>
          <w:p w14:paraId="39F29595">
            <w:pPr>
              <w:keepNext w:val="0"/>
              <w:keepLines w:val="0"/>
              <w:widowControl/>
              <w:suppressLineNumbers w:val="0"/>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对照《国家危险废物名录（2025年版）》，</w:t>
            </w:r>
            <w:r>
              <w:rPr>
                <w:rFonts w:hint="eastAsia" w:cs="Times New Roman"/>
                <w:color w:val="000000" w:themeColor="text1"/>
                <w:lang w:val="en-US" w:eastAsia="zh-CN"/>
                <w14:textFill>
                  <w14:solidFill>
                    <w14:schemeClr w14:val="tx1"/>
                  </w14:solidFill>
                </w14:textFill>
              </w:rPr>
              <w:t>废活性炭</w:t>
            </w:r>
            <w:r>
              <w:rPr>
                <w:rFonts w:cs="Times New Roman"/>
                <w:color w:val="000000" w:themeColor="text1"/>
                <w14:textFill>
                  <w14:solidFill>
                    <w14:schemeClr w14:val="tx1"/>
                  </w14:solidFill>
                </w14:textFill>
              </w:rPr>
              <w:t>属HW</w:t>
            </w:r>
            <w:r>
              <w:rPr>
                <w:rFonts w:hint="eastAsia" w:cs="Times New Roman"/>
                <w:color w:val="000000" w:themeColor="text1"/>
                <w:lang w:val="en-US" w:eastAsia="zh-CN"/>
                <w14:textFill>
                  <w14:solidFill>
                    <w14:schemeClr w14:val="tx1"/>
                  </w14:solidFill>
                </w14:textFill>
              </w:rPr>
              <w:t>49</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039</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49</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烟气、VOCs治理过程（不包括餐饮行业油烟治理过程）产生的废活性炭，化学原料和化学制品脱色</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cs="Times New Roman"/>
                <w:color w:val="000000" w:themeColor="text1"/>
                <w14:textFill>
                  <w14:solidFill>
                    <w14:schemeClr w14:val="tx1"/>
                  </w14:solidFill>
                </w14:textFill>
              </w:rPr>
              <w:t>。废</w:t>
            </w:r>
            <w:r>
              <w:rPr>
                <w:rFonts w:hint="eastAsia" w:cs="Times New Roman"/>
                <w:color w:val="000000" w:themeColor="text1"/>
                <w:lang w:val="en-US" w:eastAsia="zh-CN"/>
                <w14:textFill>
                  <w14:solidFill>
                    <w14:schemeClr w14:val="tx1"/>
                  </w14:solidFill>
                </w14:textFill>
              </w:rPr>
              <w:t>活性炭采用密封袋装</w:t>
            </w:r>
            <w:r>
              <w:rPr>
                <w:rFonts w:cs="Times New Roman"/>
                <w:color w:val="000000" w:themeColor="text1"/>
                <w:kern w:val="0"/>
                <w:szCs w:val="24"/>
                <w14:textFill>
                  <w14:solidFill>
                    <w14:schemeClr w14:val="tx1"/>
                  </w14:solidFill>
                </w14:textFill>
              </w:rPr>
              <w:t>于危险废物暂存间暂存，定期交由有资质单位及时清运处置。</w:t>
            </w:r>
          </w:p>
          <w:p w14:paraId="37189180">
            <w:pPr>
              <w:ind w:firstLine="48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②S8废液压油</w:t>
            </w:r>
          </w:p>
          <w:p w14:paraId="0FB2FC56">
            <w:pPr>
              <w:autoSpaceDE w:val="0"/>
              <w:autoSpaceDN w:val="0"/>
              <w:adjustRightInd w:val="0"/>
              <w:ind w:firstLine="480"/>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项目</w:t>
            </w:r>
            <w:r>
              <w:rPr>
                <w:rFonts w:hint="eastAsia" w:cs="Times New Roman"/>
                <w:color w:val="000000" w:themeColor="text1"/>
                <w:lang w:val="en-US" w:eastAsia="zh-CN"/>
                <w14:textFill>
                  <w14:solidFill>
                    <w14:schemeClr w14:val="tx1"/>
                  </w14:solidFill>
                </w14:textFill>
              </w:rPr>
              <w:t>免烧砌块静压机使用液压油，预处理过程高压压滤机使用液压油。液压油需要定期更换，保障设备正常运行。液压油更换频次约1次/年，单次更换量约400L（重量约0.34t），则废液压油产生量为</w:t>
            </w:r>
            <w:r>
              <w:rPr>
                <w:rFonts w:cs="Times New Roman"/>
                <w:color w:val="000000" w:themeColor="text1"/>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34</w:t>
            </w:r>
            <w:r>
              <w:rPr>
                <w:rFonts w:cs="Times New Roman"/>
                <w:color w:val="000000" w:themeColor="text1"/>
                <w14:textFill>
                  <w14:solidFill>
                    <w14:schemeClr w14:val="tx1"/>
                  </w14:solidFill>
                </w14:textFill>
              </w:rPr>
              <w:t>t/a</w:t>
            </w:r>
            <w:r>
              <w:rPr>
                <w:rFonts w:hint="eastAsia" w:cs="Times New Roman"/>
                <w:color w:val="000000" w:themeColor="text1"/>
                <w:lang w:eastAsia="zh-CN"/>
                <w14:textFill>
                  <w14:solidFill>
                    <w14:schemeClr w14:val="tx1"/>
                  </w14:solidFill>
                </w14:textFill>
              </w:rPr>
              <w:t>。</w:t>
            </w:r>
          </w:p>
          <w:p w14:paraId="64F45651">
            <w:pPr>
              <w:widowControl/>
              <w:autoSpaceDE/>
              <w:autoSpaceDN/>
              <w:adjustRightInd/>
              <w:ind w:firstLine="0"/>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对照《国家危险废物名录（2025年版）》，废液压油属HW08</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900-218-0</w:t>
            </w:r>
            <w:r>
              <w:rPr>
                <w:rFonts w:hint="eastAsia" w:ascii="宋体" w:hAnsi="宋体" w:eastAsia="宋体" w:cs="宋体"/>
                <w:color w:val="000000" w:themeColor="text1"/>
                <w14:textFill>
                  <w14:solidFill>
                    <w14:schemeClr w14:val="tx1"/>
                  </w14:solidFill>
                </w14:textFill>
              </w:rPr>
              <w:t>8 “</w:t>
            </w:r>
            <w:r>
              <w:rPr>
                <w:rFonts w:cs="Times New Roman"/>
                <w:color w:val="000000" w:themeColor="text1"/>
                <w14:textFill>
                  <w14:solidFill>
                    <w14:schemeClr w14:val="tx1"/>
                  </w14:solidFill>
                </w14:textFill>
              </w:rPr>
              <w:t>液压设备维护、更换和拆解过程中产生的废液压</w:t>
            </w:r>
            <w:r>
              <w:rPr>
                <w:rFonts w:hint="eastAsia" w:ascii="宋体" w:hAnsi="宋体" w:eastAsia="宋体" w:cs="宋体"/>
                <w:color w:val="000000" w:themeColor="text1"/>
                <w14:textFill>
                  <w14:solidFill>
                    <w14:schemeClr w14:val="tx1"/>
                  </w14:solidFill>
                </w14:textFill>
              </w:rPr>
              <w:t>油”</w:t>
            </w:r>
            <w:r>
              <w:rPr>
                <w:rFonts w:hint="eastAsia" w:ascii="宋体" w:hAnsi="宋体" w:eastAsia="宋体" w:cs="宋体"/>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I</w:t>
            </w:r>
            <w:r>
              <w:rPr>
                <w:rFonts w:cs="Times New Roman"/>
                <w:color w:val="000000" w:themeColor="text1"/>
                <w14:textFill>
                  <w14:solidFill>
                    <w14:schemeClr w14:val="tx1"/>
                  </w14:solidFill>
                </w14:textFill>
              </w:rPr>
              <w:t>。废</w:t>
            </w:r>
            <w:r>
              <w:rPr>
                <w:rFonts w:hint="eastAsia" w:cs="Times New Roman"/>
                <w:color w:val="000000" w:themeColor="text1"/>
                <w:lang w:val="en-US" w:eastAsia="zh-CN"/>
                <w14:textFill>
                  <w14:solidFill>
                    <w14:schemeClr w14:val="tx1"/>
                  </w14:solidFill>
                </w14:textFill>
              </w:rPr>
              <w:t>液压油采用密封桶装</w:t>
            </w:r>
            <w:r>
              <w:rPr>
                <w:rFonts w:cs="Times New Roman"/>
                <w:color w:val="000000" w:themeColor="text1"/>
                <w:kern w:val="0"/>
                <w:szCs w:val="24"/>
                <w14:textFill>
                  <w14:solidFill>
                    <w14:schemeClr w14:val="tx1"/>
                  </w14:solidFill>
                </w14:textFill>
              </w:rPr>
              <w:t>于危险废物暂存间暂存，定期交由有资质单位</w:t>
            </w:r>
            <w:r>
              <w:rPr>
                <w:rFonts w:hint="eastAsia" w:cs="Times New Roman"/>
                <w:color w:val="000000" w:themeColor="text1"/>
                <w:kern w:val="0"/>
                <w:szCs w:val="24"/>
                <w:lang w:val="en-US" w:eastAsia="zh-CN"/>
                <w14:textFill>
                  <w14:solidFill>
                    <w14:schemeClr w14:val="tx1"/>
                  </w14:solidFill>
                </w14:textFill>
              </w:rPr>
              <w:t>妥善</w:t>
            </w:r>
            <w:r>
              <w:rPr>
                <w:rFonts w:cs="Times New Roman"/>
                <w:color w:val="000000" w:themeColor="text1"/>
                <w:kern w:val="0"/>
                <w:szCs w:val="24"/>
                <w14:textFill>
                  <w14:solidFill>
                    <w14:schemeClr w14:val="tx1"/>
                  </w14:solidFill>
                </w14:textFill>
              </w:rPr>
              <w:t>处置。</w:t>
            </w:r>
          </w:p>
          <w:p w14:paraId="49079603">
            <w:pPr>
              <w:spacing w:before="15"/>
              <w:ind w:firstLine="504"/>
              <w:rPr>
                <w:rFonts w:hint="default" w:eastAsia="宋体"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lang w:val="en-US" w:eastAsia="zh-CN"/>
                <w14:textFill>
                  <w14:solidFill>
                    <w14:schemeClr w14:val="tx1"/>
                  </w14:solidFill>
                </w14:textFill>
              </w:rPr>
              <w:t>③S9废</w:t>
            </w:r>
            <w:r>
              <w:rPr>
                <w:rFonts w:hint="eastAsia" w:ascii="宋体" w:hAnsi="宋体" w:cs="宋体"/>
                <w:color w:val="000000" w:themeColor="text1"/>
                <w:spacing w:val="6"/>
                <w:lang w:val="en-US" w:eastAsia="zh-CN"/>
                <w14:textFill>
                  <w14:solidFill>
                    <w14:schemeClr w14:val="tx1"/>
                  </w14:solidFill>
                </w14:textFill>
              </w:rPr>
              <w:t>机油</w:t>
            </w:r>
          </w:p>
          <w:p w14:paraId="1B6041BF">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厂区定期对设备进行检修及维护，检修及维护过程会产生少量废机油，约</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w:t>
            </w:r>
            <w:r>
              <w:rPr>
                <w:rFonts w:hint="eastAsia" w:cs="Times New Roman"/>
                <w:color w:val="000000" w:themeColor="text1"/>
                <w:kern w:val="0"/>
                <w:sz w:val="24"/>
                <w:szCs w:val="24"/>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。根据《国家危险废物名录（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eastAsia" w:ascii="宋体" w:hAnsi="宋体" w:eastAsia="宋体" w:cs="宋体"/>
                <w:color w:val="000000" w:themeColor="text1"/>
                <w:kern w:val="0"/>
                <w:sz w:val="24"/>
                <w:szCs w:val="24"/>
                <w:lang w:val="en-US" w:eastAsia="zh-CN" w:bidi="ar"/>
                <w14:textFill>
                  <w14:solidFill>
                    <w14:schemeClr w14:val="tx1"/>
                  </w14:solidFill>
                </w14:textFill>
              </w:rPr>
              <w:t>年版）》规定，废机油属于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900-214-08</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cs="Times New Roman"/>
                <w:color w:val="000000" w:themeColor="text1"/>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车辆、轮船及其它机械维修过程中产生的废发动机油、制动器油、自动变速器油、齿轮油等废润滑油</w:t>
            </w:r>
            <w:r>
              <w:rPr>
                <w:rFonts w:cs="Times New Roman"/>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I</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，废机油暂存在危废暂存间，定期交由资质单位处理。</w:t>
            </w:r>
          </w:p>
          <w:p w14:paraId="54318777">
            <w:pPr>
              <w:ind w:firstLine="504"/>
              <w:rPr>
                <w:rFonts w:hint="default" w:eastAsia="宋体" w:cs="Times New Roman"/>
                <w:color w:val="000000" w:themeColor="text1"/>
                <w:spacing w:val="6"/>
                <w:lang w:val="en-US" w:eastAsia="zh-CN"/>
                <w14:textFill>
                  <w14:solidFill>
                    <w14:schemeClr w14:val="tx1"/>
                  </w14:solidFill>
                </w14:textFill>
              </w:rPr>
            </w:pPr>
            <w:r>
              <w:rPr>
                <w:rFonts w:hint="eastAsia" w:ascii="宋体" w:hAnsi="宋体" w:cs="宋体"/>
                <w:color w:val="000000" w:themeColor="text1"/>
                <w:spacing w:val="6"/>
                <w:lang w:val="en-US" w:eastAsia="zh-CN"/>
                <w14:textFill>
                  <w14:solidFill>
                    <w14:schemeClr w14:val="tx1"/>
                  </w14:solidFill>
                </w14:textFill>
              </w:rPr>
              <w:t>④</w:t>
            </w:r>
            <w:r>
              <w:rPr>
                <w:rFonts w:hint="eastAsia" w:cs="Times New Roman"/>
                <w:color w:val="000000" w:themeColor="text1"/>
                <w:spacing w:val="6"/>
                <w:lang w:val="en-US" w:eastAsia="zh-CN"/>
                <w14:textFill>
                  <w14:solidFill>
                    <w14:schemeClr w14:val="tx1"/>
                  </w14:solidFill>
                </w14:textFill>
              </w:rPr>
              <w:t>S10废机油桶</w:t>
            </w:r>
          </w:p>
          <w:p w14:paraId="32E76ACF">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废机油桶主要为机油包装桶，其产生量约</w:t>
            </w:r>
            <w:r>
              <w:rPr>
                <w:rFonts w:hint="eastAsia" w:cs="Times New Roman"/>
                <w:color w:val="000000" w:themeColor="text1"/>
                <w:kern w:val="0"/>
                <w:sz w:val="24"/>
                <w:szCs w:val="24"/>
                <w:lang w:val="en-US" w:eastAsia="zh-CN" w:bidi="ar"/>
                <w14:textFill>
                  <w14:solidFill>
                    <w14:schemeClr w14:val="tx1"/>
                  </w14:solidFill>
                </w14:textFill>
              </w:rPr>
              <w:t>8</w:t>
            </w:r>
            <w:r>
              <w:rPr>
                <w:rFonts w:hint="eastAsia" w:ascii="宋体" w:hAnsi="宋体" w:eastAsia="宋体" w:cs="宋体"/>
                <w:color w:val="000000" w:themeColor="text1"/>
                <w:kern w:val="0"/>
                <w:sz w:val="24"/>
                <w:szCs w:val="24"/>
                <w:lang w:val="en-US" w:eastAsia="zh-CN" w:bidi="ar"/>
                <w14:textFill>
                  <w14:solidFill>
                    <w14:schemeClr w14:val="tx1"/>
                  </w14:solidFill>
                </w14:textFill>
              </w:rPr>
              <w:t>个</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/a</w:t>
            </w:r>
            <w:r>
              <w:rPr>
                <w:rFonts w:hint="eastAsia" w:ascii="宋体" w:hAnsi="宋体" w:eastAsia="宋体" w:cs="宋体"/>
                <w:color w:val="000000" w:themeColor="text1"/>
                <w:kern w:val="0"/>
                <w:sz w:val="24"/>
                <w:szCs w:val="24"/>
                <w:lang w:val="en-US" w:eastAsia="zh-CN" w:bidi="ar"/>
                <w14:textFill>
                  <w14:solidFill>
                    <w14:schemeClr w14:val="tx1"/>
                  </w14:solidFill>
                </w14:textFill>
              </w:rPr>
              <w:t>，单个质量约</w:t>
            </w:r>
            <w:r>
              <w:rPr>
                <w:rFonts w:hint="eastAsia" w:cs="Times New Roman"/>
                <w:color w:val="000000" w:themeColor="text1"/>
                <w:kern w:val="0"/>
                <w:sz w:val="24"/>
                <w:szCs w:val="24"/>
                <w:lang w:val="en-US" w:eastAsia="zh-CN" w:bidi="ar"/>
                <w14:textFill>
                  <w14:solidFill>
                    <w14:schemeClr w14:val="tx1"/>
                  </w14:solidFill>
                </w14:textFill>
              </w:rPr>
              <w:t>2.5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kg</w:t>
            </w:r>
            <w:r>
              <w:rPr>
                <w:rFonts w:hint="eastAsia" w:ascii="宋体" w:hAnsi="宋体" w:eastAsia="宋体" w:cs="宋体"/>
                <w:color w:val="000000" w:themeColor="text1"/>
                <w:kern w:val="0"/>
                <w:sz w:val="24"/>
                <w:szCs w:val="24"/>
                <w:lang w:val="en-US" w:eastAsia="zh-CN" w:bidi="ar"/>
                <w14:textFill>
                  <w14:solidFill>
                    <w14:schemeClr w14:val="tx1"/>
                  </w14:solidFill>
                </w14:textFill>
              </w:rPr>
              <w:t>，则年产生量为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0.0</w:t>
            </w:r>
            <w:r>
              <w:rPr>
                <w:rFonts w:hint="eastAsia"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。根据《国家危险废物名录（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eastAsia" w:ascii="宋体" w:hAnsi="宋体" w:eastAsia="宋体" w:cs="宋体"/>
                <w:color w:val="000000" w:themeColor="text1"/>
                <w:kern w:val="0"/>
                <w:sz w:val="24"/>
                <w:szCs w:val="24"/>
                <w:lang w:val="en-US" w:eastAsia="zh-CN" w:bidi="ar"/>
                <w14:textFill>
                  <w14:solidFill>
                    <w14:schemeClr w14:val="tx1"/>
                  </w14:solidFill>
                </w14:textFill>
              </w:rPr>
              <w:t>年版）》，废机油桶属于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900-249-08</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其他生产、销售、使用过程中产生的废矿物油及沾染矿物油的废弃包装物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I</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，废机油</w:t>
            </w:r>
            <w:r>
              <w:rPr>
                <w:rFonts w:hint="eastAsia" w:ascii="宋体" w:hAnsi="宋体" w:cs="宋体"/>
                <w:color w:val="000000" w:themeColor="text1"/>
                <w:kern w:val="0"/>
                <w:sz w:val="24"/>
                <w:szCs w:val="24"/>
                <w:lang w:val="en-US" w:eastAsia="zh-CN" w:bidi="ar"/>
                <w14:textFill>
                  <w14:solidFill>
                    <w14:schemeClr w14:val="tx1"/>
                  </w14:solidFill>
                </w14:textFill>
              </w:rPr>
              <w:t>桶</w:t>
            </w:r>
            <w:r>
              <w:rPr>
                <w:rFonts w:hint="eastAsia" w:ascii="宋体" w:hAnsi="宋体" w:eastAsia="宋体" w:cs="宋体"/>
                <w:color w:val="000000" w:themeColor="text1"/>
                <w:kern w:val="0"/>
                <w:sz w:val="24"/>
                <w:szCs w:val="24"/>
                <w:lang w:val="en-US" w:eastAsia="zh-CN" w:bidi="ar"/>
                <w14:textFill>
                  <w14:solidFill>
                    <w14:schemeClr w14:val="tx1"/>
                  </w14:solidFill>
                </w14:textFill>
              </w:rPr>
              <w:t>暂存在危废暂存间，定期交由资质单位处理。</w:t>
            </w:r>
          </w:p>
          <w:p w14:paraId="3EBA1A0B">
            <w:pPr>
              <w:spacing w:before="15"/>
              <w:ind w:firstLine="504"/>
              <w:rPr>
                <w:rFonts w:hint="default" w:ascii="Times New Roman" w:hAnsi="Times New Roman"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lang w:val="en-US" w:eastAsia="zh-CN"/>
                <w14:textFill>
                  <w14:solidFill>
                    <w14:schemeClr w14:val="tx1"/>
                  </w14:solidFill>
                </w14:textFill>
              </w:rPr>
              <w:t>⑤S11沾油废物</w:t>
            </w:r>
          </w:p>
          <w:p w14:paraId="4052E304">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厂区在运营过程中将对设备进行检修、润滑，过程中会产生被油污污染的抹布纱、手套，产生量为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w:t>
            </w:r>
            <w:r>
              <w:rPr>
                <w:rFonts w:hint="eastAsia" w:cs="Times New Roman"/>
                <w:color w:val="000000" w:themeColor="text1"/>
                <w:kern w:val="0"/>
                <w:sz w:val="24"/>
                <w:szCs w:val="24"/>
                <w:lang w:val="en-US" w:eastAsia="zh-CN" w:bidi="ar"/>
                <w14:textFill>
                  <w14:solidFill>
                    <w14:schemeClr w14:val="tx1"/>
                  </w14:solidFill>
                </w14:textFill>
              </w:rPr>
              <w:t>02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。根据《国家危险废物名录（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eastAsia" w:ascii="宋体" w:hAnsi="宋体" w:eastAsia="宋体" w:cs="宋体"/>
                <w:color w:val="000000" w:themeColor="text1"/>
                <w:kern w:val="0"/>
                <w:sz w:val="24"/>
                <w:szCs w:val="24"/>
                <w:lang w:val="en-US" w:eastAsia="zh-CN" w:bidi="ar"/>
                <w14:textFill>
                  <w14:solidFill>
                    <w14:schemeClr w14:val="tx1"/>
                  </w14:solidFill>
                </w14:textFill>
              </w:rPr>
              <w:t>年版）》规定，该类沾油废物属于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HW49</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900-041-49</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含有或者沾染毒性、感染性危险废物的废弃的包装物、容器、过滤吸附介质</w:t>
            </w:r>
            <w:r>
              <w:rPr>
                <w:rFonts w:hint="eastAsia" w:ascii="宋体" w:hAnsi="宋体" w:eastAsia="宋体" w:cs="宋体"/>
                <w:color w:val="000000" w:themeColor="text1"/>
                <w:kern w:val="0"/>
                <w:sz w:val="24"/>
                <w:szCs w:val="24"/>
                <w:lang w:val="en-US" w:eastAsia="zh-CN" w:bidi="ar"/>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T/In</w:t>
            </w:r>
            <w:r>
              <w:rPr>
                <w:rFonts w:hint="eastAsia" w:ascii="宋体" w:hAnsi="宋体" w:eastAsia="宋体" w:cs="宋体"/>
                <w:color w:val="000000" w:themeColor="text1"/>
                <w:kern w:val="0"/>
                <w:sz w:val="24"/>
                <w:szCs w:val="24"/>
                <w:lang w:val="en-US" w:eastAsia="zh-CN" w:bidi="ar"/>
                <w14:textFill>
                  <w14:solidFill>
                    <w14:schemeClr w14:val="tx1"/>
                  </w14:solidFill>
                </w14:textFill>
              </w:rPr>
              <w:t>，经收集后暂存在危废暂存间，交由资质单位处理。</w:t>
            </w:r>
          </w:p>
          <w:p w14:paraId="7FECFDA6">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⑥循环水池浮油</w:t>
            </w:r>
          </w:p>
          <w:p w14:paraId="0CB895E8">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回转窑内挥发的石油烃在</w:t>
            </w:r>
            <w:r>
              <w:rPr>
                <w:rFonts w:hint="default" w:ascii="Times New Roman" w:hAnsi="Times New Roman" w:cs="Times New Roman"/>
                <w:color w:val="000000" w:themeColor="text1"/>
                <w:lang w:val="en-US" w:eastAsia="zh-CN"/>
                <w14:textFill>
                  <w14:solidFill>
                    <w14:schemeClr w14:val="tx1"/>
                  </w14:solidFill>
                </w14:textFill>
              </w:rPr>
              <w:t>经过二级脱酸塔，石油烃的温度下降到80℃，冷凝液化成轻质油相，漂浮在脱酸塔循环水面上形成浮油层。根据废气源强核算，浮油的产生量为</w:t>
            </w:r>
            <w:r>
              <w:rPr>
                <w:rFonts w:hint="default"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lang w:val="en-US" w:eastAsia="zh-CN"/>
                <w14:textFill>
                  <w14:solidFill>
                    <w14:schemeClr w14:val="tx1"/>
                  </w14:solidFill>
                </w14:textFill>
              </w:rPr>
              <w:t>200000*30%</w:t>
            </w:r>
            <w:r>
              <w:rPr>
                <w:rFonts w:hint="default"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lang w:val="en-US" w:eastAsia="zh-CN"/>
                <w14:textFill>
                  <w14:solidFill>
                    <w14:schemeClr w14:val="tx1"/>
                  </w14:solidFill>
                </w14:textFill>
              </w:rPr>
              <w:t>/0.65*1000*1440/1000000000*85%*9</w:t>
            </w:r>
            <w:r>
              <w:rPr>
                <w:rFonts w:hint="eastAsia" w:cs="Times New Roman"/>
                <w:bCs/>
                <w:color w:val="000000" w:themeColor="text1"/>
                <w:lang w:val="en-US" w:eastAsia="zh-CN"/>
                <w14:textFill>
                  <w14:solidFill>
                    <w14:schemeClr w14:val="tx1"/>
                  </w14:solidFill>
                </w14:textFill>
              </w:rPr>
              <w:t>7</w:t>
            </w:r>
            <w:r>
              <w:rPr>
                <w:rFonts w:hint="default" w:ascii="Times New Roman" w:hAnsi="Times New Roman" w:cs="Times New Roman"/>
                <w:bCs/>
                <w:color w:val="000000" w:themeColor="text1"/>
                <w:lang w:val="en-US" w:eastAsia="zh-CN"/>
                <w14:textFill>
                  <w14:solidFill>
                    <w14:schemeClr w14:val="tx1"/>
                  </w14:solidFill>
                </w14:textFill>
              </w:rPr>
              <w:t>%=</w:t>
            </w:r>
            <w:r>
              <w:rPr>
                <w:rFonts w:hint="eastAsia" w:cs="Times New Roman"/>
                <w:bCs/>
                <w:color w:val="000000" w:themeColor="text1"/>
                <w:lang w:val="en-US" w:eastAsia="zh-CN"/>
                <w14:textFill>
                  <w14:solidFill>
                    <w14:schemeClr w14:val="tx1"/>
                  </w14:solidFill>
                </w14:textFill>
              </w:rPr>
              <w:t>109.5951t/a</w:t>
            </w:r>
            <w:r>
              <w:rPr>
                <w:rFonts w:hint="default" w:ascii="Times New Roman" w:hAnsi="Times New Roman" w:cs="Times New Roman"/>
                <w:bCs/>
                <w:color w:val="000000" w:themeColor="text1"/>
                <w:lang w:val="en-US"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《国家危险废物名录（2025年版）》，</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循环水池浮油</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属于</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HW08</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900-210-08</w:t>
            </w:r>
            <w:r>
              <w:rPr>
                <w:rFonts w:hint="eastAsia" w:ascii="宋体" w:hAnsi="宋体" w:eastAsia="宋体" w:cs="宋体"/>
                <w:color w:val="000000" w:themeColor="text1"/>
                <w:kern w:val="0"/>
                <w:sz w:val="24"/>
                <w:szCs w:val="24"/>
                <w:lang w:val="en-US" w:eastAsia="zh-CN" w:bidi="ar"/>
                <w14:textFill>
                  <w14:solidFill>
                    <w14:schemeClr w14:val="tx1"/>
                  </w14:solidFill>
                </w14:textFill>
              </w:rPr>
              <w:t>“含</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油废水处理中隔油、气浮、沉淀等处理过程中产生的浮油、浮渣和污</w:t>
            </w:r>
            <w:r>
              <w:rPr>
                <w:rFonts w:hint="eastAsia" w:ascii="宋体" w:hAnsi="宋体" w:eastAsia="宋体" w:cs="宋体"/>
                <w:color w:val="000000" w:themeColor="text1"/>
                <w:kern w:val="0"/>
                <w:sz w:val="24"/>
                <w:szCs w:val="24"/>
                <w:lang w:val="en-US" w:eastAsia="zh-CN" w:bidi="ar"/>
                <w14:textFill>
                  <w14:solidFill>
                    <w14:schemeClr w14:val="tx1"/>
                  </w14:solidFill>
                </w14:textFill>
              </w:rPr>
              <w:t>泥”，</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危险性质为T，I，经收集后暂存危废暂存间内，交由资质单位处理。</w:t>
            </w:r>
          </w:p>
          <w:p w14:paraId="16EA399F">
            <w:pPr>
              <w:spacing w:line="360" w:lineRule="auto"/>
              <w:ind w:firstLine="480"/>
              <w:rPr>
                <w:rFonts w:hint="eastAsia" w:eastAsia="宋体"/>
                <w:b/>
                <w:bCs w:val="0"/>
                <w:color w:val="000000" w:themeColor="text1"/>
                <w:sz w:val="24"/>
                <w:szCs w:val="32"/>
                <w:lang w:val="en-US" w:eastAsia="zh-CN"/>
                <w14:textFill>
                  <w14:solidFill>
                    <w14:schemeClr w14:val="tx1"/>
                  </w14:solidFill>
                </w14:textFill>
              </w:rPr>
            </w:pPr>
            <w:r>
              <w:rPr>
                <w:rFonts w:hint="eastAsia" w:cs="Times New Roman"/>
                <w:b/>
                <w:bCs w:val="0"/>
                <w:color w:val="000000" w:themeColor="text1"/>
                <w:lang w:eastAsia="zh-CN"/>
                <w14:textFill>
                  <w14:solidFill>
                    <w14:schemeClr w14:val="tx1"/>
                  </w14:solidFill>
                </w14:textFill>
              </w:rPr>
              <w:t>（</w:t>
            </w:r>
            <w:r>
              <w:rPr>
                <w:rFonts w:hint="eastAsia" w:cs="Times New Roman"/>
                <w:b/>
                <w:bCs w:val="0"/>
                <w:color w:val="000000" w:themeColor="text1"/>
                <w:lang w:val="en-US" w:eastAsia="zh-CN"/>
                <w14:textFill>
                  <w14:solidFill>
                    <w14:schemeClr w14:val="tx1"/>
                  </w14:solidFill>
                </w14:textFill>
              </w:rPr>
              <w:t>3</w:t>
            </w:r>
            <w:r>
              <w:rPr>
                <w:rFonts w:hint="eastAsia" w:cs="Times New Roman"/>
                <w:b/>
                <w:bCs w:val="0"/>
                <w:color w:val="000000" w:themeColor="text1"/>
                <w:lang w:eastAsia="zh-CN"/>
                <w14:textFill>
                  <w14:solidFill>
                    <w14:schemeClr w14:val="tx1"/>
                  </w14:solidFill>
                </w14:textFill>
              </w:rPr>
              <w:t>）</w:t>
            </w:r>
            <w:r>
              <w:rPr>
                <w:rFonts w:hint="eastAsia"/>
                <w:b/>
                <w:bCs w:val="0"/>
                <w:color w:val="000000" w:themeColor="text1"/>
                <w:sz w:val="24"/>
                <w:szCs w:val="24"/>
                <w14:textFill>
                  <w14:solidFill>
                    <w14:schemeClr w14:val="tx1"/>
                  </w14:solidFill>
                </w14:textFill>
              </w:rPr>
              <w:t>氟化钙</w:t>
            </w:r>
            <w:r>
              <w:rPr>
                <w:rFonts w:hint="eastAsia"/>
                <w:b/>
                <w:bCs w:val="0"/>
                <w:color w:val="000000" w:themeColor="text1"/>
                <w:sz w:val="24"/>
                <w:szCs w:val="24"/>
                <w:lang w:val="en-US" w:eastAsia="zh-CN"/>
                <w14:textFill>
                  <w14:solidFill>
                    <w14:schemeClr w14:val="tx1"/>
                  </w14:solidFill>
                </w14:textFill>
              </w:rPr>
              <w:t>污泥</w:t>
            </w:r>
          </w:p>
          <w:p w14:paraId="5AC24066">
            <w:pPr>
              <w:spacing w:line="360" w:lineRule="auto"/>
              <w:ind w:firstLine="480"/>
              <w:rPr>
                <w:rFonts w:hint="default" w:eastAsia="宋体"/>
                <w:color w:val="000000" w:themeColor="text1"/>
                <w:lang w:val="en-US" w:eastAsia="zh-CN"/>
                <w14:textFill>
                  <w14:solidFill>
                    <w14:schemeClr w14:val="tx1"/>
                  </w14:solidFill>
                </w14:textFill>
              </w:rPr>
            </w:pPr>
            <w:r>
              <w:rPr>
                <w:rFonts w:hint="eastAsia"/>
                <w:color w:val="000000" w:themeColor="text1"/>
                <w:sz w:val="24"/>
                <w:szCs w:val="32"/>
                <w14:textFill>
                  <w14:solidFill>
                    <w14:schemeClr w14:val="tx1"/>
                  </w14:solidFill>
                </w14:textFill>
              </w:rPr>
              <w:t>本项目</w:t>
            </w:r>
            <w:r>
              <w:rPr>
                <w:rFonts w:hint="eastAsia"/>
                <w:color w:val="000000" w:themeColor="text1"/>
                <w:sz w:val="24"/>
                <w:szCs w:val="32"/>
                <w:lang w:val="en-US" w:eastAsia="zh-CN"/>
                <w14:textFill>
                  <w14:solidFill>
                    <w14:schemeClr w14:val="tx1"/>
                  </w14:solidFill>
                </w14:textFill>
              </w:rPr>
              <w:t>煅烧废气</w:t>
            </w:r>
            <w:r>
              <w:rPr>
                <w:rFonts w:hint="eastAsia"/>
                <w:color w:val="000000" w:themeColor="text1"/>
                <w:sz w:val="24"/>
                <w:szCs w:val="32"/>
                <w14:textFill>
                  <w14:solidFill>
                    <w14:schemeClr w14:val="tx1"/>
                  </w14:solidFill>
                </w14:textFill>
              </w:rPr>
              <w:t>经碱洗后的废液主要含NaF和其他金属氟化物（沉淀）等，根据</w:t>
            </w:r>
            <w:r>
              <w:rPr>
                <w:rFonts w:hint="eastAsia"/>
                <w:color w:val="000000" w:themeColor="text1"/>
                <w:sz w:val="24"/>
                <w:szCs w:val="32"/>
                <w:lang w:val="en-US" w:eastAsia="zh-CN"/>
                <w14:textFill>
                  <w14:solidFill>
                    <w14:schemeClr w14:val="tx1"/>
                  </w14:solidFill>
                </w14:textFill>
              </w:rPr>
              <w:t>大气专项评价分析</w:t>
            </w:r>
            <w:r>
              <w:rPr>
                <w:rFonts w:hint="eastAsia"/>
                <w:color w:val="000000" w:themeColor="text1"/>
                <w:sz w:val="24"/>
                <w:szCs w:val="32"/>
                <w14:textFill>
                  <w14:solidFill>
                    <w14:schemeClr w14:val="tx1"/>
                  </w14:solidFill>
                </w14:textFill>
              </w:rPr>
              <w:t>，项目</w:t>
            </w:r>
            <w:r>
              <w:rPr>
                <w:rFonts w:hint="eastAsia"/>
                <w:color w:val="000000" w:themeColor="text1"/>
                <w:sz w:val="24"/>
                <w:szCs w:val="32"/>
                <w:lang w:val="en-US" w:eastAsia="zh-CN"/>
                <w14:textFill>
                  <w14:solidFill>
                    <w14:schemeClr w14:val="tx1"/>
                  </w14:solidFill>
                </w14:textFill>
              </w:rPr>
              <w:t>煅烧废气中的</w:t>
            </w:r>
            <w:r>
              <w:rPr>
                <w:rFonts w:hint="eastAsia"/>
                <w:color w:val="000000" w:themeColor="text1"/>
                <w:sz w:val="24"/>
                <w:szCs w:val="32"/>
                <w14:textFill>
                  <w14:solidFill>
                    <w14:schemeClr w14:val="tx1"/>
                  </w14:solidFill>
                </w14:textFill>
              </w:rPr>
              <w:t>氟元素约为</w:t>
            </w:r>
            <w:r>
              <w:rPr>
                <w:rFonts w:hint="eastAsia"/>
                <w:color w:val="000000" w:themeColor="text1"/>
                <w:sz w:val="24"/>
                <w:szCs w:val="32"/>
                <w:lang w:val="en-US" w:eastAsia="zh-CN"/>
                <w14:textFill>
                  <w14:solidFill>
                    <w14:schemeClr w14:val="tx1"/>
                  </w14:solidFill>
                </w14:textFill>
              </w:rPr>
              <w:t>6.9462t</w:t>
            </w:r>
            <w:r>
              <w:rPr>
                <w:rFonts w:hint="eastAsia"/>
                <w:color w:val="000000" w:themeColor="text1"/>
                <w:sz w:val="24"/>
                <w:szCs w:val="32"/>
                <w14:textFill>
                  <w14:solidFill>
                    <w14:schemeClr w14:val="tx1"/>
                  </w14:solidFill>
                </w14:textFill>
              </w:rPr>
              <w:t>/a，9</w:t>
            </w:r>
            <w:r>
              <w:rPr>
                <w:rFonts w:hint="eastAsia"/>
                <w:color w:val="000000" w:themeColor="text1"/>
                <w:sz w:val="24"/>
                <w:szCs w:val="32"/>
                <w:lang w:val="en-US" w:eastAsia="zh-CN"/>
                <w14:textFill>
                  <w14:solidFill>
                    <w14:schemeClr w14:val="tx1"/>
                  </w14:solidFill>
                </w14:textFill>
              </w:rPr>
              <w:t>8</w:t>
            </w:r>
            <w:r>
              <w:rPr>
                <w:rFonts w:hint="eastAsia"/>
                <w:color w:val="000000" w:themeColor="text1"/>
                <w:sz w:val="24"/>
                <w:szCs w:val="32"/>
                <w14:textFill>
                  <w14:solidFill>
                    <w14:schemeClr w14:val="tx1"/>
                  </w14:solidFill>
                </w14:textFill>
              </w:rPr>
              <w:t>%被碱洗进入碱洗废水，则</w:t>
            </w:r>
            <w:r>
              <w:rPr>
                <w:rFonts w:hint="eastAsia"/>
                <w:color w:val="000000" w:themeColor="text1"/>
                <w:sz w:val="24"/>
                <w:szCs w:val="32"/>
                <w:lang w:val="en-US" w:eastAsia="zh-CN"/>
                <w14:textFill>
                  <w14:solidFill>
                    <w14:schemeClr w14:val="tx1"/>
                  </w14:solidFill>
                </w14:textFill>
              </w:rPr>
              <w:t>脱酸塔</w:t>
            </w:r>
            <w:r>
              <w:rPr>
                <w:rFonts w:hint="eastAsia"/>
                <w:color w:val="000000" w:themeColor="text1"/>
                <w:sz w:val="24"/>
                <w:szCs w:val="32"/>
                <w14:textFill>
                  <w14:solidFill>
                    <w14:schemeClr w14:val="tx1"/>
                  </w14:solidFill>
                </w14:textFill>
              </w:rPr>
              <w:t>废液中以</w:t>
            </w:r>
            <w:r>
              <w:rPr>
                <w:rFonts w:hint="eastAsia"/>
                <w:color w:val="000000" w:themeColor="text1"/>
                <w:sz w:val="24"/>
                <w:szCs w:val="32"/>
                <w:lang w:val="en-US" w:eastAsia="zh-CN"/>
                <w14:textFill>
                  <w14:solidFill>
                    <w14:schemeClr w14:val="tx1"/>
                  </w14:solidFill>
                </w14:textFill>
              </w:rPr>
              <w:t>氢氧</w:t>
            </w:r>
            <w:r>
              <w:rPr>
                <w:rFonts w:hint="eastAsia"/>
                <w:color w:val="000000" w:themeColor="text1"/>
                <w:sz w:val="24"/>
                <w:szCs w:val="32"/>
                <w14:textFill>
                  <w14:solidFill>
                    <w14:schemeClr w14:val="tx1"/>
                  </w14:solidFill>
                </w14:textFill>
              </w:rPr>
              <w:t>化钠溶液形式存在的氟约为</w:t>
            </w:r>
            <w:r>
              <w:rPr>
                <w:rFonts w:hint="eastAsia"/>
                <w:color w:val="000000" w:themeColor="text1"/>
                <w:sz w:val="24"/>
                <w:szCs w:val="32"/>
                <w:lang w:val="en-US" w:eastAsia="zh-CN"/>
                <w14:textFill>
                  <w14:solidFill>
                    <w14:schemeClr w14:val="tx1"/>
                  </w14:solidFill>
                </w14:textFill>
              </w:rPr>
              <w:t>6.9462*98%=6.8073t/a</w:t>
            </w:r>
            <w:r>
              <w:rPr>
                <w:rFonts w:hint="eastAsia"/>
                <w:color w:val="000000" w:themeColor="text1"/>
                <w:sz w:val="24"/>
                <w:szCs w:val="32"/>
                <w14:textFill>
                  <w14:solidFill>
                    <w14:schemeClr w14:val="tx1"/>
                  </w14:solidFill>
                </w14:textFill>
              </w:rPr>
              <w:t>，本项目在</w:t>
            </w:r>
            <w:r>
              <w:rPr>
                <w:rFonts w:hint="eastAsia"/>
                <w:color w:val="000000" w:themeColor="text1"/>
                <w:sz w:val="24"/>
                <w:szCs w:val="32"/>
                <w:lang w:val="en-US" w:eastAsia="zh-CN"/>
                <w14:textFill>
                  <w14:solidFill>
                    <w14:schemeClr w14:val="tx1"/>
                  </w14:solidFill>
                </w14:textFill>
              </w:rPr>
              <w:t>脱酸塔</w:t>
            </w:r>
            <w:r>
              <w:rPr>
                <w:rFonts w:hint="eastAsia"/>
                <w:color w:val="000000" w:themeColor="text1"/>
                <w:sz w:val="24"/>
                <w:szCs w:val="32"/>
                <w14:textFill>
                  <w14:solidFill>
                    <w14:schemeClr w14:val="tx1"/>
                  </w14:solidFill>
                </w14:textFill>
              </w:rPr>
              <w:t>废液中加</w:t>
            </w:r>
            <w:r>
              <w:rPr>
                <w:rFonts w:hint="eastAsia"/>
                <w:color w:val="000000" w:themeColor="text1"/>
                <w:sz w:val="24"/>
                <w:szCs w:val="32"/>
                <w:lang w:val="en-US" w:eastAsia="zh-CN"/>
                <w14:textFill>
                  <w14:solidFill>
                    <w14:schemeClr w14:val="tx1"/>
                  </w14:solidFill>
                </w14:textFill>
              </w:rPr>
              <w:t>氧化钙</w:t>
            </w:r>
            <w:r>
              <w:rPr>
                <w:rFonts w:hint="eastAsia"/>
                <w:color w:val="000000" w:themeColor="text1"/>
                <w:sz w:val="24"/>
                <w:szCs w:val="32"/>
                <w14:textFill>
                  <w14:solidFill>
                    <w14:schemeClr w14:val="tx1"/>
                  </w14:solidFill>
                </w14:textFill>
              </w:rPr>
              <w:t>，使其</w:t>
            </w:r>
            <w:r>
              <w:rPr>
                <w:rFonts w:hint="eastAsia"/>
                <w:color w:val="000000" w:themeColor="text1"/>
                <w:sz w:val="24"/>
                <w:szCs w:val="32"/>
                <w:lang w:val="en-US" w:eastAsia="zh-CN"/>
                <w14:textFill>
                  <w14:solidFill>
                    <w14:schemeClr w14:val="tx1"/>
                  </w14:solidFill>
                </w14:textFill>
              </w:rPr>
              <w:t>与水反应生成氢氧化钙，后与</w:t>
            </w:r>
            <w:r>
              <w:rPr>
                <w:rFonts w:hint="eastAsia"/>
                <w:color w:val="000000" w:themeColor="text1"/>
                <w:sz w:val="24"/>
                <w:szCs w:val="32"/>
                <w14:textFill>
                  <w14:solidFill>
                    <w14:schemeClr w14:val="tx1"/>
                  </w14:solidFill>
                </w14:textFill>
              </w:rPr>
              <w:t>NaF反应生成CaF</w:t>
            </w:r>
            <w:r>
              <w:rPr>
                <w:rFonts w:hint="eastAsia"/>
                <w:color w:val="000000" w:themeColor="text1"/>
                <w:sz w:val="24"/>
                <w:szCs w:val="32"/>
                <w:vertAlign w:val="subscript"/>
                <w14:textFill>
                  <w14:solidFill>
                    <w14:schemeClr w14:val="tx1"/>
                  </w14:solidFill>
                </w14:textFill>
              </w:rPr>
              <w:t>2</w:t>
            </w:r>
            <w:r>
              <w:rPr>
                <w:rFonts w:hint="eastAsia"/>
                <w:color w:val="000000" w:themeColor="text1"/>
                <w:sz w:val="24"/>
                <w:szCs w:val="32"/>
                <w14:textFill>
                  <w14:solidFill>
                    <w14:schemeClr w14:val="tx1"/>
                  </w14:solidFill>
                </w14:textFill>
              </w:rPr>
              <w:t>沉淀和NaOH，沉淀后的碱洗废液（20%的氢氧化钠溶液）循环使用不外排</w:t>
            </w:r>
            <w:r>
              <w:rPr>
                <w:rFonts w:hint="eastAsia"/>
                <w:color w:val="000000" w:themeColor="text1"/>
                <w:sz w:val="24"/>
                <w:szCs w:val="32"/>
                <w:lang w:eastAsia="zh-CN"/>
                <w14:textFill>
                  <w14:solidFill>
                    <w14:schemeClr w14:val="tx1"/>
                  </w14:solidFill>
                </w14:textFill>
              </w:rPr>
              <w:t>。</w:t>
            </w:r>
            <w:r>
              <w:rPr>
                <w:rFonts w:hint="eastAsia"/>
                <w:bCs/>
                <w:color w:val="000000" w:themeColor="text1"/>
                <w:sz w:val="24"/>
                <w:szCs w:val="24"/>
                <w14:textFill>
                  <w14:solidFill>
                    <w14:schemeClr w14:val="tx1"/>
                  </w14:solidFill>
                </w14:textFill>
              </w:rPr>
              <w:t>根据物料守恒，</w:t>
            </w:r>
            <w:r>
              <w:rPr>
                <w:rFonts w:hint="eastAsia"/>
                <w:bCs/>
                <w:color w:val="000000" w:themeColor="text1"/>
                <w:sz w:val="24"/>
                <w:szCs w:val="24"/>
                <w:lang w:val="en-US" w:eastAsia="zh-CN"/>
                <w14:textFill>
                  <w14:solidFill>
                    <w14:schemeClr w14:val="tx1"/>
                  </w14:solidFill>
                </w14:textFill>
              </w:rPr>
              <w:t>经处理后氟元素全部进入</w:t>
            </w:r>
            <w:r>
              <w:rPr>
                <w:rFonts w:hint="eastAsia"/>
                <w:bCs/>
                <w:color w:val="000000" w:themeColor="text1"/>
                <w:sz w:val="24"/>
                <w:szCs w:val="24"/>
                <w14:textFill>
                  <w14:solidFill>
                    <w14:schemeClr w14:val="tx1"/>
                  </w14:solidFill>
                </w14:textFill>
              </w:rPr>
              <w:t>氟化钙</w:t>
            </w:r>
            <w:r>
              <w:rPr>
                <w:rFonts w:hint="eastAsia"/>
                <w:bCs/>
                <w:color w:val="000000" w:themeColor="text1"/>
                <w:sz w:val="24"/>
                <w:szCs w:val="24"/>
                <w:lang w:val="en-US" w:eastAsia="zh-CN"/>
                <w14:textFill>
                  <w14:solidFill>
                    <w14:schemeClr w14:val="tx1"/>
                  </w14:solidFill>
                </w14:textFill>
              </w:rPr>
              <w:t>干基中，干基氟化钙重</w:t>
            </w:r>
            <w:r>
              <w:rPr>
                <w:rFonts w:hint="eastAsia"/>
                <w:bCs/>
                <w:color w:val="000000" w:themeColor="text1"/>
                <w:sz w:val="24"/>
                <w:szCs w:val="24"/>
                <w14:textFill>
                  <w14:solidFill>
                    <w14:schemeClr w14:val="tx1"/>
                  </w14:solidFill>
                </w14:textFill>
              </w:rPr>
              <w:t>量约为</w:t>
            </w:r>
            <w:r>
              <w:rPr>
                <w:rFonts w:hint="eastAsia"/>
                <w:bCs/>
                <w:color w:val="000000" w:themeColor="text1"/>
                <w:sz w:val="24"/>
                <w:szCs w:val="24"/>
                <w:lang w:val="en-US" w:eastAsia="zh-CN"/>
                <w14:textFill>
                  <w14:solidFill>
                    <w14:schemeClr w14:val="tx1"/>
                  </w14:solidFill>
                </w14:textFill>
              </w:rPr>
              <w:t>6.8073/（2*19/（2*19+40））=13.9729t/a，</w:t>
            </w:r>
            <w:r>
              <w:rPr>
                <w:rFonts w:hint="eastAsia"/>
                <w:bCs/>
                <w:color w:val="000000" w:themeColor="text1"/>
                <w:sz w:val="24"/>
                <w:szCs w:val="24"/>
                <w14:textFill>
                  <w14:solidFill>
                    <w14:schemeClr w14:val="tx1"/>
                  </w14:solidFill>
                </w14:textFill>
              </w:rPr>
              <w:t>以氟化钙</w:t>
            </w:r>
            <w:r>
              <w:rPr>
                <w:rFonts w:hint="eastAsia"/>
                <w:bCs/>
                <w:color w:val="000000" w:themeColor="text1"/>
                <w:sz w:val="24"/>
                <w:szCs w:val="24"/>
                <w:lang w:val="en-US" w:eastAsia="zh-CN"/>
                <w14:textFill>
                  <w14:solidFill>
                    <w14:schemeClr w14:val="tx1"/>
                  </w14:solidFill>
                </w14:textFill>
              </w:rPr>
              <w:t>污泥</w:t>
            </w:r>
            <w:r>
              <w:rPr>
                <w:rFonts w:hint="eastAsia"/>
                <w:bCs/>
                <w:color w:val="000000" w:themeColor="text1"/>
                <w:sz w:val="24"/>
                <w:szCs w:val="24"/>
                <w14:textFill>
                  <w14:solidFill>
                    <w14:schemeClr w14:val="tx1"/>
                  </w14:solidFill>
                </w14:textFill>
              </w:rPr>
              <w:t>含水率</w:t>
            </w:r>
            <w:r>
              <w:rPr>
                <w:rFonts w:hint="eastAsia"/>
                <w:bCs/>
                <w:color w:val="000000" w:themeColor="text1"/>
                <w:sz w:val="24"/>
                <w:szCs w:val="24"/>
                <w:lang w:val="en-US" w:eastAsia="zh-CN"/>
                <w14:textFill>
                  <w14:solidFill>
                    <w14:schemeClr w14:val="tx1"/>
                  </w14:solidFill>
                </w14:textFill>
              </w:rPr>
              <w:t>60</w:t>
            </w:r>
            <w:r>
              <w:rPr>
                <w:rFonts w:hint="eastAsia"/>
                <w:bCs/>
                <w:color w:val="000000" w:themeColor="text1"/>
                <w:sz w:val="24"/>
                <w:szCs w:val="24"/>
                <w14:textFill>
                  <w14:solidFill>
                    <w14:schemeClr w14:val="tx1"/>
                  </w14:solidFill>
                </w14:textFill>
              </w:rPr>
              <w:t>%计，则氟化钙污泥产生量约为</w:t>
            </w:r>
            <w:r>
              <w:rPr>
                <w:rFonts w:hint="eastAsia"/>
                <w:bCs/>
                <w:color w:val="000000" w:themeColor="text1"/>
                <w:sz w:val="24"/>
                <w:szCs w:val="24"/>
                <w:lang w:val="en-US" w:eastAsia="zh-CN"/>
                <w14:textFill>
                  <w14:solidFill>
                    <w14:schemeClr w14:val="tx1"/>
                  </w14:solidFill>
                </w14:textFill>
              </w:rPr>
              <w:t>13.9729/0.4≈35t/a</w:t>
            </w:r>
            <w:r>
              <w:rPr>
                <w:rFonts w:hint="eastAsia"/>
                <w:bCs/>
                <w:color w:val="000000" w:themeColor="text1"/>
                <w:sz w:val="24"/>
                <w:szCs w:val="24"/>
                <w14:textFill>
                  <w14:solidFill>
                    <w14:schemeClr w14:val="tx1"/>
                  </w14:solidFill>
                </w14:textFill>
              </w:rPr>
              <w:t>。</w:t>
            </w:r>
            <w:r>
              <w:rPr>
                <w:rFonts w:hint="eastAsia"/>
                <w:b/>
                <w:bCs w:val="0"/>
                <w:color w:val="000000" w:themeColor="text1"/>
                <w:sz w:val="24"/>
                <w:szCs w:val="24"/>
                <w:lang w:val="en-US" w:eastAsia="zh-CN"/>
                <w14:textFill>
                  <w14:solidFill>
                    <w14:schemeClr w14:val="tx1"/>
                  </w14:solidFill>
                </w14:textFill>
              </w:rPr>
              <w:t>本次评价建议：建设单位通过鉴定确定氟化钙污泥的危险性质，后按照相应的固废种类进行管理</w:t>
            </w:r>
            <w:r>
              <w:rPr>
                <w:rFonts w:hint="eastAsia"/>
                <w:b/>
                <w:color w:val="000000" w:themeColor="text1"/>
                <w:sz w:val="24"/>
                <w:szCs w:val="32"/>
                <w14:textFill>
                  <w14:solidFill>
                    <w14:schemeClr w14:val="tx1"/>
                  </w14:solidFill>
                </w14:textFill>
              </w:rPr>
              <w:t>。</w:t>
            </w:r>
            <w:r>
              <w:rPr>
                <w:rFonts w:hint="eastAsia"/>
                <w:b/>
                <w:color w:val="000000" w:themeColor="text1"/>
                <w:sz w:val="24"/>
                <w:szCs w:val="32"/>
                <w:lang w:val="en-US" w:eastAsia="zh-CN"/>
                <w14:textFill>
                  <w14:solidFill>
                    <w14:schemeClr w14:val="tx1"/>
                  </w14:solidFill>
                </w14:textFill>
              </w:rPr>
              <w:t>在未鉴别确定其性质之前，按危废进行管理。</w:t>
            </w:r>
          </w:p>
          <w:p w14:paraId="6890C313">
            <w:pPr>
              <w:autoSpaceDE w:val="0"/>
              <w:autoSpaceDN w:val="0"/>
              <w:adjustRightInd w:val="0"/>
              <w:ind w:firstLine="482"/>
              <w:rPr>
                <w:rFonts w:hint="default" w:eastAsia="宋体" w:cs="Times New Roman"/>
                <w:b/>
                <w:color w:val="000000" w:themeColor="text1"/>
                <w:lang w:val="en-US" w:eastAsia="zh-CN"/>
                <w14:textFill>
                  <w14:solidFill>
                    <w14:schemeClr w14:val="tx1"/>
                  </w14:solidFill>
                </w14:textFill>
              </w:rPr>
            </w:pPr>
            <w:r>
              <w:rPr>
                <w:rFonts w:cs="Times New Roman"/>
                <w:b/>
                <w:color w:val="000000" w:themeColor="text1"/>
                <w14:textFill>
                  <w14:solidFill>
                    <w14:schemeClr w14:val="tx1"/>
                  </w14:solidFill>
                </w14:textFill>
              </w:rPr>
              <w:t>（4）</w:t>
            </w:r>
            <w:r>
              <w:rPr>
                <w:rFonts w:hint="eastAsia" w:cs="Times New Roman"/>
                <w:b/>
                <w:color w:val="000000" w:themeColor="text1"/>
                <w:lang w:val="en-US" w:eastAsia="zh-CN"/>
                <w14:textFill>
                  <w14:solidFill>
                    <w14:schemeClr w14:val="tx1"/>
                  </w14:solidFill>
                </w14:textFill>
              </w:rPr>
              <w:t>硫酸钙污泥</w:t>
            </w:r>
          </w:p>
          <w:p w14:paraId="58F36F08">
            <w:pPr>
              <w:autoSpaceDE w:val="0"/>
              <w:autoSpaceDN w:val="0"/>
              <w:adjustRightInd w:val="0"/>
              <w:ind w:firstLine="482"/>
              <w:rPr>
                <w:rFonts w:hint="default"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本项目煅烧废气中的二氧化硫</w:t>
            </w:r>
            <w:r>
              <w:rPr>
                <w:rFonts w:hint="eastAsia"/>
                <w:lang w:val="en-US" w:eastAsia="zh-CN"/>
              </w:rPr>
              <w:t>通过双碱法进行去除，二氧化硫与脱酸塔中的氢氧化钙反应生成硫酸钙。根据大气专项评价分析，项目产生的二氧化硫量为343.4682t/a，去除效率为98.8%，碱液吸收的二氧化硫量为343.4682*98.8%=339.3466t/a，常见脱硫污泥为含有两个结晶水的硫酸钙（CaSO</w:t>
            </w:r>
            <w:r>
              <w:rPr>
                <w:rFonts w:hint="eastAsia"/>
                <w:vertAlign w:val="subscript"/>
                <w:lang w:val="en-US" w:eastAsia="zh-CN"/>
              </w:rPr>
              <w:t>4</w:t>
            </w:r>
            <w:r>
              <w:rPr>
                <w:rFonts w:hint="eastAsia"/>
                <w:lang w:val="en-US" w:eastAsia="zh-CN"/>
              </w:rPr>
              <w:t>·2H</w:t>
            </w:r>
            <w:r>
              <w:rPr>
                <w:rFonts w:hint="eastAsia"/>
                <w:vertAlign w:val="subscript"/>
                <w:lang w:val="en-US" w:eastAsia="zh-CN"/>
              </w:rPr>
              <w:t>2</w:t>
            </w:r>
            <w:r>
              <w:rPr>
                <w:rFonts w:hint="eastAsia"/>
                <w:lang w:val="en-US" w:eastAsia="zh-CN"/>
              </w:rPr>
              <w:t>O），因此，二水硫酸钙量为339.3466*（172.17/64.06）≈912t/a。</w:t>
            </w:r>
            <w:r>
              <w:rPr>
                <w:rFonts w:hint="eastAsia"/>
                <w:b/>
                <w:bCs w:val="0"/>
                <w:color w:val="000000" w:themeColor="text1"/>
                <w:sz w:val="24"/>
                <w:szCs w:val="24"/>
                <w:lang w:val="en-US" w:eastAsia="zh-CN"/>
                <w14:textFill>
                  <w14:solidFill>
                    <w14:schemeClr w14:val="tx1"/>
                  </w14:solidFill>
                </w14:textFill>
              </w:rPr>
              <w:t>本次评价建议：建设单位通过鉴定确定氟化钙污泥的危险性质，后按照相应的固废种类进行管理</w:t>
            </w:r>
            <w:r>
              <w:rPr>
                <w:rFonts w:hint="eastAsia"/>
                <w:b/>
                <w:color w:val="000000" w:themeColor="text1"/>
                <w:sz w:val="24"/>
                <w:szCs w:val="32"/>
                <w14:textFill>
                  <w14:solidFill>
                    <w14:schemeClr w14:val="tx1"/>
                  </w14:solidFill>
                </w14:textFill>
              </w:rPr>
              <w:t>。</w:t>
            </w:r>
            <w:r>
              <w:rPr>
                <w:rFonts w:hint="eastAsia"/>
                <w:b/>
                <w:color w:val="000000" w:themeColor="text1"/>
                <w:sz w:val="24"/>
                <w:szCs w:val="32"/>
                <w:lang w:val="en-US" w:eastAsia="zh-CN"/>
                <w14:textFill>
                  <w14:solidFill>
                    <w14:schemeClr w14:val="tx1"/>
                  </w14:solidFill>
                </w14:textFill>
              </w:rPr>
              <w:t>在未鉴别确定其性质之前，按危废进行管理。</w:t>
            </w:r>
          </w:p>
          <w:p w14:paraId="17CA5C7D">
            <w:pPr>
              <w:autoSpaceDE w:val="0"/>
              <w:autoSpaceDN w:val="0"/>
              <w:adjustRightInd w:val="0"/>
              <w:ind w:firstLine="482"/>
              <w:rPr>
                <w:rFonts w:cs="Times New Roman"/>
                <w:b/>
                <w:color w:val="000000" w:themeColor="text1"/>
                <w14:textFill>
                  <w14:solidFill>
                    <w14:schemeClr w14:val="tx1"/>
                  </w14:solidFill>
                </w14:textFill>
              </w:rPr>
            </w:pP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5</w:t>
            </w:r>
            <w:r>
              <w:rPr>
                <w:rFonts w:hint="eastAsia" w:cs="Times New Roman"/>
                <w:b/>
                <w:color w:val="000000" w:themeColor="text1"/>
                <w:lang w:eastAsia="zh-CN"/>
                <w14:textFill>
                  <w14:solidFill>
                    <w14:schemeClr w14:val="tx1"/>
                  </w14:solidFill>
                </w14:textFill>
              </w:rPr>
              <w:t>）</w:t>
            </w:r>
            <w:r>
              <w:rPr>
                <w:rFonts w:cs="Times New Roman"/>
                <w:b/>
                <w:color w:val="000000" w:themeColor="text1"/>
                <w14:textFill>
                  <w14:solidFill>
                    <w14:schemeClr w14:val="tx1"/>
                  </w14:solidFill>
                </w14:textFill>
              </w:rPr>
              <w:t>治理措施</w:t>
            </w:r>
          </w:p>
          <w:p w14:paraId="2EC4CA58">
            <w:pPr>
              <w:spacing w:before="15"/>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本项目车间设置一般固废暂存间，位于</w:t>
            </w:r>
            <w:r>
              <w:rPr>
                <w:rFonts w:hint="eastAsia" w:cs="Times New Roman"/>
                <w:color w:val="000000" w:themeColor="text1"/>
                <w:szCs w:val="24"/>
                <w:lang w:val="en-US" w:eastAsia="zh-CN"/>
                <w14:textFill>
                  <w14:solidFill>
                    <w14:schemeClr w14:val="tx1"/>
                  </w14:solidFill>
                </w14:textFill>
              </w:rPr>
              <w:t>3号厂房东北侧</w:t>
            </w:r>
            <w:r>
              <w:rPr>
                <w:rFonts w:cs="Times New Roman"/>
                <w:color w:val="000000" w:themeColor="text1"/>
                <w:szCs w:val="24"/>
                <w14:textFill>
                  <w14:solidFill>
                    <w14:schemeClr w14:val="tx1"/>
                  </w14:solidFill>
                </w14:textFill>
              </w:rPr>
              <w:t>，单独房间，面积约10m</w:t>
            </w:r>
            <w:r>
              <w:rPr>
                <w:rFonts w:cs="Times New Roman"/>
                <w:color w:val="000000" w:themeColor="text1"/>
                <w:szCs w:val="24"/>
                <w:vertAlign w:val="superscript"/>
                <w14:textFill>
                  <w14:solidFill>
                    <w14:schemeClr w14:val="tx1"/>
                  </w14:solidFill>
                </w14:textFill>
              </w:rPr>
              <w:t>2</w:t>
            </w:r>
            <w:r>
              <w:rPr>
                <w:rFonts w:cs="Times New Roman"/>
                <w:color w:val="000000" w:themeColor="text1"/>
                <w:szCs w:val="24"/>
                <w14:textFill>
                  <w14:solidFill>
                    <w14:schemeClr w14:val="tx1"/>
                  </w14:solidFill>
                </w14:textFill>
              </w:rPr>
              <w:t>。一般固废分类收集后在一般固废暂存间内暂存</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废包装外售废品回收站或交由厂家回收利用；废模具、废布袋厂家回收综合利用；不合格品、旋风除尘器及布袋除尘器1#集尘作为原料回用于免烧砌块生产。</w:t>
            </w:r>
            <w:r>
              <w:rPr>
                <w:rFonts w:cs="Times New Roman"/>
                <w:color w:val="000000" w:themeColor="text1"/>
                <w:szCs w:val="24"/>
                <w14:textFill>
                  <w14:solidFill>
                    <w14:schemeClr w14:val="tx1"/>
                  </w14:solidFill>
                </w14:textFill>
              </w:rPr>
              <w:t>生活垃圾</w:t>
            </w:r>
            <w:r>
              <w:rPr>
                <w:rFonts w:hint="eastAsia" w:cs="Times New Roman"/>
                <w:color w:val="000000" w:themeColor="text1"/>
                <w:szCs w:val="24"/>
                <w:lang w:val="en-US" w:eastAsia="zh-CN"/>
                <w14:textFill>
                  <w14:solidFill>
                    <w14:schemeClr w14:val="tx1"/>
                  </w14:solidFill>
                </w14:textFill>
              </w:rPr>
              <w:t>袋装收集后</w:t>
            </w:r>
            <w:r>
              <w:rPr>
                <w:rFonts w:cs="Times New Roman"/>
                <w:color w:val="000000" w:themeColor="text1"/>
                <w:szCs w:val="24"/>
                <w14:textFill>
                  <w14:solidFill>
                    <w14:schemeClr w14:val="tx1"/>
                  </w14:solidFill>
                </w14:textFill>
              </w:rPr>
              <w:t>交由环卫部门统一清运处理。</w:t>
            </w:r>
          </w:p>
          <w:p w14:paraId="4E935F85">
            <w:pPr>
              <w:bidi w:val="0"/>
              <w:rPr>
                <w:color w:val="000000" w:themeColor="text1"/>
                <w14:textFill>
                  <w14:solidFill>
                    <w14:schemeClr w14:val="tx1"/>
                  </w14:solidFill>
                </w14:textFill>
              </w:rPr>
            </w:pPr>
            <w:r>
              <w:rPr>
                <w:color w:val="000000" w:themeColor="text1"/>
                <w14:textFill>
                  <w14:solidFill>
                    <w14:schemeClr w14:val="tx1"/>
                  </w14:solidFill>
                </w14:textFill>
              </w:rPr>
              <w:t>危险废物：本项目车间设置危废暂存间，位于</w:t>
            </w:r>
            <w:r>
              <w:rPr>
                <w:rFonts w:hint="eastAsia" w:cs="Times New Roman"/>
                <w:color w:val="000000" w:themeColor="text1"/>
                <w:szCs w:val="24"/>
                <w:lang w:val="en-US" w:eastAsia="zh-CN"/>
                <w14:textFill>
                  <w14:solidFill>
                    <w14:schemeClr w14:val="tx1"/>
                  </w14:solidFill>
                </w14:textFill>
              </w:rPr>
              <w:t>3号厂房东北侧</w:t>
            </w:r>
            <w:r>
              <w:rPr>
                <w:color w:val="000000" w:themeColor="text1"/>
                <w14:textFill>
                  <w14:solidFill>
                    <w14:schemeClr w14:val="tx1"/>
                  </w14:solidFill>
                </w14:textFill>
              </w:rPr>
              <w:t>，单独房间，面积约10m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危险废物经分类收集后暂存于危废暂存间。危险废物暂存应做到暂存间地面进行防腐、防渗处理防止危险废物发生泄漏造成地下水污染；并设置明显的警示标识，由专人管理；厂方应及时、妥善清运危险废物，尽量减少危险废物临时贮存量；项目厂方应与有危险废物处置资质的单位</w:t>
            </w:r>
            <w:r>
              <w:rPr>
                <w:rFonts w:hint="eastAsia"/>
                <w:color w:val="000000" w:themeColor="text1"/>
                <w:lang w:eastAsia="zh-CN"/>
                <w14:textFill>
                  <w14:solidFill>
                    <w14:schemeClr w14:val="tx1"/>
                  </w14:solidFill>
                </w14:textFill>
              </w:rPr>
              <w:t>签订</w:t>
            </w:r>
            <w:r>
              <w:rPr>
                <w:color w:val="000000" w:themeColor="text1"/>
                <w14:textFill>
                  <w14:solidFill>
                    <w14:schemeClr w14:val="tx1"/>
                  </w14:solidFill>
                </w14:textFill>
              </w:rPr>
              <w:t>危废委托处理协议，项目验收时提供危废协议，危险废物集中分类收集后定期交由有资质的单位处置；建立危废处置台账。</w:t>
            </w:r>
          </w:p>
          <w:p w14:paraId="593B4DA8">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危废暂存间应严格按照《危险废物贮存污染控制标准》（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GB18597-2023</w:t>
            </w:r>
            <w:r>
              <w:rPr>
                <w:rFonts w:hint="eastAsia" w:ascii="宋体" w:hAnsi="宋体" w:eastAsia="宋体" w:cs="宋体"/>
                <w:color w:val="000000" w:themeColor="text1"/>
                <w:kern w:val="0"/>
                <w:sz w:val="24"/>
                <w:szCs w:val="24"/>
                <w:lang w:val="en-US" w:eastAsia="zh-CN" w:bidi="ar"/>
                <w14:textFill>
                  <w14:solidFill>
                    <w14:schemeClr w14:val="tx1"/>
                  </w14:solidFill>
                </w14:textFill>
              </w:rPr>
              <w:t>）的要求设计，做好防风、防晒、防雨、防漏、防渗、防腐措施，防止二次污染。本项目固废产生及处置情况如下表：</w:t>
            </w:r>
          </w:p>
          <w:p w14:paraId="3BBF90B5">
            <w:pPr>
              <w:pStyle w:val="12"/>
              <w:rPr>
                <w:rFonts w:cs="Times New Roman"/>
                <w:color w:val="000000" w:themeColor="text1"/>
                <w14:textFill>
                  <w14:solidFill>
                    <w14:schemeClr w14:val="tx1"/>
                  </w14:solidFill>
                </w14:textFill>
              </w:rPr>
            </w:pPr>
          </w:p>
          <w:p w14:paraId="0399BD9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9</w:t>
            </w:r>
            <w:r>
              <w:rPr>
                <w:rFonts w:cs="Times New Roman"/>
                <w:color w:val="000000" w:themeColor="text1"/>
                <w14:textFill>
                  <w14:solidFill>
                    <w14:schemeClr w14:val="tx1"/>
                  </w14:solidFill>
                </w14:textFill>
              </w:rPr>
              <w:t xml:space="preserve"> 本项目建成后运营期固废产生及处置情况一览表</w:t>
            </w:r>
          </w:p>
          <w:tbl>
            <w:tblPr>
              <w:tblStyle w:val="29"/>
              <w:tblW w:w="4995"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0" w:type="dxa"/>
                <w:bottom w:w="0" w:type="dxa"/>
                <w:right w:w="0" w:type="dxa"/>
              </w:tblCellMar>
            </w:tblPr>
            <w:tblGrid>
              <w:gridCol w:w="942"/>
              <w:gridCol w:w="556"/>
              <w:gridCol w:w="809"/>
              <w:gridCol w:w="1107"/>
              <w:gridCol w:w="856"/>
              <w:gridCol w:w="513"/>
              <w:gridCol w:w="1128"/>
              <w:gridCol w:w="740"/>
              <w:gridCol w:w="2399"/>
            </w:tblGrid>
            <w:tr w14:paraId="6D36C57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3C0B52AD">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废物名称</w:t>
                  </w:r>
                </w:p>
              </w:tc>
              <w:tc>
                <w:tcPr>
                  <w:tcW w:w="309" w:type="pct"/>
                  <w:tcBorders>
                    <w:tl2br w:val="nil"/>
                    <w:tr2bl w:val="nil"/>
                  </w:tcBorders>
                  <w:vAlign w:val="center"/>
                </w:tcPr>
                <w:p w14:paraId="196F844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属性</w:t>
                  </w:r>
                </w:p>
              </w:tc>
              <w:tc>
                <w:tcPr>
                  <w:tcW w:w="449" w:type="pct"/>
                  <w:tcBorders>
                    <w:tl2br w:val="nil"/>
                    <w:tr2bl w:val="nil"/>
                  </w:tcBorders>
                  <w:vAlign w:val="center"/>
                </w:tcPr>
                <w:p w14:paraId="66315713">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产生量（t/a）</w:t>
                  </w:r>
                </w:p>
              </w:tc>
              <w:tc>
                <w:tcPr>
                  <w:tcW w:w="596" w:type="pct"/>
                  <w:tcBorders>
                    <w:tl2br w:val="nil"/>
                    <w:tr2bl w:val="nil"/>
                  </w:tcBorders>
                  <w:vAlign w:val="center"/>
                </w:tcPr>
                <w:p w14:paraId="320110A4">
                  <w:pPr>
                    <w:pStyle w:val="51"/>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代码</w:t>
                  </w:r>
                </w:p>
              </w:tc>
              <w:tc>
                <w:tcPr>
                  <w:tcW w:w="474" w:type="pct"/>
                  <w:tcBorders>
                    <w:tl2br w:val="nil"/>
                    <w:tr2bl w:val="nil"/>
                  </w:tcBorders>
                  <w:vAlign w:val="center"/>
                </w:tcPr>
                <w:p w14:paraId="0DE66D3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产生工序</w:t>
                  </w:r>
                </w:p>
              </w:tc>
              <w:tc>
                <w:tcPr>
                  <w:tcW w:w="285" w:type="pct"/>
                  <w:tcBorders>
                    <w:tl2br w:val="nil"/>
                    <w:tr2bl w:val="nil"/>
                  </w:tcBorders>
                  <w:vAlign w:val="center"/>
                </w:tcPr>
                <w:p w14:paraId="5BF88D61">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形态</w:t>
                  </w:r>
                </w:p>
              </w:tc>
              <w:tc>
                <w:tcPr>
                  <w:tcW w:w="624" w:type="pct"/>
                  <w:tcBorders>
                    <w:tl2br w:val="nil"/>
                    <w:tr2bl w:val="nil"/>
                  </w:tcBorders>
                  <w:vAlign w:val="center"/>
                </w:tcPr>
                <w:p w14:paraId="558011DB">
                  <w:pPr>
                    <w:pStyle w:val="51"/>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主要成分</w:t>
                  </w:r>
                </w:p>
              </w:tc>
              <w:tc>
                <w:tcPr>
                  <w:tcW w:w="410" w:type="pct"/>
                  <w:tcBorders>
                    <w:tl2br w:val="nil"/>
                    <w:tr2bl w:val="nil"/>
                  </w:tcBorders>
                  <w:vAlign w:val="center"/>
                </w:tcPr>
                <w:p w14:paraId="74B03FFE">
                  <w:pPr>
                    <w:pStyle w:val="51"/>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包装/暂存方式</w:t>
                  </w:r>
                </w:p>
              </w:tc>
              <w:tc>
                <w:tcPr>
                  <w:tcW w:w="1326" w:type="pct"/>
                  <w:tcBorders>
                    <w:tl2br w:val="nil"/>
                    <w:tr2bl w:val="nil"/>
                  </w:tcBorders>
                  <w:vAlign w:val="center"/>
                </w:tcPr>
                <w:p w14:paraId="69549721">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处置方式</w:t>
                  </w:r>
                </w:p>
              </w:tc>
            </w:tr>
            <w:tr w14:paraId="3F58D14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69428FCA">
                  <w:pPr>
                    <w:pStyle w:val="13"/>
                    <w:rPr>
                      <w:rFonts w:cs="Times New Roman"/>
                      <w:bCs/>
                      <w:color w:val="000000" w:themeColor="text1"/>
                      <w14:textFill>
                        <w14:solidFill>
                          <w14:schemeClr w14:val="tx1"/>
                        </w14:solidFill>
                      </w14:textFill>
                    </w:rPr>
                  </w:pPr>
                  <w:bookmarkStart w:id="57" w:name="_Hlk207723139"/>
                  <w:r>
                    <w:rPr>
                      <w:rFonts w:cs="Times New Roman"/>
                      <w:bCs/>
                      <w:color w:val="000000" w:themeColor="text1"/>
                      <w14:textFill>
                        <w14:solidFill>
                          <w14:schemeClr w14:val="tx1"/>
                        </w14:solidFill>
                      </w14:textFill>
                    </w:rPr>
                    <w:t>生活垃圾</w:t>
                  </w:r>
                </w:p>
              </w:tc>
              <w:tc>
                <w:tcPr>
                  <w:tcW w:w="309" w:type="pct"/>
                  <w:tcBorders>
                    <w:tl2br w:val="nil"/>
                    <w:tr2bl w:val="nil"/>
                  </w:tcBorders>
                  <w:vAlign w:val="center"/>
                </w:tcPr>
                <w:p w14:paraId="39933AAF">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w:t>
                  </w:r>
                </w:p>
              </w:tc>
              <w:tc>
                <w:tcPr>
                  <w:tcW w:w="449" w:type="pct"/>
                  <w:tcBorders>
                    <w:tl2br w:val="nil"/>
                    <w:tr2bl w:val="nil"/>
                  </w:tcBorders>
                  <w:vAlign w:val="center"/>
                </w:tcPr>
                <w:p w14:paraId="603F208B">
                  <w:pPr>
                    <w:pStyle w:val="13"/>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3.3</w:t>
                  </w:r>
                </w:p>
              </w:tc>
              <w:tc>
                <w:tcPr>
                  <w:tcW w:w="596" w:type="pct"/>
                  <w:tcBorders>
                    <w:tl2br w:val="nil"/>
                    <w:tr2bl w:val="nil"/>
                  </w:tcBorders>
                  <w:vAlign w:val="center"/>
                </w:tcPr>
                <w:p w14:paraId="1A829E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SW64,</w:t>
                  </w:r>
                </w:p>
                <w:p w14:paraId="0BD54C06">
                  <w:pPr>
                    <w:pStyle w:val="13"/>
                    <w:rPr>
                      <w:rFonts w:hint="eastAsia"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900-099-S64</w:t>
                  </w:r>
                </w:p>
              </w:tc>
              <w:tc>
                <w:tcPr>
                  <w:tcW w:w="474" w:type="pct"/>
                  <w:tcBorders>
                    <w:tl2br w:val="nil"/>
                    <w:tr2bl w:val="nil"/>
                  </w:tcBorders>
                  <w:vAlign w:val="center"/>
                </w:tcPr>
                <w:p w14:paraId="70D04D95">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生活办公</w:t>
                  </w:r>
                </w:p>
              </w:tc>
              <w:tc>
                <w:tcPr>
                  <w:tcW w:w="285" w:type="pct"/>
                  <w:tcBorders>
                    <w:tl2br w:val="nil"/>
                    <w:tr2bl w:val="nil"/>
                  </w:tcBorders>
                  <w:vAlign w:val="center"/>
                </w:tcPr>
                <w:p w14:paraId="023D4C36">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固态</w:t>
                  </w:r>
                </w:p>
              </w:tc>
              <w:tc>
                <w:tcPr>
                  <w:tcW w:w="624" w:type="pct"/>
                  <w:tcBorders>
                    <w:tl2br w:val="nil"/>
                    <w:tr2bl w:val="nil"/>
                  </w:tcBorders>
                  <w:vAlign w:val="center"/>
                </w:tcPr>
                <w:p w14:paraId="50D48077">
                  <w:pPr>
                    <w:pStyle w:val="13"/>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纸、塑料等</w:t>
                  </w:r>
                </w:p>
              </w:tc>
              <w:tc>
                <w:tcPr>
                  <w:tcW w:w="410" w:type="pct"/>
                  <w:tcBorders>
                    <w:tl2br w:val="nil"/>
                    <w:tr2bl w:val="nil"/>
                  </w:tcBorders>
                  <w:vAlign w:val="center"/>
                </w:tcPr>
                <w:p w14:paraId="45262A99">
                  <w:pPr>
                    <w:pStyle w:val="13"/>
                    <w:rPr>
                      <w:rFonts w:hint="eastAsia"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桶装</w:t>
                  </w:r>
                </w:p>
              </w:tc>
              <w:tc>
                <w:tcPr>
                  <w:tcW w:w="1326" w:type="pct"/>
                  <w:tcBorders>
                    <w:tl2br w:val="nil"/>
                    <w:tr2bl w:val="nil"/>
                  </w:tcBorders>
                  <w:vAlign w:val="center"/>
                </w:tcPr>
                <w:p w14:paraId="04A1697F">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袋装收集，交由环卫部门清运处理</w:t>
                  </w:r>
                </w:p>
              </w:tc>
            </w:tr>
            <w:tr w14:paraId="20D7126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4D608A3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废包装</w:t>
                  </w:r>
                </w:p>
              </w:tc>
              <w:tc>
                <w:tcPr>
                  <w:tcW w:w="309" w:type="pct"/>
                  <w:vMerge w:val="restart"/>
                  <w:tcBorders>
                    <w:tl2br w:val="nil"/>
                    <w:tr2bl w:val="nil"/>
                  </w:tcBorders>
                  <w:vAlign w:val="center"/>
                </w:tcPr>
                <w:p w14:paraId="0BA321D9">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一般固废</w:t>
                  </w:r>
                </w:p>
              </w:tc>
              <w:tc>
                <w:tcPr>
                  <w:tcW w:w="449" w:type="pct"/>
                  <w:tcBorders>
                    <w:tl2br w:val="nil"/>
                    <w:tr2bl w:val="nil"/>
                  </w:tcBorders>
                  <w:vAlign w:val="center"/>
                </w:tcPr>
                <w:p w14:paraId="0C562859">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16.816</w:t>
                  </w:r>
                </w:p>
              </w:tc>
              <w:tc>
                <w:tcPr>
                  <w:tcW w:w="596" w:type="pct"/>
                  <w:tcBorders>
                    <w:tl2br w:val="nil"/>
                    <w:tr2bl w:val="nil"/>
                  </w:tcBorders>
                  <w:vAlign w:val="center"/>
                </w:tcPr>
                <w:p w14:paraId="3C24D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SW17,</w:t>
                  </w:r>
                </w:p>
                <w:p w14:paraId="74449B52">
                  <w:pPr>
                    <w:pStyle w:val="13"/>
                    <w:rPr>
                      <w:rFonts w:hint="eastAsia" w:cs="Times New Roman"/>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900-099-S17</w:t>
                  </w:r>
                </w:p>
              </w:tc>
              <w:tc>
                <w:tcPr>
                  <w:tcW w:w="474" w:type="pct"/>
                  <w:tcBorders>
                    <w:tl2br w:val="nil"/>
                    <w:tr2bl w:val="nil"/>
                  </w:tcBorders>
                  <w:vAlign w:val="center"/>
                </w:tcPr>
                <w:p w14:paraId="60569FBE">
                  <w:pPr>
                    <w:pStyle w:val="13"/>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原料包装袋</w:t>
                  </w:r>
                </w:p>
              </w:tc>
              <w:tc>
                <w:tcPr>
                  <w:tcW w:w="285" w:type="pct"/>
                  <w:tcBorders>
                    <w:tl2br w:val="nil"/>
                    <w:tr2bl w:val="nil"/>
                  </w:tcBorders>
                  <w:vAlign w:val="center"/>
                </w:tcPr>
                <w:p w14:paraId="763B2BD0">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固态</w:t>
                  </w:r>
                </w:p>
              </w:tc>
              <w:tc>
                <w:tcPr>
                  <w:tcW w:w="624" w:type="pct"/>
                  <w:tcBorders>
                    <w:tl2br w:val="nil"/>
                    <w:tr2bl w:val="nil"/>
                  </w:tcBorders>
                  <w:vAlign w:val="center"/>
                </w:tcPr>
                <w:p w14:paraId="4EE06DF6">
                  <w:pPr>
                    <w:pStyle w:val="13"/>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纸、塑料等</w:t>
                  </w:r>
                </w:p>
              </w:tc>
              <w:tc>
                <w:tcPr>
                  <w:tcW w:w="410" w:type="pct"/>
                  <w:tcBorders>
                    <w:tl2br w:val="nil"/>
                    <w:tr2bl w:val="nil"/>
                  </w:tcBorders>
                  <w:vAlign w:val="center"/>
                </w:tcPr>
                <w:p w14:paraId="67877750">
                  <w:pPr>
                    <w:pStyle w:val="13"/>
                    <w:rPr>
                      <w:rFonts w:hint="eastAsia"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袋装</w:t>
                  </w:r>
                </w:p>
              </w:tc>
              <w:tc>
                <w:tcPr>
                  <w:tcW w:w="1326" w:type="pct"/>
                  <w:tcBorders>
                    <w:tl2br w:val="nil"/>
                    <w:tr2bl w:val="nil"/>
                  </w:tcBorders>
                  <w:vAlign w:val="center"/>
                </w:tcPr>
                <w:p w14:paraId="570CCB10">
                  <w:pPr>
                    <w:pStyle w:val="13"/>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厂家回收利用；外售废品站</w:t>
                  </w:r>
                </w:p>
              </w:tc>
            </w:tr>
            <w:tr w14:paraId="6573C52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75EAFC32">
                  <w:pPr>
                    <w:pStyle w:val="13"/>
                    <w:ind w:firstLine="0" w:firstLineChars="0"/>
                    <w:rPr>
                      <w:rFonts w:hint="eastAsia" w:eastAsia="宋体" w:cs="Times New Roman"/>
                      <w:bCs/>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不合格品</w:t>
                  </w:r>
                </w:p>
              </w:tc>
              <w:tc>
                <w:tcPr>
                  <w:tcW w:w="309" w:type="pct"/>
                  <w:vMerge w:val="continue"/>
                  <w:tcBorders>
                    <w:tl2br w:val="nil"/>
                    <w:tr2bl w:val="nil"/>
                  </w:tcBorders>
                  <w:vAlign w:val="center"/>
                </w:tcPr>
                <w:p w14:paraId="52D9FC21">
                  <w:pPr>
                    <w:pStyle w:val="13"/>
                    <w:rPr>
                      <w:rFonts w:cs="Times New Roman"/>
                      <w:color w:val="000000" w:themeColor="text1"/>
                      <w14:textFill>
                        <w14:solidFill>
                          <w14:schemeClr w14:val="tx1"/>
                        </w14:solidFill>
                      </w14:textFill>
                    </w:rPr>
                  </w:pPr>
                </w:p>
              </w:tc>
              <w:tc>
                <w:tcPr>
                  <w:tcW w:w="449" w:type="pct"/>
                  <w:tcBorders>
                    <w:tl2br w:val="nil"/>
                    <w:tr2bl w:val="nil"/>
                  </w:tcBorders>
                  <w:vAlign w:val="center"/>
                </w:tcPr>
                <w:p w14:paraId="0FAA6278">
                  <w:pPr>
                    <w:pStyle w:val="13"/>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2200</w:t>
                  </w:r>
                </w:p>
              </w:tc>
              <w:tc>
                <w:tcPr>
                  <w:tcW w:w="596" w:type="pct"/>
                  <w:tcBorders>
                    <w:tl2br w:val="nil"/>
                    <w:tr2bl w:val="nil"/>
                  </w:tcBorders>
                  <w:vAlign w:val="center"/>
                </w:tcPr>
                <w:p w14:paraId="781984E6">
                  <w:pPr>
                    <w:pStyle w:val="13"/>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SW17,</w:t>
                  </w:r>
                </w:p>
                <w:p w14:paraId="4CA994C2">
                  <w:pPr>
                    <w:pStyle w:val="13"/>
                    <w:rPr>
                      <w:rFonts w:hint="eastAsia" w:cs="Times New Roman"/>
                      <w:bCs/>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900-003-S17</w:t>
                  </w:r>
                </w:p>
              </w:tc>
              <w:tc>
                <w:tcPr>
                  <w:tcW w:w="474" w:type="pct"/>
                  <w:tcBorders>
                    <w:tl2br w:val="nil"/>
                    <w:tr2bl w:val="nil"/>
                  </w:tcBorders>
                  <w:vAlign w:val="center"/>
                </w:tcPr>
                <w:p w14:paraId="16905F53">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压制成型</w:t>
                  </w:r>
                </w:p>
              </w:tc>
              <w:tc>
                <w:tcPr>
                  <w:tcW w:w="285" w:type="pct"/>
                  <w:tcBorders>
                    <w:tl2br w:val="nil"/>
                    <w:tr2bl w:val="nil"/>
                  </w:tcBorders>
                  <w:vAlign w:val="center"/>
                </w:tcPr>
                <w:p w14:paraId="3BA5C2CD">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固态</w:t>
                  </w:r>
                </w:p>
              </w:tc>
              <w:tc>
                <w:tcPr>
                  <w:tcW w:w="624" w:type="pct"/>
                  <w:tcBorders>
                    <w:tl2br w:val="nil"/>
                    <w:tr2bl w:val="nil"/>
                  </w:tcBorders>
                  <w:vAlign w:val="center"/>
                </w:tcPr>
                <w:p w14:paraId="0D5C3FC3">
                  <w:pPr>
                    <w:pStyle w:val="13"/>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煅烧料粉料</w:t>
                  </w:r>
                </w:p>
              </w:tc>
              <w:tc>
                <w:tcPr>
                  <w:tcW w:w="410" w:type="pct"/>
                  <w:tcBorders>
                    <w:tl2br w:val="nil"/>
                    <w:tr2bl w:val="nil"/>
                  </w:tcBorders>
                  <w:vAlign w:val="center"/>
                </w:tcPr>
                <w:p w14:paraId="0D0D2C5A">
                  <w:pPr>
                    <w:pStyle w:val="13"/>
                    <w:rPr>
                      <w:rFonts w:hint="eastAsia"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袋装</w:t>
                  </w:r>
                </w:p>
              </w:tc>
              <w:tc>
                <w:tcPr>
                  <w:tcW w:w="1326" w:type="pct"/>
                  <w:tcBorders>
                    <w:tl2br w:val="nil"/>
                    <w:tr2bl w:val="nil"/>
                  </w:tcBorders>
                  <w:vAlign w:val="center"/>
                </w:tcPr>
                <w:p w14:paraId="612F0F88">
                  <w:pPr>
                    <w:pStyle w:val="13"/>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回用于免烧砌块生产</w:t>
                  </w:r>
                </w:p>
              </w:tc>
            </w:tr>
            <w:tr w14:paraId="55083C7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256010FD">
                  <w:pPr>
                    <w:pStyle w:val="13"/>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废模具</w:t>
                  </w:r>
                </w:p>
              </w:tc>
              <w:tc>
                <w:tcPr>
                  <w:tcW w:w="309" w:type="pct"/>
                  <w:vMerge w:val="continue"/>
                  <w:tcBorders>
                    <w:tl2br w:val="nil"/>
                    <w:tr2bl w:val="nil"/>
                  </w:tcBorders>
                  <w:vAlign w:val="center"/>
                </w:tcPr>
                <w:p w14:paraId="717871E1">
                  <w:pPr>
                    <w:pStyle w:val="13"/>
                    <w:rPr>
                      <w:rFonts w:cs="Times New Roman"/>
                      <w:color w:val="000000" w:themeColor="text1"/>
                      <w14:textFill>
                        <w14:solidFill>
                          <w14:schemeClr w14:val="tx1"/>
                        </w14:solidFill>
                      </w14:textFill>
                    </w:rPr>
                  </w:pPr>
                </w:p>
              </w:tc>
              <w:tc>
                <w:tcPr>
                  <w:tcW w:w="449" w:type="pct"/>
                  <w:tcBorders>
                    <w:tl2br w:val="nil"/>
                    <w:tr2bl w:val="nil"/>
                  </w:tcBorders>
                  <w:vAlign w:val="center"/>
                </w:tcPr>
                <w:p w14:paraId="34B5B8E1">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596" w:type="pct"/>
                  <w:tcBorders>
                    <w:tl2br w:val="nil"/>
                    <w:tr2bl w:val="nil"/>
                  </w:tcBorders>
                  <w:vAlign w:val="center"/>
                </w:tcPr>
                <w:p w14:paraId="3C0821FC">
                  <w:pPr>
                    <w:pStyle w:val="13"/>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SW59,</w:t>
                  </w:r>
                </w:p>
                <w:p w14:paraId="4C50D543">
                  <w:pPr>
                    <w:pStyle w:val="13"/>
                    <w:rPr>
                      <w:rFonts w:hint="default" w:cs="Times New Roman"/>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900-099-S59</w:t>
                  </w:r>
                </w:p>
              </w:tc>
              <w:tc>
                <w:tcPr>
                  <w:tcW w:w="474" w:type="pct"/>
                  <w:tcBorders>
                    <w:tl2br w:val="nil"/>
                    <w:tr2bl w:val="nil"/>
                  </w:tcBorders>
                  <w:vAlign w:val="center"/>
                </w:tcPr>
                <w:p w14:paraId="3A825832">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压制成型</w:t>
                  </w:r>
                </w:p>
              </w:tc>
              <w:tc>
                <w:tcPr>
                  <w:tcW w:w="285" w:type="pct"/>
                  <w:tcBorders>
                    <w:tl2br w:val="nil"/>
                    <w:tr2bl w:val="nil"/>
                  </w:tcBorders>
                  <w:vAlign w:val="center"/>
                </w:tcPr>
                <w:p w14:paraId="357E427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固态</w:t>
                  </w:r>
                </w:p>
              </w:tc>
              <w:tc>
                <w:tcPr>
                  <w:tcW w:w="624" w:type="pct"/>
                  <w:tcBorders>
                    <w:tl2br w:val="nil"/>
                    <w:tr2bl w:val="nil"/>
                  </w:tcBorders>
                  <w:vAlign w:val="center"/>
                </w:tcPr>
                <w:p w14:paraId="7D149BED">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410" w:type="pct"/>
                  <w:tcBorders>
                    <w:tl2br w:val="nil"/>
                    <w:tr2bl w:val="nil"/>
                  </w:tcBorders>
                  <w:vAlign w:val="center"/>
                </w:tcPr>
                <w:p w14:paraId="43820C4D">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袋装</w:t>
                  </w:r>
                </w:p>
              </w:tc>
              <w:tc>
                <w:tcPr>
                  <w:tcW w:w="1326" w:type="pct"/>
                  <w:tcBorders>
                    <w:tl2br w:val="nil"/>
                    <w:tr2bl w:val="nil"/>
                  </w:tcBorders>
                  <w:vAlign w:val="center"/>
                </w:tcPr>
                <w:p w14:paraId="47C7BF71">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厂家回收</w:t>
                  </w:r>
                  <w:r>
                    <w:rPr>
                      <w:rFonts w:hint="eastAsia" w:cs="Times New Roman"/>
                      <w:bCs/>
                      <w:color w:val="000000" w:themeColor="text1"/>
                      <w:lang w:val="en-US" w:eastAsia="zh-CN"/>
                      <w14:textFill>
                        <w14:solidFill>
                          <w14:schemeClr w14:val="tx1"/>
                        </w14:solidFill>
                      </w14:textFill>
                    </w:rPr>
                    <w:t>利用</w:t>
                  </w:r>
                </w:p>
              </w:tc>
            </w:tr>
            <w:tr w14:paraId="1BAF6B1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3803DEEB">
                  <w:pPr>
                    <w:pStyle w:val="13"/>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旋风除尘器集尘+布袋除尘器1#集尘</w:t>
                  </w:r>
                </w:p>
              </w:tc>
              <w:tc>
                <w:tcPr>
                  <w:tcW w:w="309" w:type="pct"/>
                  <w:vMerge w:val="continue"/>
                  <w:tcBorders>
                    <w:tl2br w:val="nil"/>
                    <w:tr2bl w:val="nil"/>
                  </w:tcBorders>
                  <w:vAlign w:val="center"/>
                </w:tcPr>
                <w:p w14:paraId="078BC0BB">
                  <w:pPr>
                    <w:pStyle w:val="13"/>
                    <w:rPr>
                      <w:rFonts w:cs="Times New Roman"/>
                      <w:color w:val="000000" w:themeColor="text1"/>
                      <w14:textFill>
                        <w14:solidFill>
                          <w14:schemeClr w14:val="tx1"/>
                        </w14:solidFill>
                      </w14:textFill>
                    </w:rPr>
                  </w:pPr>
                </w:p>
              </w:tc>
              <w:tc>
                <w:tcPr>
                  <w:tcW w:w="449" w:type="pct"/>
                  <w:tcBorders>
                    <w:tl2br w:val="nil"/>
                    <w:tr2bl w:val="nil"/>
                  </w:tcBorders>
                  <w:vAlign w:val="center"/>
                </w:tcPr>
                <w:p w14:paraId="176D73DE">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33.9795</w:t>
                  </w:r>
                </w:p>
              </w:tc>
              <w:tc>
                <w:tcPr>
                  <w:tcW w:w="596" w:type="pct"/>
                  <w:tcBorders>
                    <w:tl2br w:val="nil"/>
                    <w:tr2bl w:val="nil"/>
                  </w:tcBorders>
                  <w:vAlign w:val="center"/>
                </w:tcPr>
                <w:p w14:paraId="4682AF01">
                  <w:pPr>
                    <w:pStyle w:val="13"/>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SW59,</w:t>
                  </w:r>
                </w:p>
                <w:p w14:paraId="4BA6B6A8">
                  <w:pPr>
                    <w:pStyle w:val="13"/>
                    <w:rPr>
                      <w:rFonts w:hint="eastAsia" w:cs="Times New Roman"/>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900-099-S59</w:t>
                  </w:r>
                </w:p>
              </w:tc>
              <w:tc>
                <w:tcPr>
                  <w:tcW w:w="474" w:type="pct"/>
                  <w:tcBorders>
                    <w:tl2br w:val="nil"/>
                    <w:tr2bl w:val="nil"/>
                  </w:tcBorders>
                  <w:vAlign w:val="center"/>
                </w:tcPr>
                <w:p w14:paraId="5D02CC63">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285" w:type="pct"/>
                  <w:tcBorders>
                    <w:tl2br w:val="nil"/>
                    <w:tr2bl w:val="nil"/>
                  </w:tcBorders>
                  <w:vAlign w:val="center"/>
                </w:tcPr>
                <w:p w14:paraId="4F67C96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固态</w:t>
                  </w:r>
                </w:p>
              </w:tc>
              <w:tc>
                <w:tcPr>
                  <w:tcW w:w="624" w:type="pct"/>
                  <w:tcBorders>
                    <w:tl2br w:val="nil"/>
                    <w:tr2bl w:val="nil"/>
                  </w:tcBorders>
                  <w:vAlign w:val="center"/>
                </w:tcPr>
                <w:p w14:paraId="07D2F574">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煅烧料粉料</w:t>
                  </w:r>
                </w:p>
              </w:tc>
              <w:tc>
                <w:tcPr>
                  <w:tcW w:w="410" w:type="pct"/>
                  <w:tcBorders>
                    <w:tl2br w:val="nil"/>
                    <w:tr2bl w:val="nil"/>
                  </w:tcBorders>
                  <w:vAlign w:val="center"/>
                </w:tcPr>
                <w:p w14:paraId="645B9525">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袋装</w:t>
                  </w:r>
                </w:p>
              </w:tc>
              <w:tc>
                <w:tcPr>
                  <w:tcW w:w="1326" w:type="pct"/>
                  <w:tcBorders>
                    <w:tl2br w:val="nil"/>
                    <w:tr2bl w:val="nil"/>
                  </w:tcBorders>
                  <w:vAlign w:val="center"/>
                </w:tcPr>
                <w:p w14:paraId="5BA673A5">
                  <w:pPr>
                    <w:pStyle w:val="13"/>
                    <w:rPr>
                      <w:rFonts w:hint="default" w:cs="Times New Roman"/>
                      <w:bCs/>
                      <w:color w:val="000000" w:themeColor="text1"/>
                      <w:lang w:val="en-US"/>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回用于免烧砌块生产中的轮辊混合工序</w:t>
                  </w:r>
                </w:p>
              </w:tc>
            </w:tr>
            <w:tr w14:paraId="502A788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528F4C22">
                  <w:pPr>
                    <w:pStyle w:val="13"/>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废布袋</w:t>
                  </w:r>
                </w:p>
              </w:tc>
              <w:tc>
                <w:tcPr>
                  <w:tcW w:w="309" w:type="pct"/>
                  <w:vMerge w:val="continue"/>
                  <w:tcBorders>
                    <w:tl2br w:val="nil"/>
                    <w:tr2bl w:val="nil"/>
                  </w:tcBorders>
                  <w:vAlign w:val="center"/>
                </w:tcPr>
                <w:p w14:paraId="6B352A34">
                  <w:pPr>
                    <w:pStyle w:val="13"/>
                    <w:rPr>
                      <w:rFonts w:cs="Times New Roman"/>
                      <w:color w:val="000000" w:themeColor="text1"/>
                      <w14:textFill>
                        <w14:solidFill>
                          <w14:schemeClr w14:val="tx1"/>
                        </w14:solidFill>
                      </w14:textFill>
                    </w:rPr>
                  </w:pPr>
                </w:p>
              </w:tc>
              <w:tc>
                <w:tcPr>
                  <w:tcW w:w="449" w:type="pct"/>
                  <w:tcBorders>
                    <w:tl2br w:val="nil"/>
                    <w:tr2bl w:val="nil"/>
                  </w:tcBorders>
                  <w:vAlign w:val="center"/>
                </w:tcPr>
                <w:p w14:paraId="71A1096B">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w:t>
                  </w:r>
                </w:p>
              </w:tc>
              <w:tc>
                <w:tcPr>
                  <w:tcW w:w="596" w:type="pct"/>
                  <w:tcBorders>
                    <w:tl2br w:val="nil"/>
                    <w:tr2bl w:val="nil"/>
                  </w:tcBorders>
                  <w:vAlign w:val="center"/>
                </w:tcPr>
                <w:p w14:paraId="72478EC3">
                  <w:pPr>
                    <w:pStyle w:val="13"/>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SW59,</w:t>
                  </w:r>
                </w:p>
                <w:p w14:paraId="2324D445">
                  <w:pPr>
                    <w:pStyle w:val="13"/>
                    <w:rPr>
                      <w:rFonts w:hint="eastAsia" w:cs="Times New Roman"/>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900-099-S59</w:t>
                  </w:r>
                </w:p>
              </w:tc>
              <w:tc>
                <w:tcPr>
                  <w:tcW w:w="474" w:type="pct"/>
                  <w:tcBorders>
                    <w:tl2br w:val="nil"/>
                    <w:tr2bl w:val="nil"/>
                  </w:tcBorders>
                  <w:vAlign w:val="center"/>
                </w:tcPr>
                <w:p w14:paraId="49F349E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废气处理</w:t>
                  </w:r>
                </w:p>
              </w:tc>
              <w:tc>
                <w:tcPr>
                  <w:tcW w:w="285" w:type="pct"/>
                  <w:tcBorders>
                    <w:tl2br w:val="nil"/>
                    <w:tr2bl w:val="nil"/>
                  </w:tcBorders>
                  <w:vAlign w:val="center"/>
                </w:tcPr>
                <w:p w14:paraId="156607E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固态</w:t>
                  </w:r>
                </w:p>
              </w:tc>
              <w:tc>
                <w:tcPr>
                  <w:tcW w:w="624" w:type="pct"/>
                  <w:tcBorders>
                    <w:tl2br w:val="nil"/>
                    <w:tr2bl w:val="nil"/>
                  </w:tcBorders>
                  <w:vAlign w:val="center"/>
                </w:tcPr>
                <w:p w14:paraId="21C1C5B2">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煅烧料粉料</w:t>
                  </w:r>
                </w:p>
              </w:tc>
              <w:tc>
                <w:tcPr>
                  <w:tcW w:w="410" w:type="pct"/>
                  <w:tcBorders>
                    <w:tl2br w:val="nil"/>
                    <w:tr2bl w:val="nil"/>
                  </w:tcBorders>
                  <w:vAlign w:val="center"/>
                </w:tcPr>
                <w:p w14:paraId="13D23FC2">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袋装</w:t>
                  </w:r>
                </w:p>
              </w:tc>
              <w:tc>
                <w:tcPr>
                  <w:tcW w:w="1326" w:type="pct"/>
                  <w:tcBorders>
                    <w:tl2br w:val="nil"/>
                    <w:tr2bl w:val="nil"/>
                  </w:tcBorders>
                  <w:vAlign w:val="center"/>
                </w:tcPr>
                <w:p w14:paraId="064996CA">
                  <w:pPr>
                    <w:pStyle w:val="13"/>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厂家回收</w:t>
                  </w:r>
                  <w:r>
                    <w:rPr>
                      <w:rFonts w:hint="eastAsia" w:cs="Times New Roman"/>
                      <w:bCs/>
                      <w:color w:val="000000" w:themeColor="text1"/>
                      <w:lang w:val="en-US" w:eastAsia="zh-CN"/>
                      <w14:textFill>
                        <w14:solidFill>
                          <w14:schemeClr w14:val="tx1"/>
                        </w14:solidFill>
                      </w14:textFill>
                    </w:rPr>
                    <w:t>利用</w:t>
                  </w:r>
                </w:p>
              </w:tc>
            </w:tr>
            <w:tr w14:paraId="3FC56D1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6D15C283">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初期雨水池污泥</w:t>
                  </w:r>
                </w:p>
              </w:tc>
              <w:tc>
                <w:tcPr>
                  <w:tcW w:w="309" w:type="pct"/>
                  <w:vMerge w:val="continue"/>
                  <w:tcBorders>
                    <w:tl2br w:val="nil"/>
                    <w:tr2bl w:val="nil"/>
                  </w:tcBorders>
                  <w:vAlign w:val="center"/>
                </w:tcPr>
                <w:p w14:paraId="0BCBA939">
                  <w:pPr>
                    <w:pStyle w:val="13"/>
                    <w:rPr>
                      <w:rFonts w:cs="Times New Roman"/>
                      <w:color w:val="000000" w:themeColor="text1"/>
                      <w14:textFill>
                        <w14:solidFill>
                          <w14:schemeClr w14:val="tx1"/>
                        </w14:solidFill>
                      </w14:textFill>
                    </w:rPr>
                  </w:pPr>
                </w:p>
              </w:tc>
              <w:tc>
                <w:tcPr>
                  <w:tcW w:w="449" w:type="pct"/>
                  <w:tcBorders>
                    <w:tl2br w:val="nil"/>
                    <w:tr2bl w:val="nil"/>
                  </w:tcBorders>
                  <w:vAlign w:val="center"/>
                </w:tcPr>
                <w:p w14:paraId="74BE3059">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0.21</w:t>
                  </w:r>
                </w:p>
              </w:tc>
              <w:tc>
                <w:tcPr>
                  <w:tcW w:w="596" w:type="pct"/>
                  <w:tcBorders>
                    <w:tl2br w:val="nil"/>
                    <w:tr2bl w:val="nil"/>
                  </w:tcBorders>
                  <w:vAlign w:val="center"/>
                </w:tcPr>
                <w:p w14:paraId="6E2EA36D">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SW07,</w:t>
                  </w:r>
                </w:p>
                <w:p w14:paraId="191BCA32">
                  <w:pPr>
                    <w:pStyle w:val="13"/>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900-099-S07</w:t>
                  </w:r>
                </w:p>
              </w:tc>
              <w:tc>
                <w:tcPr>
                  <w:tcW w:w="474" w:type="pct"/>
                  <w:tcBorders>
                    <w:tl2br w:val="nil"/>
                    <w:tr2bl w:val="nil"/>
                  </w:tcBorders>
                  <w:vAlign w:val="center"/>
                </w:tcPr>
                <w:p w14:paraId="792B73A1">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初期雨水处理</w:t>
                  </w:r>
                </w:p>
              </w:tc>
              <w:tc>
                <w:tcPr>
                  <w:tcW w:w="285" w:type="pct"/>
                  <w:tcBorders>
                    <w:tl2br w:val="nil"/>
                    <w:tr2bl w:val="nil"/>
                  </w:tcBorders>
                  <w:vAlign w:val="center"/>
                </w:tcPr>
                <w:p w14:paraId="02E688DC">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固态</w:t>
                  </w:r>
                </w:p>
              </w:tc>
              <w:tc>
                <w:tcPr>
                  <w:tcW w:w="624" w:type="pct"/>
                  <w:tcBorders>
                    <w:tl2br w:val="nil"/>
                    <w:tr2bl w:val="nil"/>
                  </w:tcBorders>
                  <w:vAlign w:val="center"/>
                </w:tcPr>
                <w:p w14:paraId="23901E2B">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泥沙、粉尘等</w:t>
                  </w:r>
                </w:p>
              </w:tc>
              <w:tc>
                <w:tcPr>
                  <w:tcW w:w="410" w:type="pct"/>
                  <w:tcBorders>
                    <w:tl2br w:val="nil"/>
                    <w:tr2bl w:val="nil"/>
                  </w:tcBorders>
                  <w:vAlign w:val="center"/>
                </w:tcPr>
                <w:p w14:paraId="2E1E74C6">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326" w:type="pct"/>
                  <w:tcBorders>
                    <w:tl2br w:val="nil"/>
                    <w:tr2bl w:val="nil"/>
                  </w:tcBorders>
                  <w:vAlign w:val="center"/>
                </w:tcPr>
                <w:p w14:paraId="6FFBAADA">
                  <w:pPr>
                    <w:pStyle w:val="13"/>
                    <w:rPr>
                      <w:rFonts w:hint="default" w:cs="Times New Roman"/>
                      <w:bCs/>
                      <w:color w:val="000000" w:themeColor="text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委托有资质固废处置单位</w:t>
                  </w:r>
                  <w:r>
                    <w:rPr>
                      <w:rFonts w:hint="default" w:ascii="Times New Roman" w:hAnsi="Times New Roman" w:eastAsia="宋体" w:cs="Times New Roman"/>
                      <w:color w:val="000000" w:themeColor="text1"/>
                      <w:sz w:val="21"/>
                      <w:szCs w:val="21"/>
                      <w14:textFill>
                        <w14:solidFill>
                          <w14:schemeClr w14:val="tx1"/>
                        </w14:solidFill>
                      </w14:textFill>
                    </w:rPr>
                    <w:t>统一清运处理</w:t>
                  </w:r>
                </w:p>
              </w:tc>
            </w:tr>
            <w:tr w14:paraId="04219BF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17D57AC2">
                  <w:pPr>
                    <w:pStyle w:val="13"/>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氟化钙污泥</w:t>
                  </w:r>
                </w:p>
              </w:tc>
              <w:tc>
                <w:tcPr>
                  <w:tcW w:w="309" w:type="pct"/>
                  <w:vMerge w:val="restart"/>
                  <w:tcBorders>
                    <w:tl2br w:val="nil"/>
                    <w:tr2bl w:val="nil"/>
                  </w:tcBorders>
                  <w:vAlign w:val="center"/>
                </w:tcPr>
                <w:p w14:paraId="716474E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w:t>
                  </w:r>
                </w:p>
                <w:p w14:paraId="70316C7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废物</w:t>
                  </w:r>
                </w:p>
              </w:tc>
              <w:tc>
                <w:tcPr>
                  <w:tcW w:w="449" w:type="pct"/>
                  <w:tcBorders>
                    <w:tl2br w:val="nil"/>
                    <w:tr2bl w:val="nil"/>
                  </w:tcBorders>
                  <w:shd w:val="clear" w:color="auto" w:fill="auto"/>
                  <w:vAlign w:val="center"/>
                </w:tcPr>
                <w:p w14:paraId="6956E8AE">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35</w:t>
                  </w:r>
                </w:p>
              </w:tc>
              <w:tc>
                <w:tcPr>
                  <w:tcW w:w="596" w:type="pct"/>
                  <w:tcBorders>
                    <w:tl2br w:val="nil"/>
                    <w:tr2bl w:val="nil"/>
                  </w:tcBorders>
                  <w:shd w:val="clear" w:color="auto" w:fill="auto"/>
                  <w:vAlign w:val="center"/>
                </w:tcPr>
                <w:p w14:paraId="526A347E">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474" w:type="pct"/>
                  <w:tcBorders>
                    <w:tl2br w:val="nil"/>
                    <w:tr2bl w:val="nil"/>
                  </w:tcBorders>
                  <w:shd w:val="clear" w:color="auto" w:fill="auto"/>
                  <w:vAlign w:val="center"/>
                </w:tcPr>
                <w:p w14:paraId="59C33C6A">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285" w:type="pct"/>
                  <w:tcBorders>
                    <w:tl2br w:val="nil"/>
                    <w:tr2bl w:val="nil"/>
                  </w:tcBorders>
                  <w:shd w:val="clear" w:color="auto" w:fill="auto"/>
                  <w:vAlign w:val="center"/>
                </w:tcPr>
                <w:p w14:paraId="2D524BAB">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泥状</w:t>
                  </w:r>
                </w:p>
              </w:tc>
              <w:tc>
                <w:tcPr>
                  <w:tcW w:w="624" w:type="pct"/>
                  <w:tcBorders>
                    <w:tl2br w:val="nil"/>
                    <w:tr2bl w:val="nil"/>
                  </w:tcBorders>
                  <w:shd w:val="clear" w:color="auto" w:fill="auto"/>
                  <w:vAlign w:val="center"/>
                </w:tcPr>
                <w:p w14:paraId="70E3BD0F">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氟化钙</w:t>
                  </w:r>
                </w:p>
              </w:tc>
              <w:tc>
                <w:tcPr>
                  <w:tcW w:w="410" w:type="pct"/>
                  <w:tcBorders>
                    <w:tl2br w:val="nil"/>
                    <w:tr2bl w:val="nil"/>
                  </w:tcBorders>
                  <w:shd w:val="clear" w:color="auto" w:fill="auto"/>
                  <w:vAlign w:val="center"/>
                </w:tcPr>
                <w:p w14:paraId="4FB33EAE">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326" w:type="pct"/>
                  <w:vMerge w:val="restart"/>
                  <w:tcBorders>
                    <w:tl2br w:val="nil"/>
                    <w:tr2bl w:val="nil"/>
                  </w:tcBorders>
                  <w:shd w:val="clear" w:color="auto" w:fill="auto"/>
                  <w:vAlign w:val="center"/>
                </w:tcPr>
                <w:p w14:paraId="274F0540">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cs="Times New Roman"/>
                      <w:color w:val="000000" w:themeColor="text1"/>
                      <w14:textFill>
                        <w14:solidFill>
                          <w14:schemeClr w14:val="tx1"/>
                        </w14:solidFill>
                      </w14:textFill>
                    </w:rPr>
                    <w:t>通过鉴定确定危险性质，后按照相应的固废种类进行管理。在未鉴别确定其性质之前，按危废进行管理</w:t>
                  </w:r>
                </w:p>
              </w:tc>
            </w:tr>
            <w:tr w14:paraId="0A24443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shd w:val="clear" w:color="auto" w:fill="auto"/>
                  <w:vAlign w:val="center"/>
                </w:tcPr>
                <w:p w14:paraId="47D9F0E1">
                  <w:pPr>
                    <w:pStyle w:val="13"/>
                    <w:ind w:firstLine="0" w:firstLineChars="0"/>
                    <w:rPr>
                      <w:rFonts w:hint="eastAsia" w:ascii="Times New Roman" w:hAnsi="Times New Roman" w:eastAsia="宋体" w:cs="Times New Roman"/>
                      <w:b w:val="0"/>
                      <w:bCs/>
                      <w:color w:val="000000" w:themeColor="text1"/>
                      <w:kern w:val="21"/>
                      <w:sz w:val="21"/>
                      <w:szCs w:val="24"/>
                      <w:lang w:val="en-US" w:eastAsia="zh-CN" w:bidi="ar-SA"/>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硫酸钙污泥</w:t>
                  </w:r>
                </w:p>
              </w:tc>
              <w:tc>
                <w:tcPr>
                  <w:tcW w:w="309" w:type="pct"/>
                  <w:vMerge w:val="continue"/>
                  <w:tcBorders>
                    <w:tl2br w:val="nil"/>
                    <w:tr2bl w:val="nil"/>
                  </w:tcBorders>
                  <w:shd w:val="clear" w:color="auto" w:fill="auto"/>
                  <w:vAlign w:val="center"/>
                </w:tcPr>
                <w:p w14:paraId="1FC1E4E1">
                  <w:pPr>
                    <w:pStyle w:val="13"/>
                    <w:ind w:firstLine="0" w:firstLineChars="0"/>
                    <w:rPr>
                      <w:rFonts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p>
              </w:tc>
              <w:tc>
                <w:tcPr>
                  <w:tcW w:w="449" w:type="pct"/>
                  <w:tcBorders>
                    <w:tl2br w:val="nil"/>
                    <w:tr2bl w:val="nil"/>
                  </w:tcBorders>
                  <w:shd w:val="clear" w:color="auto" w:fill="auto"/>
                  <w:vAlign w:val="center"/>
                </w:tcPr>
                <w:p w14:paraId="27ADC35E">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912</w:t>
                  </w:r>
                </w:p>
              </w:tc>
              <w:tc>
                <w:tcPr>
                  <w:tcW w:w="596" w:type="pct"/>
                  <w:tcBorders>
                    <w:tl2br w:val="nil"/>
                    <w:tr2bl w:val="nil"/>
                  </w:tcBorders>
                  <w:shd w:val="clear" w:color="auto" w:fill="auto"/>
                  <w:vAlign w:val="center"/>
                </w:tcPr>
                <w:p w14:paraId="5D7D1426">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474" w:type="pct"/>
                  <w:tcBorders>
                    <w:tl2br w:val="nil"/>
                    <w:tr2bl w:val="nil"/>
                  </w:tcBorders>
                  <w:shd w:val="clear" w:color="auto" w:fill="auto"/>
                  <w:vAlign w:val="center"/>
                </w:tcPr>
                <w:p w14:paraId="1337D985">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285" w:type="pct"/>
                  <w:tcBorders>
                    <w:tl2br w:val="nil"/>
                    <w:tr2bl w:val="nil"/>
                  </w:tcBorders>
                  <w:shd w:val="clear" w:color="auto" w:fill="auto"/>
                  <w:vAlign w:val="center"/>
                </w:tcPr>
                <w:p w14:paraId="6D469336">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泥状</w:t>
                  </w:r>
                </w:p>
              </w:tc>
              <w:tc>
                <w:tcPr>
                  <w:tcW w:w="624" w:type="pct"/>
                  <w:tcBorders>
                    <w:tl2br w:val="nil"/>
                    <w:tr2bl w:val="nil"/>
                  </w:tcBorders>
                  <w:shd w:val="clear" w:color="auto" w:fill="auto"/>
                  <w:vAlign w:val="center"/>
                </w:tcPr>
                <w:p w14:paraId="49DAE2DF">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硫酸钙</w:t>
                  </w:r>
                </w:p>
              </w:tc>
              <w:tc>
                <w:tcPr>
                  <w:tcW w:w="410" w:type="pct"/>
                  <w:tcBorders>
                    <w:tl2br w:val="nil"/>
                    <w:tr2bl w:val="nil"/>
                  </w:tcBorders>
                  <w:shd w:val="clear" w:color="auto" w:fill="auto"/>
                  <w:vAlign w:val="center"/>
                </w:tcPr>
                <w:p w14:paraId="4B2840F2">
                  <w:pPr>
                    <w:pStyle w:val="13"/>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326" w:type="pct"/>
                  <w:vMerge w:val="continue"/>
                  <w:tcBorders>
                    <w:tl2br w:val="nil"/>
                    <w:tr2bl w:val="nil"/>
                  </w:tcBorders>
                  <w:shd w:val="clear" w:color="auto" w:fill="auto"/>
                  <w:vAlign w:val="center"/>
                </w:tcPr>
                <w:p w14:paraId="54B3206E">
                  <w:pPr>
                    <w:pStyle w:val="13"/>
                    <w:ind w:firstLine="0" w:firstLineChars="0"/>
                    <w:rPr>
                      <w:rFonts w:hint="default" w:cs="Times New Roman"/>
                      <w:color w:val="000000" w:themeColor="text1"/>
                      <w14:textFill>
                        <w14:solidFill>
                          <w14:schemeClr w14:val="tx1"/>
                        </w14:solidFill>
                      </w14:textFill>
                    </w:rPr>
                  </w:pPr>
                </w:p>
              </w:tc>
            </w:tr>
            <w:tr w14:paraId="2AE30ED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shd w:val="clear" w:color="auto" w:fill="auto"/>
                  <w:vAlign w:val="center"/>
                </w:tcPr>
                <w:p w14:paraId="649C87C2">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废液压油</w:t>
                  </w:r>
                </w:p>
              </w:tc>
              <w:tc>
                <w:tcPr>
                  <w:tcW w:w="309" w:type="pct"/>
                  <w:vMerge w:val="continue"/>
                  <w:tcBorders>
                    <w:tl2br w:val="nil"/>
                    <w:tr2bl w:val="nil"/>
                  </w:tcBorders>
                  <w:shd w:val="clear" w:color="auto" w:fill="auto"/>
                  <w:vAlign w:val="center"/>
                </w:tcPr>
                <w:p w14:paraId="2DBA20B6">
                  <w:pPr>
                    <w:pStyle w:val="13"/>
                    <w:ind w:firstLine="0" w:firstLineChars="0"/>
                    <w:rPr>
                      <w:rFonts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p>
              </w:tc>
              <w:tc>
                <w:tcPr>
                  <w:tcW w:w="449" w:type="pct"/>
                  <w:tcBorders>
                    <w:tl2br w:val="nil"/>
                    <w:tr2bl w:val="nil"/>
                  </w:tcBorders>
                  <w:shd w:val="clear" w:color="auto" w:fill="auto"/>
                  <w:vAlign w:val="center"/>
                </w:tcPr>
                <w:p w14:paraId="45BF3D36">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0.34</w:t>
                  </w:r>
                </w:p>
              </w:tc>
              <w:tc>
                <w:tcPr>
                  <w:tcW w:w="596" w:type="pct"/>
                  <w:tcBorders>
                    <w:tl2br w:val="nil"/>
                    <w:tr2bl w:val="nil"/>
                  </w:tcBorders>
                  <w:shd w:val="clear" w:color="auto" w:fill="auto"/>
                  <w:vAlign w:val="center"/>
                </w:tcPr>
                <w:p w14:paraId="72C33FEB">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HW08,</w:t>
                  </w:r>
                </w:p>
                <w:p w14:paraId="2D3913D1">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218-08</w:t>
                  </w:r>
                </w:p>
              </w:tc>
              <w:tc>
                <w:tcPr>
                  <w:tcW w:w="474" w:type="pct"/>
                  <w:tcBorders>
                    <w:tl2br w:val="nil"/>
                    <w:tr2bl w:val="nil"/>
                  </w:tcBorders>
                  <w:shd w:val="clear" w:color="auto" w:fill="auto"/>
                  <w:vAlign w:val="center"/>
                </w:tcPr>
                <w:p w14:paraId="6BE8262C">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cs="Times New Roman"/>
                      <w:color w:val="000000" w:themeColor="text1"/>
                      <w14:textFill>
                        <w14:solidFill>
                          <w14:schemeClr w14:val="tx1"/>
                        </w14:solidFill>
                      </w14:textFill>
                    </w:rPr>
                    <w:t>设备维护</w:t>
                  </w:r>
                </w:p>
              </w:tc>
              <w:tc>
                <w:tcPr>
                  <w:tcW w:w="285" w:type="pct"/>
                  <w:tcBorders>
                    <w:tl2br w:val="nil"/>
                    <w:tr2bl w:val="nil"/>
                  </w:tcBorders>
                  <w:shd w:val="clear" w:color="auto" w:fill="auto"/>
                  <w:vAlign w:val="center"/>
                </w:tcPr>
                <w:p w14:paraId="567E6DDC">
                  <w:pPr>
                    <w:pStyle w:val="13"/>
                    <w:ind w:firstLine="0" w:firstLineChars="0"/>
                    <w:rPr>
                      <w:rFonts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cs="Times New Roman"/>
                      <w:color w:val="000000" w:themeColor="text1"/>
                      <w14:textFill>
                        <w14:solidFill>
                          <w14:schemeClr w14:val="tx1"/>
                        </w14:solidFill>
                      </w14:textFill>
                    </w:rPr>
                    <w:t>液态</w:t>
                  </w:r>
                </w:p>
              </w:tc>
              <w:tc>
                <w:tcPr>
                  <w:tcW w:w="624" w:type="pct"/>
                  <w:tcBorders>
                    <w:tl2br w:val="nil"/>
                    <w:tr2bl w:val="nil"/>
                  </w:tcBorders>
                  <w:shd w:val="clear" w:color="auto" w:fill="auto"/>
                  <w:vAlign w:val="center"/>
                </w:tcPr>
                <w:p w14:paraId="4FDF5A0C">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C17~C30石油烃</w:t>
                  </w:r>
                </w:p>
              </w:tc>
              <w:tc>
                <w:tcPr>
                  <w:tcW w:w="410" w:type="pct"/>
                  <w:tcBorders>
                    <w:tl2br w:val="nil"/>
                    <w:tr2bl w:val="nil"/>
                  </w:tcBorders>
                  <w:shd w:val="clear" w:color="auto" w:fill="auto"/>
                  <w:vAlign w:val="center"/>
                </w:tcPr>
                <w:p w14:paraId="27950C4F">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326" w:type="pct"/>
                  <w:vMerge w:val="restart"/>
                  <w:tcBorders>
                    <w:tl2br w:val="nil"/>
                    <w:tr2bl w:val="nil"/>
                  </w:tcBorders>
                  <w:shd w:val="clear" w:color="auto" w:fill="auto"/>
                  <w:vAlign w:val="center"/>
                </w:tcPr>
                <w:p w14:paraId="1384EA3A">
                  <w:pPr>
                    <w:pStyle w:val="13"/>
                    <w:rPr>
                      <w:rFonts w:cs="Times New Roman"/>
                      <w:bCs/>
                      <w:color w:val="000000" w:themeColor="text1"/>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分类分区</w:t>
                  </w:r>
                  <w:r>
                    <w:rPr>
                      <w:rFonts w:cs="Times New Roman"/>
                      <w:bCs/>
                      <w:color w:val="000000" w:themeColor="text1"/>
                      <w14:textFill>
                        <w14:solidFill>
                          <w14:schemeClr w14:val="tx1"/>
                        </w14:solidFill>
                      </w14:textFill>
                    </w:rPr>
                    <w:t>暂存于危废暂存间，定期交由资质单位处置</w:t>
                  </w:r>
                </w:p>
              </w:tc>
            </w:tr>
            <w:tr w14:paraId="365BDD1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shd w:val="clear" w:color="auto" w:fill="auto"/>
                  <w:vAlign w:val="center"/>
                </w:tcPr>
                <w:p w14:paraId="3B80E456">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废活性炭</w:t>
                  </w:r>
                </w:p>
              </w:tc>
              <w:tc>
                <w:tcPr>
                  <w:tcW w:w="309" w:type="pct"/>
                  <w:vMerge w:val="continue"/>
                  <w:tcBorders>
                    <w:tl2br w:val="nil"/>
                    <w:tr2bl w:val="nil"/>
                  </w:tcBorders>
                  <w:shd w:val="clear" w:color="auto" w:fill="auto"/>
                  <w:vAlign w:val="center"/>
                </w:tcPr>
                <w:p w14:paraId="5AC4908E">
                  <w:pPr>
                    <w:pStyle w:val="13"/>
                    <w:ind w:firstLine="0" w:firstLineChars="0"/>
                    <w:rPr>
                      <w:rFonts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p>
              </w:tc>
              <w:tc>
                <w:tcPr>
                  <w:tcW w:w="449" w:type="pct"/>
                  <w:tcBorders>
                    <w:tl2br w:val="nil"/>
                    <w:tr2bl w:val="nil"/>
                  </w:tcBorders>
                  <w:shd w:val="clear" w:color="auto" w:fill="auto"/>
                  <w:vAlign w:val="center"/>
                </w:tcPr>
                <w:p w14:paraId="41EA8535">
                  <w:pPr>
                    <w:pStyle w:val="13"/>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15.8167</w:t>
                  </w:r>
                </w:p>
              </w:tc>
              <w:tc>
                <w:tcPr>
                  <w:tcW w:w="596" w:type="pct"/>
                  <w:tcBorders>
                    <w:tl2br w:val="nil"/>
                    <w:tr2bl w:val="nil"/>
                  </w:tcBorders>
                  <w:shd w:val="clear" w:color="auto" w:fill="auto"/>
                  <w:vAlign w:val="center"/>
                </w:tcPr>
                <w:p w14:paraId="61B45B62">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HW49,</w:t>
                  </w:r>
                </w:p>
                <w:p w14:paraId="576C3C0A">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900-039-49</w:t>
                  </w:r>
                </w:p>
              </w:tc>
              <w:tc>
                <w:tcPr>
                  <w:tcW w:w="474" w:type="pct"/>
                  <w:tcBorders>
                    <w:tl2br w:val="nil"/>
                    <w:tr2bl w:val="nil"/>
                  </w:tcBorders>
                  <w:shd w:val="clear" w:color="auto" w:fill="auto"/>
                  <w:vAlign w:val="center"/>
                </w:tcPr>
                <w:p w14:paraId="5D051220">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285" w:type="pct"/>
                  <w:tcBorders>
                    <w:tl2br w:val="nil"/>
                    <w:tr2bl w:val="nil"/>
                  </w:tcBorders>
                  <w:shd w:val="clear" w:color="auto" w:fill="auto"/>
                  <w:vAlign w:val="center"/>
                </w:tcPr>
                <w:p w14:paraId="26954798">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固态</w:t>
                  </w:r>
                </w:p>
              </w:tc>
              <w:tc>
                <w:tcPr>
                  <w:tcW w:w="624" w:type="pct"/>
                  <w:tcBorders>
                    <w:tl2br w:val="nil"/>
                    <w:tr2bl w:val="nil"/>
                  </w:tcBorders>
                  <w:shd w:val="clear" w:color="auto" w:fill="auto"/>
                  <w:vAlign w:val="center"/>
                </w:tcPr>
                <w:p w14:paraId="5BBC6086">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活性炭、二噁英、重金属</w:t>
                  </w:r>
                </w:p>
              </w:tc>
              <w:tc>
                <w:tcPr>
                  <w:tcW w:w="410" w:type="pct"/>
                  <w:tcBorders>
                    <w:tl2br w:val="nil"/>
                    <w:tr2bl w:val="nil"/>
                  </w:tcBorders>
                  <w:shd w:val="clear" w:color="auto" w:fill="auto"/>
                  <w:vAlign w:val="center"/>
                </w:tcPr>
                <w:p w14:paraId="74B29157">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袋装</w:t>
                  </w:r>
                </w:p>
              </w:tc>
              <w:tc>
                <w:tcPr>
                  <w:tcW w:w="1326" w:type="pct"/>
                  <w:vMerge w:val="continue"/>
                  <w:tcBorders>
                    <w:tl2br w:val="nil"/>
                    <w:tr2bl w:val="nil"/>
                  </w:tcBorders>
                  <w:shd w:val="clear" w:color="auto" w:fill="auto"/>
                  <w:vAlign w:val="center"/>
                </w:tcPr>
                <w:p w14:paraId="654C9B35">
                  <w:pPr>
                    <w:pStyle w:val="13"/>
                    <w:rPr>
                      <w:rFonts w:cs="Times New Roman"/>
                      <w:bCs/>
                      <w:color w:val="000000" w:themeColor="text1"/>
                      <w14:textFill>
                        <w14:solidFill>
                          <w14:schemeClr w14:val="tx1"/>
                        </w14:solidFill>
                      </w14:textFill>
                    </w:rPr>
                  </w:pPr>
                </w:p>
              </w:tc>
            </w:tr>
            <w:tr w14:paraId="5C9D121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7D3E0236">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废机油</w:t>
                  </w:r>
                </w:p>
              </w:tc>
              <w:tc>
                <w:tcPr>
                  <w:tcW w:w="309" w:type="pct"/>
                  <w:vMerge w:val="continue"/>
                  <w:tcBorders>
                    <w:tl2br w:val="nil"/>
                    <w:tr2bl w:val="nil"/>
                  </w:tcBorders>
                  <w:vAlign w:val="center"/>
                </w:tcPr>
                <w:p w14:paraId="4EE7D4AB">
                  <w:pPr>
                    <w:pStyle w:val="13"/>
                    <w:rPr>
                      <w:rFonts w:cs="Times New Roman"/>
                      <w:color w:val="000000" w:themeColor="text1"/>
                      <w14:textFill>
                        <w14:solidFill>
                          <w14:schemeClr w14:val="tx1"/>
                        </w14:solidFill>
                      </w14:textFill>
                    </w:rPr>
                  </w:pPr>
                </w:p>
              </w:tc>
              <w:tc>
                <w:tcPr>
                  <w:tcW w:w="449" w:type="pct"/>
                  <w:tcBorders>
                    <w:tl2br w:val="nil"/>
                    <w:tr2bl w:val="nil"/>
                  </w:tcBorders>
                  <w:vAlign w:val="center"/>
                </w:tcPr>
                <w:p w14:paraId="2ED6721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0.4</w:t>
                  </w:r>
                </w:p>
              </w:tc>
              <w:tc>
                <w:tcPr>
                  <w:tcW w:w="596" w:type="pct"/>
                  <w:tcBorders>
                    <w:tl2br w:val="nil"/>
                    <w:tr2bl w:val="nil"/>
                  </w:tcBorders>
                  <w:vAlign w:val="center"/>
                </w:tcPr>
                <w:p w14:paraId="4B312634">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HW08,</w:t>
                  </w:r>
                </w:p>
                <w:p w14:paraId="065082B1">
                  <w:pPr>
                    <w:pStyle w:val="13"/>
                    <w:ind w:firstLine="0" w:firstLineChars="0"/>
                    <w:rPr>
                      <w:rFonts w:hint="eastAsia"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214-08</w:t>
                  </w:r>
                </w:p>
              </w:tc>
              <w:tc>
                <w:tcPr>
                  <w:tcW w:w="474" w:type="pct"/>
                  <w:tcBorders>
                    <w:tl2br w:val="nil"/>
                    <w:tr2bl w:val="nil"/>
                  </w:tcBorders>
                  <w:vAlign w:val="center"/>
                </w:tcPr>
                <w:p w14:paraId="73E4EC7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设备维护</w:t>
                  </w:r>
                </w:p>
              </w:tc>
              <w:tc>
                <w:tcPr>
                  <w:tcW w:w="285" w:type="pct"/>
                  <w:tcBorders>
                    <w:tl2br w:val="nil"/>
                    <w:tr2bl w:val="nil"/>
                  </w:tcBorders>
                  <w:vAlign w:val="center"/>
                </w:tcPr>
                <w:p w14:paraId="3050B64C">
                  <w:pPr>
                    <w:pStyle w:val="13"/>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液态</w:t>
                  </w:r>
                </w:p>
              </w:tc>
              <w:tc>
                <w:tcPr>
                  <w:tcW w:w="624" w:type="pct"/>
                  <w:tcBorders>
                    <w:tl2br w:val="nil"/>
                    <w:tr2bl w:val="nil"/>
                  </w:tcBorders>
                  <w:vAlign w:val="center"/>
                </w:tcPr>
                <w:p w14:paraId="360952FD">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C17~C35石油烃</w:t>
                  </w:r>
                </w:p>
              </w:tc>
              <w:tc>
                <w:tcPr>
                  <w:tcW w:w="410" w:type="pct"/>
                  <w:tcBorders>
                    <w:tl2br w:val="nil"/>
                    <w:tr2bl w:val="nil"/>
                  </w:tcBorders>
                  <w:vAlign w:val="center"/>
                </w:tcPr>
                <w:p w14:paraId="69F316C2">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326" w:type="pct"/>
                  <w:vMerge w:val="continue"/>
                  <w:tcBorders>
                    <w:tl2br w:val="nil"/>
                    <w:tr2bl w:val="nil"/>
                  </w:tcBorders>
                  <w:vAlign w:val="center"/>
                </w:tcPr>
                <w:p w14:paraId="236E6172">
                  <w:pPr>
                    <w:pStyle w:val="13"/>
                    <w:rPr>
                      <w:rFonts w:cs="Times New Roman"/>
                      <w:bCs/>
                      <w:color w:val="000000" w:themeColor="text1"/>
                      <w14:textFill>
                        <w14:solidFill>
                          <w14:schemeClr w14:val="tx1"/>
                        </w14:solidFill>
                      </w14:textFill>
                    </w:rPr>
                  </w:pPr>
                </w:p>
              </w:tc>
            </w:tr>
            <w:tr w14:paraId="74A2D04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301DBB57">
                  <w:pPr>
                    <w:pStyle w:val="13"/>
                    <w:rPr>
                      <w:rFonts w:hint="default" w:eastAsia="宋体"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废机油桶</w:t>
                  </w:r>
                </w:p>
              </w:tc>
              <w:tc>
                <w:tcPr>
                  <w:tcW w:w="309" w:type="pct"/>
                  <w:vMerge w:val="continue"/>
                  <w:tcBorders>
                    <w:tl2br w:val="nil"/>
                    <w:tr2bl w:val="nil"/>
                  </w:tcBorders>
                  <w:vAlign w:val="center"/>
                </w:tcPr>
                <w:p w14:paraId="7FA8BC90">
                  <w:pPr>
                    <w:pStyle w:val="13"/>
                    <w:rPr>
                      <w:rFonts w:cs="Times New Roman"/>
                      <w:color w:val="000000" w:themeColor="text1"/>
                      <w14:textFill>
                        <w14:solidFill>
                          <w14:schemeClr w14:val="tx1"/>
                        </w14:solidFill>
                      </w14:textFill>
                    </w:rPr>
                  </w:pPr>
                </w:p>
              </w:tc>
              <w:tc>
                <w:tcPr>
                  <w:tcW w:w="449" w:type="pct"/>
                  <w:tcBorders>
                    <w:tl2br w:val="nil"/>
                    <w:tr2bl w:val="nil"/>
                  </w:tcBorders>
                  <w:vAlign w:val="center"/>
                </w:tcPr>
                <w:p w14:paraId="0756D6DA">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w:t>
                  </w:r>
                </w:p>
              </w:tc>
              <w:tc>
                <w:tcPr>
                  <w:tcW w:w="596" w:type="pct"/>
                  <w:tcBorders>
                    <w:tl2br w:val="nil"/>
                    <w:tr2bl w:val="nil"/>
                  </w:tcBorders>
                  <w:vAlign w:val="center"/>
                </w:tcPr>
                <w:p w14:paraId="63AF9FAD">
                  <w:pPr>
                    <w:pStyle w:val="13"/>
                    <w:ind w:firstLine="0" w:firstLineChars="0"/>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HW08,</w:t>
                  </w:r>
                </w:p>
                <w:p w14:paraId="7A48FBF5">
                  <w:pPr>
                    <w:pStyle w:val="13"/>
                    <w:ind w:firstLine="0" w:firstLineChars="0"/>
                    <w:rPr>
                      <w:rFonts w:hint="eastAsia" w:cs="Times New Roman"/>
                      <w:color w:val="000000" w:themeColor="text1"/>
                      <w:lang w:val="en-US" w:eastAsia="zh-CN"/>
                      <w14:textFill>
                        <w14:solidFill>
                          <w14:schemeClr w14:val="tx1"/>
                        </w14:solidFill>
                      </w14:textFill>
                    </w:rPr>
                  </w:pPr>
                  <w:r>
                    <w:rPr>
                      <w:rFonts w:cs="Times New Roman"/>
                      <w:color w:val="000000" w:themeColor="text1"/>
                      <w:szCs w:val="21"/>
                      <w14:textFill>
                        <w14:solidFill>
                          <w14:schemeClr w14:val="tx1"/>
                        </w14:solidFill>
                      </w14:textFill>
                    </w:rPr>
                    <w:t>900-</w:t>
                  </w:r>
                  <w:r>
                    <w:rPr>
                      <w:rFonts w:hint="eastAsia" w:cs="Times New Roman"/>
                      <w:color w:val="000000" w:themeColor="text1"/>
                      <w:szCs w:val="21"/>
                      <w:lang w:val="en-US" w:eastAsia="zh-CN"/>
                      <w14:textFill>
                        <w14:solidFill>
                          <w14:schemeClr w14:val="tx1"/>
                        </w14:solidFill>
                      </w14:textFill>
                    </w:rPr>
                    <w:t>249-08</w:t>
                  </w:r>
                </w:p>
              </w:tc>
              <w:tc>
                <w:tcPr>
                  <w:tcW w:w="474" w:type="pct"/>
                  <w:tcBorders>
                    <w:tl2br w:val="nil"/>
                    <w:tr2bl w:val="nil"/>
                  </w:tcBorders>
                  <w:vAlign w:val="center"/>
                </w:tcPr>
                <w:p w14:paraId="297D2A76">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设备维护</w:t>
                  </w:r>
                </w:p>
              </w:tc>
              <w:tc>
                <w:tcPr>
                  <w:tcW w:w="285" w:type="pct"/>
                  <w:tcBorders>
                    <w:tl2br w:val="nil"/>
                    <w:tr2bl w:val="nil"/>
                  </w:tcBorders>
                  <w:vAlign w:val="center"/>
                </w:tcPr>
                <w:p w14:paraId="41D2AC5C">
                  <w:pPr>
                    <w:pStyle w:val="13"/>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固态</w:t>
                  </w:r>
                </w:p>
              </w:tc>
              <w:tc>
                <w:tcPr>
                  <w:tcW w:w="624" w:type="pct"/>
                  <w:tcBorders>
                    <w:tl2br w:val="nil"/>
                    <w:tr2bl w:val="nil"/>
                  </w:tcBorders>
                  <w:vAlign w:val="center"/>
                </w:tcPr>
                <w:p w14:paraId="71421FDB">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C17~C35石油烃</w:t>
                  </w:r>
                </w:p>
              </w:tc>
              <w:tc>
                <w:tcPr>
                  <w:tcW w:w="410" w:type="pct"/>
                  <w:tcBorders>
                    <w:tl2br w:val="nil"/>
                    <w:tr2bl w:val="nil"/>
                  </w:tcBorders>
                  <w:vAlign w:val="center"/>
                </w:tcPr>
                <w:p w14:paraId="09618666">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326" w:type="pct"/>
                  <w:vMerge w:val="continue"/>
                  <w:tcBorders>
                    <w:tl2br w:val="nil"/>
                    <w:tr2bl w:val="nil"/>
                  </w:tcBorders>
                  <w:vAlign w:val="center"/>
                </w:tcPr>
                <w:p w14:paraId="49BE2533">
                  <w:pPr>
                    <w:pStyle w:val="13"/>
                    <w:rPr>
                      <w:rFonts w:cs="Times New Roman"/>
                      <w:bCs/>
                      <w:color w:val="000000" w:themeColor="text1"/>
                      <w14:textFill>
                        <w14:solidFill>
                          <w14:schemeClr w14:val="tx1"/>
                        </w14:solidFill>
                      </w14:textFill>
                    </w:rPr>
                  </w:pPr>
                </w:p>
              </w:tc>
            </w:tr>
            <w:tr w14:paraId="02041B3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5BF71FDC">
                  <w:pPr>
                    <w:pStyle w:val="13"/>
                    <w:rPr>
                      <w:rFonts w:hint="default" w:eastAsia="宋体"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沾油废物</w:t>
                  </w:r>
                </w:p>
              </w:tc>
              <w:tc>
                <w:tcPr>
                  <w:tcW w:w="309" w:type="pct"/>
                  <w:vMerge w:val="continue"/>
                  <w:tcBorders>
                    <w:tl2br w:val="nil"/>
                    <w:tr2bl w:val="nil"/>
                  </w:tcBorders>
                  <w:vAlign w:val="center"/>
                </w:tcPr>
                <w:p w14:paraId="328E1F54">
                  <w:pPr>
                    <w:pStyle w:val="13"/>
                    <w:rPr>
                      <w:rFonts w:cs="Times New Roman"/>
                      <w:color w:val="000000" w:themeColor="text1"/>
                      <w14:textFill>
                        <w14:solidFill>
                          <w14:schemeClr w14:val="tx1"/>
                        </w14:solidFill>
                      </w14:textFill>
                    </w:rPr>
                  </w:pPr>
                </w:p>
              </w:tc>
              <w:tc>
                <w:tcPr>
                  <w:tcW w:w="449" w:type="pct"/>
                  <w:tcBorders>
                    <w:tl2br w:val="nil"/>
                    <w:tr2bl w:val="nil"/>
                  </w:tcBorders>
                  <w:vAlign w:val="center"/>
                </w:tcPr>
                <w:p w14:paraId="11549C48">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w:t>
                  </w:r>
                </w:p>
              </w:tc>
              <w:tc>
                <w:tcPr>
                  <w:tcW w:w="596" w:type="pct"/>
                  <w:tcBorders>
                    <w:tl2br w:val="nil"/>
                    <w:tr2bl w:val="nil"/>
                  </w:tcBorders>
                  <w:vAlign w:val="center"/>
                </w:tcPr>
                <w:p w14:paraId="37D1C132">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HW49,</w:t>
                  </w:r>
                </w:p>
                <w:p w14:paraId="7C6B1DF9">
                  <w:pPr>
                    <w:pStyle w:val="13"/>
                    <w:ind w:firstLine="0" w:firstLineChars="0"/>
                    <w:rPr>
                      <w:rFonts w:hint="eastAsia"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041</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49</w:t>
                  </w:r>
                </w:p>
              </w:tc>
              <w:tc>
                <w:tcPr>
                  <w:tcW w:w="474" w:type="pct"/>
                  <w:tcBorders>
                    <w:tl2br w:val="nil"/>
                    <w:tr2bl w:val="nil"/>
                  </w:tcBorders>
                  <w:vAlign w:val="center"/>
                </w:tcPr>
                <w:p w14:paraId="75FC238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设备维护</w:t>
                  </w:r>
                </w:p>
              </w:tc>
              <w:tc>
                <w:tcPr>
                  <w:tcW w:w="285" w:type="pct"/>
                  <w:tcBorders>
                    <w:tl2br w:val="nil"/>
                    <w:tr2bl w:val="nil"/>
                  </w:tcBorders>
                  <w:vAlign w:val="center"/>
                </w:tcPr>
                <w:p w14:paraId="64ED27FF">
                  <w:pPr>
                    <w:pStyle w:val="13"/>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固态</w:t>
                  </w:r>
                </w:p>
              </w:tc>
              <w:tc>
                <w:tcPr>
                  <w:tcW w:w="624" w:type="pct"/>
                  <w:tcBorders>
                    <w:tl2br w:val="nil"/>
                    <w:tr2bl w:val="nil"/>
                  </w:tcBorders>
                  <w:vAlign w:val="center"/>
                </w:tcPr>
                <w:p w14:paraId="26A92D33">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C17~C35石油烃、棉纱、手套</w:t>
                  </w:r>
                </w:p>
              </w:tc>
              <w:tc>
                <w:tcPr>
                  <w:tcW w:w="410" w:type="pct"/>
                  <w:tcBorders>
                    <w:tl2br w:val="nil"/>
                    <w:tr2bl w:val="nil"/>
                  </w:tcBorders>
                  <w:vAlign w:val="center"/>
                </w:tcPr>
                <w:p w14:paraId="26B9D165">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326" w:type="pct"/>
                  <w:vMerge w:val="continue"/>
                  <w:tcBorders>
                    <w:tl2br w:val="nil"/>
                    <w:tr2bl w:val="nil"/>
                  </w:tcBorders>
                  <w:vAlign w:val="center"/>
                </w:tcPr>
                <w:p w14:paraId="3531ACF2">
                  <w:pPr>
                    <w:pStyle w:val="13"/>
                    <w:rPr>
                      <w:rFonts w:cs="Times New Roman"/>
                      <w:bCs/>
                      <w:color w:val="000000" w:themeColor="text1"/>
                      <w14:textFill>
                        <w14:solidFill>
                          <w14:schemeClr w14:val="tx1"/>
                        </w14:solidFill>
                      </w14:textFill>
                    </w:rPr>
                  </w:pPr>
                </w:p>
              </w:tc>
            </w:tr>
            <w:tr w14:paraId="5180E9C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22" w:type="pct"/>
                  <w:tcBorders>
                    <w:tl2br w:val="nil"/>
                    <w:tr2bl w:val="nil"/>
                  </w:tcBorders>
                  <w:vAlign w:val="center"/>
                </w:tcPr>
                <w:p w14:paraId="3C022468">
                  <w:pPr>
                    <w:pStyle w:val="13"/>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循环水池浮油</w:t>
                  </w:r>
                </w:p>
              </w:tc>
              <w:tc>
                <w:tcPr>
                  <w:tcW w:w="309" w:type="pct"/>
                  <w:vMerge w:val="continue"/>
                  <w:tcBorders>
                    <w:tl2br w:val="nil"/>
                    <w:tr2bl w:val="nil"/>
                  </w:tcBorders>
                  <w:vAlign w:val="center"/>
                </w:tcPr>
                <w:p w14:paraId="583C9CE2">
                  <w:pPr>
                    <w:pStyle w:val="13"/>
                    <w:rPr>
                      <w:rFonts w:cs="Times New Roman"/>
                      <w:color w:val="000000" w:themeColor="text1"/>
                      <w14:textFill>
                        <w14:solidFill>
                          <w14:schemeClr w14:val="tx1"/>
                        </w14:solidFill>
                      </w14:textFill>
                    </w:rPr>
                  </w:pPr>
                </w:p>
              </w:tc>
              <w:tc>
                <w:tcPr>
                  <w:tcW w:w="449" w:type="pct"/>
                  <w:tcBorders>
                    <w:tl2br w:val="nil"/>
                    <w:tr2bl w:val="nil"/>
                  </w:tcBorders>
                  <w:vAlign w:val="center"/>
                </w:tcPr>
                <w:p w14:paraId="75F76CC7">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109.5951</w:t>
                  </w:r>
                </w:p>
              </w:tc>
              <w:tc>
                <w:tcPr>
                  <w:tcW w:w="596" w:type="pct"/>
                  <w:tcBorders>
                    <w:tl2br w:val="nil"/>
                    <w:tr2bl w:val="nil"/>
                  </w:tcBorders>
                  <w:vAlign w:val="center"/>
                </w:tcPr>
                <w:p w14:paraId="1D3C3770">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HW08,</w:t>
                  </w:r>
                </w:p>
                <w:p w14:paraId="2EA9BA19">
                  <w:pPr>
                    <w:pStyle w:val="13"/>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210-08</w:t>
                  </w:r>
                </w:p>
              </w:tc>
              <w:tc>
                <w:tcPr>
                  <w:tcW w:w="474" w:type="pct"/>
                  <w:tcBorders>
                    <w:tl2br w:val="nil"/>
                    <w:tr2bl w:val="nil"/>
                  </w:tcBorders>
                  <w:vAlign w:val="center"/>
                </w:tcPr>
                <w:p w14:paraId="1E8DE77D">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285" w:type="pct"/>
                  <w:tcBorders>
                    <w:tl2br w:val="nil"/>
                    <w:tr2bl w:val="nil"/>
                  </w:tcBorders>
                  <w:vAlign w:val="center"/>
                </w:tcPr>
                <w:p w14:paraId="14465CA4">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液态</w:t>
                  </w:r>
                </w:p>
              </w:tc>
              <w:tc>
                <w:tcPr>
                  <w:tcW w:w="624" w:type="pct"/>
                  <w:tcBorders>
                    <w:tl2br w:val="nil"/>
                    <w:tr2bl w:val="nil"/>
                  </w:tcBorders>
                  <w:vAlign w:val="center"/>
                </w:tcPr>
                <w:p w14:paraId="6BE2F6A0">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C10~C40石油烃</w:t>
                  </w:r>
                </w:p>
              </w:tc>
              <w:tc>
                <w:tcPr>
                  <w:tcW w:w="410" w:type="pct"/>
                  <w:tcBorders>
                    <w:tl2br w:val="nil"/>
                    <w:tr2bl w:val="nil"/>
                  </w:tcBorders>
                  <w:vAlign w:val="center"/>
                </w:tcPr>
                <w:p w14:paraId="2AF7DD26">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326" w:type="pct"/>
                  <w:vMerge w:val="continue"/>
                  <w:tcBorders>
                    <w:tl2br w:val="nil"/>
                    <w:tr2bl w:val="nil"/>
                  </w:tcBorders>
                  <w:vAlign w:val="center"/>
                </w:tcPr>
                <w:p w14:paraId="2CEF4A59">
                  <w:pPr>
                    <w:pStyle w:val="13"/>
                    <w:rPr>
                      <w:rFonts w:cs="Times New Roman"/>
                      <w:bCs/>
                      <w:color w:val="000000" w:themeColor="text1"/>
                      <w14:textFill>
                        <w14:solidFill>
                          <w14:schemeClr w14:val="tx1"/>
                        </w14:solidFill>
                      </w14:textFill>
                    </w:rPr>
                  </w:pPr>
                </w:p>
              </w:tc>
            </w:tr>
            <w:bookmarkEnd w:id="57"/>
          </w:tbl>
          <w:p w14:paraId="5BC6CA4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 xml:space="preserve">10 </w:t>
            </w:r>
            <w:r>
              <w:rPr>
                <w:rFonts w:cs="Times New Roman"/>
                <w:color w:val="000000" w:themeColor="text1"/>
                <w14:textFill>
                  <w14:solidFill>
                    <w14:schemeClr w14:val="tx1"/>
                  </w14:solidFill>
                </w14:textFill>
              </w:rPr>
              <w:t>本项目营运期间危险废物产生及处置情况</w:t>
            </w:r>
          </w:p>
          <w:tbl>
            <w:tblPr>
              <w:tblStyle w:val="29"/>
              <w:tblW w:w="4997"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805"/>
              <w:gridCol w:w="805"/>
              <w:gridCol w:w="1222"/>
              <w:gridCol w:w="1004"/>
              <w:gridCol w:w="774"/>
              <w:gridCol w:w="475"/>
              <w:gridCol w:w="720"/>
              <w:gridCol w:w="700"/>
              <w:gridCol w:w="718"/>
              <w:gridCol w:w="657"/>
              <w:gridCol w:w="673"/>
            </w:tblGrid>
            <w:tr w14:paraId="17D1A9F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81" w:type="pct"/>
                  <w:tcBorders>
                    <w:tl2br w:val="nil"/>
                    <w:tr2bl w:val="nil"/>
                  </w:tcBorders>
                  <w:vAlign w:val="center"/>
                </w:tcPr>
                <w:p w14:paraId="744A753B">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序号</w:t>
                  </w:r>
                </w:p>
              </w:tc>
              <w:tc>
                <w:tcPr>
                  <w:tcW w:w="448" w:type="pct"/>
                  <w:tcBorders>
                    <w:tl2br w:val="nil"/>
                    <w:tr2bl w:val="nil"/>
                  </w:tcBorders>
                  <w:vAlign w:val="center"/>
                </w:tcPr>
                <w:p w14:paraId="6780532A">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危险废物名称</w:t>
                  </w:r>
                </w:p>
              </w:tc>
              <w:tc>
                <w:tcPr>
                  <w:tcW w:w="448" w:type="pct"/>
                  <w:tcBorders>
                    <w:tl2br w:val="nil"/>
                    <w:tr2bl w:val="nil"/>
                  </w:tcBorders>
                  <w:vAlign w:val="center"/>
                </w:tcPr>
                <w:p w14:paraId="4103607A">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危险废物类别</w:t>
                  </w:r>
                </w:p>
              </w:tc>
              <w:tc>
                <w:tcPr>
                  <w:tcW w:w="678" w:type="pct"/>
                  <w:tcBorders>
                    <w:tl2br w:val="nil"/>
                    <w:tr2bl w:val="nil"/>
                  </w:tcBorders>
                  <w:vAlign w:val="center"/>
                </w:tcPr>
                <w:p w14:paraId="39990994">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危险废物代码</w:t>
                  </w:r>
                </w:p>
              </w:tc>
              <w:tc>
                <w:tcPr>
                  <w:tcW w:w="510" w:type="pct"/>
                  <w:tcBorders>
                    <w:tl2br w:val="nil"/>
                    <w:tr2bl w:val="nil"/>
                  </w:tcBorders>
                  <w:vAlign w:val="center"/>
                </w:tcPr>
                <w:p w14:paraId="3F1143C3">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产生量（吨/年）</w:t>
                  </w:r>
                </w:p>
              </w:tc>
              <w:tc>
                <w:tcPr>
                  <w:tcW w:w="431" w:type="pct"/>
                  <w:tcBorders>
                    <w:tl2br w:val="nil"/>
                    <w:tr2bl w:val="nil"/>
                  </w:tcBorders>
                  <w:vAlign w:val="center"/>
                </w:tcPr>
                <w:p w14:paraId="1461773E">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产生工序及装置</w:t>
                  </w:r>
                </w:p>
              </w:tc>
              <w:tc>
                <w:tcPr>
                  <w:tcW w:w="266" w:type="pct"/>
                  <w:tcBorders>
                    <w:tl2br w:val="nil"/>
                    <w:tr2bl w:val="nil"/>
                  </w:tcBorders>
                  <w:vAlign w:val="center"/>
                </w:tcPr>
                <w:p w14:paraId="7A285279">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形态</w:t>
                  </w:r>
                </w:p>
              </w:tc>
              <w:tc>
                <w:tcPr>
                  <w:tcW w:w="401" w:type="pct"/>
                  <w:tcBorders>
                    <w:tl2br w:val="nil"/>
                    <w:tr2bl w:val="nil"/>
                  </w:tcBorders>
                  <w:vAlign w:val="center"/>
                </w:tcPr>
                <w:p w14:paraId="77F0DAB3">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主要成分</w:t>
                  </w:r>
                </w:p>
              </w:tc>
              <w:tc>
                <w:tcPr>
                  <w:tcW w:w="390" w:type="pct"/>
                  <w:tcBorders>
                    <w:tl2br w:val="nil"/>
                    <w:tr2bl w:val="nil"/>
                  </w:tcBorders>
                  <w:vAlign w:val="center"/>
                </w:tcPr>
                <w:p w14:paraId="6E02F0D9">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有害成分</w:t>
                  </w:r>
                </w:p>
              </w:tc>
              <w:tc>
                <w:tcPr>
                  <w:tcW w:w="400" w:type="pct"/>
                  <w:tcBorders>
                    <w:tl2br w:val="nil"/>
                    <w:tr2bl w:val="nil"/>
                  </w:tcBorders>
                  <w:vAlign w:val="center"/>
                </w:tcPr>
                <w:p w14:paraId="01DE9D5C">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产废周期</w:t>
                  </w:r>
                </w:p>
              </w:tc>
              <w:tc>
                <w:tcPr>
                  <w:tcW w:w="366" w:type="pct"/>
                  <w:tcBorders>
                    <w:tl2br w:val="nil"/>
                    <w:tr2bl w:val="nil"/>
                  </w:tcBorders>
                  <w:vAlign w:val="center"/>
                </w:tcPr>
                <w:p w14:paraId="544794E2">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w:t>
                  </w:r>
                </w:p>
                <w:p w14:paraId="5927805D">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特性</w:t>
                  </w:r>
                </w:p>
              </w:tc>
              <w:tc>
                <w:tcPr>
                  <w:tcW w:w="375" w:type="pct"/>
                  <w:tcBorders>
                    <w:tl2br w:val="nil"/>
                    <w:tr2bl w:val="nil"/>
                  </w:tcBorders>
                  <w:vAlign w:val="center"/>
                </w:tcPr>
                <w:p w14:paraId="5B744D98">
                  <w:pPr>
                    <w:pStyle w:val="51"/>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污染防治措施</w:t>
                  </w:r>
                </w:p>
              </w:tc>
            </w:tr>
            <w:tr w14:paraId="5F1FA11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81" w:type="pct"/>
                  <w:tcBorders>
                    <w:tl2br w:val="nil"/>
                    <w:tr2bl w:val="nil"/>
                  </w:tcBorders>
                  <w:vAlign w:val="center"/>
                </w:tcPr>
                <w:p w14:paraId="65A63AB4">
                  <w:pPr>
                    <w:pStyle w:val="13"/>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448" w:type="pct"/>
                  <w:tcBorders>
                    <w:tl2br w:val="nil"/>
                    <w:tr2bl w:val="nil"/>
                  </w:tcBorders>
                  <w:vAlign w:val="center"/>
                </w:tcPr>
                <w:p w14:paraId="58CE8ED7">
                  <w:pPr>
                    <w:pStyle w:val="13"/>
                    <w:ind w:firstLine="0" w:firstLine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废活性炭</w:t>
                  </w:r>
                </w:p>
              </w:tc>
              <w:tc>
                <w:tcPr>
                  <w:tcW w:w="448" w:type="pct"/>
                  <w:tcBorders>
                    <w:tl2br w:val="nil"/>
                    <w:tr2bl w:val="nil"/>
                  </w:tcBorders>
                  <w:vAlign w:val="center"/>
                </w:tcPr>
                <w:p w14:paraId="5ACF2BB4">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HW49</w:t>
                  </w:r>
                </w:p>
              </w:tc>
              <w:tc>
                <w:tcPr>
                  <w:tcW w:w="678" w:type="pct"/>
                  <w:tcBorders>
                    <w:tl2br w:val="nil"/>
                    <w:tr2bl w:val="nil"/>
                  </w:tcBorders>
                  <w:vAlign w:val="center"/>
                </w:tcPr>
                <w:p w14:paraId="270C00A2">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900-039-49</w:t>
                  </w:r>
                </w:p>
              </w:tc>
              <w:tc>
                <w:tcPr>
                  <w:tcW w:w="510" w:type="pct"/>
                  <w:tcBorders>
                    <w:tl2br w:val="nil"/>
                    <w:tr2bl w:val="nil"/>
                  </w:tcBorders>
                  <w:vAlign w:val="center"/>
                </w:tcPr>
                <w:p w14:paraId="616FCA4A">
                  <w:pPr>
                    <w:pStyle w:val="13"/>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15.8167</w:t>
                  </w:r>
                </w:p>
              </w:tc>
              <w:tc>
                <w:tcPr>
                  <w:tcW w:w="431" w:type="pct"/>
                  <w:tcBorders>
                    <w:tl2br w:val="nil"/>
                    <w:tr2bl w:val="nil"/>
                  </w:tcBorders>
                  <w:vAlign w:val="center"/>
                </w:tcPr>
                <w:p w14:paraId="5B86E00B">
                  <w:pPr>
                    <w:pStyle w:val="13"/>
                    <w:ind w:firstLine="0" w:firstLineChars="0"/>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布袋除尘器2#</w:t>
                  </w:r>
                </w:p>
              </w:tc>
              <w:tc>
                <w:tcPr>
                  <w:tcW w:w="266" w:type="pct"/>
                  <w:tcBorders>
                    <w:tl2br w:val="nil"/>
                    <w:tr2bl w:val="nil"/>
                  </w:tcBorders>
                  <w:vAlign w:val="center"/>
                </w:tcPr>
                <w:p w14:paraId="0A56E3B9">
                  <w:pPr>
                    <w:pStyle w:val="13"/>
                    <w:ind w:firstLine="0" w:firstLineChars="0"/>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固态</w:t>
                  </w:r>
                </w:p>
              </w:tc>
              <w:tc>
                <w:tcPr>
                  <w:tcW w:w="401" w:type="pct"/>
                  <w:tcBorders>
                    <w:tl2br w:val="nil"/>
                    <w:tr2bl w:val="nil"/>
                  </w:tcBorders>
                  <w:vAlign w:val="center"/>
                </w:tcPr>
                <w:p w14:paraId="49E6AB8C">
                  <w:pPr>
                    <w:pStyle w:val="13"/>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活性炭</w:t>
                  </w:r>
                </w:p>
              </w:tc>
              <w:tc>
                <w:tcPr>
                  <w:tcW w:w="390" w:type="pct"/>
                  <w:tcBorders>
                    <w:tl2br w:val="nil"/>
                    <w:tr2bl w:val="nil"/>
                  </w:tcBorders>
                  <w:vAlign w:val="center"/>
                </w:tcPr>
                <w:p w14:paraId="54F91748">
                  <w:pPr>
                    <w:pStyle w:val="13"/>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废气组分</w:t>
                  </w:r>
                </w:p>
              </w:tc>
              <w:tc>
                <w:tcPr>
                  <w:tcW w:w="400" w:type="pct"/>
                  <w:tcBorders>
                    <w:tl2br w:val="nil"/>
                    <w:tr2bl w:val="nil"/>
                  </w:tcBorders>
                  <w:vAlign w:val="center"/>
                </w:tcPr>
                <w:p w14:paraId="0A289195">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每季度</w:t>
                  </w:r>
                </w:p>
              </w:tc>
              <w:tc>
                <w:tcPr>
                  <w:tcW w:w="366" w:type="pct"/>
                  <w:tcBorders>
                    <w:tl2br w:val="nil"/>
                    <w:tr2bl w:val="nil"/>
                  </w:tcBorders>
                  <w:vAlign w:val="center"/>
                </w:tcPr>
                <w:p w14:paraId="4CC1B596">
                  <w:pPr>
                    <w:pStyle w:val="13"/>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p>
              </w:tc>
              <w:tc>
                <w:tcPr>
                  <w:tcW w:w="375" w:type="pct"/>
                  <w:vMerge w:val="restart"/>
                  <w:tcBorders>
                    <w:tl2br w:val="nil"/>
                    <w:tr2bl w:val="nil"/>
                  </w:tcBorders>
                  <w:vAlign w:val="center"/>
                </w:tcPr>
                <w:p w14:paraId="1CEC143D">
                  <w:pPr>
                    <w:pStyle w:val="13"/>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危废暂存间暂存，</w:t>
                  </w:r>
                  <w:r>
                    <w:rPr>
                      <w:rFonts w:cs="Times New Roman"/>
                      <w:color w:val="000000" w:themeColor="text1"/>
                      <w:sz w:val="21"/>
                      <w:szCs w:val="21"/>
                      <w14:textFill>
                        <w14:solidFill>
                          <w14:schemeClr w14:val="tx1"/>
                        </w14:solidFill>
                      </w14:textFill>
                    </w:rPr>
                    <w:t>交由资质单位处理</w:t>
                  </w:r>
                </w:p>
              </w:tc>
            </w:tr>
            <w:tr w14:paraId="1B5471B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81" w:type="pct"/>
                  <w:tcBorders>
                    <w:tl2br w:val="nil"/>
                    <w:tr2bl w:val="nil"/>
                  </w:tcBorders>
                  <w:vAlign w:val="center"/>
                </w:tcPr>
                <w:p w14:paraId="617167B4">
                  <w:pPr>
                    <w:pStyle w:val="13"/>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448" w:type="pct"/>
                  <w:tcBorders>
                    <w:tl2br w:val="nil"/>
                    <w:tr2bl w:val="nil"/>
                  </w:tcBorders>
                  <w:vAlign w:val="center"/>
                </w:tcPr>
                <w:p w14:paraId="56A44678">
                  <w:pPr>
                    <w:pStyle w:val="13"/>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废液压油</w:t>
                  </w:r>
                </w:p>
              </w:tc>
              <w:tc>
                <w:tcPr>
                  <w:tcW w:w="448" w:type="pct"/>
                  <w:tcBorders>
                    <w:tl2br w:val="nil"/>
                    <w:tr2bl w:val="nil"/>
                  </w:tcBorders>
                  <w:vAlign w:val="center"/>
                </w:tcPr>
                <w:p w14:paraId="773060E0">
                  <w:pPr>
                    <w:pStyle w:val="13"/>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HW</w:t>
                  </w:r>
                  <w:r>
                    <w:rPr>
                      <w:rFonts w:hint="eastAsia" w:cs="Times New Roman"/>
                      <w:color w:val="000000" w:themeColor="text1"/>
                      <w:sz w:val="21"/>
                      <w:szCs w:val="21"/>
                      <w:lang w:val="en-US" w:eastAsia="zh-CN"/>
                      <w14:textFill>
                        <w14:solidFill>
                          <w14:schemeClr w14:val="tx1"/>
                        </w14:solidFill>
                      </w14:textFill>
                    </w:rPr>
                    <w:t>08</w:t>
                  </w:r>
                </w:p>
              </w:tc>
              <w:tc>
                <w:tcPr>
                  <w:tcW w:w="678" w:type="pct"/>
                  <w:tcBorders>
                    <w:tl2br w:val="nil"/>
                    <w:tr2bl w:val="nil"/>
                  </w:tcBorders>
                  <w:vAlign w:val="center"/>
                </w:tcPr>
                <w:p w14:paraId="1601782D">
                  <w:pPr>
                    <w:pStyle w:val="13"/>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900-</w:t>
                  </w:r>
                  <w:r>
                    <w:rPr>
                      <w:rFonts w:hint="eastAsia" w:cs="Times New Roman"/>
                      <w:color w:val="000000" w:themeColor="text1"/>
                      <w:sz w:val="21"/>
                      <w:szCs w:val="21"/>
                      <w:lang w:val="en-US" w:eastAsia="zh-CN"/>
                      <w14:textFill>
                        <w14:solidFill>
                          <w14:schemeClr w14:val="tx1"/>
                        </w14:solidFill>
                      </w14:textFill>
                    </w:rPr>
                    <w:t>218-08</w:t>
                  </w:r>
                </w:p>
              </w:tc>
              <w:tc>
                <w:tcPr>
                  <w:tcW w:w="510" w:type="pct"/>
                  <w:tcBorders>
                    <w:tl2br w:val="nil"/>
                    <w:tr2bl w:val="nil"/>
                  </w:tcBorders>
                  <w:vAlign w:val="center"/>
                </w:tcPr>
                <w:p w14:paraId="516C0122">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0.34</w:t>
                  </w:r>
                </w:p>
              </w:tc>
              <w:tc>
                <w:tcPr>
                  <w:tcW w:w="431" w:type="pct"/>
                  <w:tcBorders>
                    <w:tl2br w:val="nil"/>
                    <w:tr2bl w:val="nil"/>
                  </w:tcBorders>
                  <w:vAlign w:val="center"/>
                </w:tcPr>
                <w:p w14:paraId="37744454">
                  <w:pPr>
                    <w:pStyle w:val="13"/>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设备维护</w:t>
                  </w:r>
                </w:p>
              </w:tc>
              <w:tc>
                <w:tcPr>
                  <w:tcW w:w="266" w:type="pct"/>
                  <w:tcBorders>
                    <w:tl2br w:val="nil"/>
                    <w:tr2bl w:val="nil"/>
                  </w:tcBorders>
                  <w:vAlign w:val="center"/>
                </w:tcPr>
                <w:p w14:paraId="026E0F3B">
                  <w:pPr>
                    <w:pStyle w:val="13"/>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液态</w:t>
                  </w:r>
                </w:p>
              </w:tc>
              <w:tc>
                <w:tcPr>
                  <w:tcW w:w="401" w:type="pct"/>
                  <w:tcBorders>
                    <w:tl2br w:val="nil"/>
                    <w:tr2bl w:val="nil"/>
                  </w:tcBorders>
                  <w:vAlign w:val="center"/>
                </w:tcPr>
                <w:p w14:paraId="534AED33">
                  <w:pPr>
                    <w:pStyle w:val="13"/>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石油烃</w:t>
                  </w:r>
                </w:p>
              </w:tc>
              <w:tc>
                <w:tcPr>
                  <w:tcW w:w="390" w:type="pct"/>
                  <w:tcBorders>
                    <w:tl2br w:val="nil"/>
                    <w:tr2bl w:val="nil"/>
                  </w:tcBorders>
                  <w:vAlign w:val="center"/>
                </w:tcPr>
                <w:p w14:paraId="7C7AA228">
                  <w:pPr>
                    <w:pStyle w:val="13"/>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石油烃</w:t>
                  </w:r>
                </w:p>
              </w:tc>
              <w:tc>
                <w:tcPr>
                  <w:tcW w:w="400" w:type="pct"/>
                  <w:tcBorders>
                    <w:tl2br w:val="nil"/>
                    <w:tr2bl w:val="nil"/>
                  </w:tcBorders>
                  <w:vAlign w:val="center"/>
                </w:tcPr>
                <w:p w14:paraId="07ABC734">
                  <w:pPr>
                    <w:pStyle w:val="13"/>
                    <w:rPr>
                      <w:rFonts w:hint="eastAsia" w:eastAsia="宋体" w:cs="Times New Roman"/>
                      <w:color w:val="000000" w:themeColor="text1"/>
                      <w:sz w:val="21"/>
                      <w:szCs w:val="21"/>
                      <w:lang w:eastAsia="zh-CN"/>
                      <w14:textFill>
                        <w14:solidFill>
                          <w14:schemeClr w14:val="tx1"/>
                        </w14:solidFill>
                      </w14:textFill>
                    </w:rPr>
                  </w:pPr>
                  <w:r>
                    <w:rPr>
                      <w:rFonts w:cs="Times New Roman"/>
                      <w:color w:val="000000" w:themeColor="text1"/>
                      <w:sz w:val="21"/>
                      <w:szCs w:val="21"/>
                      <w14:textFill>
                        <w14:solidFill>
                          <w14:schemeClr w14:val="tx1"/>
                        </w14:solidFill>
                      </w14:textFill>
                    </w:rPr>
                    <w:t>每</w:t>
                  </w:r>
                  <w:r>
                    <w:rPr>
                      <w:rFonts w:hint="eastAsia" w:cs="Times New Roman"/>
                      <w:color w:val="000000" w:themeColor="text1"/>
                      <w:sz w:val="21"/>
                      <w:szCs w:val="21"/>
                      <w:lang w:val="en-US" w:eastAsia="zh-CN"/>
                      <w14:textFill>
                        <w14:solidFill>
                          <w14:schemeClr w14:val="tx1"/>
                        </w14:solidFill>
                      </w14:textFill>
                    </w:rPr>
                    <w:t>年</w:t>
                  </w:r>
                </w:p>
              </w:tc>
              <w:tc>
                <w:tcPr>
                  <w:tcW w:w="366" w:type="pct"/>
                  <w:tcBorders>
                    <w:tl2br w:val="nil"/>
                    <w:tr2bl w:val="nil"/>
                  </w:tcBorders>
                  <w:vAlign w:val="center"/>
                </w:tcPr>
                <w:p w14:paraId="6405D44E">
                  <w:pPr>
                    <w:pStyle w:val="13"/>
                    <w:rPr>
                      <w:rFonts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I</w:t>
                  </w:r>
                </w:p>
              </w:tc>
              <w:tc>
                <w:tcPr>
                  <w:tcW w:w="375" w:type="pct"/>
                  <w:vMerge w:val="continue"/>
                  <w:tcBorders>
                    <w:tl2br w:val="nil"/>
                    <w:tr2bl w:val="nil"/>
                  </w:tcBorders>
                  <w:vAlign w:val="center"/>
                </w:tcPr>
                <w:p w14:paraId="4EAE99F0">
                  <w:pPr>
                    <w:pStyle w:val="13"/>
                    <w:rPr>
                      <w:rFonts w:cs="Times New Roman"/>
                      <w:color w:val="000000" w:themeColor="text1"/>
                      <w:sz w:val="21"/>
                      <w:szCs w:val="21"/>
                      <w14:textFill>
                        <w14:solidFill>
                          <w14:schemeClr w14:val="tx1"/>
                        </w14:solidFill>
                      </w14:textFill>
                    </w:rPr>
                  </w:pPr>
                </w:p>
              </w:tc>
            </w:tr>
            <w:tr w14:paraId="43867BE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81" w:type="pct"/>
                  <w:tcBorders>
                    <w:tl2br w:val="nil"/>
                    <w:tr2bl w:val="nil"/>
                  </w:tcBorders>
                  <w:vAlign w:val="center"/>
                </w:tcPr>
                <w:p w14:paraId="119B580B">
                  <w:pPr>
                    <w:pStyle w:val="13"/>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448" w:type="pct"/>
                  <w:tcBorders>
                    <w:tl2br w:val="nil"/>
                    <w:tr2bl w:val="nil"/>
                  </w:tcBorders>
                  <w:vAlign w:val="center"/>
                </w:tcPr>
                <w:p w14:paraId="0F8D5A51">
                  <w:pPr>
                    <w:pStyle w:val="13"/>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废机油</w:t>
                  </w:r>
                </w:p>
              </w:tc>
              <w:tc>
                <w:tcPr>
                  <w:tcW w:w="448" w:type="pct"/>
                  <w:tcBorders>
                    <w:tl2br w:val="nil"/>
                    <w:tr2bl w:val="nil"/>
                  </w:tcBorders>
                  <w:vAlign w:val="center"/>
                </w:tcPr>
                <w:p w14:paraId="3CCE915E">
                  <w:pPr>
                    <w:pStyle w:val="13"/>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HW</w:t>
                  </w:r>
                  <w:r>
                    <w:rPr>
                      <w:rFonts w:hint="eastAsia" w:cs="Times New Roman"/>
                      <w:color w:val="000000" w:themeColor="text1"/>
                      <w:sz w:val="21"/>
                      <w:szCs w:val="21"/>
                      <w:lang w:val="en-US" w:eastAsia="zh-CN"/>
                      <w14:textFill>
                        <w14:solidFill>
                          <w14:schemeClr w14:val="tx1"/>
                        </w14:solidFill>
                      </w14:textFill>
                    </w:rPr>
                    <w:t>08</w:t>
                  </w:r>
                </w:p>
              </w:tc>
              <w:tc>
                <w:tcPr>
                  <w:tcW w:w="678" w:type="pct"/>
                  <w:tcBorders>
                    <w:tl2br w:val="nil"/>
                    <w:tr2bl w:val="nil"/>
                  </w:tcBorders>
                  <w:vAlign w:val="center"/>
                </w:tcPr>
                <w:p w14:paraId="5BABA8FA">
                  <w:pPr>
                    <w:pStyle w:val="13"/>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900-</w:t>
                  </w:r>
                  <w:r>
                    <w:rPr>
                      <w:rFonts w:hint="eastAsia" w:cs="Times New Roman"/>
                      <w:color w:val="000000" w:themeColor="text1"/>
                      <w:sz w:val="21"/>
                      <w:szCs w:val="21"/>
                      <w:lang w:val="en-US" w:eastAsia="zh-CN"/>
                      <w14:textFill>
                        <w14:solidFill>
                          <w14:schemeClr w14:val="tx1"/>
                        </w14:solidFill>
                      </w14:textFill>
                    </w:rPr>
                    <w:t>214-08</w:t>
                  </w:r>
                </w:p>
              </w:tc>
              <w:tc>
                <w:tcPr>
                  <w:tcW w:w="510" w:type="pct"/>
                  <w:tcBorders>
                    <w:tl2br w:val="nil"/>
                    <w:tr2bl w:val="nil"/>
                  </w:tcBorders>
                  <w:vAlign w:val="center"/>
                </w:tcPr>
                <w:p w14:paraId="637E52E3">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w:t>
                  </w:r>
                </w:p>
              </w:tc>
              <w:tc>
                <w:tcPr>
                  <w:tcW w:w="431" w:type="pct"/>
                  <w:tcBorders>
                    <w:tl2br w:val="nil"/>
                    <w:tr2bl w:val="nil"/>
                  </w:tcBorders>
                  <w:vAlign w:val="center"/>
                </w:tcPr>
                <w:p w14:paraId="003EC707">
                  <w:pPr>
                    <w:pStyle w:val="13"/>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设备维护</w:t>
                  </w:r>
                </w:p>
              </w:tc>
              <w:tc>
                <w:tcPr>
                  <w:tcW w:w="266" w:type="pct"/>
                  <w:tcBorders>
                    <w:tl2br w:val="nil"/>
                    <w:tr2bl w:val="nil"/>
                  </w:tcBorders>
                  <w:vAlign w:val="center"/>
                </w:tcPr>
                <w:p w14:paraId="036614FD">
                  <w:pPr>
                    <w:pStyle w:val="13"/>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液态</w:t>
                  </w:r>
                </w:p>
              </w:tc>
              <w:tc>
                <w:tcPr>
                  <w:tcW w:w="401" w:type="pct"/>
                  <w:tcBorders>
                    <w:tl2br w:val="nil"/>
                    <w:tr2bl w:val="nil"/>
                  </w:tcBorders>
                  <w:vAlign w:val="center"/>
                </w:tcPr>
                <w:p w14:paraId="7E3FDF49">
                  <w:pPr>
                    <w:pStyle w:val="13"/>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石油烃</w:t>
                  </w:r>
                </w:p>
              </w:tc>
              <w:tc>
                <w:tcPr>
                  <w:tcW w:w="390" w:type="pct"/>
                  <w:tcBorders>
                    <w:tl2br w:val="nil"/>
                    <w:tr2bl w:val="nil"/>
                  </w:tcBorders>
                  <w:vAlign w:val="center"/>
                </w:tcPr>
                <w:p w14:paraId="7365F6A1">
                  <w:pPr>
                    <w:pStyle w:val="13"/>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石油烃</w:t>
                  </w:r>
                </w:p>
              </w:tc>
              <w:tc>
                <w:tcPr>
                  <w:tcW w:w="400" w:type="pct"/>
                  <w:tcBorders>
                    <w:tl2br w:val="nil"/>
                    <w:tr2bl w:val="nil"/>
                  </w:tcBorders>
                  <w:vAlign w:val="center"/>
                </w:tcPr>
                <w:p w14:paraId="29B362F8">
                  <w:pPr>
                    <w:pStyle w:val="13"/>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每季度</w:t>
                  </w:r>
                  <w:r>
                    <w:rPr>
                      <w:rFonts w:cs="Times New Roman"/>
                      <w:color w:val="000000" w:themeColor="text1"/>
                      <w:sz w:val="21"/>
                      <w:szCs w:val="21"/>
                      <w14:textFill>
                        <w14:solidFill>
                          <w14:schemeClr w14:val="tx1"/>
                        </w14:solidFill>
                      </w14:textFill>
                    </w:rPr>
                    <w:t xml:space="preserve"> </w:t>
                  </w:r>
                </w:p>
              </w:tc>
              <w:tc>
                <w:tcPr>
                  <w:tcW w:w="366" w:type="pct"/>
                  <w:tcBorders>
                    <w:tl2br w:val="nil"/>
                    <w:tr2bl w:val="nil"/>
                  </w:tcBorders>
                  <w:vAlign w:val="center"/>
                </w:tcPr>
                <w:p w14:paraId="61E88DE5">
                  <w:pPr>
                    <w:pStyle w:val="13"/>
                    <w:rPr>
                      <w:rFonts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I</w:t>
                  </w:r>
                </w:p>
              </w:tc>
              <w:tc>
                <w:tcPr>
                  <w:tcW w:w="375" w:type="pct"/>
                  <w:vMerge w:val="continue"/>
                  <w:tcBorders>
                    <w:tl2br w:val="nil"/>
                    <w:tr2bl w:val="nil"/>
                  </w:tcBorders>
                  <w:vAlign w:val="center"/>
                </w:tcPr>
                <w:p w14:paraId="3198872C">
                  <w:pPr>
                    <w:pStyle w:val="13"/>
                    <w:rPr>
                      <w:rFonts w:cs="Times New Roman"/>
                      <w:color w:val="000000" w:themeColor="text1"/>
                      <w:sz w:val="21"/>
                      <w:szCs w:val="21"/>
                      <w14:textFill>
                        <w14:solidFill>
                          <w14:schemeClr w14:val="tx1"/>
                        </w14:solidFill>
                      </w14:textFill>
                    </w:rPr>
                  </w:pPr>
                </w:p>
              </w:tc>
            </w:tr>
            <w:tr w14:paraId="4B849BC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81" w:type="pct"/>
                  <w:tcBorders>
                    <w:tl2br w:val="nil"/>
                    <w:tr2bl w:val="nil"/>
                  </w:tcBorders>
                  <w:vAlign w:val="center"/>
                </w:tcPr>
                <w:p w14:paraId="1EA00A14">
                  <w:pPr>
                    <w:pStyle w:val="13"/>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448" w:type="pct"/>
                  <w:tcBorders>
                    <w:tl2br w:val="nil"/>
                    <w:tr2bl w:val="nil"/>
                  </w:tcBorders>
                  <w:vAlign w:val="center"/>
                </w:tcPr>
                <w:p w14:paraId="7CAF71CF">
                  <w:pPr>
                    <w:pStyle w:val="13"/>
                    <w:ind w:firstLine="0" w:firstLineChars="0"/>
                    <w:rPr>
                      <w:rFonts w:cs="Times New Roman"/>
                      <w:bCs/>
                      <w:color w:val="000000" w:themeColor="text1"/>
                      <w:sz w:val="21"/>
                      <w:szCs w:val="21"/>
                      <w14:textFill>
                        <w14:solidFill>
                          <w14:schemeClr w14:val="tx1"/>
                        </w14:solidFill>
                      </w14:textFill>
                    </w:rPr>
                  </w:pPr>
                  <w:r>
                    <w:rPr>
                      <w:rFonts w:hint="eastAsia" w:cs="Times New Roman"/>
                      <w:color w:val="000000" w:themeColor="text1"/>
                      <w:kern w:val="21"/>
                      <w:sz w:val="21"/>
                      <w:szCs w:val="21"/>
                      <w:lang w:val="en-US" w:eastAsia="zh-CN"/>
                      <w14:textFill>
                        <w14:solidFill>
                          <w14:schemeClr w14:val="tx1"/>
                        </w14:solidFill>
                      </w14:textFill>
                    </w:rPr>
                    <w:t>废机油桶</w:t>
                  </w:r>
                </w:p>
              </w:tc>
              <w:tc>
                <w:tcPr>
                  <w:tcW w:w="448" w:type="pct"/>
                  <w:tcBorders>
                    <w:tl2br w:val="nil"/>
                    <w:tr2bl w:val="nil"/>
                  </w:tcBorders>
                  <w:vAlign w:val="center"/>
                </w:tcPr>
                <w:p w14:paraId="71AE1C84">
                  <w:pPr>
                    <w:pStyle w:val="13"/>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HW</w:t>
                  </w:r>
                  <w:r>
                    <w:rPr>
                      <w:rFonts w:hint="eastAsia" w:cs="Times New Roman"/>
                      <w:color w:val="000000" w:themeColor="text1"/>
                      <w:sz w:val="21"/>
                      <w:szCs w:val="21"/>
                      <w:lang w:val="en-US" w:eastAsia="zh-CN"/>
                      <w14:textFill>
                        <w14:solidFill>
                          <w14:schemeClr w14:val="tx1"/>
                        </w14:solidFill>
                      </w14:textFill>
                    </w:rPr>
                    <w:t>08</w:t>
                  </w:r>
                </w:p>
              </w:tc>
              <w:tc>
                <w:tcPr>
                  <w:tcW w:w="678" w:type="pct"/>
                  <w:tcBorders>
                    <w:tl2br w:val="nil"/>
                    <w:tr2bl w:val="nil"/>
                  </w:tcBorders>
                  <w:vAlign w:val="center"/>
                </w:tcPr>
                <w:p w14:paraId="3F88D9C8">
                  <w:pPr>
                    <w:pStyle w:val="13"/>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900-</w:t>
                  </w:r>
                  <w:r>
                    <w:rPr>
                      <w:rFonts w:hint="eastAsia" w:cs="Times New Roman"/>
                      <w:color w:val="000000" w:themeColor="text1"/>
                      <w:sz w:val="21"/>
                      <w:szCs w:val="21"/>
                      <w:lang w:val="en-US" w:eastAsia="zh-CN"/>
                      <w14:textFill>
                        <w14:solidFill>
                          <w14:schemeClr w14:val="tx1"/>
                        </w14:solidFill>
                      </w14:textFill>
                    </w:rPr>
                    <w:t>249-08</w:t>
                  </w:r>
                </w:p>
              </w:tc>
              <w:tc>
                <w:tcPr>
                  <w:tcW w:w="510" w:type="pct"/>
                  <w:tcBorders>
                    <w:tl2br w:val="nil"/>
                    <w:tr2bl w:val="nil"/>
                  </w:tcBorders>
                  <w:vAlign w:val="center"/>
                </w:tcPr>
                <w:p w14:paraId="0017A1CE">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0.02</w:t>
                  </w:r>
                </w:p>
              </w:tc>
              <w:tc>
                <w:tcPr>
                  <w:tcW w:w="431" w:type="pct"/>
                  <w:tcBorders>
                    <w:tl2br w:val="nil"/>
                    <w:tr2bl w:val="nil"/>
                  </w:tcBorders>
                  <w:vAlign w:val="center"/>
                </w:tcPr>
                <w:p w14:paraId="25A70EA4">
                  <w:pPr>
                    <w:pStyle w:val="13"/>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设备维护</w:t>
                  </w:r>
                </w:p>
              </w:tc>
              <w:tc>
                <w:tcPr>
                  <w:tcW w:w="266" w:type="pct"/>
                  <w:tcBorders>
                    <w:tl2br w:val="nil"/>
                    <w:tr2bl w:val="nil"/>
                  </w:tcBorders>
                  <w:vAlign w:val="center"/>
                </w:tcPr>
                <w:p w14:paraId="14E962E7">
                  <w:pPr>
                    <w:pStyle w:val="13"/>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固态</w:t>
                  </w:r>
                </w:p>
              </w:tc>
              <w:tc>
                <w:tcPr>
                  <w:tcW w:w="401" w:type="pct"/>
                  <w:tcBorders>
                    <w:tl2br w:val="nil"/>
                    <w:tr2bl w:val="nil"/>
                  </w:tcBorders>
                  <w:vAlign w:val="center"/>
                </w:tcPr>
                <w:p w14:paraId="5883F74E">
                  <w:pPr>
                    <w:pStyle w:val="13"/>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包装桶</w:t>
                  </w:r>
                </w:p>
              </w:tc>
              <w:tc>
                <w:tcPr>
                  <w:tcW w:w="390" w:type="pct"/>
                  <w:tcBorders>
                    <w:tl2br w:val="nil"/>
                    <w:tr2bl w:val="nil"/>
                  </w:tcBorders>
                  <w:vAlign w:val="center"/>
                </w:tcPr>
                <w:p w14:paraId="59B35ECD">
                  <w:pPr>
                    <w:pStyle w:val="13"/>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石油烃</w:t>
                  </w:r>
                </w:p>
              </w:tc>
              <w:tc>
                <w:tcPr>
                  <w:tcW w:w="400" w:type="pct"/>
                  <w:tcBorders>
                    <w:tl2br w:val="nil"/>
                    <w:tr2bl w:val="nil"/>
                  </w:tcBorders>
                  <w:vAlign w:val="center"/>
                </w:tcPr>
                <w:p w14:paraId="5148B4CA">
                  <w:pPr>
                    <w:pStyle w:val="13"/>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每季度</w:t>
                  </w:r>
                </w:p>
              </w:tc>
              <w:tc>
                <w:tcPr>
                  <w:tcW w:w="366" w:type="pct"/>
                  <w:tcBorders>
                    <w:tl2br w:val="nil"/>
                    <w:tr2bl w:val="nil"/>
                  </w:tcBorders>
                  <w:vAlign w:val="center"/>
                </w:tcPr>
                <w:p w14:paraId="6D4C8CCF">
                  <w:pPr>
                    <w:pStyle w:val="13"/>
                    <w:rPr>
                      <w:rFonts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I</w:t>
                  </w:r>
                </w:p>
              </w:tc>
              <w:tc>
                <w:tcPr>
                  <w:tcW w:w="375" w:type="pct"/>
                  <w:vMerge w:val="continue"/>
                  <w:tcBorders>
                    <w:tl2br w:val="nil"/>
                    <w:tr2bl w:val="nil"/>
                  </w:tcBorders>
                  <w:vAlign w:val="center"/>
                </w:tcPr>
                <w:p w14:paraId="2CC2E2D4">
                  <w:pPr>
                    <w:pStyle w:val="13"/>
                    <w:rPr>
                      <w:rFonts w:cs="Times New Roman"/>
                      <w:color w:val="000000" w:themeColor="text1"/>
                      <w:sz w:val="21"/>
                      <w:szCs w:val="21"/>
                      <w14:textFill>
                        <w14:solidFill>
                          <w14:schemeClr w14:val="tx1"/>
                        </w14:solidFill>
                      </w14:textFill>
                    </w:rPr>
                  </w:pPr>
                </w:p>
              </w:tc>
            </w:tr>
            <w:tr w14:paraId="6EAC3F5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81" w:type="pct"/>
                  <w:tcBorders>
                    <w:tl2br w:val="nil"/>
                    <w:tr2bl w:val="nil"/>
                  </w:tcBorders>
                  <w:vAlign w:val="center"/>
                </w:tcPr>
                <w:p w14:paraId="194CFDE1">
                  <w:pPr>
                    <w:pStyle w:val="13"/>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448" w:type="pct"/>
                  <w:tcBorders>
                    <w:tl2br w:val="nil"/>
                    <w:tr2bl w:val="nil"/>
                  </w:tcBorders>
                  <w:vAlign w:val="center"/>
                </w:tcPr>
                <w:p w14:paraId="39B45EDB">
                  <w:pPr>
                    <w:pStyle w:val="13"/>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kern w:val="21"/>
                      <w:sz w:val="21"/>
                      <w:szCs w:val="21"/>
                      <w:lang w:val="en-US" w:eastAsia="zh-CN"/>
                      <w14:textFill>
                        <w14:solidFill>
                          <w14:schemeClr w14:val="tx1"/>
                        </w14:solidFill>
                      </w14:textFill>
                    </w:rPr>
                    <w:t>沾油废物</w:t>
                  </w:r>
                </w:p>
              </w:tc>
              <w:tc>
                <w:tcPr>
                  <w:tcW w:w="448" w:type="pct"/>
                  <w:tcBorders>
                    <w:tl2br w:val="nil"/>
                    <w:tr2bl w:val="nil"/>
                  </w:tcBorders>
                  <w:vAlign w:val="center"/>
                </w:tcPr>
                <w:p w14:paraId="57A7C149">
                  <w:pPr>
                    <w:pStyle w:val="13"/>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HW</w:t>
                  </w:r>
                  <w:r>
                    <w:rPr>
                      <w:rFonts w:hint="eastAsia" w:cs="Times New Roman"/>
                      <w:color w:val="000000" w:themeColor="text1"/>
                      <w:sz w:val="21"/>
                      <w:szCs w:val="21"/>
                      <w:lang w:val="en-US" w:eastAsia="zh-CN"/>
                      <w14:textFill>
                        <w14:solidFill>
                          <w14:schemeClr w14:val="tx1"/>
                        </w14:solidFill>
                      </w14:textFill>
                    </w:rPr>
                    <w:t>49</w:t>
                  </w:r>
                </w:p>
              </w:tc>
              <w:tc>
                <w:tcPr>
                  <w:tcW w:w="678" w:type="pct"/>
                  <w:tcBorders>
                    <w:tl2br w:val="nil"/>
                    <w:tr2bl w:val="nil"/>
                  </w:tcBorders>
                  <w:vAlign w:val="center"/>
                </w:tcPr>
                <w:p w14:paraId="59AF0388">
                  <w:pPr>
                    <w:pStyle w:val="13"/>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900-</w:t>
                  </w:r>
                  <w:r>
                    <w:rPr>
                      <w:rFonts w:hint="eastAsia" w:cs="Times New Roman"/>
                      <w:color w:val="000000" w:themeColor="text1"/>
                      <w:sz w:val="21"/>
                      <w:szCs w:val="21"/>
                      <w:lang w:val="en-US" w:eastAsia="zh-CN"/>
                      <w14:textFill>
                        <w14:solidFill>
                          <w14:schemeClr w14:val="tx1"/>
                        </w14:solidFill>
                      </w14:textFill>
                    </w:rPr>
                    <w:t>041</w:t>
                  </w:r>
                  <w:r>
                    <w:rPr>
                      <w:rFonts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49</w:t>
                  </w:r>
                </w:p>
              </w:tc>
              <w:tc>
                <w:tcPr>
                  <w:tcW w:w="510" w:type="pct"/>
                  <w:tcBorders>
                    <w:tl2br w:val="nil"/>
                    <w:tr2bl w:val="nil"/>
                  </w:tcBorders>
                  <w:vAlign w:val="center"/>
                </w:tcPr>
                <w:p w14:paraId="2A275578">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0.02</w:t>
                  </w:r>
                </w:p>
              </w:tc>
              <w:tc>
                <w:tcPr>
                  <w:tcW w:w="431" w:type="pct"/>
                  <w:tcBorders>
                    <w:tl2br w:val="nil"/>
                    <w:tr2bl w:val="nil"/>
                  </w:tcBorders>
                  <w:vAlign w:val="center"/>
                </w:tcPr>
                <w:p w14:paraId="4206A6FF">
                  <w:pPr>
                    <w:pStyle w:val="13"/>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设备维护</w:t>
                  </w:r>
                </w:p>
              </w:tc>
              <w:tc>
                <w:tcPr>
                  <w:tcW w:w="266" w:type="pct"/>
                  <w:tcBorders>
                    <w:tl2br w:val="nil"/>
                    <w:tr2bl w:val="nil"/>
                  </w:tcBorders>
                  <w:vAlign w:val="center"/>
                </w:tcPr>
                <w:p w14:paraId="14416CA4">
                  <w:pPr>
                    <w:pStyle w:val="13"/>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固态</w:t>
                  </w:r>
                </w:p>
              </w:tc>
              <w:tc>
                <w:tcPr>
                  <w:tcW w:w="401" w:type="pct"/>
                  <w:tcBorders>
                    <w:tl2br w:val="nil"/>
                    <w:tr2bl w:val="nil"/>
                  </w:tcBorders>
                  <w:vAlign w:val="center"/>
                </w:tcPr>
                <w:p w14:paraId="2CF1878D">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棉纱、手套</w:t>
                  </w:r>
                </w:p>
              </w:tc>
              <w:tc>
                <w:tcPr>
                  <w:tcW w:w="390" w:type="pct"/>
                  <w:tcBorders>
                    <w:tl2br w:val="nil"/>
                    <w:tr2bl w:val="nil"/>
                  </w:tcBorders>
                  <w:vAlign w:val="center"/>
                </w:tcPr>
                <w:p w14:paraId="48E9F9FF">
                  <w:pPr>
                    <w:pStyle w:val="13"/>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石油烃</w:t>
                  </w:r>
                </w:p>
              </w:tc>
              <w:tc>
                <w:tcPr>
                  <w:tcW w:w="400" w:type="pct"/>
                  <w:tcBorders>
                    <w:tl2br w:val="nil"/>
                    <w:tr2bl w:val="nil"/>
                  </w:tcBorders>
                  <w:vAlign w:val="center"/>
                </w:tcPr>
                <w:p w14:paraId="53289A4E">
                  <w:pPr>
                    <w:pStyle w:val="13"/>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每季度</w:t>
                  </w:r>
                </w:p>
              </w:tc>
              <w:tc>
                <w:tcPr>
                  <w:tcW w:w="366" w:type="pct"/>
                  <w:tcBorders>
                    <w:tl2br w:val="nil"/>
                    <w:tr2bl w:val="nil"/>
                  </w:tcBorders>
                  <w:vAlign w:val="center"/>
                </w:tcPr>
                <w:p w14:paraId="57B4870A">
                  <w:pPr>
                    <w:pStyle w:val="13"/>
                    <w:rPr>
                      <w:rFonts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I</w:t>
                  </w:r>
                </w:p>
              </w:tc>
              <w:tc>
                <w:tcPr>
                  <w:tcW w:w="375" w:type="pct"/>
                  <w:vMerge w:val="continue"/>
                  <w:tcBorders>
                    <w:tl2br w:val="nil"/>
                    <w:tr2bl w:val="nil"/>
                  </w:tcBorders>
                  <w:vAlign w:val="center"/>
                </w:tcPr>
                <w:p w14:paraId="43AD6944">
                  <w:pPr>
                    <w:pStyle w:val="13"/>
                    <w:rPr>
                      <w:rFonts w:cs="Times New Roman"/>
                      <w:color w:val="000000" w:themeColor="text1"/>
                      <w:sz w:val="21"/>
                      <w:szCs w:val="21"/>
                      <w14:textFill>
                        <w14:solidFill>
                          <w14:schemeClr w14:val="tx1"/>
                        </w14:solidFill>
                      </w14:textFill>
                    </w:rPr>
                  </w:pPr>
                </w:p>
              </w:tc>
            </w:tr>
            <w:tr w14:paraId="58DABA8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81" w:type="pct"/>
                  <w:tcBorders>
                    <w:tl2br w:val="nil"/>
                    <w:tr2bl w:val="nil"/>
                  </w:tcBorders>
                  <w:vAlign w:val="center"/>
                </w:tcPr>
                <w:p w14:paraId="195C6799">
                  <w:pPr>
                    <w:pStyle w:val="13"/>
                    <w:rPr>
                      <w:rFonts w:hint="default" w:cs="Times New Roman"/>
                      <w:color w:val="000000" w:themeColor="text1"/>
                      <w:sz w:val="21"/>
                      <w:szCs w:val="21"/>
                      <w:lang w:val="en-US" w:eastAsia="zh-CN"/>
                      <w14:textFill>
                        <w14:solidFill>
                          <w14:schemeClr w14:val="tx1"/>
                        </w14:solidFill>
                      </w14:textFill>
                    </w:rPr>
                  </w:pPr>
                  <w:bookmarkStart w:id="58" w:name="OLE_LINK201"/>
                  <w:bookmarkStart w:id="59" w:name="OLE_LINK200"/>
                  <w:r>
                    <w:rPr>
                      <w:rFonts w:hint="eastAsia" w:cs="Times New Roman"/>
                      <w:color w:val="000000" w:themeColor="text1"/>
                      <w:sz w:val="21"/>
                      <w:szCs w:val="21"/>
                      <w:lang w:val="en-US" w:eastAsia="zh-CN"/>
                      <w14:textFill>
                        <w14:solidFill>
                          <w14:schemeClr w14:val="tx1"/>
                        </w14:solidFill>
                      </w14:textFill>
                    </w:rPr>
                    <w:t>6</w:t>
                  </w:r>
                </w:p>
              </w:tc>
              <w:tc>
                <w:tcPr>
                  <w:tcW w:w="448" w:type="pct"/>
                  <w:tcBorders>
                    <w:tl2br w:val="nil"/>
                    <w:tr2bl w:val="nil"/>
                  </w:tcBorders>
                  <w:vAlign w:val="center"/>
                </w:tcPr>
                <w:p w14:paraId="3C0284BB">
                  <w:pPr>
                    <w:pStyle w:val="13"/>
                    <w:ind w:firstLine="0" w:firstLineChars="0"/>
                    <w:rPr>
                      <w:rFonts w:hint="default" w:cs="Times New Roman"/>
                      <w:color w:val="000000" w:themeColor="text1"/>
                      <w:kern w:val="21"/>
                      <w:sz w:val="21"/>
                      <w:szCs w:val="21"/>
                      <w:lang w:val="en-US" w:eastAsia="zh-CN"/>
                      <w14:textFill>
                        <w14:solidFill>
                          <w14:schemeClr w14:val="tx1"/>
                        </w14:solidFill>
                      </w14:textFill>
                    </w:rPr>
                  </w:pPr>
                  <w:r>
                    <w:rPr>
                      <w:rFonts w:hint="eastAsia" w:cs="Times New Roman"/>
                      <w:color w:val="000000" w:themeColor="text1"/>
                      <w:kern w:val="21"/>
                      <w:sz w:val="21"/>
                      <w:szCs w:val="21"/>
                      <w:lang w:val="en-US" w:eastAsia="zh-CN"/>
                      <w14:textFill>
                        <w14:solidFill>
                          <w14:schemeClr w14:val="tx1"/>
                        </w14:solidFill>
                      </w14:textFill>
                    </w:rPr>
                    <w:t>循环水池浮油</w:t>
                  </w:r>
                </w:p>
              </w:tc>
              <w:tc>
                <w:tcPr>
                  <w:tcW w:w="448" w:type="pct"/>
                  <w:tcBorders>
                    <w:tl2br w:val="nil"/>
                    <w:tr2bl w:val="nil"/>
                  </w:tcBorders>
                  <w:vAlign w:val="center"/>
                </w:tcPr>
                <w:p w14:paraId="79FB0DDD">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HW08</w:t>
                  </w:r>
                </w:p>
              </w:tc>
              <w:tc>
                <w:tcPr>
                  <w:tcW w:w="678" w:type="pct"/>
                  <w:tcBorders>
                    <w:tl2br w:val="nil"/>
                    <w:tr2bl w:val="nil"/>
                  </w:tcBorders>
                  <w:vAlign w:val="center"/>
                </w:tcPr>
                <w:p w14:paraId="1896904B">
                  <w:pPr>
                    <w:pStyle w:val="13"/>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900-210-08</w:t>
                  </w:r>
                </w:p>
              </w:tc>
              <w:tc>
                <w:tcPr>
                  <w:tcW w:w="510" w:type="pct"/>
                  <w:tcBorders>
                    <w:tl2br w:val="nil"/>
                    <w:tr2bl w:val="nil"/>
                  </w:tcBorders>
                  <w:vAlign w:val="center"/>
                </w:tcPr>
                <w:p w14:paraId="78582BEF">
                  <w:pPr>
                    <w:pStyle w:val="13"/>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109.5951</w:t>
                  </w:r>
                </w:p>
              </w:tc>
              <w:tc>
                <w:tcPr>
                  <w:tcW w:w="431" w:type="pct"/>
                  <w:tcBorders>
                    <w:tl2br w:val="nil"/>
                    <w:tr2bl w:val="nil"/>
                  </w:tcBorders>
                  <w:vAlign w:val="center"/>
                </w:tcPr>
                <w:p w14:paraId="0710D3BE">
                  <w:pPr>
                    <w:pStyle w:val="13"/>
                    <w:ind w:firstLine="0" w:firstLineChars="0"/>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废气处理</w:t>
                  </w:r>
                </w:p>
              </w:tc>
              <w:tc>
                <w:tcPr>
                  <w:tcW w:w="266" w:type="pct"/>
                  <w:tcBorders>
                    <w:tl2br w:val="nil"/>
                    <w:tr2bl w:val="nil"/>
                  </w:tcBorders>
                  <w:vAlign w:val="center"/>
                </w:tcPr>
                <w:p w14:paraId="31F84EAD">
                  <w:pPr>
                    <w:pStyle w:val="13"/>
                    <w:ind w:firstLine="0" w:firstLine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液态</w:t>
                  </w:r>
                </w:p>
              </w:tc>
              <w:tc>
                <w:tcPr>
                  <w:tcW w:w="401" w:type="pct"/>
                  <w:tcBorders>
                    <w:tl2br w:val="nil"/>
                    <w:tr2bl w:val="nil"/>
                  </w:tcBorders>
                  <w:vAlign w:val="center"/>
                </w:tcPr>
                <w:p w14:paraId="113099F2">
                  <w:pPr>
                    <w:pStyle w:val="13"/>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石油烃</w:t>
                  </w:r>
                </w:p>
              </w:tc>
              <w:tc>
                <w:tcPr>
                  <w:tcW w:w="390" w:type="pct"/>
                  <w:tcBorders>
                    <w:tl2br w:val="nil"/>
                    <w:tr2bl w:val="nil"/>
                  </w:tcBorders>
                  <w:vAlign w:val="center"/>
                </w:tcPr>
                <w:p w14:paraId="705E034C">
                  <w:pPr>
                    <w:pStyle w:val="13"/>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石油烃</w:t>
                  </w:r>
                </w:p>
              </w:tc>
              <w:tc>
                <w:tcPr>
                  <w:tcW w:w="400" w:type="pct"/>
                  <w:tcBorders>
                    <w:tl2br w:val="nil"/>
                    <w:tr2bl w:val="nil"/>
                  </w:tcBorders>
                  <w:vAlign w:val="center"/>
                </w:tcPr>
                <w:p w14:paraId="4B529C8E">
                  <w:pPr>
                    <w:pStyle w:val="13"/>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每季度</w:t>
                  </w:r>
                </w:p>
              </w:tc>
              <w:tc>
                <w:tcPr>
                  <w:tcW w:w="366" w:type="pct"/>
                  <w:tcBorders>
                    <w:tl2br w:val="nil"/>
                    <w:tr2bl w:val="nil"/>
                  </w:tcBorders>
                  <w:vAlign w:val="center"/>
                </w:tcPr>
                <w:p w14:paraId="0484B2FF">
                  <w:pPr>
                    <w:pStyle w:val="13"/>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T，I</w:t>
                  </w:r>
                </w:p>
              </w:tc>
              <w:tc>
                <w:tcPr>
                  <w:tcW w:w="375" w:type="pct"/>
                  <w:vMerge w:val="continue"/>
                  <w:tcBorders>
                    <w:tl2br w:val="nil"/>
                    <w:tr2bl w:val="nil"/>
                  </w:tcBorders>
                  <w:vAlign w:val="center"/>
                </w:tcPr>
                <w:p w14:paraId="7135177D">
                  <w:pPr>
                    <w:pStyle w:val="13"/>
                    <w:rPr>
                      <w:rFonts w:cs="Times New Roman"/>
                      <w:color w:val="000000" w:themeColor="text1"/>
                      <w:sz w:val="21"/>
                      <w:szCs w:val="21"/>
                      <w14:textFill>
                        <w14:solidFill>
                          <w14:schemeClr w14:val="tx1"/>
                        </w14:solidFill>
                      </w14:textFill>
                    </w:rPr>
                  </w:pPr>
                </w:p>
              </w:tc>
            </w:tr>
          </w:tbl>
          <w:p w14:paraId="3BA5732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bookmarkEnd w:id="58"/>
            <w:bookmarkEnd w:id="59"/>
            <w:r>
              <w:rPr>
                <w:rFonts w:hint="eastAsia" w:cs="Times New Roman"/>
                <w:color w:val="000000" w:themeColor="text1"/>
                <w:lang w:val="en-US" w:eastAsia="zh-CN"/>
                <w14:textFill>
                  <w14:solidFill>
                    <w14:schemeClr w14:val="tx1"/>
                  </w14:solidFill>
                </w14:textFill>
              </w:rPr>
              <w:t xml:space="preserve">11 </w:t>
            </w:r>
            <w:r>
              <w:rPr>
                <w:rFonts w:cs="Times New Roman"/>
                <w:color w:val="000000" w:themeColor="text1"/>
                <w14:textFill>
                  <w14:solidFill>
                    <w14:schemeClr w14:val="tx1"/>
                  </w14:solidFill>
                </w14:textFill>
              </w:rPr>
              <w:t>建设项目危险废物贮存场所（设施）基本情况表</w:t>
            </w:r>
          </w:p>
          <w:tbl>
            <w:tblPr>
              <w:tblStyle w:val="29"/>
              <w:tblW w:w="4993"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226"/>
              <w:gridCol w:w="963"/>
              <w:gridCol w:w="835"/>
              <w:gridCol w:w="1231"/>
              <w:gridCol w:w="777"/>
              <w:gridCol w:w="721"/>
              <w:gridCol w:w="1270"/>
              <w:gridCol w:w="766"/>
              <w:gridCol w:w="735"/>
            </w:tblGrid>
            <w:tr w14:paraId="0BABD69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88" w:type="pct"/>
                  <w:tcBorders>
                    <w:tl2br w:val="nil"/>
                    <w:tr2bl w:val="nil"/>
                  </w:tcBorders>
                  <w:vAlign w:val="center"/>
                </w:tcPr>
                <w:p w14:paraId="553E7E39">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序号</w:t>
                  </w:r>
                </w:p>
              </w:tc>
              <w:tc>
                <w:tcPr>
                  <w:tcW w:w="677" w:type="pct"/>
                  <w:tcBorders>
                    <w:tl2br w:val="nil"/>
                    <w:tr2bl w:val="nil"/>
                  </w:tcBorders>
                  <w:vAlign w:val="center"/>
                </w:tcPr>
                <w:p w14:paraId="597D244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贮存场所（设施）</w:t>
                  </w:r>
                </w:p>
                <w:p w14:paraId="30E49965">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532" w:type="pct"/>
                  <w:tcBorders>
                    <w:tl2br w:val="nil"/>
                    <w:tr2bl w:val="nil"/>
                  </w:tcBorders>
                  <w:vAlign w:val="center"/>
                </w:tcPr>
                <w:p w14:paraId="4CDD91F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危险废物名称</w:t>
                  </w:r>
                </w:p>
              </w:tc>
              <w:tc>
                <w:tcPr>
                  <w:tcW w:w="461" w:type="pct"/>
                  <w:tcBorders>
                    <w:tl2br w:val="nil"/>
                    <w:tr2bl w:val="nil"/>
                  </w:tcBorders>
                  <w:vAlign w:val="center"/>
                </w:tcPr>
                <w:p w14:paraId="6B361F4D">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危险废物类别</w:t>
                  </w:r>
                </w:p>
              </w:tc>
              <w:tc>
                <w:tcPr>
                  <w:tcW w:w="680" w:type="pct"/>
                  <w:tcBorders>
                    <w:tl2br w:val="nil"/>
                    <w:tr2bl w:val="nil"/>
                  </w:tcBorders>
                  <w:vAlign w:val="center"/>
                </w:tcPr>
                <w:p w14:paraId="165BB40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危险废物代码</w:t>
                  </w:r>
                </w:p>
              </w:tc>
              <w:tc>
                <w:tcPr>
                  <w:tcW w:w="429" w:type="pct"/>
                  <w:tcBorders>
                    <w:tl2br w:val="nil"/>
                    <w:tr2bl w:val="nil"/>
                  </w:tcBorders>
                  <w:vAlign w:val="center"/>
                </w:tcPr>
                <w:p w14:paraId="5715348C">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位置</w:t>
                  </w:r>
                </w:p>
              </w:tc>
              <w:tc>
                <w:tcPr>
                  <w:tcW w:w="398" w:type="pct"/>
                  <w:tcBorders>
                    <w:tl2br w:val="nil"/>
                    <w:tr2bl w:val="nil"/>
                  </w:tcBorders>
                  <w:vAlign w:val="center"/>
                </w:tcPr>
                <w:p w14:paraId="638DC2D0">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占地面积</w:t>
                  </w:r>
                </w:p>
              </w:tc>
              <w:tc>
                <w:tcPr>
                  <w:tcW w:w="701" w:type="pct"/>
                  <w:tcBorders>
                    <w:tl2br w:val="nil"/>
                    <w:tr2bl w:val="nil"/>
                  </w:tcBorders>
                  <w:vAlign w:val="center"/>
                </w:tcPr>
                <w:p w14:paraId="50778B3D">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贮存方式</w:t>
                  </w:r>
                </w:p>
              </w:tc>
              <w:tc>
                <w:tcPr>
                  <w:tcW w:w="423" w:type="pct"/>
                  <w:tcBorders>
                    <w:tl2br w:val="nil"/>
                    <w:tr2bl w:val="nil"/>
                  </w:tcBorders>
                  <w:vAlign w:val="center"/>
                </w:tcPr>
                <w:p w14:paraId="15258FA9">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贮存</w:t>
                  </w:r>
                </w:p>
                <w:p w14:paraId="5D04FA7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能力</w:t>
                  </w:r>
                </w:p>
              </w:tc>
              <w:tc>
                <w:tcPr>
                  <w:tcW w:w="406" w:type="pct"/>
                  <w:tcBorders>
                    <w:tl2br w:val="nil"/>
                    <w:tr2bl w:val="nil"/>
                  </w:tcBorders>
                  <w:vAlign w:val="center"/>
                </w:tcPr>
                <w:p w14:paraId="2309B0A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贮存</w:t>
                  </w:r>
                </w:p>
                <w:p w14:paraId="45CAAF1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周期</w:t>
                  </w:r>
                </w:p>
              </w:tc>
            </w:tr>
            <w:tr w14:paraId="25FEB73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88" w:type="pct"/>
                  <w:tcBorders>
                    <w:tl2br w:val="nil"/>
                    <w:tr2bl w:val="nil"/>
                  </w:tcBorders>
                  <w:vAlign w:val="center"/>
                </w:tcPr>
                <w:p w14:paraId="459A2F1E">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677" w:type="pct"/>
                  <w:vMerge w:val="restart"/>
                  <w:tcBorders>
                    <w:tl2br w:val="nil"/>
                    <w:tr2bl w:val="nil"/>
                  </w:tcBorders>
                  <w:vAlign w:val="center"/>
                </w:tcPr>
                <w:p w14:paraId="1FF6B49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危险废物暂存间</w:t>
                  </w:r>
                </w:p>
              </w:tc>
              <w:tc>
                <w:tcPr>
                  <w:tcW w:w="532" w:type="pct"/>
                  <w:tcBorders>
                    <w:tl2br w:val="nil"/>
                    <w:tr2bl w:val="nil"/>
                  </w:tcBorders>
                  <w:vAlign w:val="center"/>
                </w:tcPr>
                <w:p w14:paraId="2F342150">
                  <w:pPr>
                    <w:pStyle w:val="13"/>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废活性炭</w:t>
                  </w:r>
                </w:p>
              </w:tc>
              <w:tc>
                <w:tcPr>
                  <w:tcW w:w="461" w:type="pct"/>
                  <w:tcBorders>
                    <w:tl2br w:val="nil"/>
                    <w:tr2bl w:val="nil"/>
                  </w:tcBorders>
                  <w:vAlign w:val="center"/>
                </w:tcPr>
                <w:p w14:paraId="6E837F52">
                  <w:pPr>
                    <w:pStyle w:val="13"/>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HW49</w:t>
                  </w:r>
                </w:p>
              </w:tc>
              <w:tc>
                <w:tcPr>
                  <w:tcW w:w="680" w:type="pct"/>
                  <w:tcBorders>
                    <w:tl2br w:val="nil"/>
                    <w:tr2bl w:val="nil"/>
                  </w:tcBorders>
                  <w:vAlign w:val="center"/>
                </w:tcPr>
                <w:p w14:paraId="24823A44">
                  <w:pPr>
                    <w:pStyle w:val="13"/>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900-039-49</w:t>
                  </w:r>
                </w:p>
              </w:tc>
              <w:tc>
                <w:tcPr>
                  <w:tcW w:w="429" w:type="pct"/>
                  <w:vMerge w:val="restart"/>
                  <w:tcBorders>
                    <w:tl2br w:val="nil"/>
                    <w:tr2bl w:val="nil"/>
                  </w:tcBorders>
                  <w:vAlign w:val="center"/>
                </w:tcPr>
                <w:p w14:paraId="6CE9F0A5">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3号厂房内</w:t>
                  </w:r>
                </w:p>
              </w:tc>
              <w:tc>
                <w:tcPr>
                  <w:tcW w:w="398" w:type="pct"/>
                  <w:vMerge w:val="restart"/>
                  <w:tcBorders>
                    <w:tl2br w:val="nil"/>
                    <w:tr2bl w:val="nil"/>
                  </w:tcBorders>
                  <w:vAlign w:val="center"/>
                </w:tcPr>
                <w:p w14:paraId="68689514">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50</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2</w:t>
                  </w:r>
                </w:p>
              </w:tc>
              <w:tc>
                <w:tcPr>
                  <w:tcW w:w="701" w:type="pct"/>
                  <w:vMerge w:val="restart"/>
                  <w:tcBorders>
                    <w:tl2br w:val="nil"/>
                    <w:tr2bl w:val="nil"/>
                  </w:tcBorders>
                  <w:vAlign w:val="center"/>
                </w:tcPr>
                <w:p w14:paraId="7515DEA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分类收集，液体桶装放置于托盘上，其余放置于防渗漏容器内</w:t>
                  </w:r>
                </w:p>
              </w:tc>
              <w:tc>
                <w:tcPr>
                  <w:tcW w:w="423" w:type="pct"/>
                  <w:vMerge w:val="restart"/>
                  <w:tcBorders>
                    <w:tl2br w:val="nil"/>
                    <w:tr2bl w:val="nil"/>
                  </w:tcBorders>
                  <w:vAlign w:val="center"/>
                </w:tcPr>
                <w:p w14:paraId="6852E42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10t</w:t>
                  </w:r>
                </w:p>
              </w:tc>
              <w:tc>
                <w:tcPr>
                  <w:tcW w:w="406" w:type="pct"/>
                  <w:vMerge w:val="restart"/>
                  <w:tcBorders>
                    <w:tl2br w:val="nil"/>
                    <w:tr2bl w:val="nil"/>
                  </w:tcBorders>
                  <w:vAlign w:val="center"/>
                </w:tcPr>
                <w:p w14:paraId="30332C37">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1季度</w:t>
                  </w:r>
                </w:p>
              </w:tc>
            </w:tr>
            <w:tr w14:paraId="1B77B45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88" w:type="pct"/>
                  <w:tcBorders>
                    <w:tl2br w:val="nil"/>
                    <w:tr2bl w:val="nil"/>
                  </w:tcBorders>
                  <w:vAlign w:val="center"/>
                </w:tcPr>
                <w:p w14:paraId="5A53C1B5">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677" w:type="pct"/>
                  <w:vMerge w:val="continue"/>
                  <w:tcBorders>
                    <w:tl2br w:val="nil"/>
                    <w:tr2bl w:val="nil"/>
                  </w:tcBorders>
                  <w:vAlign w:val="center"/>
                </w:tcPr>
                <w:p w14:paraId="5A3B23B4">
                  <w:pPr>
                    <w:pStyle w:val="13"/>
                    <w:rPr>
                      <w:rFonts w:cs="Times New Roman"/>
                      <w:color w:val="000000" w:themeColor="text1"/>
                      <w14:textFill>
                        <w14:solidFill>
                          <w14:schemeClr w14:val="tx1"/>
                        </w14:solidFill>
                      </w14:textFill>
                    </w:rPr>
                  </w:pPr>
                </w:p>
              </w:tc>
              <w:tc>
                <w:tcPr>
                  <w:tcW w:w="532" w:type="pct"/>
                  <w:tcBorders>
                    <w:tl2br w:val="nil"/>
                    <w:tr2bl w:val="nil"/>
                  </w:tcBorders>
                  <w:vAlign w:val="center"/>
                </w:tcPr>
                <w:p w14:paraId="29D5A043">
                  <w:pPr>
                    <w:pStyle w:val="13"/>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废液压油</w:t>
                  </w:r>
                </w:p>
              </w:tc>
              <w:tc>
                <w:tcPr>
                  <w:tcW w:w="461" w:type="pct"/>
                  <w:tcBorders>
                    <w:tl2br w:val="nil"/>
                    <w:tr2bl w:val="nil"/>
                  </w:tcBorders>
                  <w:vAlign w:val="center"/>
                </w:tcPr>
                <w:p w14:paraId="0371E516">
                  <w:pPr>
                    <w:pStyle w:val="13"/>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HW</w:t>
                  </w:r>
                  <w:r>
                    <w:rPr>
                      <w:rFonts w:hint="eastAsia" w:cs="Times New Roman"/>
                      <w:color w:val="000000" w:themeColor="text1"/>
                      <w:lang w:val="en-US" w:eastAsia="zh-CN"/>
                      <w14:textFill>
                        <w14:solidFill>
                          <w14:schemeClr w14:val="tx1"/>
                        </w14:solidFill>
                      </w14:textFill>
                    </w:rPr>
                    <w:t>08</w:t>
                  </w:r>
                </w:p>
              </w:tc>
              <w:tc>
                <w:tcPr>
                  <w:tcW w:w="680" w:type="pct"/>
                  <w:tcBorders>
                    <w:tl2br w:val="nil"/>
                    <w:tr2bl w:val="nil"/>
                  </w:tcBorders>
                  <w:vAlign w:val="center"/>
                </w:tcPr>
                <w:p w14:paraId="436E400E">
                  <w:pPr>
                    <w:pStyle w:val="13"/>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218-08</w:t>
                  </w:r>
                </w:p>
              </w:tc>
              <w:tc>
                <w:tcPr>
                  <w:tcW w:w="429" w:type="pct"/>
                  <w:vMerge w:val="continue"/>
                  <w:tcBorders>
                    <w:tl2br w:val="nil"/>
                    <w:tr2bl w:val="nil"/>
                  </w:tcBorders>
                  <w:vAlign w:val="center"/>
                </w:tcPr>
                <w:p w14:paraId="779C225D">
                  <w:pPr>
                    <w:pStyle w:val="13"/>
                    <w:rPr>
                      <w:rFonts w:hint="default" w:eastAsia="宋体" w:cs="Times New Roman"/>
                      <w:color w:val="000000" w:themeColor="text1"/>
                      <w:lang w:val="en-US" w:eastAsia="zh-CN"/>
                      <w14:textFill>
                        <w14:solidFill>
                          <w14:schemeClr w14:val="tx1"/>
                        </w14:solidFill>
                      </w14:textFill>
                    </w:rPr>
                  </w:pPr>
                </w:p>
              </w:tc>
              <w:tc>
                <w:tcPr>
                  <w:tcW w:w="398" w:type="pct"/>
                  <w:vMerge w:val="continue"/>
                  <w:tcBorders>
                    <w:tl2br w:val="nil"/>
                    <w:tr2bl w:val="nil"/>
                  </w:tcBorders>
                  <w:vAlign w:val="center"/>
                </w:tcPr>
                <w:p w14:paraId="3BDF3C5A">
                  <w:pPr>
                    <w:pStyle w:val="13"/>
                    <w:rPr>
                      <w:rFonts w:cs="Times New Roman"/>
                      <w:color w:val="000000" w:themeColor="text1"/>
                      <w14:textFill>
                        <w14:solidFill>
                          <w14:schemeClr w14:val="tx1"/>
                        </w14:solidFill>
                      </w14:textFill>
                    </w:rPr>
                  </w:pPr>
                </w:p>
              </w:tc>
              <w:tc>
                <w:tcPr>
                  <w:tcW w:w="701" w:type="pct"/>
                  <w:vMerge w:val="continue"/>
                  <w:tcBorders>
                    <w:tl2br w:val="nil"/>
                    <w:tr2bl w:val="nil"/>
                  </w:tcBorders>
                  <w:vAlign w:val="center"/>
                </w:tcPr>
                <w:p w14:paraId="7E1B1831">
                  <w:pPr>
                    <w:pStyle w:val="13"/>
                    <w:rPr>
                      <w:rFonts w:cs="Times New Roman"/>
                      <w:color w:val="000000" w:themeColor="text1"/>
                      <w14:textFill>
                        <w14:solidFill>
                          <w14:schemeClr w14:val="tx1"/>
                        </w14:solidFill>
                      </w14:textFill>
                    </w:rPr>
                  </w:pPr>
                </w:p>
              </w:tc>
              <w:tc>
                <w:tcPr>
                  <w:tcW w:w="423" w:type="pct"/>
                  <w:vMerge w:val="continue"/>
                  <w:tcBorders>
                    <w:tl2br w:val="nil"/>
                    <w:tr2bl w:val="nil"/>
                  </w:tcBorders>
                  <w:vAlign w:val="center"/>
                </w:tcPr>
                <w:p w14:paraId="707C0549">
                  <w:pPr>
                    <w:pStyle w:val="13"/>
                    <w:rPr>
                      <w:rFonts w:cs="Times New Roman"/>
                      <w:color w:val="000000" w:themeColor="text1"/>
                      <w14:textFill>
                        <w14:solidFill>
                          <w14:schemeClr w14:val="tx1"/>
                        </w14:solidFill>
                      </w14:textFill>
                    </w:rPr>
                  </w:pPr>
                </w:p>
              </w:tc>
              <w:tc>
                <w:tcPr>
                  <w:tcW w:w="406" w:type="pct"/>
                  <w:vMerge w:val="continue"/>
                  <w:tcBorders>
                    <w:tl2br w:val="nil"/>
                    <w:tr2bl w:val="nil"/>
                  </w:tcBorders>
                  <w:vAlign w:val="center"/>
                </w:tcPr>
                <w:p w14:paraId="60E3BA87">
                  <w:pPr>
                    <w:pStyle w:val="13"/>
                    <w:rPr>
                      <w:rFonts w:hint="default" w:eastAsia="宋体" w:cs="Times New Roman"/>
                      <w:color w:val="000000" w:themeColor="text1"/>
                      <w:lang w:val="en-US" w:eastAsia="zh-CN"/>
                      <w14:textFill>
                        <w14:solidFill>
                          <w14:schemeClr w14:val="tx1"/>
                        </w14:solidFill>
                      </w14:textFill>
                    </w:rPr>
                  </w:pPr>
                </w:p>
              </w:tc>
            </w:tr>
            <w:tr w14:paraId="2DEF2F0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88" w:type="pct"/>
                  <w:tcBorders>
                    <w:tl2br w:val="nil"/>
                    <w:tr2bl w:val="nil"/>
                  </w:tcBorders>
                  <w:vAlign w:val="center"/>
                </w:tcPr>
                <w:p w14:paraId="5A4F667E">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677" w:type="pct"/>
                  <w:vMerge w:val="continue"/>
                  <w:tcBorders>
                    <w:tl2br w:val="nil"/>
                    <w:tr2bl w:val="nil"/>
                  </w:tcBorders>
                  <w:vAlign w:val="center"/>
                </w:tcPr>
                <w:p w14:paraId="331BE2A4">
                  <w:pPr>
                    <w:pStyle w:val="13"/>
                    <w:rPr>
                      <w:rFonts w:cs="Times New Roman"/>
                      <w:color w:val="000000" w:themeColor="text1"/>
                      <w14:textFill>
                        <w14:solidFill>
                          <w14:schemeClr w14:val="tx1"/>
                        </w14:solidFill>
                      </w14:textFill>
                    </w:rPr>
                  </w:pPr>
                </w:p>
              </w:tc>
              <w:tc>
                <w:tcPr>
                  <w:tcW w:w="532" w:type="pct"/>
                  <w:tcBorders>
                    <w:tl2br w:val="nil"/>
                    <w:tr2bl w:val="nil"/>
                  </w:tcBorders>
                  <w:vAlign w:val="center"/>
                </w:tcPr>
                <w:p w14:paraId="4FD27283">
                  <w:pPr>
                    <w:pStyle w:val="13"/>
                    <w:ind w:firstLine="0" w:firstLineChars="0"/>
                    <w:rPr>
                      <w:rFonts w:cs="Times New Roman"/>
                      <w:color w:val="000000" w:themeColor="text1"/>
                      <w:kern w:val="2"/>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废机油</w:t>
                  </w:r>
                </w:p>
              </w:tc>
              <w:tc>
                <w:tcPr>
                  <w:tcW w:w="461" w:type="pct"/>
                  <w:tcBorders>
                    <w:tl2br w:val="nil"/>
                    <w:tr2bl w:val="nil"/>
                  </w:tcBorders>
                  <w:vAlign w:val="center"/>
                </w:tcPr>
                <w:p w14:paraId="577FE9A0">
                  <w:pPr>
                    <w:pStyle w:val="13"/>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HW</w:t>
                  </w:r>
                  <w:r>
                    <w:rPr>
                      <w:rFonts w:hint="eastAsia" w:cs="Times New Roman"/>
                      <w:color w:val="000000" w:themeColor="text1"/>
                      <w:lang w:val="en-US" w:eastAsia="zh-CN"/>
                      <w14:textFill>
                        <w14:solidFill>
                          <w14:schemeClr w14:val="tx1"/>
                        </w14:solidFill>
                      </w14:textFill>
                    </w:rPr>
                    <w:t>08</w:t>
                  </w:r>
                </w:p>
              </w:tc>
              <w:tc>
                <w:tcPr>
                  <w:tcW w:w="680" w:type="pct"/>
                  <w:tcBorders>
                    <w:tl2br w:val="nil"/>
                    <w:tr2bl w:val="nil"/>
                  </w:tcBorders>
                  <w:vAlign w:val="center"/>
                </w:tcPr>
                <w:p w14:paraId="61327764">
                  <w:pPr>
                    <w:pStyle w:val="13"/>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214-08</w:t>
                  </w:r>
                </w:p>
              </w:tc>
              <w:tc>
                <w:tcPr>
                  <w:tcW w:w="429" w:type="pct"/>
                  <w:vMerge w:val="continue"/>
                  <w:tcBorders>
                    <w:tl2br w:val="nil"/>
                    <w:tr2bl w:val="nil"/>
                  </w:tcBorders>
                  <w:vAlign w:val="center"/>
                </w:tcPr>
                <w:p w14:paraId="681B101E">
                  <w:pPr>
                    <w:pStyle w:val="13"/>
                    <w:rPr>
                      <w:rFonts w:cs="Times New Roman"/>
                      <w:color w:val="000000" w:themeColor="text1"/>
                      <w14:textFill>
                        <w14:solidFill>
                          <w14:schemeClr w14:val="tx1"/>
                        </w14:solidFill>
                      </w14:textFill>
                    </w:rPr>
                  </w:pPr>
                </w:p>
              </w:tc>
              <w:tc>
                <w:tcPr>
                  <w:tcW w:w="398" w:type="pct"/>
                  <w:vMerge w:val="continue"/>
                  <w:tcBorders>
                    <w:tl2br w:val="nil"/>
                    <w:tr2bl w:val="nil"/>
                  </w:tcBorders>
                  <w:vAlign w:val="center"/>
                </w:tcPr>
                <w:p w14:paraId="7146321A">
                  <w:pPr>
                    <w:pStyle w:val="13"/>
                    <w:rPr>
                      <w:rFonts w:cs="Times New Roman"/>
                      <w:color w:val="000000" w:themeColor="text1"/>
                      <w14:textFill>
                        <w14:solidFill>
                          <w14:schemeClr w14:val="tx1"/>
                        </w14:solidFill>
                      </w14:textFill>
                    </w:rPr>
                  </w:pPr>
                </w:p>
              </w:tc>
              <w:tc>
                <w:tcPr>
                  <w:tcW w:w="701" w:type="pct"/>
                  <w:vMerge w:val="continue"/>
                  <w:tcBorders>
                    <w:tl2br w:val="nil"/>
                    <w:tr2bl w:val="nil"/>
                  </w:tcBorders>
                  <w:vAlign w:val="center"/>
                </w:tcPr>
                <w:p w14:paraId="2CFCFC2B">
                  <w:pPr>
                    <w:pStyle w:val="13"/>
                    <w:rPr>
                      <w:rFonts w:cs="Times New Roman"/>
                      <w:color w:val="000000" w:themeColor="text1"/>
                      <w14:textFill>
                        <w14:solidFill>
                          <w14:schemeClr w14:val="tx1"/>
                        </w14:solidFill>
                      </w14:textFill>
                    </w:rPr>
                  </w:pPr>
                </w:p>
              </w:tc>
              <w:tc>
                <w:tcPr>
                  <w:tcW w:w="423" w:type="pct"/>
                  <w:vMerge w:val="continue"/>
                  <w:tcBorders>
                    <w:tl2br w:val="nil"/>
                    <w:tr2bl w:val="nil"/>
                  </w:tcBorders>
                  <w:vAlign w:val="center"/>
                </w:tcPr>
                <w:p w14:paraId="0062C6AE">
                  <w:pPr>
                    <w:pStyle w:val="13"/>
                    <w:rPr>
                      <w:rFonts w:cs="Times New Roman"/>
                      <w:color w:val="000000" w:themeColor="text1"/>
                      <w14:textFill>
                        <w14:solidFill>
                          <w14:schemeClr w14:val="tx1"/>
                        </w14:solidFill>
                      </w14:textFill>
                    </w:rPr>
                  </w:pPr>
                </w:p>
              </w:tc>
              <w:tc>
                <w:tcPr>
                  <w:tcW w:w="406" w:type="pct"/>
                  <w:vMerge w:val="continue"/>
                  <w:tcBorders>
                    <w:tl2br w:val="nil"/>
                    <w:tr2bl w:val="nil"/>
                  </w:tcBorders>
                  <w:vAlign w:val="center"/>
                </w:tcPr>
                <w:p w14:paraId="686CB882">
                  <w:pPr>
                    <w:pStyle w:val="13"/>
                    <w:rPr>
                      <w:rFonts w:cs="Times New Roman"/>
                      <w:color w:val="000000" w:themeColor="text1"/>
                      <w14:textFill>
                        <w14:solidFill>
                          <w14:schemeClr w14:val="tx1"/>
                        </w14:solidFill>
                      </w14:textFill>
                    </w:rPr>
                  </w:pPr>
                </w:p>
              </w:tc>
            </w:tr>
            <w:tr w14:paraId="46D01BE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8" w:type="pct"/>
                  <w:tcBorders>
                    <w:tl2br w:val="nil"/>
                    <w:tr2bl w:val="nil"/>
                  </w:tcBorders>
                  <w:vAlign w:val="center"/>
                </w:tcPr>
                <w:p w14:paraId="081B2F4D">
                  <w:pPr>
                    <w:pStyle w:val="13"/>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w:t>
                  </w:r>
                </w:p>
              </w:tc>
              <w:tc>
                <w:tcPr>
                  <w:tcW w:w="677" w:type="pct"/>
                  <w:vMerge w:val="continue"/>
                  <w:tcBorders>
                    <w:tl2br w:val="nil"/>
                    <w:tr2bl w:val="nil"/>
                  </w:tcBorders>
                  <w:vAlign w:val="center"/>
                </w:tcPr>
                <w:p w14:paraId="15F26043">
                  <w:pPr>
                    <w:pStyle w:val="13"/>
                    <w:rPr>
                      <w:rFonts w:cs="Times New Roman"/>
                      <w:color w:val="000000" w:themeColor="text1"/>
                      <w14:textFill>
                        <w14:solidFill>
                          <w14:schemeClr w14:val="tx1"/>
                        </w14:solidFill>
                      </w14:textFill>
                    </w:rPr>
                  </w:pPr>
                </w:p>
              </w:tc>
              <w:tc>
                <w:tcPr>
                  <w:tcW w:w="532" w:type="pct"/>
                  <w:tcBorders>
                    <w:tl2br w:val="nil"/>
                    <w:tr2bl w:val="nil"/>
                  </w:tcBorders>
                  <w:vAlign w:val="center"/>
                </w:tcPr>
                <w:p w14:paraId="0E63A22A">
                  <w:pPr>
                    <w:pStyle w:val="13"/>
                    <w:ind w:firstLine="0" w:firstLineChars="0"/>
                    <w:rPr>
                      <w:rFonts w:cs="Times New Roman"/>
                      <w:bCs/>
                      <w:color w:val="000000" w:themeColor="text1"/>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废机油桶</w:t>
                  </w:r>
                </w:p>
              </w:tc>
              <w:tc>
                <w:tcPr>
                  <w:tcW w:w="461" w:type="pct"/>
                  <w:tcBorders>
                    <w:tl2br w:val="nil"/>
                    <w:tr2bl w:val="nil"/>
                  </w:tcBorders>
                  <w:vAlign w:val="center"/>
                </w:tcPr>
                <w:p w14:paraId="1F50E519">
                  <w:pPr>
                    <w:pStyle w:val="13"/>
                    <w:ind w:firstLine="0" w:firstLineChars="0"/>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HW</w:t>
                  </w:r>
                  <w:r>
                    <w:rPr>
                      <w:rFonts w:hint="eastAsia" w:cs="Times New Roman"/>
                      <w:color w:val="000000" w:themeColor="text1"/>
                      <w:szCs w:val="21"/>
                      <w:lang w:val="en-US" w:eastAsia="zh-CN"/>
                      <w14:textFill>
                        <w14:solidFill>
                          <w14:schemeClr w14:val="tx1"/>
                        </w14:solidFill>
                      </w14:textFill>
                    </w:rPr>
                    <w:t>08</w:t>
                  </w:r>
                </w:p>
              </w:tc>
              <w:tc>
                <w:tcPr>
                  <w:tcW w:w="680" w:type="pct"/>
                  <w:tcBorders>
                    <w:tl2br w:val="nil"/>
                    <w:tr2bl w:val="nil"/>
                  </w:tcBorders>
                  <w:vAlign w:val="center"/>
                </w:tcPr>
                <w:p w14:paraId="7D71C0A0">
                  <w:pPr>
                    <w:pStyle w:val="13"/>
                    <w:ind w:firstLine="0" w:firstLineChars="0"/>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900-</w:t>
                  </w:r>
                  <w:r>
                    <w:rPr>
                      <w:rFonts w:hint="eastAsia" w:cs="Times New Roman"/>
                      <w:color w:val="000000" w:themeColor="text1"/>
                      <w:szCs w:val="21"/>
                      <w:lang w:val="en-US" w:eastAsia="zh-CN"/>
                      <w14:textFill>
                        <w14:solidFill>
                          <w14:schemeClr w14:val="tx1"/>
                        </w14:solidFill>
                      </w14:textFill>
                    </w:rPr>
                    <w:t>249-08</w:t>
                  </w:r>
                </w:p>
              </w:tc>
              <w:tc>
                <w:tcPr>
                  <w:tcW w:w="429" w:type="pct"/>
                  <w:vMerge w:val="continue"/>
                  <w:tcBorders>
                    <w:tl2br w:val="nil"/>
                    <w:tr2bl w:val="nil"/>
                  </w:tcBorders>
                  <w:vAlign w:val="center"/>
                </w:tcPr>
                <w:p w14:paraId="0FF7C472">
                  <w:pPr>
                    <w:pStyle w:val="13"/>
                    <w:rPr>
                      <w:rFonts w:cs="Times New Roman"/>
                      <w:color w:val="000000" w:themeColor="text1"/>
                      <w14:textFill>
                        <w14:solidFill>
                          <w14:schemeClr w14:val="tx1"/>
                        </w14:solidFill>
                      </w14:textFill>
                    </w:rPr>
                  </w:pPr>
                </w:p>
              </w:tc>
              <w:tc>
                <w:tcPr>
                  <w:tcW w:w="398" w:type="pct"/>
                  <w:vMerge w:val="continue"/>
                  <w:tcBorders>
                    <w:tl2br w:val="nil"/>
                    <w:tr2bl w:val="nil"/>
                  </w:tcBorders>
                  <w:vAlign w:val="center"/>
                </w:tcPr>
                <w:p w14:paraId="2F3808E1">
                  <w:pPr>
                    <w:pStyle w:val="13"/>
                    <w:rPr>
                      <w:rFonts w:cs="Times New Roman"/>
                      <w:color w:val="000000" w:themeColor="text1"/>
                      <w14:textFill>
                        <w14:solidFill>
                          <w14:schemeClr w14:val="tx1"/>
                        </w14:solidFill>
                      </w14:textFill>
                    </w:rPr>
                  </w:pPr>
                </w:p>
              </w:tc>
              <w:tc>
                <w:tcPr>
                  <w:tcW w:w="701" w:type="pct"/>
                  <w:vMerge w:val="continue"/>
                  <w:tcBorders>
                    <w:tl2br w:val="nil"/>
                    <w:tr2bl w:val="nil"/>
                  </w:tcBorders>
                  <w:vAlign w:val="center"/>
                </w:tcPr>
                <w:p w14:paraId="13B973D0">
                  <w:pPr>
                    <w:pStyle w:val="13"/>
                    <w:rPr>
                      <w:rFonts w:cs="Times New Roman"/>
                      <w:color w:val="000000" w:themeColor="text1"/>
                      <w14:textFill>
                        <w14:solidFill>
                          <w14:schemeClr w14:val="tx1"/>
                        </w14:solidFill>
                      </w14:textFill>
                    </w:rPr>
                  </w:pPr>
                </w:p>
              </w:tc>
              <w:tc>
                <w:tcPr>
                  <w:tcW w:w="423" w:type="pct"/>
                  <w:vMerge w:val="continue"/>
                  <w:tcBorders>
                    <w:tl2br w:val="nil"/>
                    <w:tr2bl w:val="nil"/>
                  </w:tcBorders>
                  <w:vAlign w:val="center"/>
                </w:tcPr>
                <w:p w14:paraId="4C9C9E65">
                  <w:pPr>
                    <w:pStyle w:val="13"/>
                    <w:rPr>
                      <w:rFonts w:cs="Times New Roman"/>
                      <w:color w:val="000000" w:themeColor="text1"/>
                      <w14:textFill>
                        <w14:solidFill>
                          <w14:schemeClr w14:val="tx1"/>
                        </w14:solidFill>
                      </w14:textFill>
                    </w:rPr>
                  </w:pPr>
                </w:p>
              </w:tc>
              <w:tc>
                <w:tcPr>
                  <w:tcW w:w="406" w:type="pct"/>
                  <w:vMerge w:val="continue"/>
                  <w:tcBorders>
                    <w:tl2br w:val="nil"/>
                    <w:tr2bl w:val="nil"/>
                  </w:tcBorders>
                  <w:vAlign w:val="center"/>
                </w:tcPr>
                <w:p w14:paraId="2F756C7F">
                  <w:pPr>
                    <w:pStyle w:val="13"/>
                    <w:rPr>
                      <w:rFonts w:cs="Times New Roman"/>
                      <w:color w:val="000000" w:themeColor="text1"/>
                      <w14:textFill>
                        <w14:solidFill>
                          <w14:schemeClr w14:val="tx1"/>
                        </w14:solidFill>
                      </w14:textFill>
                    </w:rPr>
                  </w:pPr>
                </w:p>
              </w:tc>
            </w:tr>
            <w:tr w14:paraId="14ED6DE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8" w:type="pct"/>
                  <w:tcBorders>
                    <w:tl2br w:val="nil"/>
                    <w:tr2bl w:val="nil"/>
                  </w:tcBorders>
                  <w:vAlign w:val="center"/>
                </w:tcPr>
                <w:p w14:paraId="05F7FD32">
                  <w:pPr>
                    <w:pStyle w:val="13"/>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677" w:type="pct"/>
                  <w:vMerge w:val="continue"/>
                  <w:tcBorders>
                    <w:tl2br w:val="nil"/>
                    <w:tr2bl w:val="nil"/>
                  </w:tcBorders>
                  <w:vAlign w:val="center"/>
                </w:tcPr>
                <w:p w14:paraId="40161D11">
                  <w:pPr>
                    <w:pStyle w:val="13"/>
                    <w:rPr>
                      <w:rFonts w:cs="Times New Roman"/>
                      <w:color w:val="000000" w:themeColor="text1"/>
                      <w14:textFill>
                        <w14:solidFill>
                          <w14:schemeClr w14:val="tx1"/>
                        </w14:solidFill>
                      </w14:textFill>
                    </w:rPr>
                  </w:pPr>
                </w:p>
              </w:tc>
              <w:tc>
                <w:tcPr>
                  <w:tcW w:w="532" w:type="pct"/>
                  <w:tcBorders>
                    <w:tl2br w:val="nil"/>
                    <w:tr2bl w:val="nil"/>
                  </w:tcBorders>
                  <w:shd w:val="clear" w:color="auto" w:fill="auto"/>
                  <w:vAlign w:val="center"/>
                </w:tcPr>
                <w:p w14:paraId="305E43B9">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沾油废物</w:t>
                  </w:r>
                </w:p>
              </w:tc>
              <w:tc>
                <w:tcPr>
                  <w:tcW w:w="461" w:type="pct"/>
                  <w:tcBorders>
                    <w:tl2br w:val="nil"/>
                    <w:tr2bl w:val="nil"/>
                  </w:tcBorders>
                  <w:shd w:val="clear" w:color="auto" w:fill="auto"/>
                  <w:vAlign w:val="center"/>
                </w:tcPr>
                <w:p w14:paraId="78C83560">
                  <w:pPr>
                    <w:pStyle w:val="13"/>
                    <w:ind w:firstLine="0" w:firstLineChars="0"/>
                    <w:rPr>
                      <w:rFonts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cs="Times New Roman"/>
                      <w:color w:val="000000" w:themeColor="text1"/>
                      <w14:textFill>
                        <w14:solidFill>
                          <w14:schemeClr w14:val="tx1"/>
                        </w14:solidFill>
                      </w14:textFill>
                    </w:rPr>
                    <w:t>HW</w:t>
                  </w:r>
                  <w:r>
                    <w:rPr>
                      <w:rFonts w:hint="eastAsia" w:cs="Times New Roman"/>
                      <w:color w:val="000000" w:themeColor="text1"/>
                      <w:lang w:val="en-US" w:eastAsia="zh-CN"/>
                      <w14:textFill>
                        <w14:solidFill>
                          <w14:schemeClr w14:val="tx1"/>
                        </w14:solidFill>
                      </w14:textFill>
                    </w:rPr>
                    <w:t>49</w:t>
                  </w:r>
                </w:p>
              </w:tc>
              <w:tc>
                <w:tcPr>
                  <w:tcW w:w="680" w:type="pct"/>
                  <w:tcBorders>
                    <w:tl2br w:val="nil"/>
                    <w:tr2bl w:val="nil"/>
                  </w:tcBorders>
                  <w:shd w:val="clear" w:color="auto" w:fill="auto"/>
                  <w:vAlign w:val="center"/>
                </w:tcPr>
                <w:p w14:paraId="43947384">
                  <w:pPr>
                    <w:pStyle w:val="13"/>
                    <w:ind w:firstLine="0" w:firstLineChars="0"/>
                    <w:rPr>
                      <w:rFonts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041</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49</w:t>
                  </w:r>
                </w:p>
              </w:tc>
              <w:tc>
                <w:tcPr>
                  <w:tcW w:w="429" w:type="pct"/>
                  <w:vMerge w:val="continue"/>
                  <w:tcBorders>
                    <w:tl2br w:val="nil"/>
                    <w:tr2bl w:val="nil"/>
                  </w:tcBorders>
                  <w:vAlign w:val="center"/>
                </w:tcPr>
                <w:p w14:paraId="7F25C41F">
                  <w:pPr>
                    <w:pStyle w:val="13"/>
                    <w:rPr>
                      <w:rFonts w:cs="Times New Roman"/>
                      <w:color w:val="000000" w:themeColor="text1"/>
                      <w14:textFill>
                        <w14:solidFill>
                          <w14:schemeClr w14:val="tx1"/>
                        </w14:solidFill>
                      </w14:textFill>
                    </w:rPr>
                  </w:pPr>
                </w:p>
              </w:tc>
              <w:tc>
                <w:tcPr>
                  <w:tcW w:w="398" w:type="pct"/>
                  <w:vMerge w:val="continue"/>
                  <w:tcBorders>
                    <w:tl2br w:val="nil"/>
                    <w:tr2bl w:val="nil"/>
                  </w:tcBorders>
                  <w:vAlign w:val="center"/>
                </w:tcPr>
                <w:p w14:paraId="1A666807">
                  <w:pPr>
                    <w:pStyle w:val="13"/>
                    <w:rPr>
                      <w:rFonts w:cs="Times New Roman"/>
                      <w:color w:val="000000" w:themeColor="text1"/>
                      <w14:textFill>
                        <w14:solidFill>
                          <w14:schemeClr w14:val="tx1"/>
                        </w14:solidFill>
                      </w14:textFill>
                    </w:rPr>
                  </w:pPr>
                </w:p>
              </w:tc>
              <w:tc>
                <w:tcPr>
                  <w:tcW w:w="701" w:type="pct"/>
                  <w:vMerge w:val="continue"/>
                  <w:tcBorders>
                    <w:tl2br w:val="nil"/>
                    <w:tr2bl w:val="nil"/>
                  </w:tcBorders>
                  <w:vAlign w:val="center"/>
                </w:tcPr>
                <w:p w14:paraId="644F5B12">
                  <w:pPr>
                    <w:pStyle w:val="13"/>
                    <w:rPr>
                      <w:rFonts w:cs="Times New Roman"/>
                      <w:color w:val="000000" w:themeColor="text1"/>
                      <w14:textFill>
                        <w14:solidFill>
                          <w14:schemeClr w14:val="tx1"/>
                        </w14:solidFill>
                      </w14:textFill>
                    </w:rPr>
                  </w:pPr>
                </w:p>
              </w:tc>
              <w:tc>
                <w:tcPr>
                  <w:tcW w:w="423" w:type="pct"/>
                  <w:vMerge w:val="continue"/>
                  <w:tcBorders>
                    <w:tl2br w:val="nil"/>
                    <w:tr2bl w:val="nil"/>
                  </w:tcBorders>
                  <w:vAlign w:val="center"/>
                </w:tcPr>
                <w:p w14:paraId="5819942B">
                  <w:pPr>
                    <w:pStyle w:val="13"/>
                    <w:rPr>
                      <w:rFonts w:cs="Times New Roman"/>
                      <w:color w:val="000000" w:themeColor="text1"/>
                      <w14:textFill>
                        <w14:solidFill>
                          <w14:schemeClr w14:val="tx1"/>
                        </w14:solidFill>
                      </w14:textFill>
                    </w:rPr>
                  </w:pPr>
                </w:p>
              </w:tc>
              <w:tc>
                <w:tcPr>
                  <w:tcW w:w="406" w:type="pct"/>
                  <w:vMerge w:val="continue"/>
                  <w:tcBorders>
                    <w:tl2br w:val="nil"/>
                    <w:tr2bl w:val="nil"/>
                  </w:tcBorders>
                  <w:vAlign w:val="center"/>
                </w:tcPr>
                <w:p w14:paraId="6B1B8034">
                  <w:pPr>
                    <w:pStyle w:val="13"/>
                    <w:rPr>
                      <w:rFonts w:cs="Times New Roman"/>
                      <w:color w:val="000000" w:themeColor="text1"/>
                      <w14:textFill>
                        <w14:solidFill>
                          <w14:schemeClr w14:val="tx1"/>
                        </w14:solidFill>
                      </w14:textFill>
                    </w:rPr>
                  </w:pPr>
                </w:p>
              </w:tc>
            </w:tr>
            <w:tr w14:paraId="61690D3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8" w:type="pct"/>
                  <w:tcBorders>
                    <w:tl2br w:val="nil"/>
                    <w:tr2bl w:val="nil"/>
                  </w:tcBorders>
                  <w:vAlign w:val="center"/>
                </w:tcPr>
                <w:p w14:paraId="4BEB81D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w:t>
                  </w:r>
                </w:p>
              </w:tc>
              <w:tc>
                <w:tcPr>
                  <w:tcW w:w="677" w:type="pct"/>
                  <w:vMerge w:val="continue"/>
                  <w:tcBorders>
                    <w:tl2br w:val="nil"/>
                    <w:tr2bl w:val="nil"/>
                  </w:tcBorders>
                  <w:vAlign w:val="center"/>
                </w:tcPr>
                <w:p w14:paraId="24E2248D">
                  <w:pPr>
                    <w:pStyle w:val="13"/>
                    <w:rPr>
                      <w:rFonts w:cs="Times New Roman"/>
                      <w:color w:val="000000" w:themeColor="text1"/>
                      <w14:textFill>
                        <w14:solidFill>
                          <w14:schemeClr w14:val="tx1"/>
                        </w14:solidFill>
                      </w14:textFill>
                    </w:rPr>
                  </w:pPr>
                </w:p>
              </w:tc>
              <w:tc>
                <w:tcPr>
                  <w:tcW w:w="532" w:type="pct"/>
                  <w:tcBorders>
                    <w:tl2br w:val="nil"/>
                    <w:tr2bl w:val="nil"/>
                  </w:tcBorders>
                  <w:vAlign w:val="center"/>
                </w:tcPr>
                <w:p w14:paraId="12A0F537">
                  <w:pPr>
                    <w:pStyle w:val="13"/>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循环水池浮油</w:t>
                  </w:r>
                </w:p>
              </w:tc>
              <w:tc>
                <w:tcPr>
                  <w:tcW w:w="461" w:type="pct"/>
                  <w:tcBorders>
                    <w:tl2br w:val="nil"/>
                    <w:tr2bl w:val="nil"/>
                  </w:tcBorders>
                  <w:vAlign w:val="center"/>
                </w:tcPr>
                <w:p w14:paraId="43EBF71A">
                  <w:pPr>
                    <w:pStyle w:val="13"/>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HW08</w:t>
                  </w:r>
                </w:p>
              </w:tc>
              <w:tc>
                <w:tcPr>
                  <w:tcW w:w="680" w:type="pct"/>
                  <w:tcBorders>
                    <w:tl2br w:val="nil"/>
                    <w:tr2bl w:val="nil"/>
                  </w:tcBorders>
                  <w:vAlign w:val="center"/>
                </w:tcPr>
                <w:p w14:paraId="4E737C28">
                  <w:pPr>
                    <w:pStyle w:val="13"/>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900-210-08</w:t>
                  </w:r>
                </w:p>
              </w:tc>
              <w:tc>
                <w:tcPr>
                  <w:tcW w:w="429" w:type="pct"/>
                  <w:vMerge w:val="continue"/>
                  <w:tcBorders>
                    <w:tl2br w:val="nil"/>
                    <w:tr2bl w:val="nil"/>
                  </w:tcBorders>
                  <w:vAlign w:val="center"/>
                </w:tcPr>
                <w:p w14:paraId="3F6EF0F5">
                  <w:pPr>
                    <w:pStyle w:val="13"/>
                    <w:rPr>
                      <w:rFonts w:cs="Times New Roman"/>
                      <w:color w:val="000000" w:themeColor="text1"/>
                      <w14:textFill>
                        <w14:solidFill>
                          <w14:schemeClr w14:val="tx1"/>
                        </w14:solidFill>
                      </w14:textFill>
                    </w:rPr>
                  </w:pPr>
                </w:p>
              </w:tc>
              <w:tc>
                <w:tcPr>
                  <w:tcW w:w="398" w:type="pct"/>
                  <w:vMerge w:val="continue"/>
                  <w:tcBorders>
                    <w:tl2br w:val="nil"/>
                    <w:tr2bl w:val="nil"/>
                  </w:tcBorders>
                  <w:vAlign w:val="center"/>
                </w:tcPr>
                <w:p w14:paraId="1E1ECC76">
                  <w:pPr>
                    <w:pStyle w:val="13"/>
                    <w:rPr>
                      <w:rFonts w:cs="Times New Roman"/>
                      <w:color w:val="000000" w:themeColor="text1"/>
                      <w14:textFill>
                        <w14:solidFill>
                          <w14:schemeClr w14:val="tx1"/>
                        </w14:solidFill>
                      </w14:textFill>
                    </w:rPr>
                  </w:pPr>
                </w:p>
              </w:tc>
              <w:tc>
                <w:tcPr>
                  <w:tcW w:w="701" w:type="pct"/>
                  <w:vMerge w:val="continue"/>
                  <w:tcBorders>
                    <w:tl2br w:val="nil"/>
                    <w:tr2bl w:val="nil"/>
                  </w:tcBorders>
                  <w:vAlign w:val="center"/>
                </w:tcPr>
                <w:p w14:paraId="1E967C19">
                  <w:pPr>
                    <w:pStyle w:val="13"/>
                    <w:rPr>
                      <w:rFonts w:cs="Times New Roman"/>
                      <w:color w:val="000000" w:themeColor="text1"/>
                      <w14:textFill>
                        <w14:solidFill>
                          <w14:schemeClr w14:val="tx1"/>
                        </w14:solidFill>
                      </w14:textFill>
                    </w:rPr>
                  </w:pPr>
                </w:p>
              </w:tc>
              <w:tc>
                <w:tcPr>
                  <w:tcW w:w="423" w:type="pct"/>
                  <w:vMerge w:val="continue"/>
                  <w:tcBorders>
                    <w:tl2br w:val="nil"/>
                    <w:tr2bl w:val="nil"/>
                  </w:tcBorders>
                  <w:vAlign w:val="center"/>
                </w:tcPr>
                <w:p w14:paraId="0E238B86">
                  <w:pPr>
                    <w:pStyle w:val="13"/>
                    <w:rPr>
                      <w:rFonts w:cs="Times New Roman"/>
                      <w:color w:val="000000" w:themeColor="text1"/>
                      <w14:textFill>
                        <w14:solidFill>
                          <w14:schemeClr w14:val="tx1"/>
                        </w14:solidFill>
                      </w14:textFill>
                    </w:rPr>
                  </w:pPr>
                </w:p>
              </w:tc>
              <w:tc>
                <w:tcPr>
                  <w:tcW w:w="406" w:type="pct"/>
                  <w:vMerge w:val="continue"/>
                  <w:tcBorders>
                    <w:tl2br w:val="nil"/>
                    <w:tr2bl w:val="nil"/>
                  </w:tcBorders>
                  <w:vAlign w:val="center"/>
                </w:tcPr>
                <w:p w14:paraId="04AC4F40">
                  <w:pPr>
                    <w:pStyle w:val="13"/>
                    <w:rPr>
                      <w:rFonts w:cs="Times New Roman"/>
                      <w:color w:val="000000" w:themeColor="text1"/>
                      <w14:textFill>
                        <w14:solidFill>
                          <w14:schemeClr w14:val="tx1"/>
                        </w14:solidFill>
                      </w14:textFill>
                    </w:rPr>
                  </w:pPr>
                </w:p>
              </w:tc>
            </w:tr>
          </w:tbl>
          <w:p w14:paraId="31064316">
            <w:pPr>
              <w:ind w:firstLine="480"/>
              <w:jc w:val="left"/>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环评要求：</w:t>
            </w:r>
            <w:r>
              <w:rPr>
                <w:rFonts w:hint="eastAsia" w:ascii="Times New Roman" w:hAnsi="Times New Roman" w:eastAsia="宋体" w:cs="Times New Roman"/>
                <w:color w:val="000000" w:themeColor="text1"/>
                <w:lang w:val="en-US" w:eastAsia="zh-CN"/>
                <w14:textFill>
                  <w14:solidFill>
                    <w14:schemeClr w14:val="tx1"/>
                  </w14:solidFill>
                </w14:textFill>
              </w:rPr>
              <w:t xml:space="preserve">危险废物禁止进入生活垃圾清运系统，必须确保各类危险废物实现无害化处置。 </w:t>
            </w:r>
          </w:p>
          <w:p w14:paraId="4538AB20">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根据《危险废物贮存污染控制标准》（GB18597</w:t>
            </w:r>
            <w:r>
              <w:rPr>
                <w:rFonts w:hint="eastAsia"/>
                <w:bCs/>
                <w:color w:val="000000" w:themeColor="text1"/>
                <w:sz w:val="24"/>
                <w:szCs w:val="24"/>
                <w:highlight w:val="none"/>
                <w:lang w:val="en-US" w:eastAsia="zh-CN"/>
                <w14:textFill>
                  <w14:solidFill>
                    <w14:schemeClr w14:val="tx1"/>
                  </w14:solidFill>
                </w14:textFill>
              </w:rPr>
              <w:t>-</w:t>
            </w:r>
            <w:r>
              <w:rPr>
                <w:rFonts w:hint="eastAsia"/>
                <w:bCs/>
                <w:color w:val="000000" w:themeColor="text1"/>
                <w:sz w:val="24"/>
                <w:szCs w:val="24"/>
                <w:highlight w:val="none"/>
                <w14:textFill>
                  <w14:solidFill>
                    <w14:schemeClr w14:val="tx1"/>
                  </w14:solidFill>
                </w14:textFill>
              </w:rPr>
              <w:t>2023）、《危险废物管理计划和管理台账制定技术导则》（HJ1259</w:t>
            </w:r>
            <w:r>
              <w:rPr>
                <w:rFonts w:hint="eastAsia"/>
                <w:bCs/>
                <w:color w:val="000000" w:themeColor="text1"/>
                <w:sz w:val="24"/>
                <w:szCs w:val="24"/>
                <w:highlight w:val="none"/>
                <w:lang w:val="en-US" w:eastAsia="zh-CN"/>
                <w14:textFill>
                  <w14:solidFill>
                    <w14:schemeClr w14:val="tx1"/>
                  </w14:solidFill>
                </w14:textFill>
              </w:rPr>
              <w:t>-</w:t>
            </w:r>
            <w:r>
              <w:rPr>
                <w:rFonts w:hint="eastAsia"/>
                <w:bCs/>
                <w:color w:val="000000" w:themeColor="text1"/>
                <w:sz w:val="24"/>
                <w:szCs w:val="24"/>
                <w:highlight w:val="none"/>
                <w14:textFill>
                  <w14:solidFill>
                    <w14:schemeClr w14:val="tx1"/>
                  </w14:solidFill>
                </w14:textFill>
              </w:rPr>
              <w:t>2022）的相关规定，本次环评对本项目危险废物提出如下要求：</w:t>
            </w:r>
          </w:p>
          <w:p w14:paraId="30E09B42">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14:textFill>
                  <w14:solidFill>
                    <w14:schemeClr w14:val="tx1"/>
                  </w14:solidFill>
                </w14:textFill>
              </w:rPr>
              <w:t>（1）总体要求：</w:t>
            </w:r>
          </w:p>
          <w:p w14:paraId="63787886">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A.产生、收集、贮存、利用、处置危险废物的单位应建造危险废物贮存设施或设置贮存场所，并根据需要选择贮存设施类型。</w:t>
            </w:r>
          </w:p>
          <w:p w14:paraId="036FB77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B.贮存危险废物应根据危险废物的类别、数量、形态、物理化学性质和环境风险等因素，确定贮存设施或场所类型和规模。</w:t>
            </w:r>
          </w:p>
          <w:p w14:paraId="0D8CB7E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C.贮存危险废物应根据危险废物的类别、形态、物理化学性质和污染防治要求进行分类贮存，且应避免危险废物与不相容的物质或材料接触。</w:t>
            </w:r>
          </w:p>
          <w:p w14:paraId="572D6B2E">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D.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p>
          <w:p w14:paraId="0739E6C1">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E.危险废物贮存过程中产生的液态废物和固态废物应分类收集，按其环境管理要求妥善处理。</w:t>
            </w:r>
          </w:p>
          <w:p w14:paraId="37B9D056">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F.贮存设施或场所、容器和包装物应按HJ1276要求设置危险废物贮存设施或场所标志、危险废物贮存分区标志和危险废物标签等危险废物识别标志。</w:t>
            </w:r>
          </w:p>
          <w:p w14:paraId="24803489">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G.按照《危险废物管理计划和管理台账制定技术导则》（HJ1259</w:t>
            </w:r>
            <w:r>
              <w:rPr>
                <w:rFonts w:hint="eastAsia"/>
                <w:bCs/>
                <w:color w:val="000000" w:themeColor="text1"/>
                <w:sz w:val="24"/>
                <w:szCs w:val="24"/>
                <w:highlight w:val="none"/>
                <w:lang w:val="en-US" w:eastAsia="zh-CN"/>
                <w14:textFill>
                  <w14:solidFill>
                    <w14:schemeClr w14:val="tx1"/>
                  </w14:solidFill>
                </w14:textFill>
              </w:rPr>
              <w:t>-</w:t>
            </w:r>
            <w:r>
              <w:rPr>
                <w:rFonts w:hint="eastAsia"/>
                <w:bCs/>
                <w:color w:val="000000" w:themeColor="text1"/>
                <w:sz w:val="24"/>
                <w:szCs w:val="24"/>
                <w:highlight w:val="none"/>
                <w14:textFill>
                  <w14:solidFill>
                    <w14:schemeClr w14:val="tx1"/>
                  </w14:solidFill>
                </w14:textFill>
              </w:rPr>
              <w:t>2022）的相关规定，制定危险废物管理计划，内容应当包括减少危险废物产生量和降低危险废物危害性的措施以及危险废物贮存、利用、处置措施；建立危险废物管理台账，如实记录危险废物的种类、产生量、流向、贮存、利用、处置等有关信息；通过危险废物信息管理系统向所在地生态环境主管部门备案危险废物管理计划，申报危险废物有关资料。</w:t>
            </w:r>
          </w:p>
          <w:p w14:paraId="49157F7A">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H.贮存设施退役时，所有者或运营者应依法履行环境保护责任，退役前应妥善处理处置贮存设施内剩余的危险废物，并对贮存设施进行清理，消除污染；还应依据土壤污染防治相关法律法规履行场地环境风险防控责任。</w:t>
            </w:r>
          </w:p>
          <w:p w14:paraId="0477F3D0">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I.在常温常压下易爆、易燃及排出有毒气体的危险废物应进行预处理，使之稳定后贮存，否则应按易爆、易燃危险品贮存。</w:t>
            </w:r>
          </w:p>
          <w:p w14:paraId="13C23388">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J.危险废物贮存除应满足环境保护相关要求外，还应执行国家安全生产、职业健康、交通运输、消防等法律法规和标准的相关要求。</w:t>
            </w:r>
          </w:p>
          <w:p w14:paraId="2ABF246F">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14:textFill>
                  <w14:solidFill>
                    <w14:schemeClr w14:val="tx1"/>
                  </w14:solidFill>
                </w14:textFill>
              </w:rPr>
              <w:t>（2）贮存设施污染控制要求：</w:t>
            </w:r>
          </w:p>
          <w:p w14:paraId="6ADE10CA">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为避免危险废物二次污染的发生，应采取完善的措施：</w:t>
            </w:r>
          </w:p>
          <w:p w14:paraId="49B89F2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A.贮存设施应根据危险废物的形态、物理化学性质、包装形式和污染物迁移途径，采取必要的防风、防晒、防雨、防漏、防渗、防腐以及其他环境污染防治措施，不应露天堆放危险废物。</w:t>
            </w:r>
          </w:p>
          <w:p w14:paraId="7781E6F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B.贮存设施应根据危险废物的类别、数量、形态、物理化学性质和污染防治等要求设置必要的贮存分区，避免不相容的危险废物接触、混合。</w:t>
            </w:r>
          </w:p>
          <w:p w14:paraId="1EEB52F0">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C.贮存设施或贮存分区内地面、墙面裙脚、堵截泄漏的围堰、接触危险废物的隔板和墙体等应采用坚固的材料建造，表面无裂缝。</w:t>
            </w:r>
          </w:p>
          <w:p w14:paraId="727F42C8">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bCs/>
                <w:color w:val="000000" w:themeColor="text1"/>
                <w:sz w:val="24"/>
                <w:szCs w:val="24"/>
                <w:highlight w:val="none"/>
                <w:vertAlign w:val="superscript"/>
                <w14:textFill>
                  <w14:solidFill>
                    <w14:schemeClr w14:val="tx1"/>
                  </w14:solidFill>
                </w14:textFill>
              </w:rPr>
              <w:t>-7</w:t>
            </w:r>
            <w:r>
              <w:rPr>
                <w:rFonts w:hint="eastAsia"/>
                <w:bCs/>
                <w:color w:val="000000" w:themeColor="text1"/>
                <w:sz w:val="24"/>
                <w:szCs w:val="24"/>
                <w:highlight w:val="none"/>
                <w14:textFill>
                  <w14:solidFill>
                    <w14:schemeClr w14:val="tx1"/>
                  </w14:solidFill>
                </w14:textFill>
              </w:rPr>
              <w:t>cm/s），或至少2mm厚高密度聚乙烯膜等人工防渗材料（渗透系数不大于10</w:t>
            </w:r>
            <w:r>
              <w:rPr>
                <w:rFonts w:hint="eastAsia"/>
                <w:bCs/>
                <w:color w:val="000000" w:themeColor="text1"/>
                <w:sz w:val="24"/>
                <w:szCs w:val="24"/>
                <w:highlight w:val="none"/>
                <w:vertAlign w:val="superscript"/>
                <w14:textFill>
                  <w14:solidFill>
                    <w14:schemeClr w14:val="tx1"/>
                  </w14:solidFill>
                </w14:textFill>
              </w:rPr>
              <w:t>-10</w:t>
            </w:r>
            <w:r>
              <w:rPr>
                <w:rFonts w:hint="eastAsia"/>
                <w:bCs/>
                <w:color w:val="000000" w:themeColor="text1"/>
                <w:sz w:val="24"/>
                <w:szCs w:val="24"/>
                <w:highlight w:val="none"/>
                <w14:textFill>
                  <w14:solidFill>
                    <w14:schemeClr w14:val="tx1"/>
                  </w14:solidFill>
                </w14:textFill>
              </w:rPr>
              <w:t>cm/s），或其他防渗性能等效的材料。同一贮存设施宜采用相同的防渗、防腐工艺（包括防渗、防腐结构或材料），防渗、防腐材料应覆盖所有可能与废物及其渗滤液、渗漏液等接触的构筑物表面；采用不同防渗、防腐工艺应分别建设贮存分区。</w:t>
            </w:r>
          </w:p>
          <w:p w14:paraId="5203D144">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E.贮存设施应采取技术和管理措施防止无关人员进入。</w:t>
            </w:r>
          </w:p>
          <w:p w14:paraId="0F835384">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14:textFill>
                  <w14:solidFill>
                    <w14:schemeClr w14:val="tx1"/>
                  </w14:solidFill>
                </w14:textFill>
              </w:rPr>
              <w:t>（3）危险废物转运和处理：</w:t>
            </w:r>
          </w:p>
          <w:p w14:paraId="2C48EFB3">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根据《中华人民共和国生态环境法典》（2026年3月12日第十四届全国人民代表大会第四次会议通过）、《危险废物转移管理办法》等有关规定，</w:t>
            </w:r>
            <w:r>
              <w:rPr>
                <w:rFonts w:hint="eastAsia"/>
                <w:bCs/>
                <w:color w:val="000000" w:themeColor="text1"/>
                <w:sz w:val="24"/>
                <w:szCs w:val="24"/>
                <w:highlight w:val="none"/>
                <w14:textFill>
                  <w14:solidFill>
                    <w14:schemeClr w14:val="tx1"/>
                  </w14:solidFill>
                </w14:textFill>
              </w:rPr>
              <w:t>在危险废弃物外运至处置单位时必须严格遵守以下要求：</w:t>
            </w:r>
          </w:p>
          <w:p w14:paraId="09B02A09">
            <w:pPr>
              <w:spacing w:line="360" w:lineRule="auto"/>
              <w:ind w:firstLine="360" w:firstLineChars="150"/>
              <w:rPr>
                <w:rFonts w:hint="eastAsia"/>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①</w:t>
            </w:r>
            <w:r>
              <w:rPr>
                <w:rFonts w:hint="eastAsia"/>
                <w:bCs/>
                <w:color w:val="000000" w:themeColor="text1"/>
                <w:sz w:val="24"/>
                <w:szCs w:val="24"/>
                <w:highlight w:val="none"/>
                <w:lang w:val="en-US" w:eastAsia="zh-CN"/>
                <w14:textFill>
                  <w14:solidFill>
                    <w14:schemeClr w14:val="tx1"/>
                  </w14:solidFill>
                </w14:textFill>
              </w:rPr>
              <w:t>危险废物转移应当遵循就近原则。</w:t>
            </w:r>
          </w:p>
          <w:p w14:paraId="07945608">
            <w:pPr>
              <w:spacing w:line="360" w:lineRule="auto"/>
              <w:ind w:firstLine="360" w:firstLineChars="150"/>
              <w:rPr>
                <w:rFonts w:hint="eastAsia"/>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②转移危险废物的，应当通过国家危险废物信息管理系统填写、运行危险废物电子转移联单，并按照国家有关规定公开危险废物转移相关污染环境防治信息。</w:t>
            </w:r>
          </w:p>
          <w:p w14:paraId="19BD881C">
            <w:pPr>
              <w:spacing w:line="360" w:lineRule="auto"/>
              <w:ind w:firstLine="360" w:firstLineChars="150"/>
              <w:rPr>
                <w:rFonts w:hint="eastAsia"/>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③与有危险废物处置单位签订书面合同，制定危险废物管理计划，明确转移危险废物的种类、重量（数量）和流向等信息。</w:t>
            </w:r>
          </w:p>
          <w:p w14:paraId="1C0F9EAB">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④</w:t>
            </w:r>
            <w:r>
              <w:rPr>
                <w:rFonts w:hint="eastAsia"/>
                <w:bCs/>
                <w:color w:val="000000" w:themeColor="text1"/>
                <w:sz w:val="24"/>
                <w:szCs w:val="24"/>
                <w:highlight w:val="none"/>
                <w14:textFill>
                  <w14:solidFill>
                    <w14:schemeClr w14:val="tx1"/>
                  </w14:solidFill>
                </w14:textFill>
              </w:rPr>
              <w:t>做好每次外运处置废弃物的运输登记，认真填写危险废物转移联单（每种废物填写一份联单），并加盖公司公章，经运输单位核实验收签字后，将联单第一联副联自留存档，将联单第二联交移出地环境保护行政主管部门，第三联及其余各联交付运输单位，随危险废物转移运行。第四联交接收单位，第五联交</w:t>
            </w:r>
            <w:r>
              <w:rPr>
                <w:rFonts w:hint="eastAsia"/>
                <w:bCs/>
                <w:color w:val="000000" w:themeColor="text1"/>
                <w:sz w:val="24"/>
                <w:szCs w:val="24"/>
                <w:highlight w:val="none"/>
                <w:lang w:eastAsia="zh-CN"/>
                <w14:textFill>
                  <w14:solidFill>
                    <w14:schemeClr w14:val="tx1"/>
                  </w14:solidFill>
                </w14:textFill>
              </w:rPr>
              <w:t>接收</w:t>
            </w:r>
            <w:r>
              <w:rPr>
                <w:rFonts w:hint="eastAsia"/>
                <w:bCs/>
                <w:color w:val="000000" w:themeColor="text1"/>
                <w:sz w:val="24"/>
                <w:szCs w:val="24"/>
                <w:highlight w:val="none"/>
                <w14:textFill>
                  <w14:solidFill>
                    <w14:schemeClr w14:val="tx1"/>
                  </w14:solidFill>
                </w14:textFill>
              </w:rPr>
              <w:t>地生态环境局。</w:t>
            </w:r>
          </w:p>
          <w:p w14:paraId="7FD87180">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⑤</w:t>
            </w:r>
            <w:r>
              <w:rPr>
                <w:rFonts w:hint="eastAsia"/>
                <w:bCs/>
                <w:color w:val="000000" w:themeColor="text1"/>
                <w:sz w:val="24"/>
                <w:szCs w:val="24"/>
                <w:highlight w:val="none"/>
                <w14:textFill>
                  <w14:solidFill>
                    <w14:schemeClr w14:val="tx1"/>
                  </w14:solidFill>
                </w14:textFill>
              </w:rPr>
              <w:t>废弃物处置单位的运输人员必须掌握危险化学品运输的安全知识，了解所运载的危险化学品的性质、危害特性、包装容器的使用特性和发生意外时的应急措施。运输车辆必须具有车辆危险货物运输许可证。驾驶人员必须由取得驾驶执照的熟练人员担任。</w:t>
            </w:r>
          </w:p>
          <w:p w14:paraId="241481DC">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lang w:eastAsia="zh-CN"/>
                <w14:textFill>
                  <w14:solidFill>
                    <w14:schemeClr w14:val="tx1"/>
                  </w14:solidFill>
                </w14:textFill>
              </w:rPr>
              <w:t>⑥</w:t>
            </w:r>
            <w:r>
              <w:rPr>
                <w:rFonts w:hint="eastAsia"/>
                <w:bCs/>
                <w:color w:val="000000" w:themeColor="text1"/>
                <w:sz w:val="24"/>
                <w:szCs w:val="24"/>
                <w:highlight w:val="none"/>
                <w14:textFill>
                  <w14:solidFill>
                    <w14:schemeClr w14:val="tx1"/>
                  </w14:solidFill>
                </w14:textFill>
              </w:rPr>
              <w:t>处置单位在运输危险废弃物时必须配备押运人员，并随时处于押运人员的监管之下，不得超装、超载，严格按照所在城市规定的行车时间和行车路线行驶，不得进入危险化学品运输车辆禁止通行的区域。</w:t>
            </w:r>
          </w:p>
          <w:p w14:paraId="5185CF58">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lang w:eastAsia="zh-CN"/>
                <w14:textFill>
                  <w14:solidFill>
                    <w14:schemeClr w14:val="tx1"/>
                  </w14:solidFill>
                </w14:textFill>
              </w:rPr>
              <w:t>⑦</w:t>
            </w:r>
            <w:r>
              <w:rPr>
                <w:rFonts w:hint="eastAsia"/>
                <w:bCs/>
                <w:color w:val="000000" w:themeColor="text1"/>
                <w:sz w:val="24"/>
                <w:szCs w:val="24"/>
                <w:highlight w:val="none"/>
                <w14:textFill>
                  <w14:solidFill>
                    <w14:schemeClr w14:val="tx1"/>
                  </w14:solidFill>
                </w14:textFill>
              </w:rPr>
              <w:t>危险废弃物在运输途中若发生被盗、丢失、流散、泄漏等情况时，公司及押运人员必须立即向当地公安部门报告，并采取一切可能的警示措施。</w:t>
            </w:r>
          </w:p>
          <w:p w14:paraId="4F90AF3F">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lang w:eastAsia="zh-CN"/>
                <w14:textFill>
                  <w14:solidFill>
                    <w14:schemeClr w14:val="tx1"/>
                  </w14:solidFill>
                </w14:textFill>
              </w:rPr>
              <w:t>⑧</w:t>
            </w:r>
            <w:r>
              <w:rPr>
                <w:rFonts w:hint="eastAsia"/>
                <w:bCs/>
                <w:color w:val="000000" w:themeColor="text1"/>
                <w:sz w:val="24"/>
                <w:szCs w:val="24"/>
                <w:highlight w:val="none"/>
                <w14:textFill>
                  <w14:solidFill>
                    <w14:schemeClr w14:val="tx1"/>
                  </w14:solidFill>
                </w14:textFill>
              </w:rPr>
              <w:t>一旦发生废弃物泄漏事故，公司和废弃物处置单位都应积极协助有关部门采取必要的安全措施，减少事故损失，防止事故蔓延、扩大；针对事故对人体、动植物、土壤、水源、空气造成的现实危害和可能产生的危害，应迅速采取封闭、隔离、洗消等措施，并对事故造成的危害进行监测、处置，直至符合国家环境保护标准。</w:t>
            </w:r>
          </w:p>
          <w:p w14:paraId="6B72A043">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lang w:eastAsia="zh-CN"/>
                <w14:textFill>
                  <w14:solidFill>
                    <w14:schemeClr w14:val="tx1"/>
                  </w14:solidFill>
                </w14:textFill>
              </w:rPr>
              <w:t>（</w:t>
            </w:r>
            <w:r>
              <w:rPr>
                <w:rFonts w:hint="eastAsia"/>
                <w:b/>
                <w:bCs w:val="0"/>
                <w:color w:val="000000" w:themeColor="text1"/>
                <w:sz w:val="24"/>
                <w:szCs w:val="24"/>
                <w:highlight w:val="none"/>
                <w:lang w:val="en-US" w:eastAsia="zh-CN"/>
                <w14:textFill>
                  <w14:solidFill>
                    <w14:schemeClr w14:val="tx1"/>
                  </w14:solidFill>
                </w14:textFill>
              </w:rPr>
              <w:t>4</w:t>
            </w:r>
            <w:r>
              <w:rPr>
                <w:rFonts w:hint="eastAsia"/>
                <w:b/>
                <w:bCs w:val="0"/>
                <w:color w:val="000000" w:themeColor="text1"/>
                <w:sz w:val="24"/>
                <w:szCs w:val="24"/>
                <w:highlight w:val="none"/>
                <w:lang w:eastAsia="zh-CN"/>
                <w14:textFill>
                  <w14:solidFill>
                    <w14:schemeClr w14:val="tx1"/>
                  </w14:solidFill>
                </w14:textFill>
              </w:rPr>
              <w:t>）</w:t>
            </w:r>
            <w:r>
              <w:rPr>
                <w:rFonts w:hint="eastAsia"/>
                <w:b/>
                <w:bCs w:val="0"/>
                <w:color w:val="000000" w:themeColor="text1"/>
                <w:sz w:val="24"/>
                <w:szCs w:val="24"/>
                <w:highlight w:val="none"/>
                <w14:textFill>
                  <w14:solidFill>
                    <w14:schemeClr w14:val="tx1"/>
                  </w14:solidFill>
                </w14:textFill>
              </w:rPr>
              <w:t>危险废物管理制度：</w:t>
            </w:r>
          </w:p>
          <w:p w14:paraId="00CA82C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①危险废物的收集、暂存、转移、综合利用活动必须遵守国家和地方有关规定。</w:t>
            </w:r>
          </w:p>
          <w:p w14:paraId="5E51455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②危险废物的容器和包装物以及收集、暂存、转移、处置危险废物的设施、场所，必须设置危险废物识别标志。</w:t>
            </w:r>
          </w:p>
          <w:p w14:paraId="57766D4D">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③对危险废物暂时贮存场所要加强管理，定期巡检，确保危险废物不扩散、不渗漏、不丢失等。</w:t>
            </w:r>
          </w:p>
          <w:p w14:paraId="6EA611CA">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④制定危险废物管理计划，并向区环境保护部门申报危险废物的种类、产生量、流向、贮存、处置等有关资料。</w:t>
            </w:r>
          </w:p>
          <w:p w14:paraId="3010791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⑤禁止向环境倾倒、堆置危险废物。</w:t>
            </w:r>
          </w:p>
          <w:p w14:paraId="063758E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⑥禁止将危险废物混入非危险废物中收集、暂存、转移、处置。</w:t>
            </w:r>
          </w:p>
          <w:p w14:paraId="3631684B">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⑦禁止将危险废物转移至无危险废物经营资质的单位。</w:t>
            </w:r>
          </w:p>
          <w:p w14:paraId="1BFEE7EC">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lang w:eastAsia="zh-CN"/>
                <w14:textFill>
                  <w14:solidFill>
                    <w14:schemeClr w14:val="tx1"/>
                  </w14:solidFill>
                </w14:textFill>
              </w:rPr>
              <w:t>⑧</w:t>
            </w:r>
            <w:r>
              <w:rPr>
                <w:rFonts w:hint="eastAsia"/>
                <w:bCs/>
                <w:color w:val="000000" w:themeColor="text1"/>
                <w:sz w:val="24"/>
                <w:szCs w:val="24"/>
                <w:highlight w:val="none"/>
                <w14:textFill>
                  <w14:solidFill>
                    <w14:schemeClr w14:val="tx1"/>
                  </w14:solidFill>
                </w14:textFill>
              </w:rPr>
              <w:t>运输危险废物，必须采取防止污染环境的措施，并遵守国家有关危险货物运输管理的规定。禁止将危险废物与旅客在同一运输工具上载运。</w:t>
            </w:r>
          </w:p>
          <w:p w14:paraId="0A15D94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lang w:eastAsia="zh-CN"/>
                <w14:textFill>
                  <w14:solidFill>
                    <w14:schemeClr w14:val="tx1"/>
                  </w14:solidFill>
                </w14:textFill>
              </w:rPr>
              <w:t>⑨</w:t>
            </w:r>
            <w:r>
              <w:rPr>
                <w:rFonts w:hint="eastAsia"/>
                <w:bCs/>
                <w:color w:val="000000" w:themeColor="text1"/>
                <w:sz w:val="24"/>
                <w:szCs w:val="24"/>
                <w:highlight w:val="none"/>
                <w14:textFill>
                  <w14:solidFill>
                    <w14:schemeClr w14:val="tx1"/>
                  </w14:solidFill>
                </w14:textFill>
              </w:rPr>
              <w:t>制定危险废物污染事故防范措施和应急预案，并</w:t>
            </w:r>
            <w:r>
              <w:rPr>
                <w:rFonts w:hint="eastAsia"/>
                <w:bCs/>
                <w:color w:val="000000" w:themeColor="text1"/>
                <w:szCs w:val="24"/>
                <w:highlight w:val="none"/>
                <w14:textFill>
                  <w14:solidFill>
                    <w14:schemeClr w14:val="tx1"/>
                  </w14:solidFill>
                </w14:textFill>
              </w:rPr>
              <w:t>报所在地生态环境主管部门和其他赋有固体废物污染防治监督管理职责的部门备案</w:t>
            </w:r>
            <w:r>
              <w:rPr>
                <w:rFonts w:hint="eastAsia"/>
                <w:bCs/>
                <w:color w:val="000000" w:themeColor="text1"/>
                <w:sz w:val="24"/>
                <w:szCs w:val="24"/>
                <w:highlight w:val="none"/>
                <w14:textFill>
                  <w14:solidFill>
                    <w14:schemeClr w14:val="tx1"/>
                  </w14:solidFill>
                </w14:textFill>
              </w:rPr>
              <w:t>，建立健全危险废物管理台账。</w:t>
            </w:r>
          </w:p>
          <w:p w14:paraId="658A4062">
            <w:pPr>
              <w:widowControl/>
              <w:spacing w:line="360" w:lineRule="auto"/>
              <w:ind w:firstLine="480" w:firstLineChars="200"/>
              <w:jc w:val="left"/>
              <w:rPr>
                <w:rFonts w:hint="default" w:ascii="Times New Roman" w:hAnsi="Times New Roman" w:cs="Times New Roman"/>
                <w:caps w:val="0"/>
                <w:color w:val="000000" w:themeColor="text1"/>
                <w:kern w:val="0"/>
                <w:sz w:val="24"/>
                <w:highlight w:val="none"/>
                <w:lang w:bidi="ar"/>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⑩因发生事故或者其他突发性事件，造成危险废物严重污染环境时，必须立即采取措施消除或者减轻对环境的污染危害，及时通报可能受到污染危害的单位和居民，并向市生态环境部门和有关部门报告，接受调查处理。</w:t>
            </w:r>
          </w:p>
          <w:p w14:paraId="135E0A37">
            <w:pPr>
              <w:adjustRightInd w:val="0"/>
              <w:snapToGrid w:val="0"/>
              <w:ind w:firstLine="480"/>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综上所述，在采取以上措施后，项目运营期产生的固体废弃物去向明确，处置合理，不会造成二次污染。</w:t>
            </w:r>
          </w:p>
          <w:p w14:paraId="0F079EC3">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5、地下水、土壤环境影响分析</w:t>
            </w:r>
          </w:p>
          <w:p w14:paraId="225B9981">
            <w:pPr>
              <w:autoSpaceDE w:val="0"/>
              <w:autoSpaceDN w:val="0"/>
              <w:adjustRightInd w:val="0"/>
              <w:snapToGrid w:val="0"/>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（1）防治地下水污染控制措施的原则</w:t>
            </w:r>
          </w:p>
          <w:p w14:paraId="2F1CBA1D">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cs="Times New Roman"/>
                <w:color w:val="000000" w:themeColor="text1"/>
                <w:kern w:val="0"/>
                <w:szCs w:val="21"/>
                <w14:textFill>
                  <w14:solidFill>
                    <w14:schemeClr w14:val="tx1"/>
                  </w14:solidFill>
                </w14:textFill>
              </w:rPr>
              <w:t>为防止项目建设对地下水环境</w:t>
            </w:r>
            <w:r>
              <w:rPr>
                <w:rFonts w:hint="eastAsia" w:ascii="宋体" w:hAnsi="宋体" w:eastAsia="宋体" w:cs="宋体"/>
                <w:color w:val="000000" w:themeColor="text1"/>
                <w:kern w:val="0"/>
                <w:szCs w:val="21"/>
                <w14:textFill>
                  <w14:solidFill>
                    <w14:schemeClr w14:val="tx1"/>
                  </w14:solidFill>
                </w14:textFill>
              </w:rPr>
              <w:t>造成污染，建设单位应坚持“源头控制、监管、应急响应”的</w:t>
            </w:r>
            <w:r>
              <w:rPr>
                <w:rFonts w:cs="Times New Roman"/>
                <w:color w:val="000000" w:themeColor="text1"/>
                <w:kern w:val="0"/>
                <w:szCs w:val="21"/>
                <w14:textFill>
                  <w14:solidFill>
                    <w14:schemeClr w14:val="tx1"/>
                  </w14:solidFill>
                </w14:textFill>
              </w:rPr>
              <w:t>原则，即采取主动控制和被动控制相结合的措施。</w:t>
            </w:r>
          </w:p>
          <w:p w14:paraId="7C1CB29D">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①</w:t>
            </w:r>
            <w:r>
              <w:rPr>
                <w:rFonts w:cs="Times New Roman"/>
                <w:color w:val="000000" w:themeColor="text1"/>
                <w:kern w:val="0"/>
                <w:szCs w:val="21"/>
                <w14:textFill>
                  <w14:solidFill>
                    <w14:schemeClr w14:val="tx1"/>
                  </w14:solidFill>
                </w14:textFill>
              </w:rPr>
              <w:t>主动控制即从源头控制措施，将污染物泄漏的环境风险事故降到最低程度。</w:t>
            </w:r>
            <w:r>
              <w:rPr>
                <w:rFonts w:hint="eastAsia" w:ascii="宋体" w:hAnsi="宋体" w:cs="宋体"/>
                <w:color w:val="000000" w:themeColor="text1"/>
                <w:kern w:val="0"/>
                <w:szCs w:val="21"/>
                <w14:textFill>
                  <w14:solidFill>
                    <w14:schemeClr w14:val="tx1"/>
                  </w14:solidFill>
                </w14:textFill>
              </w:rPr>
              <w:t>②</w:t>
            </w:r>
            <w:r>
              <w:rPr>
                <w:rFonts w:cs="Times New Roman"/>
                <w:color w:val="000000" w:themeColor="text1"/>
                <w:kern w:val="0"/>
                <w:szCs w:val="21"/>
                <w14:textFill>
                  <w14:solidFill>
                    <w14:schemeClr w14:val="tx1"/>
                  </w14:solidFill>
                </w14:textFill>
              </w:rPr>
              <w:t>被动控制即末端控制措施，主要包括厂区污染区地面的防渗措施和泄漏、渗漏污染物收集措施，即在污染区地面进行防渗处理，防止洒落地面的污染物渗入地下。</w:t>
            </w:r>
          </w:p>
          <w:p w14:paraId="73FD2732">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②</w:t>
            </w:r>
            <w:r>
              <w:rPr>
                <w:rFonts w:cs="Times New Roman"/>
                <w:color w:val="000000" w:themeColor="text1"/>
                <w:kern w:val="0"/>
                <w:szCs w:val="21"/>
                <w14:textFill>
                  <w14:solidFill>
                    <w14:schemeClr w14:val="tx1"/>
                  </w14:solidFill>
                </w14:textFill>
              </w:rPr>
              <w:t>被动控制即末端控制措施，主要包括厂区污染区地面的防渗措施和泄漏、渗漏污染物收集措施，即在污染区地面进行防渗处理，防止洒落地面的污染物渗入地下。</w:t>
            </w:r>
          </w:p>
          <w:p w14:paraId="51D5943C">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③</w:t>
            </w:r>
            <w:r>
              <w:rPr>
                <w:rFonts w:cs="Times New Roman"/>
                <w:color w:val="000000" w:themeColor="text1"/>
                <w:kern w:val="0"/>
                <w:szCs w:val="21"/>
                <w14:textFill>
                  <w14:solidFill>
                    <w14:schemeClr w14:val="tx1"/>
                  </w14:solidFill>
                </w14:textFill>
              </w:rPr>
              <w:t>以重点装置区为主，一般生产区为辅；事故易发区为主，一般区为辅。</w:t>
            </w:r>
          </w:p>
          <w:p w14:paraId="09A4B15E">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④</w:t>
            </w:r>
            <w:r>
              <w:rPr>
                <w:rFonts w:cs="Times New Roman"/>
                <w:color w:val="000000" w:themeColor="text1"/>
                <w:kern w:val="0"/>
                <w:szCs w:val="21"/>
                <w14:textFill>
                  <w14:solidFill>
                    <w14:schemeClr w14:val="tx1"/>
                  </w14:solidFill>
                </w14:textFill>
              </w:rPr>
              <w:t>应急响应措施，包括一旦发现地下水污染事故，立即启动应急预案、采取应急措施控制地下水污染，并使污染得到治理。</w:t>
            </w:r>
          </w:p>
          <w:p w14:paraId="0E352863">
            <w:pPr>
              <w:wordWrap w:val="0"/>
              <w:ind w:firstLine="482"/>
              <w:jc w:val="left"/>
              <w:rPr>
                <w:rFonts w:cs="Times New Roman"/>
                <w:b/>
                <w:bCs/>
                <w:color w:val="000000" w:themeColor="text1"/>
                <w:kern w:val="0"/>
                <w:lang w:bidi="ar"/>
                <w14:textFill>
                  <w14:solidFill>
                    <w14:schemeClr w14:val="tx1"/>
                  </w14:solidFill>
                </w14:textFill>
              </w:rPr>
            </w:pPr>
            <w:r>
              <w:rPr>
                <w:rFonts w:cs="Times New Roman"/>
                <w:b/>
                <w:bCs/>
                <w:color w:val="000000" w:themeColor="text1"/>
                <w:kern w:val="0"/>
                <w:lang w:bidi="ar"/>
                <w14:textFill>
                  <w14:solidFill>
                    <w14:schemeClr w14:val="tx1"/>
                  </w14:solidFill>
                </w14:textFill>
              </w:rPr>
              <w:t>（2）源头控制措施</w:t>
            </w:r>
          </w:p>
          <w:p w14:paraId="285B0B26">
            <w:pPr>
              <w:wordWrap w:val="0"/>
              <w:ind w:firstLine="480"/>
              <w:jc w:val="left"/>
              <w:rPr>
                <w:rFonts w:cs="Times New Roman"/>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w:t>
            </w:r>
            <w:r>
              <w:rPr>
                <w:rFonts w:cs="Times New Roman"/>
                <w:color w:val="000000" w:themeColor="text1"/>
                <w:kern w:val="0"/>
                <w:lang w:bidi="ar"/>
                <w14:textFill>
                  <w14:solidFill>
                    <w14:schemeClr w14:val="tx1"/>
                  </w14:solidFill>
                </w14:textFill>
              </w:rPr>
              <w:t>积极推行实施清洁生产，实现废水的循环利用，减少污染物的排放量</w:t>
            </w:r>
            <w:r>
              <w:rPr>
                <w:rFonts w:hint="eastAsia" w:cs="Times New Roman"/>
                <w:color w:val="000000" w:themeColor="text1"/>
                <w:kern w:val="0"/>
                <w:lang w:eastAsia="zh-CN" w:bidi="ar"/>
                <w14:textFill>
                  <w14:solidFill>
                    <w14:schemeClr w14:val="tx1"/>
                  </w14:solidFill>
                </w14:textFill>
              </w:rPr>
              <w:t>；</w:t>
            </w:r>
          </w:p>
          <w:p w14:paraId="47C77896">
            <w:pPr>
              <w:wordWrap w:val="0"/>
              <w:ind w:firstLine="480"/>
              <w:jc w:val="left"/>
              <w:rPr>
                <w:rFonts w:cs="Times New Roman"/>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w:t>
            </w:r>
            <w:r>
              <w:rPr>
                <w:rFonts w:cs="Times New Roman"/>
                <w:color w:val="000000" w:themeColor="text1"/>
                <w:kern w:val="0"/>
                <w:lang w:bidi="ar"/>
                <w14:textFill>
                  <w14:solidFill>
                    <w14:schemeClr w14:val="tx1"/>
                  </w14:solidFill>
                </w14:textFill>
              </w:rPr>
              <w:t>根据国家现行相关规范加强环境管理，采取防止和降低污染物跑、冒、滴、漏的措施。正常生产过程中应加强巡检及时处理污染物跑、冒、滴、漏，同时应加强对防渗工程的检查，若发现防渗密封材料老化或损坏，应及时维修更换</w:t>
            </w:r>
            <w:r>
              <w:rPr>
                <w:rFonts w:hint="eastAsia" w:cs="Times New Roman"/>
                <w:color w:val="000000" w:themeColor="text1"/>
                <w:kern w:val="0"/>
                <w:lang w:eastAsia="zh-CN" w:bidi="ar"/>
                <w14:textFill>
                  <w14:solidFill>
                    <w14:schemeClr w14:val="tx1"/>
                  </w14:solidFill>
                </w14:textFill>
              </w:rPr>
              <w:t>；</w:t>
            </w:r>
          </w:p>
          <w:p w14:paraId="4A69ECC8">
            <w:pPr>
              <w:wordWrap w:val="0"/>
              <w:ind w:firstLine="480"/>
              <w:jc w:val="left"/>
              <w:rPr>
                <w:rFonts w:cs="Times New Roman"/>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w:t>
            </w:r>
            <w:r>
              <w:rPr>
                <w:rFonts w:cs="Times New Roman"/>
                <w:color w:val="000000" w:themeColor="text1"/>
                <w:kern w:val="0"/>
                <w:lang w:bidi="ar"/>
                <w14:textFill>
                  <w14:solidFill>
                    <w14:schemeClr w14:val="tx1"/>
                  </w14:solidFill>
                </w14:textFill>
              </w:rPr>
              <w:t>对工艺、管道、设备采取控制措施，防止污染物的跑、冒滴、漏，将污染物泄漏的环境风险事故降到最低限度。</w:t>
            </w:r>
          </w:p>
          <w:p w14:paraId="5CAD89C6">
            <w:pPr>
              <w:widowControl/>
              <w:ind w:firstLine="482"/>
              <w:jc w:val="left"/>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（3）防渗措施</w:t>
            </w:r>
          </w:p>
          <w:p w14:paraId="088B57F6">
            <w:pPr>
              <w:wordWrap w:val="0"/>
              <w:ind w:firstLine="480"/>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为了降低本项目对地下水环境造成的影响，项目应严格按照《环境影响评价技术导则-地下水环境》（HJ610-2016）、《中华人民共和国水污染防治法》及《国务院关于印发土壤污染防治行动计划的通知》（国发〔2016〕31号）、《环境影响评价技术导则土壤环境（试行）》（HJ964-2018）的相关规定，按</w:t>
            </w:r>
            <w:r>
              <w:rPr>
                <w:rFonts w:hint="eastAsia" w:ascii="宋体" w:hAnsi="宋体" w:eastAsia="宋体" w:cs="宋体"/>
                <w:color w:val="000000" w:themeColor="text1"/>
                <w14:textFill>
                  <w14:solidFill>
                    <w14:schemeClr w14:val="tx1"/>
                  </w14:solidFill>
                </w14:textFill>
              </w:rPr>
              <w:t>照“源头控制、分区防治、污染监控、应急响应”的原则进行地下水、</w:t>
            </w:r>
            <w:r>
              <w:rPr>
                <w:rFonts w:cs="Times New Roman"/>
                <w:color w:val="000000" w:themeColor="text1"/>
                <w14:textFill>
                  <w14:solidFill>
                    <w14:schemeClr w14:val="tx1"/>
                  </w14:solidFill>
                </w14:textFill>
              </w:rPr>
              <w:t>土壤污染防治控制，本项目运营期产生危废和废水，如果管理不善，会因入渗而污染地下水。本项目产生的污水如果渗排、漏排，固体废物乱堆乱放，污染物经过土壤过滤、吸附、离子交换、沉淀、水解及生物积累等过程使部分污染物渗入地下，将对地下水造成严重污染。为保护该地下水，项目内防渗分区分为重点防渗区、一般防渗分区。具体措施如下：</w:t>
            </w:r>
          </w:p>
          <w:p w14:paraId="39B2DAE8">
            <w:pPr>
              <w:pStyle w:val="12"/>
              <w:spacing w:after="0"/>
              <w:rPr>
                <w:rFonts w:cs="Times New Roman"/>
                <w:color w:val="000000" w:themeColor="text1"/>
                <w:sz w:val="24"/>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12</w:t>
            </w:r>
            <w:r>
              <w:rPr>
                <w:rFonts w:cs="Times New Roman"/>
                <w:color w:val="000000" w:themeColor="text1"/>
                <w14:textFill>
                  <w14:solidFill>
                    <w14:schemeClr w14:val="tx1"/>
                  </w14:solidFill>
                </w14:textFill>
              </w:rPr>
              <w:t xml:space="preserve"> 项目分区防渗一览表</w:t>
            </w:r>
          </w:p>
          <w:tbl>
            <w:tblPr>
              <w:tblStyle w:val="29"/>
              <w:tblW w:w="4967"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666"/>
              <w:gridCol w:w="3526"/>
              <w:gridCol w:w="1531"/>
            </w:tblGrid>
            <w:tr w14:paraId="3081273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tcBorders>
                    <w:tl2br w:val="nil"/>
                    <w:tr2bl w:val="nil"/>
                  </w:tcBorders>
                  <w:shd w:val="clear" w:color="auto" w:fill="auto"/>
                  <w:vAlign w:val="center"/>
                </w:tcPr>
                <w:p w14:paraId="1D84D60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防渗分区</w:t>
                  </w:r>
                </w:p>
              </w:tc>
              <w:tc>
                <w:tcPr>
                  <w:tcW w:w="1481" w:type="pct"/>
                  <w:tcBorders>
                    <w:tl2br w:val="nil"/>
                    <w:tr2bl w:val="nil"/>
                  </w:tcBorders>
                  <w:shd w:val="clear" w:color="auto" w:fill="auto"/>
                  <w:vAlign w:val="center"/>
                </w:tcPr>
                <w:p w14:paraId="0C141CB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防渗区域</w:t>
                  </w:r>
                </w:p>
              </w:tc>
              <w:tc>
                <w:tcPr>
                  <w:tcW w:w="1958" w:type="pct"/>
                  <w:tcBorders>
                    <w:tl2br w:val="nil"/>
                    <w:tr2bl w:val="nil"/>
                  </w:tcBorders>
                  <w:shd w:val="clear" w:color="auto" w:fill="auto"/>
                  <w:vAlign w:val="center"/>
                </w:tcPr>
                <w:p w14:paraId="7A9E8593">
                  <w:pPr>
                    <w:pStyle w:val="51"/>
                    <w:rPr>
                      <w:rFonts w:hint="eastAsia" w:eastAsia="宋体" w:cs="Times New Roman"/>
                      <w:color w:val="000000" w:themeColor="text1"/>
                      <w:lang w:eastAsia="zh-CN"/>
                      <w14:textFill>
                        <w14:solidFill>
                          <w14:schemeClr w14:val="tx1"/>
                        </w14:solidFill>
                      </w14:textFill>
                    </w:rPr>
                  </w:pPr>
                  <w:r>
                    <w:rPr>
                      <w:rFonts w:cs="Times New Roman"/>
                      <w:color w:val="000000" w:themeColor="text1"/>
                      <w14:textFill>
                        <w14:solidFill>
                          <w14:schemeClr w14:val="tx1"/>
                        </w14:solidFill>
                      </w14:textFill>
                    </w:rPr>
                    <w:t>防渗</w:t>
                  </w:r>
                  <w:r>
                    <w:rPr>
                      <w:rFonts w:hint="eastAsia" w:cs="Times New Roman"/>
                      <w:color w:val="000000" w:themeColor="text1"/>
                      <w:lang w:val="en-US" w:eastAsia="zh-CN"/>
                      <w14:textFill>
                        <w14:solidFill>
                          <w14:schemeClr w14:val="tx1"/>
                        </w14:solidFill>
                      </w14:textFill>
                    </w:rPr>
                    <w:t>措施</w:t>
                  </w:r>
                </w:p>
              </w:tc>
              <w:tc>
                <w:tcPr>
                  <w:tcW w:w="850" w:type="pct"/>
                  <w:tcBorders>
                    <w:tl2br w:val="nil"/>
                    <w:tr2bl w:val="nil"/>
                  </w:tcBorders>
                  <w:shd w:val="clear" w:color="auto" w:fill="auto"/>
                  <w:vAlign w:val="center"/>
                </w:tcPr>
                <w:p w14:paraId="2E77443A">
                  <w:pPr>
                    <w:pStyle w:val="51"/>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防渗技术要求</w:t>
                  </w:r>
                </w:p>
              </w:tc>
            </w:tr>
            <w:tr w14:paraId="3C59B85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restart"/>
                  <w:tcBorders>
                    <w:tl2br w:val="nil"/>
                    <w:tr2bl w:val="nil"/>
                  </w:tcBorders>
                  <w:shd w:val="clear" w:color="auto" w:fill="auto"/>
                  <w:vAlign w:val="center"/>
                </w:tcPr>
                <w:p w14:paraId="65CAEB2E">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重点防渗</w:t>
                  </w:r>
                </w:p>
              </w:tc>
              <w:tc>
                <w:tcPr>
                  <w:tcW w:w="1481" w:type="pct"/>
                  <w:tcBorders>
                    <w:tl2br w:val="nil"/>
                    <w:tr2bl w:val="nil"/>
                  </w:tcBorders>
                  <w:shd w:val="clear" w:color="auto" w:fill="auto"/>
                  <w:vAlign w:val="center"/>
                </w:tcPr>
                <w:p w14:paraId="34AD415E">
                  <w:pPr>
                    <w:pStyle w:val="13"/>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危废暂存间</w:t>
                  </w:r>
                </w:p>
              </w:tc>
              <w:tc>
                <w:tcPr>
                  <w:tcW w:w="1958" w:type="pct"/>
                  <w:tcBorders>
                    <w:tl2br w:val="nil"/>
                    <w:tr2bl w:val="nil"/>
                  </w:tcBorders>
                  <w:shd w:val="clear" w:color="auto" w:fill="auto"/>
                  <w:vAlign w:val="center"/>
                </w:tcPr>
                <w:p w14:paraId="75B17E13">
                  <w:pPr>
                    <w:pStyle w:val="13"/>
                    <w:rPr>
                      <w:rFonts w:cs="Times New Roman"/>
                      <w:bCs/>
                      <w:color w:val="000000" w:themeColor="text1"/>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防渗混凝土硬化+2mm厚人工防渗材料</w:t>
                  </w:r>
                  <w:r>
                    <w:rPr>
                      <w:rFonts w:hint="eastAsia" w:ascii="Times New Roman" w:hAnsi="Times New Roman" w:eastAsia="宋体" w:cs="Times New Roman"/>
                      <w:color w:val="000000" w:themeColor="text1"/>
                      <w:lang w:val="en-US" w:eastAsia="zh-CN" w:bidi="ar"/>
                      <w14:textFill>
                        <w14:solidFill>
                          <w14:schemeClr w14:val="tx1"/>
                        </w14:solidFill>
                      </w14:textFill>
                    </w:rPr>
                    <w:t>，危废暂存设置防渗托盘，将液态危险废物容器置于托盘内</w:t>
                  </w:r>
                </w:p>
              </w:tc>
              <w:tc>
                <w:tcPr>
                  <w:tcW w:w="850" w:type="pct"/>
                  <w:vMerge w:val="restart"/>
                  <w:tcBorders>
                    <w:tl2br w:val="nil"/>
                    <w:tr2bl w:val="nil"/>
                  </w:tcBorders>
                  <w:shd w:val="clear" w:color="auto" w:fill="auto"/>
                  <w:vAlign w:val="center"/>
                </w:tcPr>
                <w:p w14:paraId="529E706C">
                  <w:pPr>
                    <w:pStyle w:val="13"/>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等效粘土防渗层</w:t>
                  </w:r>
                  <w:r>
                    <w:rPr>
                      <w:rFonts w:hint="default" w:ascii="Times New Roman" w:hAnsi="Times New Roman" w:eastAsia="宋体" w:cs="Times New Roman"/>
                      <w:color w:val="000000" w:themeColor="text1"/>
                      <w:lang w:val="en-US" w:eastAsia="zh-CN" w:bidi="ar"/>
                      <w14:textFill>
                        <w14:solidFill>
                          <w14:schemeClr w14:val="tx1"/>
                        </w14:solidFill>
                      </w14:textFill>
                    </w:rPr>
                    <w:t>Mb≥6.0m</w:t>
                  </w:r>
                  <w:r>
                    <w:rPr>
                      <w:rFonts w:hint="eastAsia" w:ascii="Times New Roman" w:hAnsi="Times New Roman" w:eastAsia="宋体" w:cs="Times New Roman"/>
                      <w:color w:val="000000" w:themeColor="text1"/>
                      <w:lang w:val="en-US" w:eastAsia="zh-CN" w:bidi="ar"/>
                      <w14:textFill>
                        <w14:solidFill>
                          <w14:schemeClr w14:val="tx1"/>
                        </w14:solidFill>
                      </w14:textFill>
                    </w:rPr>
                    <w:t>，</w:t>
                  </w:r>
                </w:p>
                <w:p w14:paraId="0ECC306D">
                  <w:pPr>
                    <w:pStyle w:val="13"/>
                    <w:rPr>
                      <w:rFonts w:cs="Times New Roman"/>
                      <w:color w:val="000000" w:themeColor="text1"/>
                      <w:lang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K≤1×10</w:t>
                  </w:r>
                  <w:r>
                    <w:rPr>
                      <w:rFonts w:hint="default" w:ascii="Times New Roman" w:hAnsi="Times New Roman" w:eastAsia="宋体" w:cs="Times New Roman"/>
                      <w:color w:val="000000" w:themeColor="text1"/>
                      <w:vertAlign w:val="superscript"/>
                      <w:lang w:val="en-US" w:eastAsia="zh-CN" w:bidi="ar"/>
                      <w14:textFill>
                        <w14:solidFill>
                          <w14:schemeClr w14:val="tx1"/>
                        </w14:solidFill>
                      </w14:textFill>
                    </w:rPr>
                    <w:t>-</w:t>
                  </w:r>
                  <w:r>
                    <w:rPr>
                      <w:rFonts w:hint="eastAsia" w:cs="Times New Roman"/>
                      <w:color w:val="000000" w:themeColor="text1"/>
                      <w:vertAlign w:val="superscript"/>
                      <w:lang w:val="en-US" w:eastAsia="zh-CN" w:bidi="ar"/>
                      <w14:textFill>
                        <w14:solidFill>
                          <w14:schemeClr w14:val="tx1"/>
                        </w14:solidFill>
                      </w14:textFill>
                    </w:rPr>
                    <w:t>10</w:t>
                  </w:r>
                  <w:r>
                    <w:rPr>
                      <w:rFonts w:hint="default" w:ascii="Times New Roman" w:hAnsi="Times New Roman" w:eastAsia="宋体" w:cs="Times New Roman"/>
                      <w:color w:val="000000" w:themeColor="text1"/>
                      <w:lang w:val="en-US" w:eastAsia="zh-CN" w:bidi="ar"/>
                      <w14:textFill>
                        <w14:solidFill>
                          <w14:schemeClr w14:val="tx1"/>
                        </w14:solidFill>
                      </w14:textFill>
                    </w:rPr>
                    <w:t>cm/s</w:t>
                  </w:r>
                </w:p>
              </w:tc>
            </w:tr>
            <w:tr w14:paraId="5056978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tcBorders>
                    <w:tl2br w:val="nil"/>
                    <w:tr2bl w:val="nil"/>
                  </w:tcBorders>
                  <w:shd w:val="clear" w:color="auto" w:fill="auto"/>
                  <w:vAlign w:val="center"/>
                </w:tcPr>
                <w:p w14:paraId="30BB03B7">
                  <w:pPr>
                    <w:pStyle w:val="13"/>
                    <w:rPr>
                      <w:rFonts w:cs="Times New Roman"/>
                      <w:color w:val="000000" w:themeColor="text1"/>
                      <w14:textFill>
                        <w14:solidFill>
                          <w14:schemeClr w14:val="tx1"/>
                        </w14:solidFill>
                      </w14:textFill>
                    </w:rPr>
                  </w:pPr>
                </w:p>
              </w:tc>
              <w:tc>
                <w:tcPr>
                  <w:tcW w:w="1481" w:type="pct"/>
                  <w:tcBorders>
                    <w:tl2br w:val="nil"/>
                    <w:tr2bl w:val="nil"/>
                  </w:tcBorders>
                  <w:shd w:val="clear" w:color="auto" w:fill="auto"/>
                  <w:vAlign w:val="center"/>
                </w:tcPr>
                <w:p w14:paraId="118A4FB0">
                  <w:pPr>
                    <w:pStyle w:val="13"/>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水基岩屑储存池、渗滤液池</w:t>
                  </w:r>
                </w:p>
              </w:tc>
              <w:tc>
                <w:tcPr>
                  <w:tcW w:w="1958" w:type="pct"/>
                  <w:tcBorders>
                    <w:tl2br w:val="nil"/>
                    <w:tr2bl w:val="nil"/>
                  </w:tcBorders>
                  <w:shd w:val="clear" w:color="auto" w:fill="auto"/>
                  <w:vAlign w:val="center"/>
                </w:tcPr>
                <w:p w14:paraId="021FC781">
                  <w:pPr>
                    <w:pStyle w:val="13"/>
                    <w:rPr>
                      <w:rFonts w:hint="default" w:eastAsia="宋体" w:cs="Times New Roman"/>
                      <w:color w:val="000000" w:themeColor="text1"/>
                      <w:lang w:val="en-US" w:eastAsia="zh-CN" w:bidi="ar"/>
                      <w14:textFill>
                        <w14:solidFill>
                          <w14:schemeClr w14:val="tx1"/>
                        </w14:solidFill>
                      </w14:textFill>
                    </w:rPr>
                  </w:pPr>
                  <w:r>
                    <w:rPr>
                      <w:rFonts w:hint="eastAsia"/>
                      <w:color w:val="000000" w:themeColor="text1"/>
                      <w:lang w:val="en-US" w:eastAsia="zh-CN"/>
                      <w14:textFill>
                        <w14:solidFill>
                          <w14:schemeClr w14:val="tx1"/>
                        </w14:solidFill>
                      </w14:textFill>
                    </w:rPr>
                    <w:t>2mm厚HDPE防渗膜+强度等级为C30且</w:t>
                  </w:r>
                  <w:r>
                    <w:rPr>
                      <w:rFonts w:hint="eastAsia" w:cs="Times New Roman"/>
                      <w:color w:val="000000" w:themeColor="text1"/>
                      <w:lang w:val="en-US" w:eastAsia="zh-CN" w:bidi="ar"/>
                      <w14:textFill>
                        <w14:solidFill>
                          <w14:schemeClr w14:val="tx1"/>
                        </w14:solidFill>
                      </w14:textFill>
                    </w:rPr>
                    <w:t>抗渗等级为P6的混凝土硬化</w:t>
                  </w:r>
                </w:p>
              </w:tc>
              <w:tc>
                <w:tcPr>
                  <w:tcW w:w="850" w:type="pct"/>
                  <w:vMerge w:val="continue"/>
                  <w:tcBorders>
                    <w:tl2br w:val="nil"/>
                    <w:tr2bl w:val="nil"/>
                  </w:tcBorders>
                  <w:shd w:val="clear" w:color="auto" w:fill="auto"/>
                  <w:vAlign w:val="center"/>
                </w:tcPr>
                <w:p w14:paraId="1835504F">
                  <w:pPr>
                    <w:pStyle w:val="13"/>
                    <w:rPr>
                      <w:rFonts w:cs="Times New Roman"/>
                      <w:color w:val="000000" w:themeColor="text1"/>
                      <w:lang w:bidi="ar"/>
                      <w14:textFill>
                        <w14:solidFill>
                          <w14:schemeClr w14:val="tx1"/>
                        </w14:solidFill>
                      </w14:textFill>
                    </w:rPr>
                  </w:pPr>
                </w:p>
              </w:tc>
            </w:tr>
            <w:tr w14:paraId="4C660D2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tcBorders>
                    <w:tl2br w:val="nil"/>
                    <w:tr2bl w:val="nil"/>
                  </w:tcBorders>
                  <w:shd w:val="clear" w:color="auto" w:fill="auto"/>
                  <w:vAlign w:val="center"/>
                </w:tcPr>
                <w:p w14:paraId="58B35A65">
                  <w:pPr>
                    <w:pStyle w:val="13"/>
                    <w:rPr>
                      <w:rFonts w:cs="Times New Roman"/>
                      <w:color w:val="000000" w:themeColor="text1"/>
                      <w14:textFill>
                        <w14:solidFill>
                          <w14:schemeClr w14:val="tx1"/>
                        </w14:solidFill>
                      </w14:textFill>
                    </w:rPr>
                  </w:pPr>
                </w:p>
              </w:tc>
              <w:tc>
                <w:tcPr>
                  <w:tcW w:w="1481" w:type="pct"/>
                  <w:tcBorders>
                    <w:tl2br w:val="nil"/>
                    <w:tr2bl w:val="nil"/>
                  </w:tcBorders>
                  <w:shd w:val="clear" w:color="auto" w:fill="auto"/>
                  <w:vAlign w:val="center"/>
                </w:tcPr>
                <w:p w14:paraId="04AFA684">
                  <w:pPr>
                    <w:pStyle w:val="13"/>
                    <w:rPr>
                      <w:rFonts w:hint="default"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水基岩屑预处理区域、干水基岩屑堆存区、物料装卸区</w:t>
                  </w:r>
                </w:p>
              </w:tc>
              <w:tc>
                <w:tcPr>
                  <w:tcW w:w="1958" w:type="pct"/>
                  <w:tcBorders>
                    <w:tl2br w:val="nil"/>
                    <w:tr2bl w:val="nil"/>
                  </w:tcBorders>
                  <w:shd w:val="clear" w:color="auto" w:fill="auto"/>
                  <w:vAlign w:val="center"/>
                </w:tcPr>
                <w:p w14:paraId="6193CA2D">
                  <w:pPr>
                    <w:pStyle w:val="13"/>
                    <w:rPr>
                      <w:rFonts w:cs="Times New Roman"/>
                      <w:color w:val="000000" w:themeColor="text1"/>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防渗混凝土硬化+2mm厚人工防渗材料</w:t>
                  </w:r>
                </w:p>
              </w:tc>
              <w:tc>
                <w:tcPr>
                  <w:tcW w:w="850" w:type="pct"/>
                  <w:vMerge w:val="continue"/>
                  <w:tcBorders>
                    <w:tl2br w:val="nil"/>
                    <w:tr2bl w:val="nil"/>
                  </w:tcBorders>
                  <w:shd w:val="clear" w:color="auto" w:fill="auto"/>
                  <w:vAlign w:val="center"/>
                </w:tcPr>
                <w:p w14:paraId="7DC01156">
                  <w:pPr>
                    <w:pStyle w:val="13"/>
                    <w:rPr>
                      <w:rFonts w:cs="Times New Roman"/>
                      <w:color w:val="000000" w:themeColor="text1"/>
                      <w:lang w:bidi="ar"/>
                      <w14:textFill>
                        <w14:solidFill>
                          <w14:schemeClr w14:val="tx1"/>
                        </w14:solidFill>
                      </w14:textFill>
                    </w:rPr>
                  </w:pPr>
                </w:p>
              </w:tc>
            </w:tr>
            <w:tr w14:paraId="469380E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restart"/>
                  <w:tcBorders>
                    <w:tl2br w:val="nil"/>
                    <w:tr2bl w:val="nil"/>
                  </w:tcBorders>
                  <w:shd w:val="clear" w:color="auto" w:fill="auto"/>
                  <w:vAlign w:val="center"/>
                </w:tcPr>
                <w:p w14:paraId="267E993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一般防渗区</w:t>
                  </w:r>
                </w:p>
              </w:tc>
              <w:tc>
                <w:tcPr>
                  <w:tcW w:w="1481" w:type="pct"/>
                  <w:tcBorders>
                    <w:tl2br w:val="nil"/>
                    <w:tr2bl w:val="nil"/>
                  </w:tcBorders>
                  <w:shd w:val="clear" w:color="auto" w:fill="auto"/>
                  <w:vAlign w:val="center"/>
                </w:tcPr>
                <w:p w14:paraId="32803B67">
                  <w:pPr>
                    <w:pStyle w:val="13"/>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洗车区</w:t>
                  </w:r>
                </w:p>
              </w:tc>
              <w:tc>
                <w:tcPr>
                  <w:tcW w:w="1958" w:type="pct"/>
                  <w:tcBorders>
                    <w:tl2br w:val="nil"/>
                    <w:tr2bl w:val="nil"/>
                  </w:tcBorders>
                  <w:shd w:val="clear" w:color="auto" w:fill="auto"/>
                  <w:vAlign w:val="center"/>
                </w:tcPr>
                <w:p w14:paraId="334F8D69">
                  <w:pPr>
                    <w:pStyle w:val="13"/>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防渗混凝土硬化</w:t>
                  </w:r>
                </w:p>
              </w:tc>
              <w:tc>
                <w:tcPr>
                  <w:tcW w:w="850" w:type="pct"/>
                  <w:vMerge w:val="restart"/>
                  <w:tcBorders>
                    <w:tl2br w:val="nil"/>
                    <w:tr2bl w:val="nil"/>
                  </w:tcBorders>
                  <w:shd w:val="clear" w:color="auto" w:fill="auto"/>
                  <w:vAlign w:val="center"/>
                </w:tcPr>
                <w:p w14:paraId="4A413CB4">
                  <w:pPr>
                    <w:pStyle w:val="13"/>
                    <w:rPr>
                      <w:rFonts w:cs="Times New Roman"/>
                      <w:color w:val="000000" w:themeColor="text1"/>
                      <w:lang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等效粘土防渗层</w:t>
                  </w:r>
                  <w:r>
                    <w:rPr>
                      <w:rFonts w:hint="default" w:ascii="Times New Roman" w:hAnsi="Times New Roman" w:eastAsia="宋体" w:cs="Times New Roman"/>
                      <w:color w:val="000000" w:themeColor="text1"/>
                      <w:lang w:val="en-US" w:eastAsia="zh-CN" w:bidi="ar"/>
                      <w14:textFill>
                        <w14:solidFill>
                          <w14:schemeClr w14:val="tx1"/>
                        </w14:solidFill>
                      </w14:textFill>
                    </w:rPr>
                    <w:t>Mb≥</w:t>
                  </w:r>
                  <w:r>
                    <w:rPr>
                      <w:rFonts w:hint="eastAsia" w:ascii="Times New Roman" w:hAnsi="Times New Roman" w:eastAsia="宋体" w:cs="Times New Roman"/>
                      <w:color w:val="000000" w:themeColor="text1"/>
                      <w:lang w:val="en-US" w:eastAsia="zh-CN" w:bidi="ar"/>
                      <w14:textFill>
                        <w14:solidFill>
                          <w14:schemeClr w14:val="tx1"/>
                        </w14:solidFill>
                      </w14:textFill>
                    </w:rPr>
                    <w:t>1.5</w:t>
                  </w:r>
                  <w:r>
                    <w:rPr>
                      <w:rFonts w:hint="default" w:ascii="Times New Roman" w:hAnsi="Times New Roman" w:eastAsia="宋体" w:cs="Times New Roman"/>
                      <w:color w:val="000000" w:themeColor="text1"/>
                      <w:lang w:val="en-US" w:eastAsia="zh-CN" w:bidi="ar"/>
                      <w14:textFill>
                        <w14:solidFill>
                          <w14:schemeClr w14:val="tx1"/>
                        </w14:solidFill>
                      </w14:textFill>
                    </w:rPr>
                    <w:t>m</w:t>
                  </w:r>
                  <w:r>
                    <w:rPr>
                      <w:rFonts w:hint="eastAsia" w:ascii="Times New Roman" w:hAnsi="Times New Roman" w:eastAsia="宋体" w:cs="Times New Roman"/>
                      <w:color w:val="000000" w:themeColor="text1"/>
                      <w:lang w:val="en-US" w:eastAsia="zh-CN" w:bidi="ar"/>
                      <w14:textFill>
                        <w14:solidFill>
                          <w14:schemeClr w14:val="tx1"/>
                        </w14:solidFill>
                      </w14:textFill>
                    </w:rPr>
                    <w:t>，</w:t>
                  </w:r>
                  <w:r>
                    <w:rPr>
                      <w:rFonts w:hint="default" w:ascii="Times New Roman" w:hAnsi="Times New Roman" w:eastAsia="宋体" w:cs="Times New Roman"/>
                      <w:color w:val="000000" w:themeColor="text1"/>
                      <w:lang w:val="en-US" w:eastAsia="zh-CN" w:bidi="ar"/>
                      <w14:textFill>
                        <w14:solidFill>
                          <w14:schemeClr w14:val="tx1"/>
                        </w14:solidFill>
                      </w14:textFill>
                    </w:rPr>
                    <w:t>K≤1×10</w:t>
                  </w:r>
                  <w:r>
                    <w:rPr>
                      <w:rFonts w:hint="default" w:ascii="Times New Roman" w:hAnsi="Times New Roman" w:eastAsia="宋体" w:cs="Times New Roman"/>
                      <w:color w:val="000000" w:themeColor="text1"/>
                      <w:vertAlign w:val="superscript"/>
                      <w:lang w:val="en-US" w:eastAsia="zh-CN" w:bidi="ar"/>
                      <w14:textFill>
                        <w14:solidFill>
                          <w14:schemeClr w14:val="tx1"/>
                        </w14:solidFill>
                      </w14:textFill>
                    </w:rPr>
                    <w:t>-7</w:t>
                  </w:r>
                  <w:r>
                    <w:rPr>
                      <w:rFonts w:hint="default" w:ascii="Times New Roman" w:hAnsi="Times New Roman" w:eastAsia="宋体" w:cs="Times New Roman"/>
                      <w:color w:val="000000" w:themeColor="text1"/>
                      <w:lang w:val="en-US" w:eastAsia="zh-CN" w:bidi="ar"/>
                      <w14:textFill>
                        <w14:solidFill>
                          <w14:schemeClr w14:val="tx1"/>
                        </w14:solidFill>
                      </w14:textFill>
                    </w:rPr>
                    <w:t>cm/s</w:t>
                  </w:r>
                </w:p>
              </w:tc>
            </w:tr>
            <w:tr w14:paraId="7C95B2D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vMerge w:val="continue"/>
                  <w:tcBorders>
                    <w:tl2br w:val="nil"/>
                    <w:tr2bl w:val="nil"/>
                  </w:tcBorders>
                  <w:shd w:val="clear" w:color="auto" w:fill="auto"/>
                  <w:vAlign w:val="center"/>
                </w:tcPr>
                <w:p w14:paraId="11FB8C1E">
                  <w:pPr>
                    <w:pStyle w:val="13"/>
                    <w:rPr>
                      <w:rFonts w:cs="Times New Roman"/>
                      <w:color w:val="000000" w:themeColor="text1"/>
                      <w14:textFill>
                        <w14:solidFill>
                          <w14:schemeClr w14:val="tx1"/>
                        </w14:solidFill>
                      </w14:textFill>
                    </w:rPr>
                  </w:pPr>
                </w:p>
              </w:tc>
              <w:tc>
                <w:tcPr>
                  <w:tcW w:w="1481" w:type="pct"/>
                  <w:tcBorders>
                    <w:tl2br w:val="nil"/>
                    <w:tr2bl w:val="nil"/>
                  </w:tcBorders>
                  <w:shd w:val="clear" w:color="auto" w:fill="auto"/>
                  <w:vAlign w:val="center"/>
                </w:tcPr>
                <w:p w14:paraId="717A43E7">
                  <w:pPr>
                    <w:pStyle w:val="13"/>
                    <w:rPr>
                      <w:rFonts w:hint="default" w:cs="Times New Roman"/>
                      <w:color w:val="000000" w:themeColor="text1"/>
                      <w:lang w:val="en-US" w:eastAsia="zh-CN" w:bidi="ar"/>
                      <w14:textFill>
                        <w14:solidFill>
                          <w14:schemeClr w14:val="tx1"/>
                        </w14:solidFill>
                      </w14:textFill>
                    </w:rPr>
                  </w:pPr>
                  <w:r>
                    <w:rPr>
                      <w:rFonts w:cs="Times New Roman"/>
                      <w:color w:val="000000" w:themeColor="text1"/>
                      <w:lang w:bidi="ar"/>
                      <w14:textFill>
                        <w14:solidFill>
                          <w14:schemeClr w14:val="tx1"/>
                        </w14:solidFill>
                      </w14:textFill>
                    </w:rPr>
                    <w:t>生产车间其余区域</w:t>
                  </w:r>
                </w:p>
              </w:tc>
              <w:tc>
                <w:tcPr>
                  <w:tcW w:w="1958" w:type="pct"/>
                  <w:tcBorders>
                    <w:tl2br w:val="nil"/>
                    <w:tr2bl w:val="nil"/>
                  </w:tcBorders>
                  <w:shd w:val="clear" w:color="auto" w:fill="auto"/>
                  <w:vAlign w:val="center"/>
                </w:tcPr>
                <w:p w14:paraId="4CBB69CA">
                  <w:pPr>
                    <w:pStyle w:val="13"/>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防渗混凝土硬化</w:t>
                  </w:r>
                </w:p>
              </w:tc>
              <w:tc>
                <w:tcPr>
                  <w:tcW w:w="850" w:type="pct"/>
                  <w:vMerge w:val="continue"/>
                  <w:tcBorders>
                    <w:tl2br w:val="nil"/>
                    <w:tr2bl w:val="nil"/>
                  </w:tcBorders>
                  <w:shd w:val="clear" w:color="auto" w:fill="auto"/>
                  <w:vAlign w:val="center"/>
                </w:tcPr>
                <w:p w14:paraId="37D0323D">
                  <w:pPr>
                    <w:pStyle w:val="13"/>
                    <w:rPr>
                      <w:rFonts w:cs="Times New Roman"/>
                      <w:color w:val="000000" w:themeColor="text1"/>
                      <w:lang w:bidi="ar"/>
                      <w14:textFill>
                        <w14:solidFill>
                          <w14:schemeClr w14:val="tx1"/>
                        </w14:solidFill>
                      </w14:textFill>
                    </w:rPr>
                  </w:pPr>
                </w:p>
              </w:tc>
            </w:tr>
            <w:tr w14:paraId="3EB9A85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pct"/>
                  <w:tcBorders>
                    <w:tl2br w:val="nil"/>
                    <w:tr2bl w:val="nil"/>
                  </w:tcBorders>
                  <w:shd w:val="clear" w:color="auto" w:fill="auto"/>
                  <w:vAlign w:val="center"/>
                </w:tcPr>
                <w:p w14:paraId="59022C0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简单防渗区</w:t>
                  </w:r>
                </w:p>
              </w:tc>
              <w:tc>
                <w:tcPr>
                  <w:tcW w:w="1481" w:type="pct"/>
                  <w:tcBorders>
                    <w:tl2br w:val="nil"/>
                    <w:tr2bl w:val="nil"/>
                  </w:tcBorders>
                  <w:shd w:val="clear" w:color="auto" w:fill="auto"/>
                  <w:vAlign w:val="center"/>
                </w:tcPr>
                <w:p w14:paraId="436133B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磅房、办公楼、宿舍楼</w:t>
                  </w:r>
                </w:p>
              </w:tc>
              <w:tc>
                <w:tcPr>
                  <w:tcW w:w="1958" w:type="pct"/>
                  <w:tcBorders>
                    <w:tl2br w:val="nil"/>
                    <w:tr2bl w:val="nil"/>
                  </w:tcBorders>
                  <w:shd w:val="clear" w:color="auto" w:fill="auto"/>
                  <w:vAlign w:val="center"/>
                </w:tcPr>
                <w:p w14:paraId="0309950D">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一般水泥硬化</w:t>
                  </w:r>
                </w:p>
              </w:tc>
              <w:tc>
                <w:tcPr>
                  <w:tcW w:w="850" w:type="pct"/>
                  <w:tcBorders>
                    <w:tl2br w:val="nil"/>
                    <w:tr2bl w:val="nil"/>
                  </w:tcBorders>
                  <w:shd w:val="clear" w:color="auto" w:fill="auto"/>
                  <w:vAlign w:val="center"/>
                </w:tcPr>
                <w:p w14:paraId="553E741E">
                  <w:pPr>
                    <w:pStyle w:val="13"/>
                    <w:rPr>
                      <w:rFonts w:hint="default"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一般地面硬化</w:t>
                  </w:r>
                </w:p>
              </w:tc>
            </w:tr>
          </w:tbl>
          <w:p w14:paraId="1913FA50">
            <w:pPr>
              <w:keepNext w:val="0"/>
              <w:keepLines w:val="0"/>
              <w:widowControl/>
              <w:suppressLineNumbers w:val="0"/>
              <w:jc w:val="left"/>
              <w:rPr>
                <w:rFonts w:hint="default" w:ascii="宋体" w:hAnsi="宋体" w:eastAsia="宋体" w:cs="宋体"/>
                <w:color w:val="000000" w:themeColor="text1"/>
                <w:kern w:val="0"/>
                <w:sz w:val="24"/>
                <w:szCs w:val="24"/>
                <w:vertAlign w:val="baseline"/>
                <w:lang w:val="en-US" w:eastAsia="zh-CN" w:bidi="ar"/>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水基岩屑储存池、渗滤液池池体施工照片：</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6"/>
              <w:gridCol w:w="4476"/>
            </w:tblGrid>
            <w:tr w14:paraId="0971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3" w:type="pct"/>
                  <w:vAlign w:val="center"/>
                </w:tcPr>
                <w:p w14:paraId="04A3A3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741930" cy="1828165"/>
                        <wp:effectExtent l="0" t="0" r="1270" b="635"/>
                        <wp:docPr id="23" name="图片 23" descr="5a457c3aed6e167870fa57f62fb345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5a457c3aed6e167870fa57f62fb345da"/>
                                <pic:cNvPicPr>
                                  <a:picLocks noChangeAspect="1"/>
                                </pic:cNvPicPr>
                              </pic:nvPicPr>
                              <pic:blipFill>
                                <a:blip r:embed="rId41"/>
                                <a:srcRect b="11154"/>
                                <a:stretch>
                                  <a:fillRect/>
                                </a:stretch>
                              </pic:blipFill>
                              <pic:spPr>
                                <a:xfrm>
                                  <a:off x="0" y="0"/>
                                  <a:ext cx="2741930" cy="1828165"/>
                                </a:xfrm>
                                <a:prstGeom prst="rect">
                                  <a:avLst/>
                                </a:prstGeom>
                              </pic:spPr>
                            </pic:pic>
                          </a:graphicData>
                        </a:graphic>
                      </wp:inline>
                    </w:drawing>
                  </w:r>
                </w:p>
              </w:tc>
              <w:tc>
                <w:tcPr>
                  <w:tcW w:w="2466" w:type="pct"/>
                  <w:vAlign w:val="center"/>
                </w:tcPr>
                <w:p w14:paraId="2AF1AF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565400" cy="1823720"/>
                        <wp:effectExtent l="0" t="0" r="6350" b="5080"/>
                        <wp:docPr id="20" name="图片 20" descr="f31adf46101052eb3827fd6eb85727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31adf46101052eb3827fd6eb857277e"/>
                                <pic:cNvPicPr>
                                  <a:picLocks noChangeAspect="1"/>
                                </pic:cNvPicPr>
                              </pic:nvPicPr>
                              <pic:blipFill>
                                <a:blip r:embed="rId42"/>
                                <a:srcRect b="5282"/>
                                <a:stretch>
                                  <a:fillRect/>
                                </a:stretch>
                              </pic:blipFill>
                              <pic:spPr>
                                <a:xfrm>
                                  <a:off x="0" y="0"/>
                                  <a:ext cx="2565400" cy="1823720"/>
                                </a:xfrm>
                                <a:prstGeom prst="rect">
                                  <a:avLst/>
                                </a:prstGeom>
                              </pic:spPr>
                            </pic:pic>
                          </a:graphicData>
                        </a:graphic>
                      </wp:inline>
                    </w:drawing>
                  </w:r>
                </w:p>
              </w:tc>
            </w:tr>
            <w:tr w14:paraId="0571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3" w:type="pct"/>
                  <w:vAlign w:val="center"/>
                </w:tcPr>
                <w:p w14:paraId="1A0BA2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740660" cy="2004060"/>
                        <wp:effectExtent l="0" t="0" r="2540" b="15240"/>
                        <wp:docPr id="29" name="图片 29" descr="6d8e82f17fb29f9e9a24a0a075f11f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d8e82f17fb29f9e9a24a0a075f11f87"/>
                                <pic:cNvPicPr>
                                  <a:picLocks noChangeAspect="1"/>
                                </pic:cNvPicPr>
                              </pic:nvPicPr>
                              <pic:blipFill>
                                <a:blip r:embed="rId43"/>
                                <a:srcRect t="31706" b="13482"/>
                                <a:stretch>
                                  <a:fillRect/>
                                </a:stretch>
                              </pic:blipFill>
                              <pic:spPr>
                                <a:xfrm>
                                  <a:off x="0" y="0"/>
                                  <a:ext cx="2740660" cy="2004060"/>
                                </a:xfrm>
                                <a:prstGeom prst="rect">
                                  <a:avLst/>
                                </a:prstGeom>
                              </pic:spPr>
                            </pic:pic>
                          </a:graphicData>
                        </a:graphic>
                      </wp:inline>
                    </w:drawing>
                  </w:r>
                </w:p>
              </w:tc>
              <w:tc>
                <w:tcPr>
                  <w:tcW w:w="2466" w:type="pct"/>
                  <w:vAlign w:val="center"/>
                </w:tcPr>
                <w:p w14:paraId="0D2B54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668270" cy="2000885"/>
                        <wp:effectExtent l="0" t="0" r="17780" b="18415"/>
                        <wp:docPr id="30" name="图片 30" descr="f60a1c5978bc0c90729a3a181f7e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60a1c5978bc0c90729a3a181f7e5629"/>
                                <pic:cNvPicPr>
                                  <a:picLocks noChangeAspect="1"/>
                                </pic:cNvPicPr>
                              </pic:nvPicPr>
                              <pic:blipFill>
                                <a:blip r:embed="rId44"/>
                                <a:stretch>
                                  <a:fillRect/>
                                </a:stretch>
                              </pic:blipFill>
                              <pic:spPr>
                                <a:xfrm>
                                  <a:off x="0" y="0"/>
                                  <a:ext cx="2668270" cy="2000885"/>
                                </a:xfrm>
                                <a:prstGeom prst="rect">
                                  <a:avLst/>
                                </a:prstGeom>
                              </pic:spPr>
                            </pic:pic>
                          </a:graphicData>
                        </a:graphic>
                      </wp:inline>
                    </w:drawing>
                  </w:r>
                </w:p>
              </w:tc>
            </w:tr>
            <w:tr w14:paraId="06B6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3" w:type="pct"/>
                  <w:vAlign w:val="center"/>
                </w:tcPr>
                <w:p w14:paraId="349CCB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713990" cy="2035175"/>
                        <wp:effectExtent l="0" t="0" r="10160" b="3175"/>
                        <wp:docPr id="31" name="图片 31" descr="a3acb210720a0099caff8ed9f46536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a3acb210720a0099caff8ed9f46536d7"/>
                                <pic:cNvPicPr>
                                  <a:picLocks noChangeAspect="1"/>
                                </pic:cNvPicPr>
                              </pic:nvPicPr>
                              <pic:blipFill>
                                <a:blip r:embed="rId45"/>
                                <a:stretch>
                                  <a:fillRect/>
                                </a:stretch>
                              </pic:blipFill>
                              <pic:spPr>
                                <a:xfrm>
                                  <a:off x="0" y="0"/>
                                  <a:ext cx="2713990" cy="2035175"/>
                                </a:xfrm>
                                <a:prstGeom prst="rect">
                                  <a:avLst/>
                                </a:prstGeom>
                              </pic:spPr>
                            </pic:pic>
                          </a:graphicData>
                        </a:graphic>
                      </wp:inline>
                    </w:drawing>
                  </w:r>
                </w:p>
              </w:tc>
              <w:tc>
                <w:tcPr>
                  <w:tcW w:w="2466" w:type="pct"/>
                  <w:vAlign w:val="center"/>
                </w:tcPr>
                <w:p w14:paraId="720A72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700020" cy="2025015"/>
                        <wp:effectExtent l="0" t="0" r="5080" b="13335"/>
                        <wp:docPr id="18" name="图片 18" descr="2aaf4da9eb6d3c20d72eb5e3cf2aa8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aaf4da9eb6d3c20d72eb5e3cf2aa8a4"/>
                                <pic:cNvPicPr>
                                  <a:picLocks noChangeAspect="1"/>
                                </pic:cNvPicPr>
                              </pic:nvPicPr>
                              <pic:blipFill>
                                <a:blip r:embed="rId46"/>
                                <a:stretch>
                                  <a:fillRect/>
                                </a:stretch>
                              </pic:blipFill>
                              <pic:spPr>
                                <a:xfrm>
                                  <a:off x="0" y="0"/>
                                  <a:ext cx="2700020" cy="2025015"/>
                                </a:xfrm>
                                <a:prstGeom prst="rect">
                                  <a:avLst/>
                                </a:prstGeom>
                              </pic:spPr>
                            </pic:pic>
                          </a:graphicData>
                        </a:graphic>
                      </wp:inline>
                    </w:drawing>
                  </w:r>
                </w:p>
              </w:tc>
            </w:tr>
          </w:tbl>
          <w:p w14:paraId="09AC156F">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由上述措施可知，本项目针对可能造成地下水和土壤污染影响的各途径均进行有效预防，在确保各项防控措施得以落实，并加强环境管理的前提下，可有效防止对地下水和土壤造成影响。</w:t>
            </w:r>
          </w:p>
          <w:p w14:paraId="4FC236F3">
            <w:pPr>
              <w:pStyle w:val="19"/>
              <w:rPr>
                <w:rFonts w:hint="eastAsia" w:cs="宋体"/>
                <w:color w:val="000000" w:themeColor="text1"/>
                <w:kern w:val="0"/>
                <w:sz w:val="24"/>
                <w:szCs w:val="24"/>
                <w:lang w:val="en-US" w:eastAsia="zh-CN" w:bidi="ar"/>
                <w14:textFill>
                  <w14:solidFill>
                    <w14:schemeClr w14:val="tx1"/>
                  </w14:solidFill>
                </w14:textFill>
              </w:rPr>
            </w:pPr>
            <w:r>
              <w:rPr>
                <w:rFonts w:hint="eastAsia" w:cs="宋体"/>
                <w:color w:val="000000" w:themeColor="text1"/>
                <w:kern w:val="0"/>
                <w:sz w:val="24"/>
                <w:szCs w:val="24"/>
                <w:lang w:val="en-US" w:eastAsia="zh-CN" w:bidi="ar"/>
                <w14:textFill>
                  <w14:solidFill>
                    <w14:schemeClr w14:val="tx1"/>
                  </w14:solidFill>
                </w14:textFill>
              </w:rPr>
              <w:t>为保证厂区周边土壤和地下水环境质量，本次评价设置以下地下水、土壤环境质量跟踪监测计划。</w:t>
            </w:r>
          </w:p>
          <w:p w14:paraId="0C520407">
            <w:pPr>
              <w:pStyle w:val="12"/>
              <w:rPr>
                <w:rFonts w:hint="default" w:cs="Times New Roman"/>
                <w:color w:val="000000" w:themeColor="text1"/>
                <w:lang w:val="en-US"/>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13 项目土壤、地下水跟踪监测计划</w:t>
            </w:r>
          </w:p>
          <w:tbl>
            <w:tblPr>
              <w:tblStyle w:val="2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688"/>
              <w:gridCol w:w="3751"/>
              <w:gridCol w:w="1281"/>
            </w:tblGrid>
            <w:tr w14:paraId="2838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3" w:type="pct"/>
                  <w:shd w:val="clear" w:color="auto" w:fill="auto"/>
                  <w:vAlign w:val="center"/>
                </w:tcPr>
                <w:p w14:paraId="4E2799B2">
                  <w:pPr>
                    <w:pStyle w:val="51"/>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类型</w:t>
                  </w:r>
                </w:p>
              </w:tc>
              <w:tc>
                <w:tcPr>
                  <w:tcW w:w="1485" w:type="pct"/>
                  <w:shd w:val="clear" w:color="auto" w:fill="auto"/>
                  <w:vAlign w:val="center"/>
                </w:tcPr>
                <w:p w14:paraId="6F0E04DC">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监测点位</w:t>
                  </w:r>
                </w:p>
              </w:tc>
              <w:tc>
                <w:tcPr>
                  <w:tcW w:w="2072" w:type="pct"/>
                  <w:shd w:val="clear" w:color="auto" w:fill="auto"/>
                  <w:vAlign w:val="center"/>
                </w:tcPr>
                <w:p w14:paraId="26D65937">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监测因子</w:t>
                  </w:r>
                </w:p>
              </w:tc>
              <w:tc>
                <w:tcPr>
                  <w:tcW w:w="707" w:type="pct"/>
                  <w:shd w:val="clear" w:color="auto" w:fill="auto"/>
                  <w:vAlign w:val="center"/>
                </w:tcPr>
                <w:p w14:paraId="5B1C0C94">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监测频次</w:t>
                  </w:r>
                </w:p>
              </w:tc>
            </w:tr>
            <w:tr w14:paraId="7916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3" w:type="pct"/>
                  <w:vMerge w:val="restart"/>
                  <w:shd w:val="clear" w:color="auto" w:fill="auto"/>
                  <w:vAlign w:val="center"/>
                </w:tcPr>
                <w:p w14:paraId="3C1C8526">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土壤环境</w:t>
                  </w:r>
                </w:p>
              </w:tc>
              <w:tc>
                <w:tcPr>
                  <w:tcW w:w="1485" w:type="pct"/>
                  <w:shd w:val="clear" w:color="auto" w:fill="auto"/>
                  <w:vAlign w:val="center"/>
                </w:tcPr>
                <w:p w14:paraId="2D2388BC">
                  <w:pPr>
                    <w:pStyle w:val="13"/>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项目</w:t>
                  </w:r>
                  <w:r>
                    <w:rPr>
                      <w:rFonts w:hint="eastAsia" w:cs="Times New Roman"/>
                      <w:color w:val="000000" w:themeColor="text1"/>
                      <w:lang w:val="en-US" w:eastAsia="zh-CN"/>
                      <w14:textFill>
                        <w14:solidFill>
                          <w14:schemeClr w14:val="tx1"/>
                        </w14:solidFill>
                      </w14:textFill>
                    </w:rPr>
                    <w:t>回转窑设备附近</w:t>
                  </w:r>
                </w:p>
              </w:tc>
              <w:tc>
                <w:tcPr>
                  <w:tcW w:w="2072" w:type="pct"/>
                  <w:vMerge w:val="restart"/>
                  <w:shd w:val="clear" w:color="auto" w:fill="auto"/>
                  <w:vAlign w:val="center"/>
                </w:tcPr>
                <w:p w14:paraId="047DFC6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pH值、二噁英类、氟化物、氯化物、砷、镉、六价铬、汞、铅、石油烃等</w:t>
                  </w:r>
                </w:p>
              </w:tc>
              <w:tc>
                <w:tcPr>
                  <w:tcW w:w="707" w:type="pct"/>
                  <w:vMerge w:val="restart"/>
                  <w:shd w:val="clear" w:color="auto" w:fill="auto"/>
                  <w:vAlign w:val="center"/>
                </w:tcPr>
                <w:p w14:paraId="00BD86D8">
                  <w:pPr>
                    <w:pStyle w:val="13"/>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1次/</w:t>
                  </w:r>
                  <w:r>
                    <w:rPr>
                      <w:rFonts w:hint="eastAsia" w:cs="Times New Roman"/>
                      <w:color w:val="000000" w:themeColor="text1"/>
                      <w:lang w:val="en-US" w:eastAsia="zh-CN"/>
                      <w14:textFill>
                        <w14:solidFill>
                          <w14:schemeClr w14:val="tx1"/>
                        </w14:solidFill>
                      </w14:textFill>
                    </w:rPr>
                    <w:t>5年</w:t>
                  </w:r>
                </w:p>
              </w:tc>
            </w:tr>
            <w:tr w14:paraId="7678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3" w:type="pct"/>
                  <w:vMerge w:val="continue"/>
                  <w:shd w:val="clear" w:color="auto" w:fill="auto"/>
                  <w:vAlign w:val="center"/>
                </w:tcPr>
                <w:p w14:paraId="259C2B69">
                  <w:pPr>
                    <w:pStyle w:val="13"/>
                    <w:rPr>
                      <w:color w:val="000000" w:themeColor="text1"/>
                      <w14:textFill>
                        <w14:solidFill>
                          <w14:schemeClr w14:val="tx1"/>
                        </w14:solidFill>
                      </w14:textFill>
                    </w:rPr>
                  </w:pPr>
                </w:p>
              </w:tc>
              <w:tc>
                <w:tcPr>
                  <w:tcW w:w="1485" w:type="pct"/>
                  <w:shd w:val="clear" w:color="auto" w:fill="auto"/>
                  <w:vAlign w:val="center"/>
                </w:tcPr>
                <w:p w14:paraId="22814129">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平昌县星光实验学校附近</w:t>
                  </w:r>
                </w:p>
              </w:tc>
              <w:tc>
                <w:tcPr>
                  <w:tcW w:w="2072" w:type="pct"/>
                  <w:vMerge w:val="continue"/>
                  <w:shd w:val="clear" w:color="auto" w:fill="auto"/>
                  <w:vAlign w:val="center"/>
                </w:tcPr>
                <w:p w14:paraId="1AB66595">
                  <w:pPr>
                    <w:pStyle w:val="13"/>
                    <w:rPr>
                      <w:rFonts w:cs="Times New Roman"/>
                      <w:color w:val="000000" w:themeColor="text1"/>
                      <w14:textFill>
                        <w14:solidFill>
                          <w14:schemeClr w14:val="tx1"/>
                        </w14:solidFill>
                      </w14:textFill>
                    </w:rPr>
                  </w:pPr>
                </w:p>
              </w:tc>
              <w:tc>
                <w:tcPr>
                  <w:tcW w:w="707" w:type="pct"/>
                  <w:vMerge w:val="continue"/>
                  <w:shd w:val="clear" w:color="auto" w:fill="auto"/>
                  <w:vAlign w:val="center"/>
                </w:tcPr>
                <w:p w14:paraId="3FA243CF">
                  <w:pPr>
                    <w:pStyle w:val="13"/>
                    <w:rPr>
                      <w:rFonts w:cs="Times New Roman"/>
                      <w:color w:val="000000" w:themeColor="text1"/>
                      <w14:textFill>
                        <w14:solidFill>
                          <w14:schemeClr w14:val="tx1"/>
                        </w14:solidFill>
                      </w14:textFill>
                    </w:rPr>
                  </w:pPr>
                </w:p>
              </w:tc>
            </w:tr>
            <w:tr w14:paraId="69AB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3" w:type="pct"/>
                  <w:shd w:val="clear" w:color="auto" w:fill="auto"/>
                  <w:vAlign w:val="center"/>
                </w:tcPr>
                <w:p w14:paraId="68F1248C">
                  <w:pPr>
                    <w:pStyle w:val="13"/>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地下水环境</w:t>
                  </w:r>
                </w:p>
              </w:tc>
              <w:tc>
                <w:tcPr>
                  <w:tcW w:w="1485" w:type="pct"/>
                  <w:shd w:val="clear" w:color="auto" w:fill="auto"/>
                  <w:vAlign w:val="center"/>
                </w:tcPr>
                <w:p w14:paraId="3F901159">
                  <w:pPr>
                    <w:pStyle w:val="13"/>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项目厂区下游</w:t>
                  </w:r>
                </w:p>
                <w:p w14:paraId="24DA86B4">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（环境影响跟踪监测点）</w:t>
                  </w:r>
                </w:p>
              </w:tc>
              <w:tc>
                <w:tcPr>
                  <w:tcW w:w="2072" w:type="pct"/>
                  <w:shd w:val="clear" w:color="auto" w:fill="auto"/>
                  <w:vAlign w:val="center"/>
                </w:tcPr>
                <w:p w14:paraId="26F9AA86">
                  <w:pPr>
                    <w:pStyle w:val="13"/>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浑浊度、</w:t>
                  </w:r>
                  <w:r>
                    <w:rPr>
                      <w:rFonts w:hint="eastAsia" w:cs="Times New Roman"/>
                      <w:color w:val="000000" w:themeColor="text1"/>
                      <w14:textFill>
                        <w14:solidFill>
                          <w14:schemeClr w14:val="tx1"/>
                        </w14:solidFill>
                      </w14:textFill>
                    </w:rPr>
                    <w:t>pH</w:t>
                  </w:r>
                  <w:r>
                    <w:rPr>
                      <w:rFonts w:hint="eastAsia" w:cs="Times New Roman"/>
                      <w:color w:val="000000" w:themeColor="text1"/>
                      <w:lang w:val="en-US" w:eastAsia="zh-CN"/>
                      <w14:textFill>
                        <w14:solidFill>
                          <w14:schemeClr w14:val="tx1"/>
                        </w14:solidFill>
                      </w14:textFill>
                    </w:rPr>
                    <w:t>值</w:t>
                  </w:r>
                  <w:r>
                    <w:rPr>
                      <w:rFonts w:hint="eastAsia"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溶解性总固体、氯化物、硝酸盐（以N计）、亚硝酸盐（以N计）、</w:t>
                  </w:r>
                  <w:r>
                    <w:rPr>
                      <w:rFonts w:hint="eastAsia" w:cs="Times New Roman"/>
                      <w:color w:val="000000" w:themeColor="text1"/>
                      <w14:textFill>
                        <w14:solidFill>
                          <w14:schemeClr w14:val="tx1"/>
                        </w14:solidFill>
                      </w14:textFill>
                    </w:rPr>
                    <w:t>砷、汞、铬</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六价</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、铅、氟、镉、氯化物等</w:t>
                  </w:r>
                </w:p>
              </w:tc>
              <w:tc>
                <w:tcPr>
                  <w:tcW w:w="707" w:type="pct"/>
                  <w:shd w:val="clear" w:color="auto" w:fill="auto"/>
                  <w:vAlign w:val="center"/>
                </w:tcPr>
                <w:p w14:paraId="43B08C0E">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1次/季度</w:t>
                  </w:r>
                </w:p>
              </w:tc>
            </w:tr>
          </w:tbl>
          <w:p w14:paraId="7AEBE711">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6、生态环境影响</w:t>
            </w:r>
          </w:p>
          <w:p w14:paraId="5FF377E4">
            <w:pPr>
              <w:ind w:firstLine="480"/>
              <w:rPr>
                <w:rFonts w:cs="Times New Roman"/>
                <w:color w:val="000000" w:themeColor="text1"/>
                <w14:textFill>
                  <w14:solidFill>
                    <w14:schemeClr w14:val="tx1"/>
                  </w14:solidFill>
                </w14:textFill>
              </w:rPr>
            </w:pPr>
            <w:r>
              <w:rPr>
                <w:rFonts w:cs="Times New Roman"/>
                <w:color w:val="000000" w:themeColor="text1"/>
                <w:kern w:val="0"/>
                <w14:textFill>
                  <w14:solidFill>
                    <w14:schemeClr w14:val="tx1"/>
                  </w14:solidFill>
                </w14:textFill>
              </w:rPr>
              <w:t>本项目所在区域周围无生态敏感保护目标，周边植被以人工绿化植物为主。本项目建设地块属工业用地，位于工业园区内，现状为已建成的厂区和厂房。项目建设完成后将设置绿化措施，基本不会对区域生态环境造成影响。</w:t>
            </w:r>
          </w:p>
          <w:p w14:paraId="345921D6">
            <w:pPr>
              <w:pStyle w:val="4"/>
              <w:spacing w:before="163"/>
              <w:rPr>
                <w:color w:val="000000" w:themeColor="text1"/>
                <w14:textFill>
                  <w14:solidFill>
                    <w14:schemeClr w14:val="tx1"/>
                  </w14:solidFill>
                </w14:textFill>
              </w:rPr>
            </w:pPr>
            <w:r>
              <w:rPr>
                <w:color w:val="000000" w:themeColor="text1"/>
                <w14:textFill>
                  <w14:solidFill>
                    <w14:schemeClr w14:val="tx1"/>
                  </w14:solidFill>
                </w14:textFill>
              </w:rPr>
              <w:t>7、环境风险分析</w:t>
            </w:r>
          </w:p>
          <w:p w14:paraId="1DFFF1CC">
            <w:pPr>
              <w:ind w:firstLine="480"/>
              <w:rPr>
                <w:rFonts w:cs="Times New Roman"/>
                <w:bCs/>
                <w:color w:val="000000" w:themeColor="text1"/>
                <w:lang w:bidi="ar"/>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经计算，建设项目危险物质的总量与其临界量比值（Q值）为</w:t>
            </w:r>
            <w:r>
              <w:rPr>
                <w:rFonts w:cs="Times New Roman"/>
                <w:bCs/>
                <w:color w:val="000000" w:themeColor="text1"/>
                <w14:textFill>
                  <w14:solidFill>
                    <w14:schemeClr w14:val="tx1"/>
                  </w14:solidFill>
                </w14:textFill>
              </w:rPr>
              <w:t>1＜Q</w:t>
            </w:r>
            <w:r>
              <w:rPr>
                <w:rFonts w:hint="eastAsia" w:cs="Times New Roman"/>
                <w:bCs/>
                <w:color w:val="000000" w:themeColor="text1"/>
                <w:lang w:val="en-US" w:eastAsia="zh-CN"/>
                <w14:textFill>
                  <w14:solidFill>
                    <w14:schemeClr w14:val="tx1"/>
                  </w14:solidFill>
                </w14:textFill>
              </w:rPr>
              <w:t>=4.05475</w:t>
            </w:r>
            <w:r>
              <w:rPr>
                <w:rFonts w:cs="Times New Roman"/>
                <w:bCs/>
                <w:color w:val="000000" w:themeColor="text1"/>
                <w14:textFill>
                  <w14:solidFill>
                    <w14:schemeClr w14:val="tx1"/>
                  </w14:solidFill>
                </w14:textFill>
              </w:rPr>
              <w:t>＜10</w:t>
            </w:r>
            <w:r>
              <w:rPr>
                <w:rFonts w:hint="eastAsia" w:cs="Times New Roman"/>
                <w:bCs/>
                <w:color w:val="000000" w:themeColor="text1"/>
                <w:lang w:eastAsia="zh-CN"/>
                <w14:textFill>
                  <w14:solidFill>
                    <w14:schemeClr w14:val="tx1"/>
                  </w14:solidFill>
                </w14:textFill>
              </w:rPr>
              <w:t>，</w:t>
            </w:r>
            <w:r>
              <w:rPr>
                <w:rFonts w:hint="eastAsia" w:cs="Times New Roman"/>
                <w:bCs/>
                <w:color w:val="000000" w:themeColor="text1"/>
                <w:lang w:val="en-US" w:eastAsia="zh-CN"/>
                <w14:textFill>
                  <w14:solidFill>
                    <w14:schemeClr w14:val="tx1"/>
                  </w14:solidFill>
                </w14:textFill>
              </w:rPr>
              <w:t>需要开展环境风险专项评价。环境风险识别、环境风险预测与评价、环境风险防范措施详见环境风险专项报告。根据环境风险专项报告结论，在采取相应的风险防范措施后，建设项目环境风险总体可控。</w:t>
            </w:r>
          </w:p>
          <w:p w14:paraId="32ADA3E1">
            <w:pPr>
              <w:pStyle w:val="4"/>
              <w:spacing w:before="163"/>
              <w:rPr>
                <w:color w:val="000000" w:themeColor="text1"/>
                <w:lang w:bidi="ar"/>
                <w14:textFill>
                  <w14:solidFill>
                    <w14:schemeClr w14:val="tx1"/>
                  </w14:solidFill>
                </w14:textFill>
              </w:rPr>
            </w:pPr>
            <w:r>
              <w:rPr>
                <w:color w:val="000000" w:themeColor="text1"/>
                <w:lang w:bidi="ar"/>
                <w14:textFill>
                  <w14:solidFill>
                    <w14:schemeClr w14:val="tx1"/>
                  </w14:solidFill>
                </w14:textFill>
              </w:rPr>
              <w:t>8、排污口规范化设置</w:t>
            </w:r>
          </w:p>
          <w:p w14:paraId="11C8C07A">
            <w:pPr>
              <w:adjustRightInd w:val="0"/>
              <w:snapToGrid w:val="0"/>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建设单位应按要求在各污染源车间外及固体废物暂存场等设置明显的环境保护图形标志牌，设置规范的监测口，服务于后续监测采样。</w:t>
            </w:r>
          </w:p>
          <w:p w14:paraId="5D8CC0BD">
            <w:pPr>
              <w:adjustRightInd w:val="0"/>
              <w:snapToGrid w:val="0"/>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本项目排气筒应设置便于采样、监测的采样口，采样口的设置应符合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排污单位污染物排放口监测点位设置</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技术规范》</w:t>
            </w:r>
            <w:r>
              <w:rPr>
                <w:rFonts w:hint="default" w:ascii="Times New Roman" w:hAnsi="Times New Roman" w:cs="Times New Roman"/>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HJ1405-2024</w:t>
            </w:r>
            <w:r>
              <w:rPr>
                <w:rFonts w:hint="default" w:ascii="Times New Roman" w:hAnsi="Times New Roman" w:cs="Times New Roman"/>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cs="Times New Roman"/>
                <w:caps w:val="0"/>
                <w:color w:val="000000" w:themeColor="text1"/>
                <w:sz w:val="24"/>
                <w:szCs w:val="32"/>
                <w:highlight w:val="none"/>
                <w14:textFill>
                  <w14:solidFill>
                    <w14:schemeClr w14:val="tx1"/>
                  </w14:solidFill>
                </w14:textFill>
              </w:rPr>
              <w:t>中采样位置（设置在</w:t>
            </w:r>
            <w:r>
              <w:rPr>
                <w:rFonts w:hint="eastAsia" w:ascii="Times New Roman" w:hAnsi="Times New Roman" w:cs="Times New Roman"/>
                <w:caps w:val="0"/>
                <w:color w:val="000000" w:themeColor="text1"/>
                <w:sz w:val="24"/>
                <w:szCs w:val="32"/>
                <w:highlight w:val="none"/>
                <w:lang w:val="en-US" w:eastAsia="zh-CN"/>
                <w14:textFill>
                  <w14:solidFill>
                    <w14:schemeClr w14:val="tx1"/>
                  </w14:solidFill>
                </w14:textFill>
              </w:rPr>
              <w:t>气流方向的上游距离</w:t>
            </w:r>
            <w:r>
              <w:rPr>
                <w:rFonts w:hint="default" w:ascii="Times New Roman" w:hAnsi="Times New Roman" w:cs="Times New Roman"/>
                <w:caps w:val="0"/>
                <w:color w:val="000000" w:themeColor="text1"/>
                <w:sz w:val="24"/>
                <w:szCs w:val="32"/>
                <w:highlight w:val="none"/>
                <w14:textFill>
                  <w14:solidFill>
                    <w14:schemeClr w14:val="tx1"/>
                  </w14:solidFill>
                </w14:textFill>
              </w:rPr>
              <w:t>弯头、阀门、变径管</w:t>
            </w:r>
            <w:r>
              <w:rPr>
                <w:rFonts w:hint="default" w:ascii="Times New Roman" w:hAnsi="Times New Roman" w:cs="Times New Roman"/>
                <w:caps w:val="0"/>
                <w:color w:val="000000" w:themeColor="text1"/>
                <w:sz w:val="24"/>
                <w:szCs w:val="32"/>
                <w:highlight w:val="none"/>
                <w:lang w:val="en-US" w:eastAsia="zh-CN"/>
                <w14:textFill>
                  <w14:solidFill>
                    <w14:schemeClr w14:val="tx1"/>
                  </w14:solidFill>
                </w14:textFill>
              </w:rPr>
              <w:t>≥4倍烟道直径，下游距离上述部件≥2倍</w:t>
            </w:r>
            <w:r>
              <w:rPr>
                <w:rFonts w:hint="eastAsia" w:ascii="Times New Roman" w:hAnsi="Times New Roman" w:cs="Times New Roman"/>
                <w:caps w:val="0"/>
                <w:color w:val="000000" w:themeColor="text1"/>
                <w:sz w:val="24"/>
                <w:szCs w:val="32"/>
                <w:highlight w:val="none"/>
                <w:lang w:val="en-US" w:eastAsia="zh-CN"/>
                <w14:textFill>
                  <w14:solidFill>
                    <w14:schemeClr w14:val="tx1"/>
                  </w14:solidFill>
                </w14:textFill>
              </w:rPr>
              <w:t>烟道直径</w:t>
            </w:r>
            <w:r>
              <w:rPr>
                <w:rFonts w:hint="default" w:ascii="Times New Roman" w:hAnsi="Times New Roman" w:cs="Times New Roman"/>
                <w:caps w:val="0"/>
                <w:color w:val="000000" w:themeColor="text1"/>
                <w:sz w:val="24"/>
                <w:szCs w:val="32"/>
                <w:highlight w:val="none"/>
                <w14:textFill>
                  <w14:solidFill>
                    <w14:schemeClr w14:val="tx1"/>
                  </w14:solidFill>
                </w14:textFill>
              </w:rPr>
              <w:t>）及采样口（采样孔内径</w:t>
            </w:r>
            <w:r>
              <w:rPr>
                <w:rFonts w:hint="default" w:ascii="Times New Roman" w:hAnsi="Times New Roman" w:cs="Times New Roman"/>
                <w:caps w:val="0"/>
                <w:color w:val="000000" w:themeColor="text1"/>
                <w:sz w:val="24"/>
                <w:szCs w:val="32"/>
                <w:highlight w:val="none"/>
                <w:lang w:val="en-US" w:eastAsia="zh-CN"/>
                <w14:textFill>
                  <w14:solidFill>
                    <w14:schemeClr w14:val="tx1"/>
                  </w14:solidFill>
                </w14:textFill>
              </w:rPr>
              <w:t>≥</w:t>
            </w:r>
            <w:r>
              <w:rPr>
                <w:rFonts w:hint="default" w:ascii="Times New Roman" w:hAnsi="Times New Roman" w:cs="Times New Roman"/>
                <w:caps w:val="0"/>
                <w:color w:val="000000" w:themeColor="text1"/>
                <w:sz w:val="24"/>
                <w:szCs w:val="32"/>
                <w:highlight w:val="none"/>
                <w14:textFill>
                  <w14:solidFill>
                    <w14:schemeClr w14:val="tx1"/>
                  </w14:solidFill>
                </w14:textFill>
              </w:rPr>
              <w:t>80mm，采样孔管长</w:t>
            </w:r>
            <w:r>
              <w:rPr>
                <w:rFonts w:hint="default" w:ascii="Times New Roman" w:hAnsi="Times New Roman" w:cs="Times New Roman"/>
                <w:caps w:val="0"/>
                <w:color w:val="000000" w:themeColor="text1"/>
                <w:sz w:val="24"/>
                <w:szCs w:val="32"/>
                <w:highlight w:val="none"/>
                <w:lang w:val="en-US" w:eastAsia="zh-CN"/>
                <w14:textFill>
                  <w14:solidFill>
                    <w14:schemeClr w14:val="tx1"/>
                  </w14:solidFill>
                </w14:textFill>
              </w:rPr>
              <w:t>≤</w:t>
            </w:r>
            <w:r>
              <w:rPr>
                <w:rFonts w:hint="default" w:ascii="Times New Roman" w:hAnsi="Times New Roman" w:cs="Times New Roman"/>
                <w:caps w:val="0"/>
                <w:color w:val="000000" w:themeColor="text1"/>
                <w:sz w:val="24"/>
                <w:szCs w:val="32"/>
                <w:highlight w:val="none"/>
                <w14:textFill>
                  <w14:solidFill>
                    <w14:schemeClr w14:val="tx1"/>
                  </w14:solidFill>
                </w14:textFill>
              </w:rPr>
              <w:t>50mm）的要求</w:t>
            </w:r>
            <w:r>
              <w:rPr>
                <w:rFonts w:cs="Times New Roman"/>
                <w:color w:val="000000" w:themeColor="text1"/>
                <w14:textFill>
                  <w14:solidFill>
                    <w14:schemeClr w14:val="tx1"/>
                  </w14:solidFill>
                </w14:textFill>
              </w:rPr>
              <w:t>。</w:t>
            </w:r>
          </w:p>
          <w:p w14:paraId="7BCB0A3E">
            <w:pPr>
              <w:adjustRightInd w:val="0"/>
              <w:snapToGrid w:val="0"/>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本项目排污口设置牌可参照以下标识设置。</w:t>
            </w:r>
          </w:p>
          <w:p w14:paraId="297E55C3">
            <w:pPr>
              <w:pStyle w:val="12"/>
              <w:rPr>
                <w:rFonts w:cs="Times New Roman"/>
                <w:color w:val="000000" w:themeColor="text1"/>
                <w14:textFill>
                  <w14:solidFill>
                    <w14:schemeClr w14:val="tx1"/>
                  </w14:solidFill>
                </w14:textFill>
              </w:rPr>
            </w:pPr>
          </w:p>
          <w:p w14:paraId="07B69EC3">
            <w:pPr>
              <w:pStyle w:val="12"/>
              <w:rPr>
                <w:rFonts w:cs="Times New Roman"/>
                <w:color w:val="000000" w:themeColor="text1"/>
                <w14:textFill>
                  <w14:solidFill>
                    <w14:schemeClr w14:val="tx1"/>
                  </w14:solidFill>
                </w14:textFill>
              </w:rPr>
            </w:pPr>
          </w:p>
          <w:p w14:paraId="0D7777B9">
            <w:pPr>
              <w:pStyle w:val="12"/>
              <w:rPr>
                <w:rFonts w:cs="Times New Roman"/>
                <w:color w:val="000000" w:themeColor="text1"/>
                <w14:textFill>
                  <w14:solidFill>
                    <w14:schemeClr w14:val="tx1"/>
                  </w14:solidFill>
                </w14:textFill>
              </w:rPr>
            </w:pPr>
          </w:p>
          <w:p w14:paraId="0B4B2E4E">
            <w:pPr>
              <w:pStyle w:val="12"/>
              <w:rPr>
                <w:rFonts w:cs="Times New Roman"/>
                <w:color w:val="000000" w:themeColor="text1"/>
                <w14:textFill>
                  <w14:solidFill>
                    <w14:schemeClr w14:val="tx1"/>
                  </w14:solidFill>
                </w14:textFill>
              </w:rPr>
            </w:pPr>
          </w:p>
          <w:p w14:paraId="3754E8D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14</w:t>
            </w:r>
            <w:r>
              <w:rPr>
                <w:rFonts w:cs="Times New Roman"/>
                <w:color w:val="000000" w:themeColor="text1"/>
                <w14:textFill>
                  <w14:solidFill>
                    <w14:schemeClr w14:val="tx1"/>
                  </w14:solidFill>
                </w14:textFill>
              </w:rPr>
              <w:t xml:space="preserve"> 排放源图形标识</w:t>
            </w:r>
          </w:p>
          <w:tbl>
            <w:tblPr>
              <w:tblStyle w:val="29"/>
              <w:tblW w:w="4996"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189"/>
              <w:gridCol w:w="1965"/>
              <w:gridCol w:w="1965"/>
              <w:gridCol w:w="1965"/>
              <w:gridCol w:w="1968"/>
            </w:tblGrid>
            <w:tr w14:paraId="1046814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7" w:type="pct"/>
                  <w:tcBorders>
                    <w:tl2br w:val="nil"/>
                    <w:tr2bl w:val="nil"/>
                  </w:tcBorders>
                  <w:shd w:val="clear" w:color="auto" w:fill="auto"/>
                  <w:vAlign w:val="center"/>
                </w:tcPr>
                <w:p w14:paraId="4F74F40B">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排放口</w:t>
                  </w:r>
                </w:p>
              </w:tc>
              <w:tc>
                <w:tcPr>
                  <w:tcW w:w="1085" w:type="pct"/>
                  <w:tcBorders>
                    <w:tl2br w:val="nil"/>
                    <w:tr2bl w:val="nil"/>
                  </w:tcBorders>
                  <w:shd w:val="clear" w:color="auto" w:fill="auto"/>
                  <w:vAlign w:val="center"/>
                </w:tcPr>
                <w:p w14:paraId="54C31A78">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废水排口</w:t>
                  </w:r>
                </w:p>
              </w:tc>
              <w:tc>
                <w:tcPr>
                  <w:tcW w:w="1085" w:type="pct"/>
                  <w:tcBorders>
                    <w:tl2br w:val="nil"/>
                    <w:tr2bl w:val="nil"/>
                  </w:tcBorders>
                  <w:shd w:val="clear" w:color="auto" w:fill="auto"/>
                  <w:vAlign w:val="center"/>
                </w:tcPr>
                <w:p w14:paraId="5BDB4A94">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废气排口</w:t>
                  </w:r>
                </w:p>
              </w:tc>
              <w:tc>
                <w:tcPr>
                  <w:tcW w:w="1085" w:type="pct"/>
                  <w:tcBorders>
                    <w:tl2br w:val="nil"/>
                    <w:tr2bl w:val="nil"/>
                  </w:tcBorders>
                  <w:shd w:val="clear" w:color="auto" w:fill="auto"/>
                  <w:vAlign w:val="center"/>
                </w:tcPr>
                <w:p w14:paraId="06C8F991">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噪声源</w:t>
                  </w:r>
                </w:p>
              </w:tc>
              <w:tc>
                <w:tcPr>
                  <w:tcW w:w="1085" w:type="pct"/>
                  <w:tcBorders>
                    <w:tl2br w:val="nil"/>
                    <w:tr2bl w:val="nil"/>
                  </w:tcBorders>
                  <w:shd w:val="clear" w:color="auto" w:fill="auto"/>
                  <w:vAlign w:val="center"/>
                </w:tcPr>
                <w:p w14:paraId="671AF56F">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一般固废排放源</w:t>
                  </w:r>
                </w:p>
              </w:tc>
            </w:tr>
            <w:tr w14:paraId="78AEA9D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7" w:type="pct"/>
                  <w:tcBorders>
                    <w:tl2br w:val="nil"/>
                    <w:tr2bl w:val="nil"/>
                  </w:tcBorders>
                  <w:shd w:val="clear" w:color="auto" w:fill="auto"/>
                  <w:vAlign w:val="center"/>
                </w:tcPr>
                <w:p w14:paraId="7BDA9ED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图形符号</w:t>
                  </w:r>
                </w:p>
              </w:tc>
              <w:tc>
                <w:tcPr>
                  <w:tcW w:w="1085" w:type="pct"/>
                  <w:tcBorders>
                    <w:tl2br w:val="nil"/>
                    <w:tr2bl w:val="nil"/>
                  </w:tcBorders>
                  <w:shd w:val="clear" w:color="auto" w:fill="auto"/>
                  <w:vAlign w:val="center"/>
                </w:tcPr>
                <w:p w14:paraId="0D0B94D7">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990600" cy="100012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990600" cy="1000125"/>
                                </a:xfrm>
                                <a:prstGeom prst="rect">
                                  <a:avLst/>
                                </a:prstGeom>
                                <a:noFill/>
                                <a:ln>
                                  <a:noFill/>
                                </a:ln>
                              </pic:spPr>
                            </pic:pic>
                          </a:graphicData>
                        </a:graphic>
                      </wp:inline>
                    </w:drawing>
                  </w:r>
                </w:p>
              </w:tc>
              <w:tc>
                <w:tcPr>
                  <w:tcW w:w="1085" w:type="pct"/>
                  <w:tcBorders>
                    <w:tl2br w:val="nil"/>
                    <w:tr2bl w:val="nil"/>
                  </w:tcBorders>
                  <w:shd w:val="clear" w:color="auto" w:fill="auto"/>
                  <w:vAlign w:val="center"/>
                </w:tcPr>
                <w:p w14:paraId="1059B893">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076325" cy="98107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076325" cy="981075"/>
                                </a:xfrm>
                                <a:prstGeom prst="rect">
                                  <a:avLst/>
                                </a:prstGeom>
                                <a:noFill/>
                                <a:ln>
                                  <a:noFill/>
                                </a:ln>
                              </pic:spPr>
                            </pic:pic>
                          </a:graphicData>
                        </a:graphic>
                      </wp:inline>
                    </w:drawing>
                  </w:r>
                </w:p>
              </w:tc>
              <w:tc>
                <w:tcPr>
                  <w:tcW w:w="1085" w:type="pct"/>
                  <w:tcBorders>
                    <w:tl2br w:val="nil"/>
                    <w:tr2bl w:val="nil"/>
                  </w:tcBorders>
                  <w:shd w:val="clear" w:color="auto" w:fill="auto"/>
                  <w:vAlign w:val="center"/>
                </w:tcPr>
                <w:p w14:paraId="5D0AA94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971550" cy="9715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971550" cy="971550"/>
                                </a:xfrm>
                                <a:prstGeom prst="rect">
                                  <a:avLst/>
                                </a:prstGeom>
                                <a:noFill/>
                                <a:ln>
                                  <a:noFill/>
                                </a:ln>
                              </pic:spPr>
                            </pic:pic>
                          </a:graphicData>
                        </a:graphic>
                      </wp:inline>
                    </w:drawing>
                  </w:r>
                </w:p>
              </w:tc>
              <w:tc>
                <w:tcPr>
                  <w:tcW w:w="1085" w:type="pct"/>
                  <w:tcBorders>
                    <w:tl2br w:val="nil"/>
                    <w:tr2bl w:val="nil"/>
                  </w:tcBorders>
                  <w:shd w:val="clear" w:color="auto" w:fill="auto"/>
                  <w:vAlign w:val="center"/>
                </w:tcPr>
                <w:p w14:paraId="7D0D0CB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047750" cy="10096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047750" cy="1009650"/>
                                </a:xfrm>
                                <a:prstGeom prst="rect">
                                  <a:avLst/>
                                </a:prstGeom>
                                <a:noFill/>
                                <a:ln>
                                  <a:noFill/>
                                </a:ln>
                              </pic:spPr>
                            </pic:pic>
                          </a:graphicData>
                        </a:graphic>
                      </wp:inline>
                    </w:drawing>
                  </w:r>
                </w:p>
              </w:tc>
            </w:tr>
            <w:tr w14:paraId="4964303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7" w:type="pct"/>
                  <w:tcBorders>
                    <w:tl2br w:val="nil"/>
                    <w:tr2bl w:val="nil"/>
                  </w:tcBorders>
                  <w:shd w:val="clear" w:color="auto" w:fill="auto"/>
                  <w:vAlign w:val="center"/>
                </w:tcPr>
                <w:p w14:paraId="5FB68E9F">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图形颜色</w:t>
                  </w:r>
                </w:p>
              </w:tc>
              <w:tc>
                <w:tcPr>
                  <w:tcW w:w="4342" w:type="pct"/>
                  <w:gridSpan w:val="4"/>
                  <w:tcBorders>
                    <w:tl2br w:val="nil"/>
                    <w:tr2bl w:val="nil"/>
                  </w:tcBorders>
                  <w:shd w:val="clear" w:color="auto" w:fill="auto"/>
                  <w:vAlign w:val="center"/>
                </w:tcPr>
                <w:p w14:paraId="798A4ACA">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白色</w:t>
                  </w:r>
                </w:p>
              </w:tc>
            </w:tr>
            <w:tr w14:paraId="04860CA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7" w:type="pct"/>
                  <w:tcBorders>
                    <w:tl2br w:val="nil"/>
                    <w:tr2bl w:val="nil"/>
                  </w:tcBorders>
                  <w:shd w:val="clear" w:color="auto" w:fill="auto"/>
                  <w:vAlign w:val="center"/>
                </w:tcPr>
                <w:p w14:paraId="239A087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背景颜色</w:t>
                  </w:r>
                </w:p>
              </w:tc>
              <w:tc>
                <w:tcPr>
                  <w:tcW w:w="4342" w:type="pct"/>
                  <w:gridSpan w:val="4"/>
                  <w:tcBorders>
                    <w:tl2br w:val="nil"/>
                    <w:tr2bl w:val="nil"/>
                  </w:tcBorders>
                  <w:shd w:val="clear" w:color="auto" w:fill="auto"/>
                  <w:vAlign w:val="center"/>
                </w:tcPr>
                <w:p w14:paraId="6742B0D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绿色</w:t>
                  </w:r>
                </w:p>
              </w:tc>
            </w:tr>
          </w:tbl>
          <w:p w14:paraId="259F5A00">
            <w:pPr>
              <w:adjustRightInd w:val="0"/>
              <w:snapToGrid w:val="0"/>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本项目危险废物标识牌应参照《危险废物识别标志设置技术规范》（HJ1276-2022）设置，见下表。</w:t>
            </w:r>
          </w:p>
          <w:p w14:paraId="6D4C7FD9">
            <w:pPr>
              <w:pStyle w:val="12"/>
              <w:rPr>
                <w:rFonts w:cs="Times New Roman"/>
                <w:bCs/>
                <w:color w:val="000000" w:themeColor="text1"/>
                <w:szCs w:val="21"/>
                <w14:textFill>
                  <w14:solidFill>
                    <w14:schemeClr w14:val="tx1"/>
                  </w14:solidFill>
                </w14:textFill>
              </w:rPr>
            </w:pPr>
            <w:bookmarkStart w:id="60" w:name="OLE_LINK214"/>
            <w:bookmarkStart w:id="61" w:name="OLE_LINK215"/>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15</w:t>
            </w:r>
            <w:r>
              <w:rPr>
                <w:rFonts w:cs="Times New Roman"/>
                <w:color w:val="000000" w:themeColor="text1"/>
                <w14:textFill>
                  <w14:solidFill>
                    <w14:schemeClr w14:val="tx1"/>
                  </w14:solidFill>
                </w14:textFill>
              </w:rPr>
              <w:t xml:space="preserve"> </w:t>
            </w:r>
            <w:bookmarkEnd w:id="60"/>
            <w:bookmarkEnd w:id="61"/>
            <w:r>
              <w:rPr>
                <w:rFonts w:cs="Times New Roman"/>
                <w:color w:val="000000" w:themeColor="text1"/>
                <w14:textFill>
                  <w14:solidFill>
                    <w14:schemeClr w14:val="tx1"/>
                  </w14:solidFill>
                </w14:textFill>
              </w:rPr>
              <w:t>危废暂存间</w:t>
            </w:r>
            <w:r>
              <w:rPr>
                <w:rFonts w:cs="Times New Roman"/>
                <w:bCs/>
                <w:color w:val="000000" w:themeColor="text1"/>
                <w:szCs w:val="21"/>
                <w14:textFill>
                  <w14:solidFill>
                    <w14:schemeClr w14:val="tx1"/>
                  </w14:solidFill>
                </w14:textFill>
              </w:rPr>
              <w:t>标识</w:t>
            </w:r>
          </w:p>
          <w:tbl>
            <w:tblPr>
              <w:tblStyle w:val="29"/>
              <w:tblW w:w="5000"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3136"/>
              <w:gridCol w:w="4852"/>
              <w:gridCol w:w="1071"/>
            </w:tblGrid>
            <w:tr w14:paraId="6E7C32F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731" w:type="pct"/>
                  <w:tcBorders>
                    <w:tl2br w:val="nil"/>
                    <w:tr2bl w:val="nil"/>
                  </w:tcBorders>
                  <w:shd w:val="clear" w:color="auto" w:fill="auto"/>
                  <w:vAlign w:val="center"/>
                </w:tcPr>
                <w:p w14:paraId="2AD19D79">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标牌</w:t>
                  </w:r>
                </w:p>
              </w:tc>
              <w:tc>
                <w:tcPr>
                  <w:tcW w:w="2678" w:type="pct"/>
                  <w:tcBorders>
                    <w:tl2br w:val="nil"/>
                    <w:tr2bl w:val="nil"/>
                  </w:tcBorders>
                  <w:shd w:val="clear" w:color="auto" w:fill="auto"/>
                  <w:vAlign w:val="center"/>
                </w:tcPr>
                <w:p w14:paraId="4692E553">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说明</w:t>
                  </w:r>
                </w:p>
              </w:tc>
              <w:tc>
                <w:tcPr>
                  <w:tcW w:w="591" w:type="pct"/>
                  <w:tcBorders>
                    <w:tl2br w:val="nil"/>
                    <w:tr2bl w:val="nil"/>
                  </w:tcBorders>
                  <w:shd w:val="clear" w:color="auto" w:fill="auto"/>
                  <w:vAlign w:val="center"/>
                </w:tcPr>
                <w:p w14:paraId="0C748E1A">
                  <w:pPr>
                    <w:pStyle w:val="5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备注</w:t>
                  </w:r>
                </w:p>
              </w:tc>
            </w:tr>
            <w:tr w14:paraId="6EC2D28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731" w:type="pct"/>
                  <w:tcBorders>
                    <w:tl2br w:val="nil"/>
                    <w:tr2bl w:val="nil"/>
                  </w:tcBorders>
                  <w:shd w:val="clear" w:color="auto" w:fill="auto"/>
                  <w:vAlign w:val="center"/>
                </w:tcPr>
                <w:p w14:paraId="2DBC1E6D">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619250" cy="10287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1619250" cy="1028700"/>
                                </a:xfrm>
                                <a:prstGeom prst="rect">
                                  <a:avLst/>
                                </a:prstGeom>
                                <a:noFill/>
                                <a:ln>
                                  <a:noFill/>
                                </a:ln>
                              </pic:spPr>
                            </pic:pic>
                          </a:graphicData>
                        </a:graphic>
                      </wp:inline>
                    </w:drawing>
                  </w:r>
                </w:p>
              </w:tc>
              <w:tc>
                <w:tcPr>
                  <w:tcW w:w="2678" w:type="pct"/>
                  <w:tcBorders>
                    <w:tl2br w:val="nil"/>
                    <w:tr2bl w:val="nil"/>
                  </w:tcBorders>
                  <w:shd w:val="clear" w:color="auto" w:fill="auto"/>
                  <w:vAlign w:val="center"/>
                </w:tcPr>
                <w:p w14:paraId="24E7F645">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危险废物贮存、利用、处置设施标志应包含三角形警告性图形标志和文字性辅助标志，其中三角形警告性图形标志应符合GB 15562.2中的要求（如下）。</w:t>
                  </w:r>
                </w:p>
                <w:p w14:paraId="71DF7128">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危险废物警告标志规格为等边三角形，边长40cm，背景为黄色，图形为黑色，适用于危险废物贮存设施为房屋的，建有围墙或防护栅栏，且高度高于100cm时；部分危险废物利用、处置场所。</w:t>
                  </w:r>
                </w:p>
              </w:tc>
              <w:tc>
                <w:tcPr>
                  <w:tcW w:w="591" w:type="pct"/>
                  <w:tcBorders>
                    <w:tl2br w:val="nil"/>
                    <w:tr2bl w:val="nil"/>
                  </w:tcBorders>
                  <w:shd w:val="clear" w:color="auto" w:fill="auto"/>
                  <w:vAlign w:val="center"/>
                </w:tcPr>
                <w:p w14:paraId="2404FF4C">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危险废物贮存设施标志</w:t>
                  </w:r>
                </w:p>
              </w:tc>
            </w:tr>
            <w:tr w14:paraId="2E4C702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1731" w:type="pct"/>
                  <w:tcBorders>
                    <w:tl2br w:val="nil"/>
                    <w:tr2bl w:val="nil"/>
                  </w:tcBorders>
                  <w:shd w:val="clear" w:color="auto" w:fill="auto"/>
                  <w:vAlign w:val="center"/>
                </w:tcPr>
                <w:p w14:paraId="4312C58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589405" cy="1581150"/>
                        <wp:effectExtent l="0" t="0" r="1079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589405" cy="1581150"/>
                                </a:xfrm>
                                <a:prstGeom prst="rect">
                                  <a:avLst/>
                                </a:prstGeom>
                                <a:noFill/>
                                <a:ln>
                                  <a:noFill/>
                                </a:ln>
                              </pic:spPr>
                            </pic:pic>
                          </a:graphicData>
                        </a:graphic>
                      </wp:inline>
                    </w:drawing>
                  </w:r>
                </w:p>
              </w:tc>
              <w:tc>
                <w:tcPr>
                  <w:tcW w:w="2678" w:type="pct"/>
                  <w:tcBorders>
                    <w:tl2br w:val="nil"/>
                    <w:tr2bl w:val="nil"/>
                  </w:tcBorders>
                  <w:shd w:val="clear" w:color="auto" w:fill="auto"/>
                  <w:vAlign w:val="center"/>
                </w:tcPr>
                <w:p w14:paraId="422FBE81">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危险废物标签背景色应采用醒目的橘黄色，RGB颜色值为（255，150，0）。</w:t>
                  </w:r>
                </w:p>
                <w:p w14:paraId="3CAC3022">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标签边框和字体颜色为黑色，RGB颜色值为（0，0，0）。</w:t>
                  </w:r>
                </w:p>
                <w:p w14:paraId="34BF56F4">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危险废物标签字体宜采用黑体字，其中“危险废物”字样应加粗放大。</w:t>
                  </w:r>
                </w:p>
              </w:tc>
              <w:tc>
                <w:tcPr>
                  <w:tcW w:w="591" w:type="pct"/>
                  <w:tcBorders>
                    <w:tl2br w:val="nil"/>
                    <w:tr2bl w:val="nil"/>
                  </w:tcBorders>
                  <w:shd w:val="clear" w:color="auto" w:fill="auto"/>
                  <w:vAlign w:val="center"/>
                </w:tcPr>
                <w:p w14:paraId="2B7796E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粘贴于危险废物储存容器上的危险废物标</w:t>
                  </w:r>
                </w:p>
                <w:p w14:paraId="25E3C6C0">
                  <w:pPr>
                    <w:pStyle w:val="13"/>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签</w:t>
                  </w:r>
                </w:p>
              </w:tc>
            </w:tr>
          </w:tbl>
          <w:p w14:paraId="76AEC831">
            <w:pPr>
              <w:pStyle w:val="4"/>
              <w:spacing w:before="163"/>
              <w:rPr>
                <w:rFonts w:hint="default" w:eastAsia="宋体"/>
                <w:color w:val="000000" w:themeColor="text1"/>
                <w:lang w:val="en-US" w:eastAsia="zh-CN" w:bidi="ar"/>
                <w14:textFill>
                  <w14:solidFill>
                    <w14:schemeClr w14:val="tx1"/>
                  </w14:solidFill>
                </w14:textFill>
              </w:rPr>
            </w:pPr>
            <w:r>
              <w:rPr>
                <w:rFonts w:hint="eastAsia"/>
                <w:color w:val="000000" w:themeColor="text1"/>
                <w:lang w:val="en-US" w:eastAsia="zh-CN" w:bidi="ar"/>
                <w14:textFill>
                  <w14:solidFill>
                    <w14:schemeClr w14:val="tx1"/>
                  </w14:solidFill>
                </w14:textFill>
              </w:rPr>
              <w:t>9</w:t>
            </w:r>
            <w:r>
              <w:rPr>
                <w:color w:val="000000" w:themeColor="text1"/>
                <w:lang w:bidi="ar"/>
                <w14:textFill>
                  <w14:solidFill>
                    <w14:schemeClr w14:val="tx1"/>
                  </w14:solidFill>
                </w14:textFill>
              </w:rPr>
              <w:t>、</w:t>
            </w:r>
            <w:r>
              <w:rPr>
                <w:rFonts w:hint="eastAsia"/>
                <w:color w:val="000000" w:themeColor="text1"/>
                <w:lang w:val="en-US" w:eastAsia="zh-CN" w:bidi="ar"/>
                <w14:textFill>
                  <w14:solidFill>
                    <w14:schemeClr w14:val="tx1"/>
                  </w14:solidFill>
                </w14:textFill>
              </w:rPr>
              <w:t>其他环境管理要求</w:t>
            </w:r>
          </w:p>
          <w:p w14:paraId="325E08A1">
            <w:pPr>
              <w:adjustRightInd w:val="0"/>
              <w:spacing w:line="360" w:lineRule="auto"/>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1</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水基</w:t>
            </w:r>
            <w:r>
              <w:rPr>
                <w:rFonts w:hint="eastAsia"/>
                <w:color w:val="000000" w:themeColor="text1"/>
                <w:sz w:val="24"/>
                <w14:textFill>
                  <w14:solidFill>
                    <w14:schemeClr w14:val="tx1"/>
                  </w14:solidFill>
                </w14:textFill>
              </w:rPr>
              <w:t>岩屑</w:t>
            </w:r>
            <w:r>
              <w:rPr>
                <w:color w:val="000000" w:themeColor="text1"/>
                <w:sz w:val="24"/>
                <w14:textFill>
                  <w14:solidFill>
                    <w14:schemeClr w14:val="tx1"/>
                  </w14:solidFill>
                </w14:textFill>
              </w:rPr>
              <w:t>管理要求</w:t>
            </w:r>
          </w:p>
          <w:p w14:paraId="17A3ADD6">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1）水基</w:t>
            </w:r>
            <w:r>
              <w:rPr>
                <w:rFonts w:hint="eastAsia"/>
                <w:color w:val="000000" w:themeColor="text1"/>
                <w:sz w:val="24"/>
                <w14:textFill>
                  <w14:solidFill>
                    <w14:schemeClr w14:val="tx1"/>
                  </w14:solidFill>
                </w14:textFill>
              </w:rPr>
              <w:t>岩屑</w:t>
            </w:r>
            <w:r>
              <w:rPr>
                <w:color w:val="000000" w:themeColor="text1"/>
                <w:sz w:val="24"/>
                <w14:textFill>
                  <w14:solidFill>
                    <w14:schemeClr w14:val="tx1"/>
                  </w14:solidFill>
                </w14:textFill>
              </w:rPr>
              <w:t>收集运输系统</w:t>
            </w:r>
          </w:p>
          <w:p w14:paraId="7FF5BF32">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w:t>
            </w:r>
            <w:r>
              <w:rPr>
                <w:rFonts w:hint="eastAsia"/>
                <w:color w:val="000000" w:themeColor="text1"/>
                <w:sz w:val="24"/>
                <w14:textFill>
                  <w14:solidFill>
                    <w14:schemeClr w14:val="tx1"/>
                  </w14:solidFill>
                </w14:textFill>
              </w:rPr>
              <w:t>综合利用对象</w:t>
            </w:r>
            <w:r>
              <w:rPr>
                <w:color w:val="000000" w:themeColor="text1"/>
                <w:sz w:val="24"/>
                <w14:textFill>
                  <w14:solidFill>
                    <w14:schemeClr w14:val="tx1"/>
                  </w14:solidFill>
                </w14:textFill>
              </w:rPr>
              <w:t>为</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，主要是</w:t>
            </w:r>
            <w:r>
              <w:rPr>
                <w:rFonts w:hint="eastAsia"/>
                <w:color w:val="000000" w:themeColor="text1"/>
                <w:sz w:val="24"/>
                <w:lang w:val="en-US" w:eastAsia="zh-CN"/>
                <w14:textFill>
                  <w14:solidFill>
                    <w14:schemeClr w14:val="tx1"/>
                  </w14:solidFill>
                </w14:textFill>
              </w:rPr>
              <w:t>石油</w:t>
            </w:r>
            <w:r>
              <w:rPr>
                <w:rFonts w:hint="eastAsia"/>
                <w:color w:val="000000" w:themeColor="text1"/>
                <w:sz w:val="24"/>
                <w:lang w:eastAsia="zh-CN"/>
                <w14:textFill>
                  <w14:solidFill>
                    <w14:schemeClr w14:val="tx1"/>
                  </w14:solidFill>
                </w14:textFill>
              </w:rPr>
              <w:t>天然气</w:t>
            </w:r>
            <w:r>
              <w:rPr>
                <w:color w:val="000000" w:themeColor="text1"/>
                <w:sz w:val="24"/>
                <w14:textFill>
                  <w14:solidFill>
                    <w14:schemeClr w14:val="tx1"/>
                  </w14:solidFill>
                </w14:textFill>
              </w:rPr>
              <w:t>开采过程中产生的</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，属一般废物。需按照国家规定要求，制定相应的收运方式。</w:t>
            </w:r>
          </w:p>
          <w:p w14:paraId="53347DDA">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项目采用公路运输的方式，</w:t>
            </w:r>
            <w:r>
              <w:rPr>
                <w:rFonts w:hint="eastAsia"/>
                <w:color w:val="000000" w:themeColor="text1"/>
                <w:sz w:val="24"/>
                <w:lang w:eastAsia="zh-CN"/>
                <w14:textFill>
                  <w14:solidFill>
                    <w14:schemeClr w14:val="tx1"/>
                  </w14:solidFill>
                </w14:textFill>
              </w:rPr>
              <w:t>提供单位</w:t>
            </w:r>
            <w:r>
              <w:rPr>
                <w:color w:val="000000" w:themeColor="text1"/>
                <w:sz w:val="24"/>
                <w14:textFill>
                  <w14:solidFill>
                    <w14:schemeClr w14:val="tx1"/>
                  </w14:solidFill>
                </w14:textFill>
              </w:rPr>
              <w:t>与第三方专业运输公司签订的委托运输合同，</w:t>
            </w:r>
            <w:r>
              <w:rPr>
                <w:rFonts w:hint="eastAsia"/>
                <w:color w:val="000000" w:themeColor="text1"/>
                <w:sz w:val="24"/>
                <w:lang w:val="en-US" w:eastAsia="zh-CN"/>
                <w14:textFill>
                  <w14:solidFill>
                    <w14:schemeClr w14:val="tx1"/>
                  </w14:solidFill>
                </w14:textFill>
              </w:rPr>
              <w:t>由</w:t>
            </w:r>
            <w:r>
              <w:rPr>
                <w:color w:val="000000" w:themeColor="text1"/>
                <w:sz w:val="24"/>
                <w14:textFill>
                  <w14:solidFill>
                    <w14:schemeClr w14:val="tx1"/>
                  </w14:solidFill>
                </w14:textFill>
              </w:rPr>
              <w:t>第三方专业运输公司进行运输。</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的运输要求安全可靠，并要严格按照货物运输的管理规定进行固化物的运输，减少运输过程中的二次污染和可能造成的环境风险。</w:t>
            </w:r>
          </w:p>
          <w:p w14:paraId="6A830F2C">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运输采取公路运输的方式。选专用转运车，按时到各钻井平台暂存点收集、装运</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，并选用路线短、对沿路影响小的运输路线，避免在装、运途中产生二次污染。</w:t>
            </w:r>
          </w:p>
          <w:p w14:paraId="53A2BEF1">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根据各平台</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产生量，设计运输线路、时间及频次。综合考虑服务区域、运距、交通、废物产量和经济性等因素。</w:t>
            </w:r>
          </w:p>
          <w:p w14:paraId="76CA80CF">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2）确保本项目只针对</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处理的分析</w:t>
            </w:r>
          </w:p>
          <w:p w14:paraId="5E2BBC8C">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本项目只针对</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的处理，不涉及油基固化物的处理。为确保本项目处理的固化物为</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，本环评提出以下要求：</w:t>
            </w:r>
          </w:p>
          <w:p w14:paraId="2B763AB5">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①每次在开采井运回固化物时需要明确固化物性质为</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建立台账，</w:t>
            </w:r>
            <w:r>
              <w:rPr>
                <w:color w:val="000000" w:themeColor="text1"/>
                <w:sz w:val="24"/>
                <w14:textFill>
                  <w14:solidFill>
                    <w14:schemeClr w14:val="tx1"/>
                  </w14:solidFill>
                </w14:textFill>
              </w:rPr>
              <w:t>相关负责人进行签字确认；</w:t>
            </w:r>
          </w:p>
          <w:p w14:paraId="212B1405">
            <w:pPr>
              <w:adjustRightInd w:val="0"/>
              <w:spacing w:line="360" w:lineRule="auto"/>
              <w:ind w:firstLine="480" w:firstLineChars="200"/>
              <w:rPr>
                <w:rFonts w:hint="eastAsia" w:ascii="宋体" w:hAnsi="宋体" w:cs="宋体"/>
                <w:color w:val="000000" w:themeColor="text1"/>
                <w:kern w:val="0"/>
                <w:sz w:val="24"/>
                <w:szCs w:val="24"/>
                <w:lang w:val="en-US" w:eastAsia="zh-CN" w:bidi="ar"/>
                <w14:textFill>
                  <w14:solidFill>
                    <w14:schemeClr w14:val="tx1"/>
                  </w14:solidFill>
                </w14:textFill>
              </w:rPr>
            </w:pPr>
            <w:r>
              <w:rPr>
                <w:rFonts w:hint="eastAsia"/>
                <w:color w:val="000000" w:themeColor="text1"/>
                <w:sz w:val="24"/>
                <w:lang w:val="en-US" w:eastAsia="zh-CN"/>
                <w14:textFill>
                  <w14:solidFill>
                    <w14:schemeClr w14:val="tx1"/>
                  </w14:solidFill>
                </w14:textFill>
              </w:rPr>
              <w:t>②</w:t>
            </w:r>
            <w:r>
              <w:rPr>
                <w:rFonts w:hint="eastAsia" w:ascii="宋体" w:hAnsi="宋体" w:cs="宋体"/>
                <w:color w:val="000000" w:themeColor="text1"/>
                <w:kern w:val="0"/>
                <w:sz w:val="24"/>
                <w:szCs w:val="24"/>
                <w:lang w:val="en-US" w:eastAsia="zh-CN" w:bidi="ar"/>
                <w14:textFill>
                  <w14:solidFill>
                    <w14:schemeClr w14:val="tx1"/>
                  </w14:solidFill>
                </w14:textFill>
              </w:rPr>
              <w:t>本项目来料单位需提供井场环保手续，明确钻井方式；</w:t>
            </w:r>
          </w:p>
          <w:p w14:paraId="6F279A39">
            <w:pPr>
              <w:adjustRightInd w:val="0"/>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③</w:t>
            </w:r>
            <w:r>
              <w:rPr>
                <w:color w:val="000000" w:themeColor="text1"/>
                <w:sz w:val="24"/>
                <w14:textFill>
                  <w14:solidFill>
                    <w14:schemeClr w14:val="tx1"/>
                  </w14:solidFill>
                </w14:textFill>
              </w:rPr>
              <w:t>开采方每口井提供相应的检测报告，证明</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的理化性质和无毒性</w:t>
            </w:r>
            <w:r>
              <w:rPr>
                <w:rFonts w:hint="eastAsia"/>
                <w:color w:val="000000" w:themeColor="text1"/>
                <w:sz w:val="24"/>
                <w:lang w:eastAsia="zh-CN"/>
                <w14:textFill>
                  <w14:solidFill>
                    <w14:schemeClr w14:val="tx1"/>
                  </w14:solidFill>
                </w14:textFill>
              </w:rPr>
              <w:t>。</w:t>
            </w:r>
          </w:p>
          <w:p w14:paraId="1BDAF618">
            <w:pPr>
              <w:adjustRightIn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3）水基岩屑资源化利用要求</w:t>
            </w:r>
          </w:p>
          <w:p w14:paraId="64836D13">
            <w:pPr>
              <w:adjustRightIn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定期对水基岩屑及</w:t>
            </w:r>
            <w:r>
              <w:rPr>
                <w:rFonts w:hint="eastAsia"/>
                <w:color w:val="000000" w:themeColor="text1"/>
                <w:sz w:val="24"/>
                <w:lang w:val="en-US" w:eastAsia="zh-CN"/>
                <w14:textFill>
                  <w14:solidFill>
                    <w14:schemeClr w14:val="tx1"/>
                  </w14:solidFill>
                </w14:textFill>
              </w:rPr>
              <w:t>产品</w:t>
            </w:r>
            <w:r>
              <w:rPr>
                <w:rFonts w:hint="eastAsia"/>
                <w:color w:val="000000" w:themeColor="text1"/>
                <w:sz w:val="24"/>
                <w14:textFill>
                  <w14:solidFill>
                    <w14:schemeClr w14:val="tx1"/>
                  </w14:solidFill>
                </w14:textFill>
              </w:rPr>
              <w:t>进行检测，其质量标准需满足</w:t>
            </w:r>
            <w:r>
              <w:rPr>
                <w:color w:val="000000" w:themeColor="text1"/>
                <w:sz w:val="24"/>
                <w14:textFill>
                  <w14:solidFill>
                    <w14:schemeClr w14:val="tx1"/>
                  </w14:solidFill>
                </w14:textFill>
              </w:rPr>
              <w:t>《陆上石油天然气开采水基钻井废弃物处理处置及资源化利用技术规范》（SY/T7466-2020）中资源化利用及处置技术要求</w:t>
            </w:r>
            <w:r>
              <w:rPr>
                <w:rFonts w:hint="eastAsia"/>
                <w:color w:val="000000" w:themeColor="text1"/>
                <w:sz w:val="24"/>
                <w14:textFill>
                  <w14:solidFill>
                    <w14:schemeClr w14:val="tx1"/>
                  </w14:solidFill>
                </w14:textFill>
              </w:rPr>
              <w:t>。</w:t>
            </w:r>
          </w:p>
          <w:p w14:paraId="686C25E1">
            <w:pPr>
              <w:adjustRightInd w:val="0"/>
              <w:spacing w:line="360" w:lineRule="auto"/>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工程设施的环境管理要求</w:t>
            </w:r>
          </w:p>
          <w:p w14:paraId="14D4E4E2">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本项目营运期工程设施的环境管理计划包括污染物排放清单、执行标准、监测计划、排污口信息、向社会公开的信息内容。</w:t>
            </w:r>
          </w:p>
          <w:p w14:paraId="0E868440">
            <w:pPr>
              <w:adjustRightInd w:val="0"/>
              <w:spacing w:line="360" w:lineRule="auto"/>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制度约束的环境管理计划</w:t>
            </w:r>
          </w:p>
          <w:p w14:paraId="09DF74AE">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①分别针对噪声影响、生活垃圾收集、废水处理、废气治理等防控措施，制定相应的制度约束内容，确定各项制度约束实施的责任主体、监管主体、履责内容和奖惩细则。</w:t>
            </w:r>
          </w:p>
          <w:p w14:paraId="5EBC2033">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②分别针对污水处理设施、大气治理设施、噪声源强控制设施、固废暂存设施等工程措施，制定相应的设施运行操作规则、预期目标、监督实施和责任分工。</w:t>
            </w:r>
          </w:p>
          <w:p w14:paraId="366422A1">
            <w:pPr>
              <w:pStyle w:val="4"/>
              <w:spacing w:before="163"/>
              <w:rPr>
                <w:rFonts w:hint="eastAsia"/>
                <w:color w:val="000000" w:themeColor="text1"/>
                <w:lang w:val="en-US" w:eastAsia="zh-CN" w:bidi="ar"/>
                <w14:textFill>
                  <w14:solidFill>
                    <w14:schemeClr w14:val="tx1"/>
                  </w14:solidFill>
                </w14:textFill>
              </w:rPr>
            </w:pPr>
            <w:r>
              <w:rPr>
                <w:rFonts w:hint="eastAsia"/>
                <w:color w:val="000000" w:themeColor="text1"/>
                <w:lang w:val="en-US" w:eastAsia="zh-CN" w:bidi="ar"/>
                <w14:textFill>
                  <w14:solidFill>
                    <w14:schemeClr w14:val="tx1"/>
                  </w14:solidFill>
                </w14:textFill>
              </w:rPr>
              <w:t>10</w:t>
            </w:r>
            <w:r>
              <w:rPr>
                <w:color w:val="000000" w:themeColor="text1"/>
                <w:lang w:bidi="ar"/>
                <w14:textFill>
                  <w14:solidFill>
                    <w14:schemeClr w14:val="tx1"/>
                  </w14:solidFill>
                </w14:textFill>
              </w:rPr>
              <w:t>、</w:t>
            </w:r>
            <w:r>
              <w:rPr>
                <w:rFonts w:hint="eastAsia"/>
                <w:color w:val="000000" w:themeColor="text1"/>
                <w:lang w:val="en-US" w:eastAsia="zh-CN" w:bidi="ar"/>
                <w14:textFill>
                  <w14:solidFill>
                    <w14:schemeClr w14:val="tx1"/>
                  </w14:solidFill>
                </w14:textFill>
              </w:rPr>
              <w:t>环境监测计划</w:t>
            </w:r>
          </w:p>
          <w:p w14:paraId="6FFAADC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①竣工验收监测</w:t>
            </w:r>
          </w:p>
          <w:p w14:paraId="0A1994A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国务院关于修改〈建设项目环境保护管理条例〉的决定》（中华人民共和国国务院令第682号，以下简称《条例》），编制环境影响报告书、环境影响报告表的建设项目竣工后，建设单位应当按照国务院环境保护行政主管部门规定的标准和程序，对配套建设的环境保护设施进行验收，编制验收报告</w:t>
            </w:r>
            <w:r>
              <w:rPr>
                <w:rFonts w:hint="eastAsia"/>
                <w:color w:val="000000" w:themeColor="text1"/>
                <w:sz w:val="24"/>
                <w14:textFill>
                  <w14:solidFill>
                    <w14:schemeClr w14:val="tx1"/>
                  </w14:solidFill>
                </w14:textFill>
              </w:rPr>
              <w:t>，并公示相关信息，接受社会监督。</w:t>
            </w:r>
          </w:p>
          <w:p w14:paraId="168E88A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②运营期的常规监测</w:t>
            </w:r>
          </w:p>
          <w:p w14:paraId="6FCB5CDD">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w:t>
            </w:r>
            <w:r>
              <w:rPr>
                <w:rFonts w:hint="eastAsia"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排污单位自行监测技术指南 砖瓦工业</w:t>
            </w:r>
            <w:r>
              <w:rPr>
                <w:rFonts w:hint="eastAsia"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（HJ1254</w:t>
            </w:r>
            <w:r>
              <w:rPr>
                <w:rFonts w:hint="eastAsia"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2022）</w:t>
            </w:r>
            <w:r>
              <w:rPr>
                <w:rFonts w:hint="eastAsia"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《排污许可证申请与核发技术规范 陶瓷砖瓦工业》（HJ954-2018）</w:t>
            </w:r>
            <w:r>
              <w:rPr>
                <w:rFonts w:hint="eastAsia"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cs="Times New Roman"/>
                <w:color w:val="000000" w:themeColor="text1"/>
                <w:spacing w:val="-10"/>
                <w14:textFill>
                  <w14:solidFill>
                    <w14:schemeClr w14:val="tx1"/>
                  </w14:solidFill>
                </w14:textFill>
              </w:rPr>
              <w:t>《排污</w:t>
            </w:r>
            <w:r>
              <w:rPr>
                <w:rFonts w:hint="default" w:ascii="Times New Roman" w:hAnsi="Times New Roman" w:cs="Times New Roman"/>
                <w:color w:val="000000" w:themeColor="text1"/>
                <w14:textFill>
                  <w14:solidFill>
                    <w14:schemeClr w14:val="tx1"/>
                  </w14:solidFill>
                </w14:textFill>
              </w:rPr>
              <w:t>许可证申请与</w:t>
            </w:r>
            <w:r>
              <w:rPr>
                <w:rFonts w:hint="default" w:ascii="Times New Roman" w:hAnsi="Times New Roman" w:cs="Times New Roman"/>
                <w:color w:val="000000" w:themeColor="text1"/>
                <w:spacing w:val="-9"/>
                <w14:textFill>
                  <w14:solidFill>
                    <w14:schemeClr w14:val="tx1"/>
                  </w14:solidFill>
                </w14:textFill>
              </w:rPr>
              <w:t>核发技术规范</w:t>
            </w:r>
            <w:r>
              <w:rPr>
                <w:rFonts w:hint="default" w:ascii="Times New Roman" w:hAnsi="Times New Roman" w:cs="Times New Roman"/>
                <w:color w:val="000000" w:themeColor="text1"/>
                <w:spacing w:val="-10"/>
                <w14:textFill>
                  <w14:solidFill>
                    <w14:schemeClr w14:val="tx1"/>
                  </w14:solidFill>
                </w14:textFill>
              </w:rPr>
              <w:t xml:space="preserve"> </w:t>
            </w:r>
            <w:r>
              <w:rPr>
                <w:rFonts w:hint="default" w:ascii="Times New Roman" w:hAnsi="Times New Roman" w:cs="Times New Roman"/>
                <w:color w:val="000000" w:themeColor="text1"/>
                <w:spacing w:val="-10"/>
                <w:lang w:val="en-US" w:eastAsia="zh-CN"/>
                <w14:textFill>
                  <w14:solidFill>
                    <w14:schemeClr w14:val="tx1"/>
                  </w14:solidFill>
                </w14:textFill>
              </w:rPr>
              <w:t>工业固体废物和危险废物治理</w:t>
            </w:r>
            <w:r>
              <w:rPr>
                <w:rFonts w:hint="default" w:ascii="Times New Roman" w:hAnsi="Times New Roman" w:cs="Times New Roman"/>
                <w:color w:val="000000" w:themeColor="text1"/>
                <w:spacing w:val="-10"/>
                <w14:textFill>
                  <w14:solidFill>
                    <w14:schemeClr w14:val="tx1"/>
                  </w14:solidFill>
                </w14:textFill>
              </w:rPr>
              <w:t>》</w:t>
            </w:r>
            <w:r>
              <w:rPr>
                <w:rFonts w:hint="eastAsia" w:ascii="Times New Roman" w:hAnsi="Times New Roman" w:cs="Times New Roman"/>
                <w:color w:val="000000" w:themeColor="text1"/>
                <w:spacing w:val="-10"/>
                <w:lang w:eastAsia="zh-CN"/>
                <w14:textFill>
                  <w14:solidFill>
                    <w14:schemeClr w14:val="tx1"/>
                  </w14:solidFill>
                </w14:textFill>
              </w:rPr>
              <w:t>（</w:t>
            </w:r>
            <w:r>
              <w:rPr>
                <w:rFonts w:hint="default" w:ascii="Times New Roman" w:hAnsi="Times New Roman" w:eastAsia="Times New Roman" w:cs="Times New Roman"/>
                <w:color w:val="000000" w:themeColor="text1"/>
                <w:spacing w:val="-10"/>
                <w14:textFill>
                  <w14:solidFill>
                    <w14:schemeClr w14:val="tx1"/>
                  </w14:solidFill>
                </w14:textFill>
              </w:rPr>
              <w:t>HJ</w:t>
            </w:r>
            <w:r>
              <w:rPr>
                <w:rFonts w:hint="default" w:ascii="Times New Roman" w:hAnsi="Times New Roman" w:cs="Times New Roman"/>
                <w:color w:val="000000" w:themeColor="text1"/>
                <w:spacing w:val="-10"/>
                <w:lang w:val="en-US" w:eastAsia="zh-CN"/>
                <w14:textFill>
                  <w14:solidFill>
                    <w14:schemeClr w14:val="tx1"/>
                  </w14:solidFill>
                </w14:textFill>
              </w:rPr>
              <w:t>1033</w:t>
            </w:r>
            <w:r>
              <w:rPr>
                <w:rFonts w:hint="default" w:ascii="Times New Roman" w:hAnsi="Times New Roman" w:eastAsia="宋体" w:cs="Times New Roman"/>
                <w:color w:val="000000" w:themeColor="text1"/>
                <w:spacing w:val="-10"/>
                <w:lang w:val="en-US" w:eastAsia="zh-CN"/>
                <w14:textFill>
                  <w14:solidFill>
                    <w14:schemeClr w14:val="tx1"/>
                  </w14:solidFill>
                </w14:textFill>
              </w:rPr>
              <w:t>-</w:t>
            </w:r>
            <w:r>
              <w:rPr>
                <w:rFonts w:hint="default" w:ascii="Times New Roman" w:hAnsi="Times New Roman" w:eastAsia="Times New Roman" w:cs="Times New Roman"/>
                <w:color w:val="000000" w:themeColor="text1"/>
                <w:spacing w:val="6"/>
                <w14:textFill>
                  <w14:solidFill>
                    <w14:schemeClr w14:val="tx1"/>
                  </w14:solidFill>
                </w14:textFill>
              </w:rPr>
              <w:t>20</w:t>
            </w:r>
            <w:r>
              <w:rPr>
                <w:rFonts w:hint="default" w:ascii="Times New Roman" w:hAnsi="Times New Roman" w:eastAsia="宋体" w:cs="Times New Roman"/>
                <w:color w:val="000000" w:themeColor="text1"/>
                <w:spacing w:val="6"/>
                <w:lang w:val="en-US" w:eastAsia="zh-CN"/>
                <w14:textFill>
                  <w14:solidFill>
                    <w14:schemeClr w14:val="tx1"/>
                  </w14:solidFill>
                </w14:textFill>
              </w:rPr>
              <w:t>1</w:t>
            </w:r>
            <w:r>
              <w:rPr>
                <w:rFonts w:hint="default" w:ascii="Times New Roman" w:hAnsi="Times New Roman" w:cs="Times New Roman"/>
                <w:color w:val="000000" w:themeColor="text1"/>
                <w:spacing w:val="6"/>
                <w:lang w:val="en-US" w:eastAsia="zh-CN"/>
                <w14:textFill>
                  <w14:solidFill>
                    <w14:schemeClr w14:val="tx1"/>
                  </w14:solidFill>
                </w14:textFill>
              </w:rPr>
              <w:t>9</w:t>
            </w:r>
            <w:r>
              <w:rPr>
                <w:rFonts w:hint="eastAsia" w:ascii="Times New Roman" w:hAnsi="Times New Roman" w:cs="Times New Roman"/>
                <w:color w:val="000000" w:themeColor="text1"/>
                <w:spacing w:val="6"/>
                <w:lang w:val="en-US" w:eastAsia="zh-CN"/>
                <w14:textFill>
                  <w14:solidFill>
                    <w14:schemeClr w14:val="tx1"/>
                  </w14:solidFill>
                </w14:textFill>
              </w:rPr>
              <w:t>）</w:t>
            </w:r>
            <w:r>
              <w:rPr>
                <w:rFonts w:hint="eastAsia" w:ascii="Times New Roman" w:hAnsi="Times New Roman" w:eastAsia="宋体" w:cs="Times New Roman"/>
                <w:color w:val="000000" w:themeColor="text1"/>
                <w:spacing w:val="6"/>
                <w:lang w:eastAsia="zh-CN"/>
                <w14:textFill>
                  <w14:solidFill>
                    <w14:schemeClr w14:val="tx1"/>
                  </w14:solidFill>
                </w14:textFill>
              </w:rPr>
              <w:t>、</w:t>
            </w:r>
            <w:r>
              <w:rPr>
                <w:rFonts w:hint="default" w:ascii="Times New Roman" w:hAnsi="Times New Roman" w:cs="Times New Roman"/>
                <w:bCs/>
                <w:color w:val="000000" w:themeColor="text1"/>
                <w:sz w:val="24"/>
                <w:highlight w:val="none"/>
                <w:lang w:eastAsia="zh-CN"/>
                <w14:textFill>
                  <w14:solidFill>
                    <w14:schemeClr w14:val="tx1"/>
                  </w14:solidFill>
                </w14:textFill>
              </w:rPr>
              <w:t>《排污单位自行监测技术指南</w:t>
            </w:r>
            <w:r>
              <w:rPr>
                <w:rFonts w:hint="default" w:ascii="Times New Roman" w:hAnsi="Times New Roman" w:cs="Times New Roman"/>
                <w:bCs/>
                <w:color w:val="000000" w:themeColor="text1"/>
                <w:sz w:val="24"/>
                <w:highlight w:val="none"/>
                <w:lang w:val="en-US" w:eastAsia="zh-CN"/>
                <w14:textFill>
                  <w14:solidFill>
                    <w14:schemeClr w14:val="tx1"/>
                  </w14:solidFill>
                </w14:textFill>
              </w:rPr>
              <w:t xml:space="preserve"> 总则</w:t>
            </w:r>
            <w:r>
              <w:rPr>
                <w:rFonts w:hint="default" w:ascii="Times New Roman" w:hAnsi="Times New Roman" w:cs="Times New Roman"/>
                <w:bCs/>
                <w:color w:val="000000" w:themeColor="text1"/>
                <w:sz w:val="24"/>
                <w:highlight w:val="none"/>
                <w:lang w:eastAsia="zh-CN"/>
                <w14:textFill>
                  <w14:solidFill>
                    <w14:schemeClr w14:val="tx1"/>
                  </w14:solidFill>
                </w14:textFill>
              </w:rPr>
              <w:t>》（</w:t>
            </w:r>
            <w:r>
              <w:rPr>
                <w:rFonts w:hint="default" w:ascii="Times New Roman" w:hAnsi="Times New Roman" w:cs="Times New Roman"/>
                <w:bCs/>
                <w:color w:val="000000" w:themeColor="text1"/>
                <w:sz w:val="24"/>
                <w:highlight w:val="none"/>
                <w:lang w:val="en-US" w:eastAsia="zh-CN"/>
                <w14:textFill>
                  <w14:solidFill>
                    <w14:schemeClr w14:val="tx1"/>
                  </w14:solidFill>
                </w14:textFill>
              </w:rPr>
              <w:t>HJ819-2017</w:t>
            </w:r>
            <w:r>
              <w:rPr>
                <w:rFonts w:hint="default" w:ascii="Times New Roman" w:hAnsi="Times New Roman" w:cs="Times New Roman"/>
                <w:bCs/>
                <w:color w:val="000000" w:themeColor="text1"/>
                <w:sz w:val="24"/>
                <w:highlight w:val="none"/>
                <w:lang w:eastAsia="zh-CN"/>
                <w14:textFill>
                  <w14:solidFill>
                    <w14:schemeClr w14:val="tx1"/>
                  </w14:solidFill>
                </w14:textFill>
              </w:rPr>
              <w:t>）</w:t>
            </w:r>
            <w:r>
              <w:rPr>
                <w:color w:val="000000" w:themeColor="text1"/>
                <w:sz w:val="24"/>
                <w14:textFill>
                  <w14:solidFill>
                    <w14:schemeClr w14:val="tx1"/>
                  </w14:solidFill>
                </w14:textFill>
              </w:rPr>
              <w:t>的相关要求</w:t>
            </w:r>
            <w:r>
              <w:rPr>
                <w:rFonts w:hint="eastAsia"/>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pacing w:val="6"/>
                <w:lang w:val="en-US" w:eastAsia="zh-CN"/>
                <w14:textFill>
                  <w14:solidFill>
                    <w14:schemeClr w14:val="tx1"/>
                  </w14:solidFill>
                </w14:textFill>
              </w:rPr>
              <w:t>参照《生活垃圾焚烧污染控制标准》（GB1</w:t>
            </w:r>
            <w:r>
              <w:rPr>
                <w:rFonts w:hint="eastAsia" w:cs="Times New Roman"/>
                <w:color w:val="000000" w:themeColor="text1"/>
                <w:spacing w:val="6"/>
                <w:lang w:val="en-US" w:eastAsia="zh-CN"/>
                <w14:textFill>
                  <w14:solidFill>
                    <w14:schemeClr w14:val="tx1"/>
                  </w14:solidFill>
                </w14:textFill>
              </w:rPr>
              <w:t>848</w:t>
            </w:r>
            <w:r>
              <w:rPr>
                <w:rFonts w:hint="eastAsia" w:ascii="Times New Roman" w:hAnsi="Times New Roman" w:cs="Times New Roman"/>
                <w:color w:val="000000" w:themeColor="text1"/>
                <w:spacing w:val="6"/>
                <w:lang w:val="en-US" w:eastAsia="zh-CN"/>
                <w14:textFill>
                  <w14:solidFill>
                    <w14:schemeClr w14:val="tx1"/>
                  </w14:solidFill>
                </w14:textFill>
              </w:rPr>
              <w:t>5-2014）中“5.4 每台生活垃圾焚烧炉必须单独设置烟气净化系统并安装在线监测装置”</w:t>
            </w:r>
            <w:r>
              <w:rPr>
                <w:rFonts w:hint="eastAsia" w:cs="Times New Roman"/>
                <w:color w:val="000000" w:themeColor="text1"/>
                <w:spacing w:val="6"/>
                <w:lang w:val="en-US" w:eastAsia="zh-CN"/>
                <w14:textFill>
                  <w14:solidFill>
                    <w14:schemeClr w14:val="tx1"/>
                  </w14:solidFill>
                </w14:textFill>
              </w:rPr>
              <w:t>。根据相关要求</w:t>
            </w:r>
            <w:r>
              <w:rPr>
                <w:color w:val="000000" w:themeColor="text1"/>
                <w:sz w:val="24"/>
                <w14:textFill>
                  <w14:solidFill>
                    <w14:schemeClr w14:val="tx1"/>
                  </w14:solidFill>
                </w14:textFill>
              </w:rPr>
              <w:t>制定环境监测计划</w:t>
            </w:r>
            <w:r>
              <w:rPr>
                <w:rFonts w:hint="eastAsia"/>
                <w:color w:val="000000" w:themeColor="text1"/>
                <w:sz w:val="24"/>
                <w14:textFill>
                  <w14:solidFill>
                    <w14:schemeClr w14:val="tx1"/>
                  </w14:solidFill>
                </w14:textFill>
              </w:rPr>
              <w:t>，并</w:t>
            </w:r>
            <w:r>
              <w:rPr>
                <w:color w:val="000000" w:themeColor="text1"/>
                <w:sz w:val="24"/>
                <w14:textFill>
                  <w14:solidFill>
                    <w14:schemeClr w14:val="tx1"/>
                  </w14:solidFill>
                </w14:textFill>
              </w:rPr>
              <w:t>委托具有相应资质的监测单位进行定期常规监测。</w:t>
            </w:r>
          </w:p>
          <w:p w14:paraId="1AD8B37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aps w:val="0"/>
                <w:smallCaps w:val="0"/>
                <w:color w:val="auto"/>
                <w:spacing w:val="0"/>
                <w:w w:val="100"/>
                <w:position w:val="0"/>
                <w:lang w:eastAsia="zh-CN"/>
              </w:rPr>
            </w:pPr>
            <w:r>
              <w:rPr>
                <w:rFonts w:hint="default" w:ascii="Times New Roman" w:hAnsi="Times New Roman" w:eastAsia="宋体" w:cs="Times New Roman"/>
                <w:caps w:val="0"/>
                <w:smallCaps w:val="0"/>
                <w:color w:val="auto"/>
                <w:spacing w:val="0"/>
                <w:w w:val="100"/>
                <w:position w:val="0"/>
                <w:lang w:eastAsia="zh-CN"/>
              </w:rPr>
              <w:t>综上，本项目运营期监测计划如下：</w:t>
            </w:r>
          </w:p>
          <w:p w14:paraId="58CDD6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smallCaps w:val="0"/>
                <w:color w:val="auto"/>
                <w:spacing w:val="0"/>
                <w:w w:val="100"/>
                <w:position w:val="0"/>
                <w:lang w:eastAsia="zh-CN"/>
              </w:rPr>
            </w:pPr>
            <w:r>
              <w:rPr>
                <w:rFonts w:hint="default" w:ascii="Times New Roman" w:hAnsi="Times New Roman" w:eastAsia="宋体" w:cs="Times New Roman"/>
                <w:b/>
                <w:bCs/>
                <w:color w:val="auto"/>
                <w:kern w:val="2"/>
                <w:sz w:val="21"/>
                <w:szCs w:val="24"/>
              </w:rPr>
              <w:t>表</w:t>
            </w:r>
            <w:r>
              <w:rPr>
                <w:rFonts w:hint="eastAsia" w:cs="Times New Roman"/>
                <w:b/>
                <w:bCs/>
                <w:color w:val="auto"/>
                <w:kern w:val="2"/>
                <w:sz w:val="21"/>
                <w:szCs w:val="24"/>
                <w:lang w:val="en-US" w:eastAsia="zh-CN"/>
              </w:rPr>
              <w:t>4-16</w:t>
            </w:r>
            <w:r>
              <w:rPr>
                <w:rFonts w:hint="default" w:ascii="Times New Roman" w:hAnsi="Times New Roman" w:eastAsia="宋体" w:cs="Times New Roman"/>
                <w:b/>
                <w:bCs/>
                <w:color w:val="auto"/>
                <w:kern w:val="2"/>
                <w:sz w:val="21"/>
                <w:szCs w:val="24"/>
                <w:lang w:val="en-US" w:eastAsia="zh-CN"/>
              </w:rPr>
              <w:t xml:space="preserve"> </w:t>
            </w:r>
            <w:r>
              <w:rPr>
                <w:rFonts w:hint="default" w:ascii="Times New Roman" w:hAnsi="Times New Roman" w:eastAsia="宋体" w:cs="Times New Roman"/>
                <w:b/>
                <w:bCs/>
                <w:color w:val="auto"/>
                <w:kern w:val="2"/>
                <w:sz w:val="21"/>
                <w:szCs w:val="24"/>
              </w:rPr>
              <w:t xml:space="preserve">   项目运营期监测计划</w:t>
            </w:r>
            <w:r>
              <w:rPr>
                <w:rFonts w:hint="default" w:ascii="Times New Roman" w:hAnsi="Times New Roman" w:eastAsia="宋体" w:cs="Times New Roman"/>
                <w:b/>
                <w:bCs/>
                <w:color w:val="auto"/>
                <w:kern w:val="2"/>
                <w:sz w:val="21"/>
                <w:szCs w:val="24"/>
                <w:lang w:eastAsia="zh-CN"/>
              </w:rPr>
              <w:t>一览表</w:t>
            </w:r>
          </w:p>
          <w:tbl>
            <w:tblPr>
              <w:tblStyle w:val="2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7"/>
              <w:gridCol w:w="911"/>
              <w:gridCol w:w="961"/>
              <w:gridCol w:w="1948"/>
              <w:gridCol w:w="3273"/>
              <w:gridCol w:w="1267"/>
            </w:tblGrid>
            <w:tr w14:paraId="7513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1414" w:type="pct"/>
                  <w:gridSpan w:val="3"/>
                  <w:noWrap w:val="0"/>
                  <w:vAlign w:val="center"/>
                </w:tcPr>
                <w:p w14:paraId="1357B8E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lang w:eastAsia="zh-CN"/>
                    </w:rPr>
                  </w:pPr>
                  <w:r>
                    <w:rPr>
                      <w:rFonts w:hint="default" w:ascii="Times New Roman" w:hAnsi="Times New Roman" w:eastAsia="宋体" w:cs="Times New Roman"/>
                      <w:b/>
                      <w:bCs/>
                      <w:color w:val="auto"/>
                      <w:kern w:val="2"/>
                      <w:sz w:val="21"/>
                      <w:szCs w:val="21"/>
                      <w:lang w:eastAsia="zh-CN"/>
                    </w:rPr>
                    <w:t>类别</w:t>
                  </w:r>
                </w:p>
              </w:tc>
              <w:tc>
                <w:tcPr>
                  <w:tcW w:w="1076" w:type="pct"/>
                  <w:noWrap w:val="0"/>
                  <w:vAlign w:val="center"/>
                </w:tcPr>
                <w:p w14:paraId="6F47FA4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lang w:eastAsia="zh-CN"/>
                    </w:rPr>
                  </w:pPr>
                  <w:r>
                    <w:rPr>
                      <w:rFonts w:hint="default" w:ascii="Times New Roman" w:hAnsi="Times New Roman" w:eastAsia="宋体" w:cs="Times New Roman"/>
                      <w:b/>
                      <w:bCs/>
                      <w:color w:val="auto"/>
                      <w:kern w:val="2"/>
                      <w:sz w:val="21"/>
                      <w:szCs w:val="21"/>
                      <w:lang w:eastAsia="zh-CN"/>
                    </w:rPr>
                    <w:t>监测点位</w:t>
                  </w:r>
                </w:p>
              </w:tc>
              <w:tc>
                <w:tcPr>
                  <w:tcW w:w="1808" w:type="pct"/>
                  <w:noWrap w:val="0"/>
                  <w:vAlign w:val="center"/>
                </w:tcPr>
                <w:p w14:paraId="4360200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lang w:eastAsia="zh-CN"/>
                    </w:rPr>
                  </w:pPr>
                  <w:r>
                    <w:rPr>
                      <w:rFonts w:hint="default" w:ascii="Times New Roman" w:hAnsi="Times New Roman" w:eastAsia="宋体" w:cs="Times New Roman"/>
                      <w:b/>
                      <w:bCs/>
                      <w:color w:val="auto"/>
                      <w:kern w:val="2"/>
                      <w:sz w:val="21"/>
                      <w:szCs w:val="21"/>
                      <w:lang w:eastAsia="zh-CN"/>
                    </w:rPr>
                    <w:t>监测指标</w:t>
                  </w:r>
                </w:p>
              </w:tc>
              <w:tc>
                <w:tcPr>
                  <w:tcW w:w="700" w:type="pct"/>
                  <w:noWrap w:val="0"/>
                  <w:vAlign w:val="center"/>
                </w:tcPr>
                <w:p w14:paraId="0352970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lang w:eastAsia="zh-CN"/>
                    </w:rPr>
                  </w:pPr>
                  <w:r>
                    <w:rPr>
                      <w:rFonts w:hint="default" w:ascii="Times New Roman" w:hAnsi="Times New Roman" w:eastAsia="宋体" w:cs="Times New Roman"/>
                      <w:b/>
                      <w:bCs/>
                      <w:color w:val="auto"/>
                      <w:kern w:val="2"/>
                      <w:sz w:val="21"/>
                      <w:szCs w:val="21"/>
                      <w:lang w:eastAsia="zh-CN"/>
                    </w:rPr>
                    <w:t>监测频次</w:t>
                  </w:r>
                </w:p>
              </w:tc>
            </w:tr>
            <w:tr w14:paraId="7F3A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restart"/>
                  <w:noWrap w:val="0"/>
                  <w:vAlign w:val="center"/>
                </w:tcPr>
                <w:p w14:paraId="0BBBD6F0">
                  <w:pPr>
                    <w:keepNext w:val="0"/>
                    <w:keepLines w:val="0"/>
                    <w:pageBreakBefore w:val="0"/>
                    <w:widowControl w:val="0"/>
                    <w:kinsoku/>
                    <w:wordWrap/>
                    <w:overflowPunct/>
                    <w:topLinePunct w:val="0"/>
                    <w:bidi w:val="0"/>
                    <w:adjustRightInd w:val="0"/>
                    <w:snapToGrid w:val="0"/>
                    <w:spacing w:line="240" w:lineRule="auto"/>
                    <w:ind w:left="0" w:right="0" w:firstLine="0" w:firstLineChars="0"/>
                    <w:jc w:val="center"/>
                    <w:textAlignment w:val="auto"/>
                    <w:rPr>
                      <w:rFonts w:hint="eastAsia" w:ascii="Times New Roman" w:hAnsi="Times New Roman"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环境</w:t>
                  </w:r>
                </w:p>
                <w:p w14:paraId="4DAFFDF4">
                  <w:pPr>
                    <w:keepNext w:val="0"/>
                    <w:keepLines w:val="0"/>
                    <w:pageBreakBefore w:val="0"/>
                    <w:widowControl w:val="0"/>
                    <w:kinsoku/>
                    <w:wordWrap/>
                    <w:overflowPunct/>
                    <w:topLinePunct w:val="0"/>
                    <w:bidi w:val="0"/>
                    <w:adjustRightInd w:val="0"/>
                    <w:snapToGrid w:val="0"/>
                    <w:spacing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质量</w:t>
                  </w:r>
                </w:p>
              </w:tc>
              <w:tc>
                <w:tcPr>
                  <w:tcW w:w="1034" w:type="pct"/>
                  <w:gridSpan w:val="2"/>
                  <w:noWrap w:val="0"/>
                  <w:vAlign w:val="center"/>
                </w:tcPr>
                <w:p w14:paraId="0F04C977">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环境空气</w:t>
                  </w:r>
                </w:p>
              </w:tc>
              <w:tc>
                <w:tcPr>
                  <w:tcW w:w="1076" w:type="pct"/>
                  <w:noWrap w:val="0"/>
                  <w:vAlign w:val="center"/>
                </w:tcPr>
                <w:p w14:paraId="1C1CD23A">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厂界下风向</w:t>
                  </w:r>
                </w:p>
              </w:tc>
              <w:tc>
                <w:tcPr>
                  <w:tcW w:w="1808" w:type="pct"/>
                  <w:noWrap w:val="0"/>
                  <w:vAlign w:val="center"/>
                </w:tcPr>
                <w:p w14:paraId="05701E66">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TSP、NOx</w:t>
                  </w:r>
                </w:p>
              </w:tc>
              <w:tc>
                <w:tcPr>
                  <w:tcW w:w="700" w:type="pct"/>
                  <w:noWrap w:val="0"/>
                  <w:vAlign w:val="center"/>
                </w:tcPr>
                <w:p w14:paraId="18625F5B">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en-US"/>
                    </w:rPr>
                  </w:pPr>
                  <w:r>
                    <w:rPr>
                      <w:rFonts w:hint="default" w:ascii="Times New Roman" w:hAnsi="Times New Roman" w:eastAsia="宋体" w:cs="Times New Roman"/>
                      <w:color w:val="auto"/>
                      <w:sz w:val="21"/>
                      <w:szCs w:val="21"/>
                      <w:highlight w:val="none"/>
                      <w:vertAlign w:val="baseline"/>
                      <w:lang w:val="en-US" w:eastAsia="en-US"/>
                    </w:rPr>
                    <w:t>1次/年</w:t>
                  </w:r>
                </w:p>
              </w:tc>
            </w:tr>
            <w:tr w14:paraId="5639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continue"/>
                  <w:noWrap w:val="0"/>
                  <w:vAlign w:val="center"/>
                </w:tcPr>
                <w:p w14:paraId="5B809909">
                  <w:pPr>
                    <w:keepNext w:val="0"/>
                    <w:keepLines w:val="0"/>
                    <w:pageBreakBefore w:val="0"/>
                    <w:widowControl w:val="0"/>
                    <w:kinsoku/>
                    <w:wordWrap/>
                    <w:overflowPunct/>
                    <w:topLinePunct w:val="0"/>
                    <w:bidi w:val="0"/>
                    <w:adjustRightInd w:val="0"/>
                    <w:snapToGrid w:val="0"/>
                    <w:spacing w:line="240" w:lineRule="auto"/>
                    <w:ind w:left="0" w:right="0" w:firstLine="0" w:firstLineChars="0"/>
                    <w:jc w:val="center"/>
                    <w:textAlignment w:val="auto"/>
                    <w:rPr>
                      <w:rFonts w:hint="eastAsia" w:ascii="Times New Roman" w:hAnsi="Times New Roman" w:cs="Times New Roman"/>
                      <w:color w:val="auto"/>
                      <w:kern w:val="2"/>
                      <w:sz w:val="21"/>
                      <w:szCs w:val="21"/>
                      <w:lang w:val="en-US" w:eastAsia="zh-CN"/>
                    </w:rPr>
                  </w:pPr>
                </w:p>
              </w:tc>
              <w:tc>
                <w:tcPr>
                  <w:tcW w:w="1034" w:type="pct"/>
                  <w:gridSpan w:val="2"/>
                  <w:vMerge w:val="restart"/>
                  <w:shd w:val="clear" w:color="auto" w:fill="auto"/>
                  <w:noWrap w:val="0"/>
                  <w:vAlign w:val="center"/>
                </w:tcPr>
                <w:p w14:paraId="04AB3CC1">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rPr>
                    <w:t>土壤环境</w:t>
                  </w:r>
                </w:p>
              </w:tc>
              <w:tc>
                <w:tcPr>
                  <w:tcW w:w="1076" w:type="pct"/>
                  <w:shd w:val="clear" w:color="auto" w:fill="auto"/>
                  <w:noWrap w:val="0"/>
                  <w:vAlign w:val="center"/>
                </w:tcPr>
                <w:p w14:paraId="2EA088CE">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cs="Times New Roman"/>
                      <w:color w:val="000000" w:themeColor="text1"/>
                      <w14:textFill>
                        <w14:solidFill>
                          <w14:schemeClr w14:val="tx1"/>
                        </w14:solidFill>
                      </w14:textFill>
                    </w:rPr>
                    <w:t>项目</w:t>
                  </w:r>
                  <w:r>
                    <w:rPr>
                      <w:rFonts w:hint="eastAsia" w:cs="Times New Roman"/>
                      <w:color w:val="000000" w:themeColor="text1"/>
                      <w:lang w:val="en-US" w:eastAsia="zh-CN"/>
                      <w14:textFill>
                        <w14:solidFill>
                          <w14:schemeClr w14:val="tx1"/>
                        </w14:solidFill>
                      </w14:textFill>
                    </w:rPr>
                    <w:t>回转窑设备附近</w:t>
                  </w:r>
                </w:p>
              </w:tc>
              <w:tc>
                <w:tcPr>
                  <w:tcW w:w="1808" w:type="pct"/>
                  <w:vMerge w:val="restart"/>
                  <w:shd w:val="clear" w:color="auto" w:fill="auto"/>
                  <w:noWrap w:val="0"/>
                  <w:vAlign w:val="center"/>
                </w:tcPr>
                <w:p w14:paraId="04DE6B3D">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pH值、二噁英类、氟化物、氯化物、砷、镉、六价铬、汞、铅、石油烃等</w:t>
                  </w:r>
                </w:p>
              </w:tc>
              <w:tc>
                <w:tcPr>
                  <w:tcW w:w="700" w:type="pct"/>
                  <w:vMerge w:val="restart"/>
                  <w:shd w:val="clear" w:color="auto" w:fill="auto"/>
                  <w:noWrap w:val="0"/>
                  <w:vAlign w:val="center"/>
                </w:tcPr>
                <w:p w14:paraId="31103F38">
                  <w:pPr>
                    <w:pStyle w:val="13"/>
                    <w:ind w:firstLine="0" w:firstLineChars="0"/>
                    <w:rPr>
                      <w:rFonts w:hint="default" w:ascii="Times New Roman" w:hAnsi="Times New Roman" w:eastAsia="宋体" w:cs="Times New Roman"/>
                      <w:b w:val="0"/>
                      <w:bCs/>
                      <w:color w:val="000000" w:themeColor="text1"/>
                      <w:kern w:val="0"/>
                      <w:sz w:val="21"/>
                      <w:szCs w:val="24"/>
                      <w:lang w:val="en-US" w:eastAsia="en-US" w:bidi="ar-SA"/>
                      <w14:textFill>
                        <w14:solidFill>
                          <w14:schemeClr w14:val="tx1"/>
                        </w14:solidFill>
                      </w14:textFill>
                    </w:rPr>
                  </w:pPr>
                  <w:r>
                    <w:rPr>
                      <w:rFonts w:cs="Times New Roman"/>
                      <w:color w:val="000000" w:themeColor="text1"/>
                      <w14:textFill>
                        <w14:solidFill>
                          <w14:schemeClr w14:val="tx1"/>
                        </w14:solidFill>
                      </w14:textFill>
                    </w:rPr>
                    <w:t>1次/</w:t>
                  </w:r>
                  <w:r>
                    <w:rPr>
                      <w:rFonts w:hint="eastAsia" w:cs="Times New Roman"/>
                      <w:color w:val="000000" w:themeColor="text1"/>
                      <w:lang w:val="en-US" w:eastAsia="zh-CN"/>
                      <w14:textFill>
                        <w14:solidFill>
                          <w14:schemeClr w14:val="tx1"/>
                        </w14:solidFill>
                      </w14:textFill>
                    </w:rPr>
                    <w:t>5年</w:t>
                  </w:r>
                </w:p>
              </w:tc>
            </w:tr>
            <w:tr w14:paraId="041F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continue"/>
                  <w:noWrap w:val="0"/>
                  <w:vAlign w:val="center"/>
                </w:tcPr>
                <w:p w14:paraId="2233FEED">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pPr>
                </w:p>
              </w:tc>
              <w:tc>
                <w:tcPr>
                  <w:tcW w:w="1034" w:type="pct"/>
                  <w:gridSpan w:val="2"/>
                  <w:vMerge w:val="continue"/>
                  <w:shd w:val="clear" w:color="auto" w:fill="auto"/>
                  <w:noWrap w:val="0"/>
                  <w:vAlign w:val="center"/>
                </w:tcPr>
                <w:p w14:paraId="601F06AF">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pPr>
                </w:p>
              </w:tc>
              <w:tc>
                <w:tcPr>
                  <w:tcW w:w="1076" w:type="pct"/>
                  <w:shd w:val="clear" w:color="auto" w:fill="auto"/>
                  <w:noWrap w:val="0"/>
                  <w:vAlign w:val="center"/>
                </w:tcPr>
                <w:p w14:paraId="53A347D6">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平昌县星光实验学校附近</w:t>
                  </w:r>
                </w:p>
              </w:tc>
              <w:tc>
                <w:tcPr>
                  <w:tcW w:w="1808" w:type="pct"/>
                  <w:vMerge w:val="continue"/>
                  <w:noWrap w:val="0"/>
                  <w:vAlign w:val="center"/>
                </w:tcPr>
                <w:p w14:paraId="60A969F4">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auto"/>
                      <w:kern w:val="2"/>
                      <w:sz w:val="21"/>
                      <w:szCs w:val="21"/>
                      <w:lang w:val="en-US" w:eastAsia="zh-CN" w:bidi="ar-SA"/>
                    </w:rPr>
                  </w:pPr>
                </w:p>
              </w:tc>
              <w:tc>
                <w:tcPr>
                  <w:tcW w:w="700" w:type="pct"/>
                  <w:vMerge w:val="continue"/>
                  <w:noWrap w:val="0"/>
                  <w:vAlign w:val="center"/>
                </w:tcPr>
                <w:p w14:paraId="01029923">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eastAsia" w:ascii="Times New Roman" w:hAnsi="Times New Roman" w:cs="Times New Roman"/>
                      <w:color w:val="auto"/>
                      <w:kern w:val="2"/>
                      <w:sz w:val="21"/>
                      <w:szCs w:val="21"/>
                      <w:lang w:val="en-US" w:eastAsia="zh-CN" w:bidi="ar-SA"/>
                    </w:rPr>
                  </w:pPr>
                </w:p>
              </w:tc>
            </w:tr>
            <w:tr w14:paraId="48B3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continue"/>
                  <w:noWrap w:val="0"/>
                  <w:vAlign w:val="center"/>
                </w:tcPr>
                <w:p w14:paraId="6C9C2F9F">
                  <w:pPr>
                    <w:keepNext w:val="0"/>
                    <w:keepLines w:val="0"/>
                    <w:pageBreakBefore w:val="0"/>
                    <w:widowControl w:val="0"/>
                    <w:kinsoku/>
                    <w:wordWrap/>
                    <w:overflowPunct/>
                    <w:topLinePunct w:val="0"/>
                    <w:bidi w:val="0"/>
                    <w:adjustRightInd w:val="0"/>
                    <w:snapToGrid w:val="0"/>
                    <w:spacing w:line="240" w:lineRule="auto"/>
                    <w:ind w:left="0" w:right="0" w:firstLine="0" w:firstLineChars="0"/>
                    <w:jc w:val="center"/>
                    <w:textAlignment w:val="auto"/>
                    <w:rPr>
                      <w:rFonts w:hint="eastAsia" w:ascii="Times New Roman" w:hAnsi="Times New Roman" w:cs="Times New Roman"/>
                      <w:color w:val="auto"/>
                      <w:kern w:val="2"/>
                      <w:sz w:val="21"/>
                      <w:szCs w:val="21"/>
                      <w:lang w:val="en-US" w:eastAsia="zh-CN"/>
                    </w:rPr>
                  </w:pPr>
                </w:p>
              </w:tc>
              <w:tc>
                <w:tcPr>
                  <w:tcW w:w="1034" w:type="pct"/>
                  <w:gridSpan w:val="2"/>
                  <w:shd w:val="clear" w:color="auto" w:fill="auto"/>
                  <w:noWrap w:val="0"/>
                  <w:vAlign w:val="center"/>
                </w:tcPr>
                <w:p w14:paraId="7A3A297C">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rPr>
                    <w:t>地下水环境</w:t>
                  </w:r>
                </w:p>
              </w:tc>
              <w:tc>
                <w:tcPr>
                  <w:tcW w:w="1076" w:type="pct"/>
                  <w:shd w:val="clear" w:color="auto" w:fill="auto"/>
                  <w:noWrap w:val="0"/>
                  <w:vAlign w:val="center"/>
                </w:tcPr>
                <w:p w14:paraId="44429E04">
                  <w:pPr>
                    <w:pStyle w:val="13"/>
                    <w:spacing w:afterLines="0"/>
                    <w:rPr>
                      <w:rFonts w:hint="default" w:ascii="Times New Roman" w:hAnsi="Times New Roman"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项目厂区下游</w:t>
                  </w:r>
                </w:p>
                <w:p w14:paraId="612C3129">
                  <w:pPr>
                    <w:pStyle w:val="19"/>
                    <w:keepNext w:val="0"/>
                    <w:keepLines w:val="0"/>
                    <w:pageBreakBefore w:val="0"/>
                    <w:widowControl w:val="0"/>
                    <w:kinsoku/>
                    <w:wordWrap/>
                    <w:overflowPunct/>
                    <w:topLinePunct w:val="0"/>
                    <w:autoSpaceDE/>
                    <w:autoSpaceDN/>
                    <w:bidi w:val="0"/>
                    <w:adjustRightInd w:val="0"/>
                    <w:snapToGrid w:val="0"/>
                    <w:spacing w:before="0" w:after="0" w:afterLines="0" w:line="240" w:lineRule="auto"/>
                    <w:ind w:left="0" w:leftChars="0" w:firstLine="0" w:firstLineChars="0"/>
                    <w:jc w:val="center"/>
                    <w:textAlignment w:val="auto"/>
                    <w:rPr>
                      <w:rFonts w:hint="eastAsia" w:ascii="Times New Roman" w:hAnsi="Times New Roman" w:eastAsia="宋体" w:cs="Times New Roman"/>
                      <w:spacing w:val="4"/>
                      <w:kern w:val="2"/>
                      <w:sz w:val="21"/>
                      <w:szCs w:val="21"/>
                      <w:lang w:val="en-US" w:eastAsia="zh-CN" w:bidi="ar-SA"/>
                    </w:rPr>
                  </w:pPr>
                  <w:r>
                    <w:rPr>
                      <w:rFonts w:hint="default" w:ascii="Times New Roman" w:hAnsi="Times New Roman" w:cs="Times New Roman"/>
                      <w:color w:val="000000" w:themeColor="text1"/>
                      <w:sz w:val="21"/>
                      <w:szCs w:val="21"/>
                      <w:lang w:val="en-US" w:eastAsia="zh-CN"/>
                      <w14:textFill>
                        <w14:solidFill>
                          <w14:schemeClr w14:val="tx1"/>
                        </w14:solidFill>
                      </w14:textFill>
                    </w:rPr>
                    <w:t>（环境影响跟踪监测点）</w:t>
                  </w:r>
                </w:p>
              </w:tc>
              <w:tc>
                <w:tcPr>
                  <w:tcW w:w="1808" w:type="pct"/>
                  <w:shd w:val="clear" w:color="auto" w:fill="auto"/>
                  <w:noWrap w:val="0"/>
                  <w:vAlign w:val="center"/>
                </w:tcPr>
                <w:p w14:paraId="7FFB6CCB">
                  <w:pPr>
                    <w:pStyle w:val="19"/>
                    <w:keepNext w:val="0"/>
                    <w:keepLines w:val="0"/>
                    <w:pageBreakBefore w:val="0"/>
                    <w:widowControl w:val="0"/>
                    <w:kinsoku/>
                    <w:wordWrap/>
                    <w:overflowPunct/>
                    <w:topLinePunct w:val="0"/>
                    <w:autoSpaceDE/>
                    <w:autoSpaceDN/>
                    <w:bidi w:val="0"/>
                    <w:adjustRightInd w:val="0"/>
                    <w:snapToGrid w:val="0"/>
                    <w:spacing w:before="0" w:after="0" w:afterLines="0" w:line="240" w:lineRule="auto"/>
                    <w:ind w:left="0" w:leftChars="0" w:firstLine="0" w:firstLineChars="0"/>
                    <w:jc w:val="center"/>
                    <w:textAlignment w:val="auto"/>
                    <w:rPr>
                      <w:rFonts w:hint="eastAsia" w:ascii="Times New Roman" w:hAnsi="Times New Roman" w:eastAsia="宋体" w:cs="Times New Roman"/>
                      <w:spacing w:val="4"/>
                      <w:kern w:val="2"/>
                      <w:sz w:val="21"/>
                      <w:szCs w:val="21"/>
                      <w:lang w:val="en-US" w:eastAsia="zh-CN" w:bidi="ar-SA"/>
                    </w:rPr>
                  </w:pPr>
                  <w:r>
                    <w:rPr>
                      <w:rFonts w:hint="default" w:ascii="Times New Roman" w:hAnsi="Times New Roman" w:cs="Times New Roman"/>
                      <w:color w:val="000000" w:themeColor="text1"/>
                      <w:sz w:val="21"/>
                      <w:szCs w:val="21"/>
                      <w:lang w:val="en-US" w:eastAsia="zh-CN"/>
                      <w14:textFill>
                        <w14:solidFill>
                          <w14:schemeClr w14:val="tx1"/>
                        </w14:solidFill>
                      </w14:textFill>
                    </w:rPr>
                    <w:t>浑浊度、</w:t>
                  </w:r>
                  <w:r>
                    <w:rPr>
                      <w:rFonts w:hint="default" w:ascii="Times New Roman" w:hAnsi="Times New Roman" w:cs="Times New Roman"/>
                      <w:color w:val="000000" w:themeColor="text1"/>
                      <w:sz w:val="21"/>
                      <w:szCs w:val="21"/>
                      <w14:textFill>
                        <w14:solidFill>
                          <w14:schemeClr w14:val="tx1"/>
                        </w14:solidFill>
                      </w14:textFill>
                    </w:rPr>
                    <w:t>pH</w:t>
                  </w:r>
                  <w:r>
                    <w:rPr>
                      <w:rFonts w:hint="default" w:ascii="Times New Roman" w:hAnsi="Times New Roman" w:cs="Times New Roman"/>
                      <w:color w:val="000000" w:themeColor="text1"/>
                      <w:sz w:val="21"/>
                      <w:szCs w:val="21"/>
                      <w:lang w:val="en-US" w:eastAsia="zh-CN"/>
                      <w14:textFill>
                        <w14:solidFill>
                          <w14:schemeClr w14:val="tx1"/>
                        </w14:solidFill>
                      </w14:textFill>
                    </w:rPr>
                    <w:t>值</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溶解性总固体、氯化物、硝酸盐（以N计）、亚硝酸盐（以N计）、</w:t>
                  </w:r>
                  <w:r>
                    <w:rPr>
                      <w:rFonts w:hint="default" w:ascii="Times New Roman" w:hAnsi="Times New Roman" w:cs="Times New Roman"/>
                      <w:color w:val="000000" w:themeColor="text1"/>
                      <w:sz w:val="21"/>
                      <w:szCs w:val="21"/>
                      <w14:textFill>
                        <w14:solidFill>
                          <w14:schemeClr w14:val="tx1"/>
                        </w14:solidFill>
                      </w14:textFill>
                    </w:rPr>
                    <w:t>砷、汞、铬</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六价</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、铅、氟、镉、氯化物等</w:t>
                  </w:r>
                </w:p>
              </w:tc>
              <w:tc>
                <w:tcPr>
                  <w:tcW w:w="700" w:type="pct"/>
                  <w:shd w:val="clear" w:color="auto" w:fill="auto"/>
                  <w:noWrap w:val="0"/>
                  <w:vAlign w:val="center"/>
                </w:tcPr>
                <w:p w14:paraId="3CE92E54">
                  <w:pPr>
                    <w:pStyle w:val="19"/>
                    <w:keepNext w:val="0"/>
                    <w:keepLines w:val="0"/>
                    <w:pageBreakBefore w:val="0"/>
                    <w:widowControl w:val="0"/>
                    <w:kinsoku/>
                    <w:wordWrap/>
                    <w:overflowPunct/>
                    <w:topLinePunct w:val="0"/>
                    <w:autoSpaceDE/>
                    <w:autoSpaceDN/>
                    <w:bidi w:val="0"/>
                    <w:adjustRightInd w:val="0"/>
                    <w:snapToGrid w:val="0"/>
                    <w:spacing w:before="0" w:after="0" w:afterLines="0" w:line="240" w:lineRule="auto"/>
                    <w:ind w:left="0" w:leftChars="0" w:firstLine="0" w:firstLineChars="0"/>
                    <w:jc w:val="center"/>
                    <w:textAlignment w:val="auto"/>
                    <w:rPr>
                      <w:rFonts w:hint="default" w:ascii="Times New Roman" w:hAnsi="Times New Roman" w:eastAsia="宋体" w:cs="Times New Roman"/>
                      <w:b w:val="0"/>
                      <w:bCs w:val="0"/>
                      <w:color w:val="auto"/>
                      <w:spacing w:val="4"/>
                      <w:kern w:val="21"/>
                      <w:sz w:val="21"/>
                      <w:szCs w:val="21"/>
                      <w:vertAlign w:val="baseline"/>
                      <w:lang w:val="en-US" w:eastAsia="en-US" w:bidi="ar-SA"/>
                    </w:rPr>
                  </w:pPr>
                  <w:r>
                    <w:rPr>
                      <w:rFonts w:hint="default" w:ascii="Times New Roman" w:hAnsi="Times New Roman" w:eastAsia="宋体" w:cs="Times New Roman"/>
                      <w:i w:val="0"/>
                      <w:iCs w:val="0"/>
                      <w:caps w:val="0"/>
                      <w:color w:val="333333"/>
                      <w:spacing w:val="0"/>
                      <w:sz w:val="21"/>
                      <w:szCs w:val="21"/>
                      <w:shd w:val="clear" w:color="auto" w:fill="FFFFFF"/>
                    </w:rPr>
                    <w:t>1次/季</w:t>
                  </w:r>
                </w:p>
              </w:tc>
            </w:tr>
            <w:tr w14:paraId="0C7D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restart"/>
                  <w:noWrap w:val="0"/>
                  <w:vAlign w:val="center"/>
                </w:tcPr>
                <w:p w14:paraId="05477FAA">
                  <w:pPr>
                    <w:keepNext w:val="0"/>
                    <w:keepLines w:val="0"/>
                    <w:pageBreakBefore w:val="0"/>
                    <w:widowControl w:val="0"/>
                    <w:kinsoku/>
                    <w:wordWrap/>
                    <w:overflowPunct/>
                    <w:topLinePunct w:val="0"/>
                    <w:bidi w:val="0"/>
                    <w:adjustRightInd w:val="0"/>
                    <w:snapToGrid w:val="0"/>
                    <w:spacing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污染源</w:t>
                  </w:r>
                </w:p>
                <w:p w14:paraId="4B9B8B2E">
                  <w:pPr>
                    <w:keepNext w:val="0"/>
                    <w:keepLines w:val="0"/>
                    <w:pageBreakBefore w:val="0"/>
                    <w:widowControl w:val="0"/>
                    <w:kinsoku/>
                    <w:wordWrap/>
                    <w:overflowPunct/>
                    <w:topLinePunct w:val="0"/>
                    <w:bidi w:val="0"/>
                    <w:adjustRightInd w:val="0"/>
                    <w:snapToGrid w:val="0"/>
                    <w:spacing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监测</w:t>
                  </w:r>
                </w:p>
              </w:tc>
              <w:tc>
                <w:tcPr>
                  <w:tcW w:w="503" w:type="pct"/>
                  <w:vMerge w:val="restart"/>
                  <w:noWrap w:val="0"/>
                  <w:vAlign w:val="center"/>
                </w:tcPr>
                <w:p w14:paraId="6F8945AA">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废气</w:t>
                  </w:r>
                </w:p>
              </w:tc>
              <w:tc>
                <w:tcPr>
                  <w:tcW w:w="531" w:type="pct"/>
                  <w:vMerge w:val="restart"/>
                  <w:noWrap w:val="0"/>
                  <w:vAlign w:val="center"/>
                </w:tcPr>
                <w:p w14:paraId="7F6D80EC">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有组织</w:t>
                  </w:r>
                </w:p>
              </w:tc>
              <w:tc>
                <w:tcPr>
                  <w:tcW w:w="1076" w:type="pct"/>
                  <w:vMerge w:val="restart"/>
                  <w:noWrap w:val="0"/>
                  <w:vAlign w:val="center"/>
                </w:tcPr>
                <w:p w14:paraId="1267CB56">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DA001</w:t>
                  </w:r>
                </w:p>
              </w:tc>
              <w:tc>
                <w:tcPr>
                  <w:tcW w:w="1808" w:type="pct"/>
                  <w:shd w:val="clear" w:color="auto" w:fill="auto"/>
                  <w:noWrap w:val="0"/>
                  <w:vAlign w:val="center"/>
                </w:tcPr>
                <w:p w14:paraId="2C8A91E7">
                  <w:pPr>
                    <w:pStyle w:val="13"/>
                    <w:ind w:firstLine="0" w:firstLineChars="0"/>
                    <w:rPr>
                      <w:rFonts w:hint="default" w:ascii="Times New Roman" w:hAnsi="Times New Roman" w:eastAsia="宋体" w:cs="Times New Roman"/>
                      <w:b w:val="0"/>
                      <w:bCs w:val="0"/>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臭气浓度、VOCs</w:t>
                  </w:r>
                </w:p>
              </w:tc>
              <w:tc>
                <w:tcPr>
                  <w:tcW w:w="700" w:type="pct"/>
                  <w:shd w:val="clear" w:color="auto" w:fill="auto"/>
                  <w:noWrap w:val="0"/>
                  <w:vAlign w:val="center"/>
                </w:tcPr>
                <w:p w14:paraId="1F055206">
                  <w:pPr>
                    <w:pStyle w:val="13"/>
                    <w:ind w:firstLine="0" w:firstLineChars="0"/>
                    <w:rPr>
                      <w:rFonts w:hint="default" w:ascii="Times New Roman" w:hAnsi="Times New Roman" w:eastAsia="宋体" w:cs="Times New Roman"/>
                      <w:b w:val="0"/>
                      <w:bCs w:val="0"/>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1次/</w:t>
                  </w:r>
                  <w:r>
                    <w:rPr>
                      <w:rFonts w:hint="default" w:ascii="Times New Roman" w:hAnsi="Times New Roman" w:cs="Times New Roman"/>
                      <w:b w:val="0"/>
                      <w:bCs w:val="0"/>
                      <w:color w:val="000000" w:themeColor="text1"/>
                      <w:lang w:val="en-US" w:eastAsia="zh-CN"/>
                      <w14:textFill>
                        <w14:solidFill>
                          <w14:schemeClr w14:val="tx1"/>
                        </w14:solidFill>
                      </w14:textFill>
                    </w:rPr>
                    <w:t>半</w:t>
                  </w:r>
                  <w:r>
                    <w:rPr>
                      <w:rFonts w:hint="default" w:ascii="Times New Roman" w:hAnsi="Times New Roman" w:cs="Times New Roman"/>
                      <w:b w:val="0"/>
                      <w:bCs w:val="0"/>
                      <w:color w:val="000000" w:themeColor="text1"/>
                      <w14:textFill>
                        <w14:solidFill>
                          <w14:schemeClr w14:val="tx1"/>
                        </w14:solidFill>
                      </w14:textFill>
                    </w:rPr>
                    <w:t>年</w:t>
                  </w:r>
                </w:p>
              </w:tc>
            </w:tr>
            <w:tr w14:paraId="1FE8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continue"/>
                  <w:noWrap w:val="0"/>
                  <w:vAlign w:val="center"/>
                </w:tcPr>
                <w:p w14:paraId="391E289D">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pPr>
                </w:p>
              </w:tc>
              <w:tc>
                <w:tcPr>
                  <w:tcW w:w="503" w:type="pct"/>
                  <w:vMerge w:val="continue"/>
                  <w:noWrap w:val="0"/>
                  <w:vAlign w:val="center"/>
                </w:tcPr>
                <w:p w14:paraId="1F20C9BD">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pPr>
                </w:p>
              </w:tc>
              <w:tc>
                <w:tcPr>
                  <w:tcW w:w="531" w:type="pct"/>
                  <w:vMerge w:val="continue"/>
                  <w:noWrap w:val="0"/>
                  <w:vAlign w:val="center"/>
                </w:tcPr>
                <w:p w14:paraId="129DE9B0">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pPr>
                </w:p>
              </w:tc>
              <w:tc>
                <w:tcPr>
                  <w:tcW w:w="1076" w:type="pct"/>
                  <w:vMerge w:val="continue"/>
                  <w:noWrap w:val="0"/>
                  <w:vAlign w:val="center"/>
                </w:tcPr>
                <w:p w14:paraId="724C6AD2">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pPr>
                </w:p>
              </w:tc>
              <w:tc>
                <w:tcPr>
                  <w:tcW w:w="1808" w:type="pct"/>
                  <w:shd w:val="clear" w:color="auto" w:fill="auto"/>
                  <w:noWrap w:val="0"/>
                  <w:vAlign w:val="center"/>
                </w:tcPr>
                <w:p w14:paraId="23E0D2A7">
                  <w:pPr>
                    <w:pStyle w:val="13"/>
                    <w:ind w:firstLine="0" w:firstLineChars="0"/>
                    <w:rPr>
                      <w:rFonts w:hint="eastAsia" w:ascii="Times New Roman" w:hAnsi="Times New Roman" w:eastAsia="宋体" w:cs="Times New Roman"/>
                      <w:b w:val="0"/>
                      <w:bCs w:val="0"/>
                      <w:color w:val="000000" w:themeColor="text1"/>
                      <w:kern w:val="0"/>
                      <w:sz w:val="21"/>
                      <w:szCs w:val="24"/>
                      <w:lang w:val="en-US" w:eastAsia="zh-CN" w:bidi="ar-SA"/>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颗粒物、SO</w:t>
                  </w:r>
                  <w:r>
                    <w:rPr>
                      <w:rFonts w:hint="eastAsia" w:cs="Times New Roman"/>
                      <w:b w:val="0"/>
                      <w:bCs w:val="0"/>
                      <w:color w:val="000000" w:themeColor="text1"/>
                      <w:vertAlign w:val="subscript"/>
                      <w:lang w:val="en-US" w:eastAsia="zh-CN"/>
                      <w14:textFill>
                        <w14:solidFill>
                          <w14:schemeClr w14:val="tx1"/>
                        </w14:solidFill>
                      </w14:textFill>
                    </w:rPr>
                    <w:t>2</w:t>
                  </w:r>
                  <w:r>
                    <w:rPr>
                      <w:rFonts w:hint="eastAsia" w:cs="Times New Roman"/>
                      <w:b w:val="0"/>
                      <w:bCs w:val="0"/>
                      <w:color w:val="000000" w:themeColor="text1"/>
                      <w:lang w:val="en-US" w:eastAsia="zh-CN"/>
                      <w14:textFill>
                        <w14:solidFill>
                          <w14:schemeClr w14:val="tx1"/>
                        </w14:solidFill>
                      </w14:textFill>
                    </w:rPr>
                    <w:t>、NOx、氯化氢、</w:t>
                  </w:r>
                </w:p>
              </w:tc>
              <w:tc>
                <w:tcPr>
                  <w:tcW w:w="700" w:type="pct"/>
                  <w:shd w:val="clear" w:color="auto" w:fill="auto"/>
                  <w:noWrap w:val="0"/>
                  <w:vAlign w:val="center"/>
                </w:tcPr>
                <w:p w14:paraId="47327EAA">
                  <w:pPr>
                    <w:pStyle w:val="13"/>
                    <w:ind w:firstLine="0" w:firstLineChars="0"/>
                    <w:rPr>
                      <w:rFonts w:hint="eastAsia" w:ascii="Times New Roman" w:hAnsi="Times New Roman" w:eastAsia="宋体" w:cs="Times New Roman"/>
                      <w:b w:val="0"/>
                      <w:bCs w:val="0"/>
                      <w:color w:val="000000" w:themeColor="text1"/>
                      <w:kern w:val="0"/>
                      <w:sz w:val="21"/>
                      <w:szCs w:val="24"/>
                      <w:lang w:val="en-US" w:eastAsia="zh-CN" w:bidi="ar-SA"/>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在线监测</w:t>
                  </w:r>
                </w:p>
              </w:tc>
            </w:tr>
            <w:tr w14:paraId="66C3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continue"/>
                  <w:noWrap w:val="0"/>
                  <w:vAlign w:val="center"/>
                </w:tcPr>
                <w:p w14:paraId="27C2E5B1">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p>
              </w:tc>
              <w:tc>
                <w:tcPr>
                  <w:tcW w:w="503" w:type="pct"/>
                  <w:vMerge w:val="continue"/>
                  <w:noWrap w:val="0"/>
                  <w:vAlign w:val="center"/>
                </w:tcPr>
                <w:p w14:paraId="54308D57">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p>
              </w:tc>
              <w:tc>
                <w:tcPr>
                  <w:tcW w:w="531" w:type="pct"/>
                  <w:vMerge w:val="continue"/>
                  <w:noWrap w:val="0"/>
                  <w:vAlign w:val="center"/>
                </w:tcPr>
                <w:p w14:paraId="5E52D3C8">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p>
              </w:tc>
              <w:tc>
                <w:tcPr>
                  <w:tcW w:w="1076" w:type="pct"/>
                  <w:vMerge w:val="continue"/>
                  <w:noWrap w:val="0"/>
                  <w:vAlign w:val="center"/>
                </w:tcPr>
                <w:p w14:paraId="7281FD63">
                  <w:pPr>
                    <w:keepNext w:val="0"/>
                    <w:keepLines w:val="0"/>
                    <w:pageBreakBefore w:val="0"/>
                    <w:widowControl w:val="0"/>
                    <w:suppressLineNumbers w:val="0"/>
                    <w:kinsoku/>
                    <w:wordWrap/>
                    <w:overflowPunct/>
                    <w:topLinePunct w:val="0"/>
                    <w:bidi w:val="0"/>
                    <w:spacing w:before="0" w:beforeAutospacing="0" w:after="0" w:afterAutospacing="0" w:line="240" w:lineRule="auto"/>
                    <w:ind w:left="0" w:leftChars="0" w:right="72" w:rightChars="3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p>
              </w:tc>
              <w:tc>
                <w:tcPr>
                  <w:tcW w:w="1808" w:type="pct"/>
                  <w:shd w:val="clear" w:color="auto" w:fill="auto"/>
                  <w:noWrap w:val="0"/>
                  <w:vAlign w:val="center"/>
                </w:tcPr>
                <w:p w14:paraId="6E1935A2">
                  <w:pPr>
                    <w:pStyle w:val="13"/>
                    <w:ind w:firstLine="0" w:firstLineChars="0"/>
                    <w:rPr>
                      <w:rFonts w:hint="eastAsia" w:ascii="Times New Roman" w:hAnsi="Times New Roman" w:eastAsia="宋体" w:cs="Times New Roman"/>
                      <w:b w:val="0"/>
                      <w:bCs w:val="0"/>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氟化物、二噁英</w:t>
                  </w:r>
                  <w:r>
                    <w:rPr>
                      <w:rFonts w:hint="eastAsia" w:cs="Times New Roman"/>
                      <w:b w:val="0"/>
                      <w:bCs w:val="0"/>
                      <w:color w:val="000000" w:themeColor="text1"/>
                      <w:lang w:val="en-US" w:eastAsia="zh-CN"/>
                      <w14:textFill>
                        <w14:solidFill>
                          <w14:schemeClr w14:val="tx1"/>
                        </w14:solidFill>
                      </w14:textFill>
                    </w:rPr>
                    <w:t>、砷、镉、铅、汞、六价铬</w:t>
                  </w:r>
                </w:p>
              </w:tc>
              <w:tc>
                <w:tcPr>
                  <w:tcW w:w="700" w:type="pct"/>
                  <w:shd w:val="clear" w:color="auto" w:fill="auto"/>
                  <w:noWrap w:val="0"/>
                  <w:vAlign w:val="center"/>
                </w:tcPr>
                <w:p w14:paraId="11330800">
                  <w:pPr>
                    <w:pStyle w:val="13"/>
                    <w:ind w:firstLine="0" w:firstLineChars="0"/>
                    <w:rPr>
                      <w:rFonts w:hint="eastAsia" w:ascii="Times New Roman" w:hAnsi="Times New Roman" w:eastAsia="宋体" w:cs="Times New Roman"/>
                      <w:b w:val="0"/>
                      <w:bCs w:val="0"/>
                      <w:color w:val="000000" w:themeColor="text1"/>
                      <w:kern w:val="0"/>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1次/年</w:t>
                  </w:r>
                </w:p>
              </w:tc>
            </w:tr>
            <w:tr w14:paraId="4F2CD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continue"/>
                  <w:noWrap w:val="0"/>
                  <w:vAlign w:val="center"/>
                </w:tcPr>
                <w:p w14:paraId="680E1537">
                  <w:pPr>
                    <w:keepNext w:val="0"/>
                    <w:keepLines w:val="0"/>
                    <w:pageBreakBefore w:val="0"/>
                    <w:widowControl w:val="0"/>
                    <w:kinsoku/>
                    <w:wordWrap/>
                    <w:overflowPunct/>
                    <w:topLinePunct w:val="0"/>
                    <w:bidi w:val="0"/>
                    <w:adjustRightInd w:val="0"/>
                    <w:snapToGrid w:val="0"/>
                    <w:spacing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rPr>
                  </w:pPr>
                </w:p>
              </w:tc>
              <w:tc>
                <w:tcPr>
                  <w:tcW w:w="503" w:type="pct"/>
                  <w:vMerge w:val="continue"/>
                  <w:noWrap w:val="0"/>
                  <w:vAlign w:val="center"/>
                </w:tcPr>
                <w:p w14:paraId="29C575BF">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p>
              </w:tc>
              <w:tc>
                <w:tcPr>
                  <w:tcW w:w="531" w:type="pct"/>
                  <w:vMerge w:val="restart"/>
                  <w:noWrap w:val="0"/>
                  <w:vAlign w:val="center"/>
                </w:tcPr>
                <w:p w14:paraId="6586F4AD">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无组织</w:t>
                  </w:r>
                </w:p>
              </w:tc>
              <w:tc>
                <w:tcPr>
                  <w:tcW w:w="1076" w:type="pct"/>
                  <w:noWrap w:val="0"/>
                  <w:vAlign w:val="center"/>
                </w:tcPr>
                <w:p w14:paraId="37421177">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rPr>
                    <w:t>上风向1个点，下风向3个点</w:t>
                  </w:r>
                </w:p>
              </w:tc>
              <w:tc>
                <w:tcPr>
                  <w:tcW w:w="1808" w:type="pct"/>
                  <w:noWrap w:val="0"/>
                  <w:vAlign w:val="center"/>
                </w:tcPr>
                <w:p w14:paraId="4614B72C">
                  <w:pPr>
                    <w:pStyle w:val="13"/>
                    <w:ind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b w:val="0"/>
                      <w:bCs w:val="0"/>
                      <w:color w:val="000000" w:themeColor="text1"/>
                      <w:lang w:val="en-US" w:eastAsia="zh-CN"/>
                      <w14:textFill>
                        <w14:solidFill>
                          <w14:schemeClr w14:val="tx1"/>
                        </w14:solidFill>
                      </w14:textFill>
                    </w:rPr>
                    <w:t>臭气浓度</w:t>
                  </w:r>
                </w:p>
              </w:tc>
              <w:tc>
                <w:tcPr>
                  <w:tcW w:w="700" w:type="pct"/>
                  <w:noWrap w:val="0"/>
                  <w:vAlign w:val="center"/>
                </w:tcPr>
                <w:p w14:paraId="7A41C2E6">
                  <w:pPr>
                    <w:pStyle w:val="13"/>
                    <w:ind w:firstLine="0" w:firstLineChars="0"/>
                    <w:rPr>
                      <w:rFonts w:hint="default" w:ascii="Times New Roman" w:hAnsi="Times New Roman" w:eastAsia="宋体" w:cs="Times New Roman"/>
                      <w:color w:val="auto"/>
                      <w:sz w:val="21"/>
                      <w:szCs w:val="21"/>
                      <w:lang w:val="en-US" w:eastAsia="zh-CN" w:bidi="ar-SA"/>
                    </w:rPr>
                  </w:pPr>
                  <w:r>
                    <w:rPr>
                      <w:rFonts w:hint="default" w:ascii="Times New Roman" w:hAnsi="Times New Roman" w:cs="Times New Roman"/>
                      <w:b w:val="0"/>
                      <w:bCs w:val="0"/>
                      <w:color w:val="000000" w:themeColor="text1"/>
                      <w14:textFill>
                        <w14:solidFill>
                          <w14:schemeClr w14:val="tx1"/>
                        </w14:solidFill>
                      </w14:textFill>
                    </w:rPr>
                    <w:t>1次/</w:t>
                  </w:r>
                  <w:r>
                    <w:rPr>
                      <w:rFonts w:hint="default" w:ascii="Times New Roman" w:hAnsi="Times New Roman" w:cs="Times New Roman"/>
                      <w:b w:val="0"/>
                      <w:bCs w:val="0"/>
                      <w:color w:val="000000" w:themeColor="text1"/>
                      <w:lang w:val="en-US" w:eastAsia="zh-CN"/>
                      <w14:textFill>
                        <w14:solidFill>
                          <w14:schemeClr w14:val="tx1"/>
                        </w14:solidFill>
                      </w14:textFill>
                    </w:rPr>
                    <w:t>年</w:t>
                  </w:r>
                </w:p>
              </w:tc>
            </w:tr>
            <w:tr w14:paraId="6CA9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continue"/>
                  <w:noWrap w:val="0"/>
                  <w:vAlign w:val="center"/>
                </w:tcPr>
                <w:p w14:paraId="0B9B89A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color w:val="auto"/>
                      <w:sz w:val="21"/>
                      <w:szCs w:val="21"/>
                    </w:rPr>
                  </w:pPr>
                </w:p>
              </w:tc>
              <w:tc>
                <w:tcPr>
                  <w:tcW w:w="503" w:type="pct"/>
                  <w:vMerge w:val="continue"/>
                  <w:noWrap w:val="0"/>
                  <w:vAlign w:val="center"/>
                </w:tcPr>
                <w:p w14:paraId="6444856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color w:val="auto"/>
                      <w:sz w:val="21"/>
                      <w:szCs w:val="21"/>
                    </w:rPr>
                  </w:pPr>
                </w:p>
              </w:tc>
              <w:tc>
                <w:tcPr>
                  <w:tcW w:w="531" w:type="pct"/>
                  <w:vMerge w:val="continue"/>
                  <w:noWrap w:val="0"/>
                  <w:vAlign w:val="center"/>
                </w:tcPr>
                <w:p w14:paraId="1CD1524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color w:val="auto"/>
                      <w:sz w:val="21"/>
                      <w:szCs w:val="21"/>
                    </w:rPr>
                  </w:pPr>
                </w:p>
              </w:tc>
              <w:tc>
                <w:tcPr>
                  <w:tcW w:w="1076" w:type="pct"/>
                  <w:noWrap w:val="0"/>
                  <w:vAlign w:val="center"/>
                </w:tcPr>
                <w:p w14:paraId="5A2FEC8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厂区内</w:t>
                  </w:r>
                </w:p>
              </w:tc>
              <w:tc>
                <w:tcPr>
                  <w:tcW w:w="1808" w:type="pct"/>
                  <w:noWrap w:val="0"/>
                  <w:vAlign w:val="center"/>
                </w:tcPr>
                <w:p w14:paraId="3C12BE6E">
                  <w:pPr>
                    <w:pStyle w:val="13"/>
                    <w:ind w:firstLine="0" w:firstLineChars="0"/>
                    <w:rPr>
                      <w:rFonts w:hint="default" w:ascii="Times New Roman" w:hAnsi="Times New Roman" w:eastAsia="宋体" w:cs="Times New Roman"/>
                      <w:color w:val="auto"/>
                      <w:kern w:val="2"/>
                      <w:sz w:val="21"/>
                      <w:szCs w:val="21"/>
                    </w:rPr>
                  </w:pPr>
                  <w:r>
                    <w:rPr>
                      <w:rFonts w:hint="default" w:ascii="Times New Roman" w:hAnsi="Times New Roman" w:cs="Times New Roman"/>
                      <w:b w:val="0"/>
                      <w:bCs w:val="0"/>
                      <w:color w:val="000000" w:themeColor="text1"/>
                      <w14:textFill>
                        <w14:solidFill>
                          <w14:schemeClr w14:val="tx1"/>
                        </w14:solidFill>
                      </w14:textFill>
                    </w:rPr>
                    <w:t>颗粒物</w:t>
                  </w:r>
                </w:p>
              </w:tc>
              <w:tc>
                <w:tcPr>
                  <w:tcW w:w="700" w:type="pct"/>
                  <w:noWrap w:val="0"/>
                  <w:vAlign w:val="center"/>
                </w:tcPr>
                <w:p w14:paraId="3DC5DB37">
                  <w:pPr>
                    <w:pStyle w:val="13"/>
                    <w:ind w:firstLine="0" w:firstLineChars="0"/>
                    <w:rPr>
                      <w:rFonts w:hint="default" w:ascii="Times New Roman" w:hAnsi="Times New Roman" w:eastAsia="宋体" w:cs="Times New Roman"/>
                      <w:color w:val="auto"/>
                      <w:kern w:val="2"/>
                      <w:sz w:val="21"/>
                      <w:szCs w:val="21"/>
                    </w:rPr>
                  </w:pPr>
                  <w:r>
                    <w:rPr>
                      <w:rFonts w:hint="eastAsia" w:cs="Times New Roman"/>
                      <w:b w:val="0"/>
                      <w:bCs w:val="0"/>
                      <w:color w:val="000000" w:themeColor="text1"/>
                      <w:lang w:val="en-US" w:eastAsia="zh-CN"/>
                      <w14:textFill>
                        <w14:solidFill>
                          <w14:schemeClr w14:val="tx1"/>
                        </w14:solidFill>
                      </w14:textFill>
                    </w:rPr>
                    <w:t>1次/月</w:t>
                  </w:r>
                </w:p>
              </w:tc>
            </w:tr>
            <w:tr w14:paraId="5F8C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80" w:type="pct"/>
                  <w:vMerge w:val="continue"/>
                  <w:noWrap w:val="0"/>
                  <w:vAlign w:val="center"/>
                </w:tcPr>
                <w:p w14:paraId="3565B83A">
                  <w:pPr>
                    <w:keepNext w:val="0"/>
                    <w:keepLines w:val="0"/>
                    <w:pageBreakBefore w:val="0"/>
                    <w:widowControl w:val="0"/>
                    <w:kinsoku/>
                    <w:wordWrap/>
                    <w:overflowPunct/>
                    <w:topLinePunct w:val="0"/>
                    <w:bidi w:val="0"/>
                    <w:adjustRightInd w:val="0"/>
                    <w:snapToGrid w:val="0"/>
                    <w:spacing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rPr>
                  </w:pPr>
                </w:p>
              </w:tc>
              <w:tc>
                <w:tcPr>
                  <w:tcW w:w="1034" w:type="pct"/>
                  <w:gridSpan w:val="2"/>
                  <w:noWrap w:val="0"/>
                  <w:vAlign w:val="center"/>
                </w:tcPr>
                <w:p w14:paraId="70E65486">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噪声</w:t>
                  </w:r>
                </w:p>
              </w:tc>
              <w:tc>
                <w:tcPr>
                  <w:tcW w:w="1076" w:type="pct"/>
                  <w:noWrap w:val="0"/>
                  <w:vAlign w:val="center"/>
                </w:tcPr>
                <w:p w14:paraId="67988C40">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厂界四周</w:t>
                  </w:r>
                </w:p>
              </w:tc>
              <w:tc>
                <w:tcPr>
                  <w:tcW w:w="1808" w:type="pct"/>
                  <w:noWrap w:val="0"/>
                  <w:vAlign w:val="center"/>
                </w:tcPr>
                <w:p w14:paraId="3AF0BA09">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等效连续</w:t>
                  </w:r>
                </w:p>
                <w:p w14:paraId="7EFF00DF">
                  <w:pPr>
                    <w:keepNext w:val="0"/>
                    <w:keepLines w:val="0"/>
                    <w:pageBreakBefore w:val="0"/>
                    <w:widowControl w:val="0"/>
                    <w:kinsoku/>
                    <w:wordWrap/>
                    <w:overflowPunct/>
                    <w:topLinePunct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A声级（Leq(A)）</w:t>
                  </w:r>
                </w:p>
              </w:tc>
              <w:tc>
                <w:tcPr>
                  <w:tcW w:w="700" w:type="pct"/>
                  <w:noWrap w:val="0"/>
                  <w:vAlign w:val="center"/>
                </w:tcPr>
                <w:p w14:paraId="14A38EB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1次/</w:t>
                  </w:r>
                  <w:r>
                    <w:rPr>
                      <w:rFonts w:hint="default" w:ascii="Times New Roman" w:hAnsi="Times New Roman" w:eastAsia="宋体" w:cs="Times New Roman"/>
                      <w:color w:val="auto"/>
                      <w:sz w:val="21"/>
                      <w:szCs w:val="21"/>
                      <w:lang w:val="en-US" w:eastAsia="zh-CN" w:bidi="ar-SA"/>
                    </w:rPr>
                    <w:t>季度</w:t>
                  </w:r>
                  <w:r>
                    <w:rPr>
                      <w:rFonts w:hint="eastAsia" w:ascii="Times New Roman" w:hAnsi="Times New Roman" w:cs="Times New Roman"/>
                      <w:color w:val="auto"/>
                      <w:sz w:val="21"/>
                      <w:szCs w:val="21"/>
                      <w:lang w:val="en-US" w:eastAsia="zh-CN" w:bidi="ar-SA"/>
                    </w:rPr>
                    <w:t>，昼夜各一次</w:t>
                  </w:r>
                </w:p>
              </w:tc>
            </w:tr>
          </w:tbl>
          <w:p w14:paraId="44E1D17A">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 3 \* GB3 \* MERGEFORMAT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③</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排污许可</w:t>
            </w:r>
          </w:p>
          <w:p w14:paraId="298CCBD5">
            <w:pPr>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本项目为</w:t>
            </w:r>
            <w:r>
              <w:rPr>
                <w:rFonts w:hint="eastAsia"/>
                <w:color w:val="000000" w:themeColor="text1"/>
                <w:sz w:val="24"/>
                <w:lang w:val="en-US" w:eastAsia="zh-CN"/>
                <w14:textFill>
                  <w14:solidFill>
                    <w14:schemeClr w14:val="tx1"/>
                  </w14:solidFill>
                </w14:textFill>
              </w:rPr>
              <w:t>新建</w:t>
            </w:r>
            <w:r>
              <w:rPr>
                <w:color w:val="000000" w:themeColor="text1"/>
                <w:sz w:val="24"/>
                <w14:textFill>
                  <w14:solidFill>
                    <w14:schemeClr w14:val="tx1"/>
                  </w14:solidFill>
                </w14:textFill>
              </w:rPr>
              <w:t>项目，根据《排污许可管理条例》和《固定污染源排污许可分类管理名录（2019年版）》等相关政策文件，本项目建设单位在取得本报告环境影响评价审批意见后，</w:t>
            </w:r>
            <w:r>
              <w:rPr>
                <w:rFonts w:hint="eastAsia"/>
                <w:color w:val="000000" w:themeColor="text1"/>
                <w:sz w:val="24"/>
                <w:lang w:val="en-US" w:eastAsia="zh-CN"/>
                <w14:textFill>
                  <w14:solidFill>
                    <w14:schemeClr w14:val="tx1"/>
                  </w14:solidFill>
                </w14:textFill>
              </w:rPr>
              <w:t>及时</w:t>
            </w:r>
            <w:r>
              <w:rPr>
                <w:color w:val="000000" w:themeColor="text1"/>
                <w:sz w:val="24"/>
                <w14:textFill>
                  <w14:solidFill>
                    <w14:schemeClr w14:val="tx1"/>
                  </w14:solidFill>
                </w14:textFill>
              </w:rPr>
              <w:t>办理</w:t>
            </w:r>
            <w:r>
              <w:rPr>
                <w:rFonts w:hint="eastAsia"/>
                <w:color w:val="000000" w:themeColor="text1"/>
                <w:sz w:val="24"/>
                <w:lang w:val="en-US" w:eastAsia="zh-CN"/>
                <w14:textFill>
                  <w14:solidFill>
                    <w14:schemeClr w14:val="tx1"/>
                  </w14:solidFill>
                </w14:textFill>
              </w:rPr>
              <w:t>排污许可证</w:t>
            </w:r>
            <w:r>
              <w:rPr>
                <w:color w:val="000000" w:themeColor="text1"/>
                <w:sz w:val="24"/>
                <w14:textFill>
                  <w14:solidFill>
                    <w14:schemeClr w14:val="tx1"/>
                  </w14:solidFill>
                </w14:textFill>
              </w:rPr>
              <w:t>手续。</w:t>
            </w:r>
          </w:p>
          <w:p w14:paraId="51CD9279">
            <w:pPr>
              <w:pStyle w:val="4"/>
              <w:spacing w:before="163"/>
              <w:rPr>
                <w:color w:val="000000" w:themeColor="text1"/>
                <w:lang w:bidi="ar"/>
                <w14:textFill>
                  <w14:solidFill>
                    <w14:schemeClr w14:val="tx1"/>
                  </w14:solidFill>
                </w14:textFill>
              </w:rPr>
            </w:pPr>
            <w:r>
              <w:rPr>
                <w:rFonts w:hint="eastAsia"/>
                <w:color w:val="000000" w:themeColor="text1"/>
                <w:lang w:val="en-US" w:eastAsia="zh-CN" w:bidi="ar"/>
                <w14:textFill>
                  <w14:solidFill>
                    <w14:schemeClr w14:val="tx1"/>
                  </w14:solidFill>
                </w14:textFill>
              </w:rPr>
              <w:t>11、</w:t>
            </w:r>
            <w:r>
              <w:rPr>
                <w:color w:val="000000" w:themeColor="text1"/>
                <w:lang w:bidi="ar"/>
                <w14:textFill>
                  <w14:solidFill>
                    <w14:schemeClr w14:val="tx1"/>
                  </w14:solidFill>
                </w14:textFill>
              </w:rPr>
              <w:t>环保投资估算</w:t>
            </w:r>
          </w:p>
          <w:p w14:paraId="6FDC3FA9">
            <w:pPr>
              <w:adjustRightInd w:val="0"/>
              <w:snapToGrid w:val="0"/>
              <w:ind w:firstLine="440"/>
              <w:rPr>
                <w:rFonts w:cs="Times New Roman"/>
                <w:b/>
                <w:bCs/>
                <w:color w:val="000000" w:themeColor="text1"/>
                <w:szCs w:val="21"/>
                <w14:textFill>
                  <w14:solidFill>
                    <w14:schemeClr w14:val="tx1"/>
                  </w14:solidFill>
                </w14:textFill>
              </w:rPr>
            </w:pPr>
            <w:r>
              <w:rPr>
                <w:rFonts w:cs="Times New Roman"/>
                <w:bCs/>
                <w:color w:val="000000" w:themeColor="text1"/>
                <w:spacing w:val="-10"/>
                <w14:textFill>
                  <w14:solidFill>
                    <w14:schemeClr w14:val="tx1"/>
                  </w14:solidFill>
                </w14:textFill>
              </w:rPr>
              <w:t>本项目总投资</w:t>
            </w:r>
            <w:r>
              <w:rPr>
                <w:rFonts w:hint="eastAsia" w:cs="Times New Roman"/>
                <w:bCs/>
                <w:color w:val="000000" w:themeColor="text1"/>
                <w:spacing w:val="-10"/>
                <w:lang w:val="en-US" w:eastAsia="zh-CN"/>
                <w14:textFill>
                  <w14:solidFill>
                    <w14:schemeClr w14:val="tx1"/>
                  </w14:solidFill>
                </w14:textFill>
              </w:rPr>
              <w:t>3000</w:t>
            </w:r>
            <w:r>
              <w:rPr>
                <w:rFonts w:cs="Times New Roman"/>
                <w:bCs/>
                <w:color w:val="000000" w:themeColor="text1"/>
                <w:spacing w:val="-10"/>
                <w14:textFill>
                  <w14:solidFill>
                    <w14:schemeClr w14:val="tx1"/>
                  </w14:solidFill>
                </w14:textFill>
              </w:rPr>
              <w:t>万元，</w:t>
            </w:r>
            <w:r>
              <w:rPr>
                <w:rFonts w:cs="Times New Roman"/>
                <w:bCs/>
                <w:color w:val="000000" w:themeColor="text1"/>
                <w14:textFill>
                  <w14:solidFill>
                    <w14:schemeClr w14:val="tx1"/>
                  </w14:solidFill>
                </w14:textFill>
              </w:rPr>
              <w:t>环保投资</w:t>
            </w:r>
            <w:r>
              <w:rPr>
                <w:rFonts w:hint="eastAsia" w:cs="Times New Roman"/>
                <w:bCs/>
                <w:color w:val="000000" w:themeColor="text1"/>
                <w:lang w:val="en-US" w:eastAsia="zh-CN"/>
                <w14:textFill>
                  <w14:solidFill>
                    <w14:schemeClr w14:val="tx1"/>
                  </w14:solidFill>
                </w14:textFill>
              </w:rPr>
              <w:t>616</w:t>
            </w:r>
            <w:r>
              <w:rPr>
                <w:rFonts w:cs="Times New Roman"/>
                <w:bCs/>
                <w:color w:val="000000" w:themeColor="text1"/>
                <w14:textFill>
                  <w14:solidFill>
                    <w14:schemeClr w14:val="tx1"/>
                  </w14:solidFill>
                </w14:textFill>
              </w:rPr>
              <w:t>万元，占总投资的</w:t>
            </w:r>
            <w:r>
              <w:rPr>
                <w:rFonts w:hint="eastAsia" w:cs="Times New Roman"/>
                <w:bCs/>
                <w:color w:val="000000" w:themeColor="text1"/>
                <w:lang w:val="en-US" w:eastAsia="zh-CN"/>
                <w14:textFill>
                  <w14:solidFill>
                    <w14:schemeClr w14:val="tx1"/>
                  </w14:solidFill>
                </w14:textFill>
              </w:rPr>
              <w:t>20.5</w:t>
            </w:r>
            <w:r>
              <w:rPr>
                <w:rFonts w:cs="Times New Roman"/>
                <w:bCs/>
                <w:color w:val="000000" w:themeColor="text1"/>
                <w14:textFill>
                  <w14:solidFill>
                    <w14:schemeClr w14:val="tx1"/>
                  </w14:solidFill>
                </w14:textFill>
              </w:rPr>
              <w:t>%。</w:t>
            </w:r>
            <w:r>
              <w:rPr>
                <w:rFonts w:cs="Times New Roman"/>
                <w:color w:val="000000" w:themeColor="text1"/>
                <w:kern w:val="0"/>
                <w14:textFill>
                  <w14:solidFill>
                    <w14:schemeClr w14:val="tx1"/>
                  </w14:solidFill>
                </w14:textFill>
              </w:rPr>
              <w:t>环保治理措施及投资一览表见下表所示。</w:t>
            </w:r>
          </w:p>
          <w:p w14:paraId="6F832450">
            <w:pPr>
              <w:pStyle w:val="12"/>
              <w:spacing w:after="0"/>
              <w:rPr>
                <w:rFonts w:cs="Times New Roman"/>
                <w:color w:val="000000" w:themeColor="text1"/>
                <w:sz w:val="24"/>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 xml:space="preserve">17 </w:t>
            </w:r>
            <w:r>
              <w:rPr>
                <w:rFonts w:cs="Times New Roman"/>
                <w:color w:val="000000" w:themeColor="text1"/>
                <w:szCs w:val="21"/>
                <w14:textFill>
                  <w14:solidFill>
                    <w14:schemeClr w14:val="tx1"/>
                  </w14:solidFill>
                </w14:textFill>
              </w:rPr>
              <w:t>项目环保投资一览表</w:t>
            </w:r>
          </w:p>
          <w:tbl>
            <w:tblPr>
              <w:tblStyle w:val="29"/>
              <w:tblW w:w="4996"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0" w:type="dxa"/>
                <w:bottom w:w="0" w:type="dxa"/>
                <w:right w:w="0" w:type="dxa"/>
              </w:tblCellMar>
            </w:tblPr>
            <w:tblGrid>
              <w:gridCol w:w="916"/>
              <w:gridCol w:w="949"/>
              <w:gridCol w:w="1215"/>
              <w:gridCol w:w="4265"/>
              <w:gridCol w:w="822"/>
              <w:gridCol w:w="885"/>
            </w:tblGrid>
            <w:tr w14:paraId="2FF98F2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tcBorders>
                    <w:tl2br w:val="nil"/>
                    <w:tr2bl w:val="nil"/>
                  </w:tcBorders>
                  <w:vAlign w:val="center"/>
                </w:tcPr>
                <w:p w14:paraId="5D826F48">
                  <w:pPr>
                    <w:pStyle w:val="51"/>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类别</w:t>
                  </w:r>
                </w:p>
              </w:tc>
              <w:tc>
                <w:tcPr>
                  <w:tcW w:w="524" w:type="pct"/>
                  <w:tcBorders>
                    <w:tl2br w:val="nil"/>
                    <w:tr2bl w:val="nil"/>
                  </w:tcBorders>
                  <w:vAlign w:val="center"/>
                </w:tcPr>
                <w:p w14:paraId="67A61F5A">
                  <w:pPr>
                    <w:pStyle w:val="51"/>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项目</w:t>
                  </w:r>
                </w:p>
              </w:tc>
              <w:tc>
                <w:tcPr>
                  <w:tcW w:w="671" w:type="pct"/>
                  <w:tcBorders>
                    <w:tl2br w:val="nil"/>
                    <w:tr2bl w:val="nil"/>
                  </w:tcBorders>
                  <w:vAlign w:val="center"/>
                </w:tcPr>
                <w:p w14:paraId="71A5922C">
                  <w:pPr>
                    <w:pStyle w:val="51"/>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污染物</w:t>
                  </w:r>
                </w:p>
              </w:tc>
              <w:tc>
                <w:tcPr>
                  <w:tcW w:w="2354" w:type="pct"/>
                  <w:tcBorders>
                    <w:tl2br w:val="nil"/>
                    <w:tr2bl w:val="nil"/>
                  </w:tcBorders>
                  <w:vAlign w:val="center"/>
                </w:tcPr>
                <w:p w14:paraId="782D4709">
                  <w:pPr>
                    <w:pStyle w:val="51"/>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设施概况</w:t>
                  </w:r>
                </w:p>
              </w:tc>
              <w:tc>
                <w:tcPr>
                  <w:tcW w:w="454" w:type="pct"/>
                  <w:tcBorders>
                    <w:tl2br w:val="nil"/>
                    <w:tr2bl w:val="nil"/>
                  </w:tcBorders>
                  <w:vAlign w:val="center"/>
                </w:tcPr>
                <w:p w14:paraId="00180677">
                  <w:pPr>
                    <w:pStyle w:val="51"/>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环保投资（万元）</w:t>
                  </w:r>
                </w:p>
              </w:tc>
              <w:tc>
                <w:tcPr>
                  <w:tcW w:w="488" w:type="pct"/>
                  <w:tcBorders>
                    <w:tl2br w:val="nil"/>
                    <w:tr2bl w:val="nil"/>
                  </w:tcBorders>
                  <w:vAlign w:val="center"/>
                </w:tcPr>
                <w:p w14:paraId="132E27F4">
                  <w:pPr>
                    <w:pStyle w:val="51"/>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备注</w:t>
                  </w:r>
                </w:p>
              </w:tc>
            </w:tr>
            <w:tr w14:paraId="3A95A34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restart"/>
                  <w:tcBorders>
                    <w:tl2br w:val="nil"/>
                    <w:tr2bl w:val="nil"/>
                  </w:tcBorders>
                  <w:vAlign w:val="center"/>
                </w:tcPr>
                <w:p w14:paraId="0FBDB280">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施工期</w:t>
                  </w:r>
                </w:p>
              </w:tc>
              <w:tc>
                <w:tcPr>
                  <w:tcW w:w="524" w:type="pct"/>
                  <w:tcBorders>
                    <w:tl2br w:val="nil"/>
                    <w:tr2bl w:val="nil"/>
                  </w:tcBorders>
                  <w:vAlign w:val="center"/>
                </w:tcPr>
                <w:p w14:paraId="2A666628">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废气治理</w:t>
                  </w:r>
                </w:p>
              </w:tc>
              <w:tc>
                <w:tcPr>
                  <w:tcW w:w="671" w:type="pct"/>
                  <w:tcBorders>
                    <w:tl2br w:val="nil"/>
                    <w:tr2bl w:val="nil"/>
                  </w:tcBorders>
                  <w:vAlign w:val="center"/>
                </w:tcPr>
                <w:p w14:paraId="2719FD9A">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扬尘</w:t>
                  </w:r>
                </w:p>
              </w:tc>
              <w:tc>
                <w:tcPr>
                  <w:tcW w:w="2354" w:type="pct"/>
                  <w:tcBorders>
                    <w:tl2br w:val="nil"/>
                    <w:tr2bl w:val="nil"/>
                  </w:tcBorders>
                  <w:vAlign w:val="center"/>
                </w:tcPr>
                <w:p w14:paraId="6461A99C">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厂区抑尘通过洒水除尘；运输车辆篷布遮盖</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限速运行；建筑垃圾及时清运</w:t>
                  </w:r>
                </w:p>
              </w:tc>
              <w:tc>
                <w:tcPr>
                  <w:tcW w:w="454" w:type="pct"/>
                  <w:tcBorders>
                    <w:tl2br w:val="nil"/>
                    <w:tr2bl w:val="nil"/>
                  </w:tcBorders>
                  <w:vAlign w:val="center"/>
                </w:tcPr>
                <w:p w14:paraId="6C030254">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0.2</w:t>
                  </w:r>
                </w:p>
              </w:tc>
              <w:tc>
                <w:tcPr>
                  <w:tcW w:w="488" w:type="pct"/>
                  <w:tcBorders>
                    <w:tl2br w:val="nil"/>
                    <w:tr2bl w:val="nil"/>
                  </w:tcBorders>
                  <w:vAlign w:val="center"/>
                </w:tcPr>
                <w:p w14:paraId="40CA27C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29B8F96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29E11FDA">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tcBorders>
                    <w:tl2br w:val="nil"/>
                    <w:tr2bl w:val="nil"/>
                  </w:tcBorders>
                  <w:vAlign w:val="center"/>
                </w:tcPr>
                <w:p w14:paraId="67EAA3B4">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废水治理</w:t>
                  </w:r>
                </w:p>
              </w:tc>
              <w:tc>
                <w:tcPr>
                  <w:tcW w:w="671" w:type="pct"/>
                  <w:tcBorders>
                    <w:tl2br w:val="nil"/>
                    <w:tr2bl w:val="nil"/>
                  </w:tcBorders>
                  <w:vAlign w:val="center"/>
                </w:tcPr>
                <w:p w14:paraId="68FD74AF">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生活污水</w:t>
                  </w:r>
                </w:p>
              </w:tc>
              <w:tc>
                <w:tcPr>
                  <w:tcW w:w="2354" w:type="pct"/>
                  <w:tcBorders>
                    <w:tl2br w:val="nil"/>
                    <w:tr2bl w:val="nil"/>
                  </w:tcBorders>
                  <w:vAlign w:val="center"/>
                </w:tcPr>
                <w:p w14:paraId="6E0F449F">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依托厂区已建预处理池处理后进入</w:t>
                  </w:r>
                  <w:r>
                    <w:rPr>
                      <w:rFonts w:hint="eastAsia" w:cs="Times New Roman"/>
                      <w:color w:val="000000" w:themeColor="text1"/>
                      <w:sz w:val="21"/>
                      <w:szCs w:val="21"/>
                      <w:lang w:val="en-US" w:eastAsia="zh-CN"/>
                      <w14:textFill>
                        <w14:solidFill>
                          <w14:schemeClr w14:val="tx1"/>
                        </w14:solidFill>
                      </w14:textFill>
                    </w:rPr>
                    <w:t>园区</w:t>
                  </w:r>
                  <w:r>
                    <w:rPr>
                      <w:rFonts w:cs="Times New Roman"/>
                      <w:color w:val="000000" w:themeColor="text1"/>
                      <w:sz w:val="21"/>
                      <w:szCs w:val="21"/>
                      <w14:textFill>
                        <w14:solidFill>
                          <w14:schemeClr w14:val="tx1"/>
                        </w14:solidFill>
                      </w14:textFill>
                    </w:rPr>
                    <w:t>污水管网</w:t>
                  </w:r>
                </w:p>
              </w:tc>
              <w:tc>
                <w:tcPr>
                  <w:tcW w:w="454" w:type="pct"/>
                  <w:tcBorders>
                    <w:tl2br w:val="nil"/>
                    <w:tr2bl w:val="nil"/>
                  </w:tcBorders>
                  <w:vAlign w:val="center"/>
                </w:tcPr>
                <w:p w14:paraId="16A87B27">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08BB538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依托</w:t>
                  </w:r>
                </w:p>
              </w:tc>
            </w:tr>
            <w:tr w14:paraId="547E0A4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374447B3">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tcBorders>
                    <w:tl2br w:val="nil"/>
                    <w:tr2bl w:val="nil"/>
                  </w:tcBorders>
                  <w:vAlign w:val="center"/>
                </w:tcPr>
                <w:p w14:paraId="71C6C351">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噪声治理</w:t>
                  </w:r>
                </w:p>
              </w:tc>
              <w:tc>
                <w:tcPr>
                  <w:tcW w:w="671" w:type="pct"/>
                  <w:tcBorders>
                    <w:tl2br w:val="nil"/>
                    <w:tr2bl w:val="nil"/>
                  </w:tcBorders>
                  <w:vAlign w:val="center"/>
                </w:tcPr>
                <w:p w14:paraId="0117D656">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噪声</w:t>
                  </w:r>
                </w:p>
              </w:tc>
              <w:tc>
                <w:tcPr>
                  <w:tcW w:w="2354" w:type="pct"/>
                  <w:tcBorders>
                    <w:tl2br w:val="nil"/>
                    <w:tr2bl w:val="nil"/>
                  </w:tcBorders>
                  <w:vAlign w:val="center"/>
                </w:tcPr>
                <w:p w14:paraId="712AFCC1">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施工期加强管理，合理布局，</w:t>
                  </w:r>
                  <w:r>
                    <w:rPr>
                      <w:rFonts w:hint="eastAsia" w:cs="Times New Roman"/>
                      <w:color w:val="000000" w:themeColor="text1"/>
                      <w:sz w:val="21"/>
                      <w:szCs w:val="21"/>
                      <w:lang w:val="en-US" w:eastAsia="zh-CN"/>
                      <w14:textFill>
                        <w14:solidFill>
                          <w14:schemeClr w14:val="tx1"/>
                        </w14:solidFill>
                      </w14:textFill>
                    </w:rPr>
                    <w:t>选用低噪设备，合理安排施工时间</w:t>
                  </w:r>
                </w:p>
              </w:tc>
              <w:tc>
                <w:tcPr>
                  <w:tcW w:w="454" w:type="pct"/>
                  <w:tcBorders>
                    <w:tl2br w:val="nil"/>
                    <w:tr2bl w:val="nil"/>
                  </w:tcBorders>
                  <w:vAlign w:val="center"/>
                </w:tcPr>
                <w:p w14:paraId="2B0F7741">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0.2</w:t>
                  </w:r>
                </w:p>
              </w:tc>
              <w:tc>
                <w:tcPr>
                  <w:tcW w:w="488" w:type="pct"/>
                  <w:tcBorders>
                    <w:tl2br w:val="nil"/>
                    <w:tr2bl w:val="nil"/>
                  </w:tcBorders>
                  <w:vAlign w:val="center"/>
                </w:tcPr>
                <w:p w14:paraId="7F3758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455C1B7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7B3209D1">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restart"/>
                  <w:tcBorders>
                    <w:tl2br w:val="nil"/>
                    <w:tr2bl w:val="nil"/>
                  </w:tcBorders>
                  <w:vAlign w:val="center"/>
                </w:tcPr>
                <w:p w14:paraId="6D6F797D">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固废治理</w:t>
                  </w:r>
                </w:p>
              </w:tc>
              <w:tc>
                <w:tcPr>
                  <w:tcW w:w="671" w:type="pct"/>
                  <w:tcBorders>
                    <w:tl2br w:val="nil"/>
                    <w:tr2bl w:val="nil"/>
                  </w:tcBorders>
                  <w:vAlign w:val="center"/>
                </w:tcPr>
                <w:p w14:paraId="731E3843">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生活垃圾</w:t>
                  </w:r>
                </w:p>
              </w:tc>
              <w:tc>
                <w:tcPr>
                  <w:tcW w:w="2354" w:type="pct"/>
                  <w:tcBorders>
                    <w:tl2br w:val="nil"/>
                    <w:tr2bl w:val="nil"/>
                  </w:tcBorders>
                  <w:vAlign w:val="center"/>
                </w:tcPr>
                <w:p w14:paraId="5F622C6E">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统一收集后由环卫部门进行清运处理</w:t>
                  </w:r>
                </w:p>
              </w:tc>
              <w:tc>
                <w:tcPr>
                  <w:tcW w:w="454" w:type="pct"/>
                  <w:tcBorders>
                    <w:tl2br w:val="nil"/>
                    <w:tr2bl w:val="nil"/>
                  </w:tcBorders>
                  <w:vAlign w:val="center"/>
                </w:tcPr>
                <w:p w14:paraId="57E918A3">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0.1</w:t>
                  </w:r>
                </w:p>
              </w:tc>
              <w:tc>
                <w:tcPr>
                  <w:tcW w:w="488" w:type="pct"/>
                  <w:tcBorders>
                    <w:bottom w:val="single" w:color="000000" w:sz="2" w:space="0"/>
                    <w:tl2br w:val="nil"/>
                    <w:tr2bl w:val="nil"/>
                  </w:tcBorders>
                  <w:vAlign w:val="center"/>
                </w:tcPr>
                <w:p w14:paraId="222F5D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15865E1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4399DAAF">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657601C2">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2A206C63">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废土石方</w:t>
                  </w:r>
                </w:p>
              </w:tc>
              <w:tc>
                <w:tcPr>
                  <w:tcW w:w="2354" w:type="pct"/>
                  <w:tcBorders>
                    <w:tl2br w:val="nil"/>
                    <w:tr2bl w:val="nil"/>
                  </w:tcBorders>
                  <w:vAlign w:val="center"/>
                </w:tcPr>
                <w:p w14:paraId="6E31F0F6">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运至政府指定</w:t>
                  </w:r>
                  <w:r>
                    <w:rPr>
                      <w:rFonts w:hint="eastAsia" w:cs="Times New Roman"/>
                      <w:color w:val="000000" w:themeColor="text1"/>
                      <w:sz w:val="21"/>
                      <w:szCs w:val="21"/>
                      <w:lang w:val="en-US" w:eastAsia="zh-CN"/>
                      <w14:textFill>
                        <w14:solidFill>
                          <w14:schemeClr w14:val="tx1"/>
                        </w14:solidFill>
                      </w14:textFill>
                    </w:rPr>
                    <w:t>弃土</w:t>
                  </w:r>
                  <w:r>
                    <w:rPr>
                      <w:rFonts w:cs="Times New Roman"/>
                      <w:color w:val="000000" w:themeColor="text1"/>
                      <w:sz w:val="21"/>
                      <w:szCs w:val="21"/>
                      <w14:textFill>
                        <w14:solidFill>
                          <w14:schemeClr w14:val="tx1"/>
                        </w14:solidFill>
                      </w14:textFill>
                    </w:rPr>
                    <w:t>场处理</w:t>
                  </w:r>
                </w:p>
              </w:tc>
              <w:tc>
                <w:tcPr>
                  <w:tcW w:w="454" w:type="pct"/>
                  <w:tcBorders>
                    <w:tl2br w:val="nil"/>
                    <w:tr2bl w:val="nil"/>
                  </w:tcBorders>
                  <w:vAlign w:val="center"/>
                </w:tcPr>
                <w:p w14:paraId="5F0BB797">
                  <w:pPr>
                    <w:pStyle w:val="13"/>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w:t>
                  </w:r>
                </w:p>
              </w:tc>
              <w:tc>
                <w:tcPr>
                  <w:tcW w:w="488" w:type="pct"/>
                  <w:tcBorders>
                    <w:top w:val="single" w:color="000000" w:sz="2" w:space="0"/>
                    <w:tl2br w:val="nil"/>
                    <w:tr2bl w:val="nil"/>
                  </w:tcBorders>
                  <w:vAlign w:val="center"/>
                </w:tcPr>
                <w:p w14:paraId="66B2A5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262090D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7EA0DBD6">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6EFC8730">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587983D6">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建筑垃圾</w:t>
                  </w:r>
                </w:p>
              </w:tc>
              <w:tc>
                <w:tcPr>
                  <w:tcW w:w="2354" w:type="pct"/>
                  <w:tcBorders>
                    <w:tl2br w:val="nil"/>
                    <w:tr2bl w:val="nil"/>
                  </w:tcBorders>
                  <w:vAlign w:val="center"/>
                </w:tcPr>
                <w:p w14:paraId="19FFDD4F">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运至政府指定建渣场处理</w:t>
                  </w:r>
                </w:p>
              </w:tc>
              <w:tc>
                <w:tcPr>
                  <w:tcW w:w="454" w:type="pct"/>
                  <w:tcBorders>
                    <w:tl2br w:val="nil"/>
                    <w:tr2bl w:val="nil"/>
                  </w:tcBorders>
                  <w:vAlign w:val="center"/>
                </w:tcPr>
                <w:p w14:paraId="490D91B5">
                  <w:pPr>
                    <w:pStyle w:val="13"/>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w:t>
                  </w:r>
                </w:p>
              </w:tc>
              <w:tc>
                <w:tcPr>
                  <w:tcW w:w="488" w:type="pct"/>
                  <w:tcBorders>
                    <w:top w:val="single" w:color="000000" w:sz="2" w:space="0"/>
                    <w:tl2br w:val="nil"/>
                    <w:tr2bl w:val="nil"/>
                  </w:tcBorders>
                  <w:vAlign w:val="center"/>
                </w:tcPr>
                <w:p w14:paraId="4199D1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41D68D1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restart"/>
                  <w:tcBorders>
                    <w:tl2br w:val="nil"/>
                    <w:tr2bl w:val="nil"/>
                  </w:tcBorders>
                  <w:vAlign w:val="center"/>
                </w:tcPr>
                <w:p w14:paraId="54714EBD">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营运期</w:t>
                  </w:r>
                </w:p>
              </w:tc>
              <w:tc>
                <w:tcPr>
                  <w:tcW w:w="524" w:type="pct"/>
                  <w:vMerge w:val="restart"/>
                  <w:tcBorders>
                    <w:tl2br w:val="nil"/>
                    <w:tr2bl w:val="nil"/>
                  </w:tcBorders>
                  <w:vAlign w:val="center"/>
                </w:tcPr>
                <w:p w14:paraId="345385D6">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废气治理</w:t>
                  </w:r>
                </w:p>
              </w:tc>
              <w:tc>
                <w:tcPr>
                  <w:tcW w:w="671" w:type="pct"/>
                  <w:tcBorders>
                    <w:tl2br w:val="nil"/>
                    <w:tr2bl w:val="nil"/>
                  </w:tcBorders>
                  <w:vAlign w:val="center"/>
                </w:tcPr>
                <w:p w14:paraId="44393388">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G1煅烧废气</w:t>
                  </w:r>
                </w:p>
              </w:tc>
              <w:tc>
                <w:tcPr>
                  <w:tcW w:w="2354" w:type="pct"/>
                  <w:tcBorders>
                    <w:tl2br w:val="nil"/>
                    <w:tr2bl w:val="nil"/>
                  </w:tcBorders>
                  <w:vAlign w:val="center"/>
                </w:tcPr>
                <w:p w14:paraId="0A06E8EC">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cs="Times New Roman"/>
                      <w:color w:val="000000" w:themeColor="text1"/>
                      <w:sz w:val="21"/>
                      <w:szCs w:val="21"/>
                      <w:lang w:val="en-US" w:eastAsia="zh-CN"/>
                      <w14:textFill>
                        <w14:solidFill>
                          <w14:schemeClr w14:val="tx1"/>
                        </w14:solidFill>
                      </w14:textFill>
                    </w:rPr>
                    <w:t>旋风除尘器+布袋除尘器1#+活性炭喷射+布袋除尘器2#+2座脱酸塔（设置pH在线监测）处理后，经1根45m高排气筒排放（DA001）</w:t>
                  </w:r>
                </w:p>
              </w:tc>
              <w:tc>
                <w:tcPr>
                  <w:tcW w:w="454" w:type="pct"/>
                  <w:tcBorders>
                    <w:tl2br w:val="nil"/>
                    <w:tr2bl w:val="nil"/>
                  </w:tcBorders>
                  <w:vAlign w:val="center"/>
                </w:tcPr>
                <w:p w14:paraId="25FBF086">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500</w:t>
                  </w:r>
                </w:p>
              </w:tc>
              <w:tc>
                <w:tcPr>
                  <w:tcW w:w="488" w:type="pct"/>
                  <w:tcBorders>
                    <w:tl2br w:val="nil"/>
                    <w:tr2bl w:val="nil"/>
                  </w:tcBorders>
                  <w:vAlign w:val="center"/>
                </w:tcPr>
                <w:p w14:paraId="45EB9C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089FFF7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60B0239F">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57E5A68">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3A0EDA61">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G2 2号厂房异味</w:t>
                  </w:r>
                </w:p>
              </w:tc>
              <w:tc>
                <w:tcPr>
                  <w:tcW w:w="2354" w:type="pct"/>
                  <w:tcBorders>
                    <w:tl2br w:val="nil"/>
                    <w:tr2bl w:val="nil"/>
                  </w:tcBorders>
                  <w:vAlign w:val="center"/>
                </w:tcPr>
                <w:p w14:paraId="04ED9541">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封闭式厂房+喷洒生物除臭剂</w:t>
                  </w:r>
                </w:p>
              </w:tc>
              <w:tc>
                <w:tcPr>
                  <w:tcW w:w="454" w:type="pct"/>
                  <w:tcBorders>
                    <w:tl2br w:val="nil"/>
                    <w:tr2bl w:val="nil"/>
                  </w:tcBorders>
                  <w:vAlign w:val="center"/>
                </w:tcPr>
                <w:p w14:paraId="59065D4F">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88" w:type="pct"/>
                  <w:tcBorders>
                    <w:tl2br w:val="nil"/>
                    <w:tr2bl w:val="nil"/>
                  </w:tcBorders>
                  <w:vAlign w:val="center"/>
                </w:tcPr>
                <w:p w14:paraId="37B139B5">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3FD6BBB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5F0934CB">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078AFDB9">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9067358">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G3 1号厂房异味</w:t>
                  </w:r>
                </w:p>
              </w:tc>
              <w:tc>
                <w:tcPr>
                  <w:tcW w:w="2354" w:type="pct"/>
                  <w:tcBorders>
                    <w:tl2br w:val="nil"/>
                    <w:tr2bl w:val="nil"/>
                  </w:tcBorders>
                  <w:vAlign w:val="center"/>
                </w:tcPr>
                <w:p w14:paraId="747381F0">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封闭式厂房+喷洒生物除臭剂</w:t>
                  </w:r>
                </w:p>
              </w:tc>
              <w:tc>
                <w:tcPr>
                  <w:tcW w:w="454" w:type="pct"/>
                  <w:tcBorders>
                    <w:tl2br w:val="nil"/>
                    <w:tr2bl w:val="nil"/>
                  </w:tcBorders>
                  <w:vAlign w:val="center"/>
                </w:tcPr>
                <w:p w14:paraId="45130E76">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88" w:type="pct"/>
                  <w:tcBorders>
                    <w:tl2br w:val="nil"/>
                    <w:tr2bl w:val="nil"/>
                  </w:tcBorders>
                  <w:vAlign w:val="center"/>
                </w:tcPr>
                <w:p w14:paraId="2408E5E5">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7DBD65E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21BD1269">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DA8EB49">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shd w:val="clear" w:color="auto" w:fill="auto"/>
                  <w:vAlign w:val="center"/>
                </w:tcPr>
                <w:p w14:paraId="3B08C744">
                  <w:pPr>
                    <w:pStyle w:val="13"/>
                    <w:spacing w:line="240" w:lineRule="auto"/>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G4预处理药剂投加粉尘</w:t>
                  </w:r>
                </w:p>
              </w:tc>
              <w:tc>
                <w:tcPr>
                  <w:tcW w:w="2354" w:type="pct"/>
                  <w:tcBorders>
                    <w:tl2br w:val="nil"/>
                    <w:tr2bl w:val="nil"/>
                  </w:tcBorders>
                  <w:shd w:val="clear" w:color="auto" w:fill="auto"/>
                  <w:vAlign w:val="center"/>
                </w:tcPr>
                <w:p w14:paraId="376009DC">
                  <w:pPr>
                    <w:pStyle w:val="13"/>
                    <w:spacing w:line="240" w:lineRule="auto"/>
                    <w:ind w:firstLine="0" w:firstLineChars="0"/>
                    <w:jc w:val="left"/>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投料口围挡+喷雾抑尘+厂房沉降</w:t>
                  </w:r>
                </w:p>
              </w:tc>
              <w:tc>
                <w:tcPr>
                  <w:tcW w:w="454" w:type="pct"/>
                  <w:tcBorders>
                    <w:tl2br w:val="nil"/>
                    <w:tr2bl w:val="nil"/>
                  </w:tcBorders>
                  <w:shd w:val="clear" w:color="auto" w:fill="auto"/>
                  <w:vAlign w:val="center"/>
                </w:tcPr>
                <w:p w14:paraId="18F3CB30">
                  <w:pPr>
                    <w:pStyle w:val="13"/>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w:t>
                  </w:r>
                </w:p>
              </w:tc>
              <w:tc>
                <w:tcPr>
                  <w:tcW w:w="488" w:type="pct"/>
                  <w:tcBorders>
                    <w:tl2br w:val="nil"/>
                    <w:tr2bl w:val="nil"/>
                  </w:tcBorders>
                  <w:shd w:val="clear" w:color="auto" w:fill="auto"/>
                  <w:vAlign w:val="center"/>
                </w:tcPr>
                <w:p w14:paraId="148FAA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3827054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5C68D7DD">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BA8A711">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15A80FA7">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G5水泥筒仓粉尘</w:t>
                  </w:r>
                </w:p>
              </w:tc>
              <w:tc>
                <w:tcPr>
                  <w:tcW w:w="2354" w:type="pct"/>
                  <w:tcBorders>
                    <w:tl2br w:val="nil"/>
                    <w:tr2bl w:val="nil"/>
                  </w:tcBorders>
                  <w:vAlign w:val="center"/>
                </w:tcPr>
                <w:p w14:paraId="6632A149">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筒仓自带布袋除尘设施处理+封闭式厂房</w:t>
                  </w:r>
                </w:p>
              </w:tc>
              <w:tc>
                <w:tcPr>
                  <w:tcW w:w="454" w:type="pct"/>
                  <w:tcBorders>
                    <w:tl2br w:val="nil"/>
                    <w:tr2bl w:val="nil"/>
                  </w:tcBorders>
                  <w:vAlign w:val="center"/>
                </w:tcPr>
                <w:p w14:paraId="402ED595">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88" w:type="pct"/>
                  <w:tcBorders>
                    <w:tl2br w:val="nil"/>
                    <w:tr2bl w:val="nil"/>
                  </w:tcBorders>
                  <w:vAlign w:val="center"/>
                </w:tcPr>
                <w:p w14:paraId="5DA5EE8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78BEE72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45A938AC">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1A5B9169">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CE5A0BB">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G6煅烧料仓粉尘</w:t>
                  </w:r>
                </w:p>
              </w:tc>
              <w:tc>
                <w:tcPr>
                  <w:tcW w:w="2354" w:type="pct"/>
                  <w:tcBorders>
                    <w:tl2br w:val="nil"/>
                    <w:tr2bl w:val="nil"/>
                  </w:tcBorders>
                  <w:vAlign w:val="center"/>
                </w:tcPr>
                <w:p w14:paraId="7428DD07">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筒仓自带布袋除尘设施处理+封闭式厂房</w:t>
                  </w:r>
                </w:p>
              </w:tc>
              <w:tc>
                <w:tcPr>
                  <w:tcW w:w="454" w:type="pct"/>
                  <w:tcBorders>
                    <w:tl2br w:val="nil"/>
                    <w:tr2bl w:val="nil"/>
                  </w:tcBorders>
                  <w:vAlign w:val="center"/>
                </w:tcPr>
                <w:p w14:paraId="36B7AC7F">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88" w:type="pct"/>
                  <w:tcBorders>
                    <w:tl2br w:val="nil"/>
                    <w:tr2bl w:val="nil"/>
                  </w:tcBorders>
                  <w:vAlign w:val="center"/>
                </w:tcPr>
                <w:p w14:paraId="08CABCE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0F1DC80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42197297">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752C68EE">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3D18E48A">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G7 砂石堆存区粉尘</w:t>
                  </w:r>
                </w:p>
              </w:tc>
              <w:tc>
                <w:tcPr>
                  <w:tcW w:w="2354" w:type="pct"/>
                  <w:tcBorders>
                    <w:tl2br w:val="nil"/>
                    <w:tr2bl w:val="nil"/>
                  </w:tcBorders>
                  <w:vAlign w:val="center"/>
                </w:tcPr>
                <w:p w14:paraId="249F3B6D">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喷雾降尘+封闭式厂房</w:t>
                  </w:r>
                </w:p>
              </w:tc>
              <w:tc>
                <w:tcPr>
                  <w:tcW w:w="454" w:type="pct"/>
                  <w:tcBorders>
                    <w:tl2br w:val="nil"/>
                    <w:tr2bl w:val="nil"/>
                  </w:tcBorders>
                  <w:vAlign w:val="center"/>
                </w:tcPr>
                <w:p w14:paraId="172249C0">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w:t>
                  </w:r>
                </w:p>
              </w:tc>
              <w:tc>
                <w:tcPr>
                  <w:tcW w:w="488" w:type="pct"/>
                  <w:tcBorders>
                    <w:tl2br w:val="nil"/>
                    <w:tr2bl w:val="nil"/>
                  </w:tcBorders>
                  <w:vAlign w:val="center"/>
                </w:tcPr>
                <w:p w14:paraId="7A71292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5CCB208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6198EC47">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32F101A4">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07559C47">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G8投料粉尘</w:t>
                  </w:r>
                </w:p>
              </w:tc>
              <w:tc>
                <w:tcPr>
                  <w:tcW w:w="2354" w:type="pct"/>
                  <w:tcBorders>
                    <w:tl2br w:val="nil"/>
                    <w:tr2bl w:val="nil"/>
                  </w:tcBorders>
                  <w:vAlign w:val="center"/>
                </w:tcPr>
                <w:p w14:paraId="6B81B172">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经侧吸式集气罩收集，经1套布袋除尘器+喷淋抑尘处理后于厂房内排放</w:t>
                  </w:r>
                </w:p>
              </w:tc>
              <w:tc>
                <w:tcPr>
                  <w:tcW w:w="454" w:type="pct"/>
                  <w:tcBorders>
                    <w:tl2br w:val="nil"/>
                    <w:tr2bl w:val="nil"/>
                  </w:tcBorders>
                  <w:vAlign w:val="center"/>
                </w:tcPr>
                <w:p w14:paraId="6860E972">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4</w:t>
                  </w:r>
                </w:p>
              </w:tc>
              <w:tc>
                <w:tcPr>
                  <w:tcW w:w="488" w:type="pct"/>
                  <w:tcBorders>
                    <w:tl2br w:val="nil"/>
                    <w:tr2bl w:val="nil"/>
                  </w:tcBorders>
                  <w:vAlign w:val="center"/>
                </w:tcPr>
                <w:p w14:paraId="298BE79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1BF76B1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0CEEB9CE">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70A124C7">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72C87DD">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食堂油烟</w:t>
                  </w:r>
                </w:p>
              </w:tc>
              <w:tc>
                <w:tcPr>
                  <w:tcW w:w="2354" w:type="pct"/>
                  <w:tcBorders>
                    <w:tl2br w:val="nil"/>
                    <w:tr2bl w:val="nil"/>
                  </w:tcBorders>
                  <w:vAlign w:val="center"/>
                </w:tcPr>
                <w:p w14:paraId="43C0BC9D">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油烟净化器</w:t>
                  </w:r>
                </w:p>
              </w:tc>
              <w:tc>
                <w:tcPr>
                  <w:tcW w:w="454" w:type="pct"/>
                  <w:tcBorders>
                    <w:tl2br w:val="nil"/>
                    <w:tr2bl w:val="nil"/>
                  </w:tcBorders>
                  <w:vAlign w:val="center"/>
                </w:tcPr>
                <w:p w14:paraId="1EDFE5BF">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w:t>
                  </w:r>
                </w:p>
              </w:tc>
              <w:tc>
                <w:tcPr>
                  <w:tcW w:w="488" w:type="pct"/>
                  <w:tcBorders>
                    <w:tl2br w:val="nil"/>
                    <w:tr2bl w:val="nil"/>
                  </w:tcBorders>
                  <w:vAlign w:val="center"/>
                </w:tcPr>
                <w:p w14:paraId="3F560E09">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0C77CB8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71114590">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restart"/>
                  <w:tcBorders>
                    <w:tl2br w:val="nil"/>
                    <w:tr2bl w:val="nil"/>
                  </w:tcBorders>
                  <w:vAlign w:val="center"/>
                </w:tcPr>
                <w:p w14:paraId="45F4BDBE">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废水治理</w:t>
                  </w:r>
                </w:p>
              </w:tc>
              <w:tc>
                <w:tcPr>
                  <w:tcW w:w="671" w:type="pct"/>
                  <w:tcBorders>
                    <w:tl2br w:val="nil"/>
                    <w:tr2bl w:val="nil"/>
                  </w:tcBorders>
                  <w:vAlign w:val="center"/>
                </w:tcPr>
                <w:p w14:paraId="631E8F3E">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W1压滤废水</w:t>
                  </w:r>
                </w:p>
              </w:tc>
              <w:tc>
                <w:tcPr>
                  <w:tcW w:w="2354" w:type="pct"/>
                  <w:tcBorders>
                    <w:tl2br w:val="nil"/>
                    <w:tr2bl w:val="nil"/>
                  </w:tcBorders>
                  <w:vAlign w:val="center"/>
                </w:tcPr>
                <w:p w14:paraId="3D17670C">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滤液池内暂存，委托资质单位每日清运处置。</w:t>
                  </w:r>
                </w:p>
              </w:tc>
              <w:tc>
                <w:tcPr>
                  <w:tcW w:w="454" w:type="pct"/>
                  <w:tcBorders>
                    <w:tl2br w:val="nil"/>
                    <w:tr2bl w:val="nil"/>
                  </w:tcBorders>
                  <w:vAlign w:val="center"/>
                </w:tcPr>
                <w:p w14:paraId="4A672764">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7832E14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6E6CCA4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2181AE66">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F975D7B">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172C9FBF">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W2水基岩屑堆存区渗滤液</w:t>
                  </w:r>
                </w:p>
              </w:tc>
              <w:tc>
                <w:tcPr>
                  <w:tcW w:w="2354" w:type="pct"/>
                  <w:tcBorders>
                    <w:tl2br w:val="nil"/>
                    <w:tr2bl w:val="nil"/>
                  </w:tcBorders>
                  <w:vAlign w:val="center"/>
                </w:tcPr>
                <w:p w14:paraId="49E731C9">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不间断产生且产生量较少，产生的少量渗滤液由同水基岩屑一起进入煅烧生产线。</w:t>
                  </w:r>
                </w:p>
                <w:p w14:paraId="436C3BB3">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堆场三面设置围堰+一面设置装卸料斜坡。</w:t>
                  </w:r>
                </w:p>
              </w:tc>
              <w:tc>
                <w:tcPr>
                  <w:tcW w:w="454" w:type="pct"/>
                  <w:tcBorders>
                    <w:tl2br w:val="nil"/>
                    <w:tr2bl w:val="nil"/>
                  </w:tcBorders>
                  <w:vAlign w:val="center"/>
                </w:tcPr>
                <w:p w14:paraId="7B917772">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46C6000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750460E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5A288F42">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1C658061">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1C2FC76">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W3地面冲洗废水</w:t>
                  </w:r>
                </w:p>
              </w:tc>
              <w:tc>
                <w:tcPr>
                  <w:tcW w:w="2354" w:type="pct"/>
                  <w:vMerge w:val="restart"/>
                  <w:tcBorders>
                    <w:tl2br w:val="nil"/>
                    <w:tr2bl w:val="nil"/>
                  </w:tcBorders>
                  <w:vAlign w:val="center"/>
                </w:tcPr>
                <w:p w14:paraId="7AC54525">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进入水基岩屑储存池内，随水基岩屑（</w:t>
                  </w:r>
                  <w:r>
                    <w:rPr>
                      <w:rFonts w:hint="default" w:ascii="Times New Roman" w:hAnsi="Times New Roman" w:cs="Times New Roman"/>
                      <w:color w:val="000000" w:themeColor="text1"/>
                      <w:sz w:val="21"/>
                      <w:szCs w:val="21"/>
                      <w:lang w:val="en-US" w:eastAsia="zh-CN"/>
                      <w14:textFill>
                        <w14:solidFill>
                          <w14:schemeClr w14:val="tx1"/>
                        </w14:solidFill>
                      </w14:textFill>
                    </w:rPr>
                    <w:t>含水率≤70</w:t>
                  </w:r>
                  <w:r>
                    <w:rPr>
                      <w:rFonts w:hint="eastAsia" w:cs="Times New Roman"/>
                      <w:color w:val="000000" w:themeColor="text1"/>
                      <w:sz w:val="21"/>
                      <w:szCs w:val="21"/>
                      <w:lang w:val="en-US" w:eastAsia="zh-CN"/>
                      <w14:textFill>
                        <w14:solidFill>
                          <w14:schemeClr w14:val="tx1"/>
                        </w14:solidFill>
                      </w14:textFill>
                    </w:rPr>
                    <w:t>%）一同预处理，计入压滤废水。</w:t>
                  </w:r>
                </w:p>
              </w:tc>
              <w:tc>
                <w:tcPr>
                  <w:tcW w:w="454" w:type="pct"/>
                  <w:tcBorders>
                    <w:tl2br w:val="nil"/>
                    <w:tr2bl w:val="nil"/>
                  </w:tcBorders>
                  <w:vAlign w:val="center"/>
                </w:tcPr>
                <w:p w14:paraId="13AA7744">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5387CDC0">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25033AA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679ACE0E">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6ADFD10">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54E0895B">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W4车辆冲洗废水</w:t>
                  </w:r>
                </w:p>
              </w:tc>
              <w:tc>
                <w:tcPr>
                  <w:tcW w:w="2354" w:type="pct"/>
                  <w:vMerge w:val="continue"/>
                  <w:tcBorders>
                    <w:tl2br w:val="nil"/>
                    <w:tr2bl w:val="nil"/>
                  </w:tcBorders>
                  <w:vAlign w:val="center"/>
                </w:tcPr>
                <w:p w14:paraId="01161C31">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p>
              </w:tc>
              <w:tc>
                <w:tcPr>
                  <w:tcW w:w="454" w:type="pct"/>
                  <w:tcBorders>
                    <w:tl2br w:val="nil"/>
                    <w:tr2bl w:val="nil"/>
                  </w:tcBorders>
                  <w:vAlign w:val="center"/>
                </w:tcPr>
                <w:p w14:paraId="77AD6DB7">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3B0C67E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7C83669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0F5F9202">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3D47FC30">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62E7843E">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W5喷淋废水</w:t>
                  </w:r>
                </w:p>
              </w:tc>
              <w:tc>
                <w:tcPr>
                  <w:tcW w:w="2354" w:type="pct"/>
                  <w:tcBorders>
                    <w:tl2br w:val="nil"/>
                    <w:tr2bl w:val="nil"/>
                  </w:tcBorders>
                  <w:vAlign w:val="center"/>
                </w:tcPr>
                <w:p w14:paraId="0EC23228">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滤液池内暂存，委托资质单位每日清运处置。</w:t>
                  </w:r>
                </w:p>
              </w:tc>
              <w:tc>
                <w:tcPr>
                  <w:tcW w:w="454" w:type="pct"/>
                  <w:tcBorders>
                    <w:tl2br w:val="nil"/>
                    <w:tr2bl w:val="nil"/>
                  </w:tcBorders>
                  <w:vAlign w:val="center"/>
                </w:tcPr>
                <w:p w14:paraId="2BA12A17">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15673058">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59B0F87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17D7AA11">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3BF66ED1">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5D2F1087">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W6 蒸养冷凝水</w:t>
                  </w:r>
                </w:p>
              </w:tc>
              <w:tc>
                <w:tcPr>
                  <w:tcW w:w="2354" w:type="pct"/>
                  <w:tcBorders>
                    <w:tl2br w:val="nil"/>
                    <w:tr2bl w:val="nil"/>
                  </w:tcBorders>
                  <w:vAlign w:val="center"/>
                </w:tcPr>
                <w:p w14:paraId="080A1F33">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全部回用于免烧砌块生产。</w:t>
                  </w:r>
                </w:p>
              </w:tc>
              <w:tc>
                <w:tcPr>
                  <w:tcW w:w="454" w:type="pct"/>
                  <w:tcBorders>
                    <w:tl2br w:val="nil"/>
                    <w:tr2bl w:val="nil"/>
                  </w:tcBorders>
                  <w:vAlign w:val="center"/>
                </w:tcPr>
                <w:p w14:paraId="5C2B13A3">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133E705E">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496FB0F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3B8D0160">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5AD4C1A7">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097BDA2E">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W7生活污水</w:t>
                  </w:r>
                </w:p>
              </w:tc>
              <w:tc>
                <w:tcPr>
                  <w:tcW w:w="2354" w:type="pct"/>
                  <w:tcBorders>
                    <w:tl2br w:val="nil"/>
                    <w:tr2bl w:val="nil"/>
                  </w:tcBorders>
                  <w:vAlign w:val="center"/>
                </w:tcPr>
                <w:p w14:paraId="7B8F6C3F">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食堂生活水隔油后与其他生活污水一并，</w:t>
                  </w:r>
                  <w:r>
                    <w:rPr>
                      <w:rFonts w:cs="Times New Roman"/>
                      <w:color w:val="000000" w:themeColor="text1"/>
                      <w:sz w:val="21"/>
                      <w:szCs w:val="21"/>
                      <w14:textFill>
                        <w14:solidFill>
                          <w14:schemeClr w14:val="tx1"/>
                        </w14:solidFill>
                      </w14:textFill>
                    </w:rPr>
                    <w:t>依托租赁</w:t>
                  </w:r>
                  <w:r>
                    <w:rPr>
                      <w:rFonts w:hint="eastAsia" w:cs="Times New Roman"/>
                      <w:color w:val="000000" w:themeColor="text1"/>
                      <w:sz w:val="21"/>
                      <w:szCs w:val="21"/>
                      <w:lang w:val="en-US" w:eastAsia="zh-CN"/>
                      <w14:textFill>
                        <w14:solidFill>
                          <w14:schemeClr w14:val="tx1"/>
                        </w14:solidFill>
                      </w14:textFill>
                    </w:rPr>
                    <w:t>厂区已建预处理池（1个，10m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vertAlign w:val="baseline"/>
                      <w:lang w:val="en-US" w:eastAsia="zh-CN"/>
                      <w14:textFill>
                        <w14:solidFill>
                          <w14:schemeClr w14:val="tx1"/>
                        </w14:solidFill>
                      </w14:textFill>
                    </w:rPr>
                    <w:t>位于宿舍楼旁</w:t>
                  </w:r>
                  <w:r>
                    <w:rPr>
                      <w:rFonts w:hint="eastAsia" w:cs="Times New Roman"/>
                      <w:color w:val="000000" w:themeColor="text1"/>
                      <w:sz w:val="21"/>
                      <w:szCs w:val="21"/>
                      <w:lang w:val="en-US" w:eastAsia="zh-CN"/>
                      <w14:textFill>
                        <w14:solidFill>
                          <w14:schemeClr w14:val="tx1"/>
                        </w14:solidFill>
                      </w14:textFill>
                    </w:rPr>
                    <w:t>）处理后排入园区污水管网，送星光工业园区污水处理厂进一步处理。</w:t>
                  </w:r>
                </w:p>
              </w:tc>
              <w:tc>
                <w:tcPr>
                  <w:tcW w:w="454" w:type="pct"/>
                  <w:tcBorders>
                    <w:tl2br w:val="nil"/>
                    <w:tr2bl w:val="nil"/>
                  </w:tcBorders>
                  <w:vAlign w:val="center"/>
                </w:tcPr>
                <w:p w14:paraId="37DB3035">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0.5</w:t>
                  </w:r>
                </w:p>
              </w:tc>
              <w:tc>
                <w:tcPr>
                  <w:tcW w:w="488" w:type="pct"/>
                  <w:tcBorders>
                    <w:tl2br w:val="nil"/>
                    <w:tr2bl w:val="nil"/>
                  </w:tcBorders>
                  <w:vAlign w:val="center"/>
                </w:tcPr>
                <w:p w14:paraId="6B533403">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部分</w:t>
                  </w:r>
                  <w:r>
                    <w:rPr>
                      <w:rFonts w:cs="Times New Roman"/>
                      <w:bCs/>
                      <w:color w:val="000000" w:themeColor="text1"/>
                      <w:sz w:val="21"/>
                      <w:szCs w:val="21"/>
                      <w14:textFill>
                        <w14:solidFill>
                          <w14:schemeClr w14:val="tx1"/>
                        </w14:solidFill>
                      </w14:textFill>
                    </w:rPr>
                    <w:t>依托</w:t>
                  </w:r>
                </w:p>
              </w:tc>
            </w:tr>
            <w:tr w14:paraId="2AFCBCD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7B2DD6D9">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616E71B5">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shd w:val="clear" w:color="auto" w:fill="auto"/>
                  <w:vAlign w:val="center"/>
                </w:tcPr>
                <w:p w14:paraId="15AC59EC">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W8压滤机滤布冲洗废水</w:t>
                  </w:r>
                </w:p>
              </w:tc>
              <w:tc>
                <w:tcPr>
                  <w:tcW w:w="2354" w:type="pct"/>
                  <w:tcBorders>
                    <w:tl2br w:val="nil"/>
                    <w:tr2bl w:val="nil"/>
                  </w:tcBorders>
                  <w:shd w:val="clear" w:color="auto" w:fill="auto"/>
                  <w:vAlign w:val="center"/>
                </w:tcPr>
                <w:p w14:paraId="3212DD07">
                  <w:pPr>
                    <w:pStyle w:val="13"/>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进入水基岩屑储存池内，随水基岩屑一同预处理，计入压滤废水。</w:t>
                  </w:r>
                </w:p>
              </w:tc>
              <w:tc>
                <w:tcPr>
                  <w:tcW w:w="454" w:type="pct"/>
                  <w:tcBorders>
                    <w:tl2br w:val="nil"/>
                    <w:tr2bl w:val="nil"/>
                  </w:tcBorders>
                  <w:vAlign w:val="center"/>
                </w:tcPr>
                <w:p w14:paraId="6C4EEC62">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88" w:type="pct"/>
                  <w:tcBorders>
                    <w:tl2br w:val="nil"/>
                    <w:tr2bl w:val="nil"/>
                  </w:tcBorders>
                  <w:vAlign w:val="center"/>
                </w:tcPr>
                <w:p w14:paraId="2532998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2D9D3FD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2C9C346A">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tcBorders>
                    <w:tl2br w:val="nil"/>
                    <w:tr2bl w:val="nil"/>
                  </w:tcBorders>
                  <w:vAlign w:val="center"/>
                </w:tcPr>
                <w:p w14:paraId="7988CE01">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噪声治理</w:t>
                  </w:r>
                </w:p>
              </w:tc>
              <w:tc>
                <w:tcPr>
                  <w:tcW w:w="671" w:type="pct"/>
                  <w:tcBorders>
                    <w:tl2br w:val="nil"/>
                    <w:tr2bl w:val="nil"/>
                  </w:tcBorders>
                  <w:vAlign w:val="center"/>
                </w:tcPr>
                <w:p w14:paraId="6AF0BB8C">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设备运行噪声</w:t>
                  </w:r>
                </w:p>
              </w:tc>
              <w:tc>
                <w:tcPr>
                  <w:tcW w:w="2354" w:type="pct"/>
                  <w:tcBorders>
                    <w:tl2br w:val="nil"/>
                    <w:tr2bl w:val="nil"/>
                  </w:tcBorders>
                  <w:vAlign w:val="center"/>
                </w:tcPr>
                <w:p w14:paraId="1567A6D1">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bCs/>
                      <w:color w:val="000000" w:themeColor="text1"/>
                      <w:sz w:val="21"/>
                      <w:szCs w:val="21"/>
                      <w:lang w:val="en-US" w:eastAsia="zh-CN"/>
                      <w14:textFill>
                        <w14:solidFill>
                          <w14:schemeClr w14:val="tx1"/>
                        </w14:solidFill>
                      </w14:textFill>
                    </w:rPr>
                  </w:pPr>
                  <w:r>
                    <w:rPr>
                      <w:rFonts w:cs="Times New Roman"/>
                      <w:bCs/>
                      <w:color w:val="000000" w:themeColor="text1"/>
                      <w:sz w:val="21"/>
                      <w:szCs w:val="21"/>
                      <w14:textFill>
                        <w14:solidFill>
                          <w14:schemeClr w14:val="tx1"/>
                        </w14:solidFill>
                      </w14:textFill>
                    </w:rPr>
                    <w:t>选用低噪声设备、合理平面布局，</w:t>
                  </w:r>
                  <w:r>
                    <w:rPr>
                      <w:rFonts w:cs="Times New Roman"/>
                      <w:color w:val="000000" w:themeColor="text1"/>
                      <w:sz w:val="21"/>
                      <w:szCs w:val="21"/>
                      <w14:textFill>
                        <w14:solidFill>
                          <w14:schemeClr w14:val="tx1"/>
                        </w14:solidFill>
                      </w14:textFill>
                    </w:rPr>
                    <w:t>设备基础减震，建筑隔声，距离衰减</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设置单独风机房。</w:t>
                  </w:r>
                </w:p>
              </w:tc>
              <w:tc>
                <w:tcPr>
                  <w:tcW w:w="454" w:type="pct"/>
                  <w:tcBorders>
                    <w:tl2br w:val="nil"/>
                    <w:tr2bl w:val="nil"/>
                  </w:tcBorders>
                  <w:vAlign w:val="center"/>
                </w:tcPr>
                <w:p w14:paraId="2C0F857C">
                  <w:pPr>
                    <w:pStyle w:val="13"/>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w:t>
                  </w:r>
                </w:p>
              </w:tc>
              <w:tc>
                <w:tcPr>
                  <w:tcW w:w="488" w:type="pct"/>
                  <w:tcBorders>
                    <w:tl2br w:val="nil"/>
                    <w:tr2bl w:val="nil"/>
                  </w:tcBorders>
                  <w:vAlign w:val="center"/>
                </w:tcPr>
                <w:p w14:paraId="36C8821F">
                  <w:pPr>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4830817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72F3F2B0">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restart"/>
                  <w:tcBorders>
                    <w:tl2br w:val="nil"/>
                    <w:tr2bl w:val="nil"/>
                  </w:tcBorders>
                  <w:vAlign w:val="center"/>
                </w:tcPr>
                <w:p w14:paraId="679DF57D">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固废治理</w:t>
                  </w:r>
                </w:p>
              </w:tc>
              <w:tc>
                <w:tcPr>
                  <w:tcW w:w="671" w:type="pct"/>
                  <w:tcBorders>
                    <w:tl2br w:val="nil"/>
                    <w:tr2bl w:val="nil"/>
                  </w:tcBorders>
                  <w:vAlign w:val="center"/>
                </w:tcPr>
                <w:p w14:paraId="23C93148">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一般固废</w:t>
                  </w:r>
                </w:p>
              </w:tc>
              <w:tc>
                <w:tcPr>
                  <w:tcW w:w="2354" w:type="pct"/>
                  <w:tcBorders>
                    <w:tl2br w:val="nil"/>
                    <w:tr2bl w:val="nil"/>
                  </w:tcBorders>
                  <w:vAlign w:val="center"/>
                </w:tcPr>
                <w:p w14:paraId="24C9F863">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bCs/>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设置1间一般固废暂存间，面积10m</w:t>
                  </w:r>
                  <w:r>
                    <w:rPr>
                      <w:rFonts w:cs="Times New Roman"/>
                      <w:color w:val="000000" w:themeColor="text1"/>
                      <w:sz w:val="21"/>
                      <w:szCs w:val="21"/>
                      <w:vertAlign w:val="superscript"/>
                      <w14:textFill>
                        <w14:solidFill>
                          <w14:schemeClr w14:val="tx1"/>
                        </w14:solidFill>
                      </w14:textFill>
                    </w:rPr>
                    <w:t>2</w:t>
                  </w:r>
                  <w:r>
                    <w:rPr>
                      <w:rFonts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废包装外售废品回收站或交由厂家回收利用；废模具、废布袋厂家回收综合利用；不合格品、旋风除尘器及布袋除尘器1#集尘作为原料回用于免烧砌块生产。</w:t>
                  </w:r>
                  <w:r>
                    <w:rPr>
                      <w:rFonts w:cs="Times New Roman"/>
                      <w:color w:val="000000" w:themeColor="text1"/>
                      <w:sz w:val="21"/>
                      <w:szCs w:val="21"/>
                      <w14:textFill>
                        <w14:solidFill>
                          <w14:schemeClr w14:val="tx1"/>
                        </w14:solidFill>
                      </w14:textFill>
                    </w:rPr>
                    <w:t>生活垃圾</w:t>
                  </w:r>
                  <w:r>
                    <w:rPr>
                      <w:rFonts w:hint="eastAsia" w:cs="Times New Roman"/>
                      <w:color w:val="000000" w:themeColor="text1"/>
                      <w:sz w:val="21"/>
                      <w:szCs w:val="21"/>
                      <w:lang w:val="en-US" w:eastAsia="zh-CN"/>
                      <w14:textFill>
                        <w14:solidFill>
                          <w14:schemeClr w14:val="tx1"/>
                        </w14:solidFill>
                      </w14:textFill>
                    </w:rPr>
                    <w:t>袋装收集后</w:t>
                  </w:r>
                  <w:r>
                    <w:rPr>
                      <w:rFonts w:cs="Times New Roman"/>
                      <w:color w:val="000000" w:themeColor="text1"/>
                      <w:sz w:val="21"/>
                      <w:szCs w:val="21"/>
                      <w14:textFill>
                        <w14:solidFill>
                          <w14:schemeClr w14:val="tx1"/>
                        </w14:solidFill>
                      </w14:textFill>
                    </w:rPr>
                    <w:t>交由环卫部门统一清运处理。</w:t>
                  </w:r>
                  <w:r>
                    <w:rPr>
                      <w:rFonts w:hint="eastAsia" w:cs="Times New Roman"/>
                      <w:color w:val="000000" w:themeColor="text1"/>
                      <w:sz w:val="21"/>
                      <w:szCs w:val="21"/>
                      <w:lang w:val="en-US" w:eastAsia="zh-CN"/>
                      <w14:textFill>
                        <w14:solidFill>
                          <w14:schemeClr w14:val="tx1"/>
                        </w14:solidFill>
                      </w14:textFill>
                    </w:rPr>
                    <w:t>初期雨水池污泥定期清掏，委托有资质固废处置单位统一清运、处理。</w:t>
                  </w:r>
                </w:p>
              </w:tc>
              <w:tc>
                <w:tcPr>
                  <w:tcW w:w="454" w:type="pct"/>
                  <w:tcBorders>
                    <w:tl2br w:val="nil"/>
                    <w:tr2bl w:val="nil"/>
                  </w:tcBorders>
                  <w:vAlign w:val="center"/>
                </w:tcPr>
                <w:p w14:paraId="29F9A873">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1</w:t>
                  </w:r>
                </w:p>
              </w:tc>
              <w:tc>
                <w:tcPr>
                  <w:tcW w:w="488" w:type="pct"/>
                  <w:tcBorders>
                    <w:tl2br w:val="nil"/>
                    <w:tr2bl w:val="nil"/>
                  </w:tcBorders>
                  <w:vAlign w:val="center"/>
                </w:tcPr>
                <w:p w14:paraId="30C7B85F">
                  <w:pPr>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3917EB8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70FCB695">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02CB78EB">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298F4102">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危险废物</w:t>
                  </w:r>
                </w:p>
              </w:tc>
              <w:tc>
                <w:tcPr>
                  <w:tcW w:w="2354" w:type="pct"/>
                  <w:tcBorders>
                    <w:tl2br w:val="nil"/>
                    <w:tr2bl w:val="nil"/>
                  </w:tcBorders>
                  <w:vAlign w:val="center"/>
                </w:tcPr>
                <w:p w14:paraId="3A3DCC66">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设置1间危废暂存间，面积</w:t>
                  </w:r>
                  <w:r>
                    <w:rPr>
                      <w:rFonts w:hint="eastAsia" w:cs="Times New Roman"/>
                      <w:color w:val="000000" w:themeColor="text1"/>
                      <w:sz w:val="21"/>
                      <w:szCs w:val="21"/>
                      <w:lang w:val="en-US" w:eastAsia="zh-CN"/>
                      <w14:textFill>
                        <w14:solidFill>
                          <w14:schemeClr w14:val="tx1"/>
                        </w14:solidFill>
                      </w14:textFill>
                    </w:rPr>
                    <w:t>50</w:t>
                  </w:r>
                  <w:r>
                    <w:rPr>
                      <w:rFonts w:cs="Times New Roman"/>
                      <w:color w:val="000000" w:themeColor="text1"/>
                      <w:sz w:val="21"/>
                      <w:szCs w:val="21"/>
                      <w14:textFill>
                        <w14:solidFill>
                          <w14:schemeClr w14:val="tx1"/>
                        </w14:solidFill>
                      </w14:textFill>
                    </w:rPr>
                    <w:t>m</w:t>
                  </w:r>
                  <w:r>
                    <w:rPr>
                      <w:rFonts w:cs="Times New Roman"/>
                      <w:color w:val="000000" w:themeColor="text1"/>
                      <w:sz w:val="21"/>
                      <w:szCs w:val="21"/>
                      <w:vertAlign w:val="superscript"/>
                      <w14:textFill>
                        <w14:solidFill>
                          <w14:schemeClr w14:val="tx1"/>
                        </w14:solidFill>
                      </w14:textFill>
                    </w:rPr>
                    <w:t>2</w:t>
                  </w:r>
                  <w:r>
                    <w:rPr>
                      <w:rFonts w:cs="Times New Roman"/>
                      <w:color w:val="000000" w:themeColor="text1"/>
                      <w:sz w:val="21"/>
                      <w:szCs w:val="21"/>
                      <w14:textFill>
                        <w14:solidFill>
                          <w14:schemeClr w14:val="tx1"/>
                        </w14:solidFill>
                      </w14:textFill>
                    </w:rPr>
                    <w:t>，危险废物分类收集，统一存放到危废暂存间，定期交由有资质的单位清运处理。</w:t>
                  </w:r>
                </w:p>
              </w:tc>
              <w:tc>
                <w:tcPr>
                  <w:tcW w:w="454" w:type="pct"/>
                  <w:tcBorders>
                    <w:tl2br w:val="nil"/>
                    <w:tr2bl w:val="nil"/>
                  </w:tcBorders>
                  <w:vAlign w:val="center"/>
                </w:tcPr>
                <w:p w14:paraId="1A1CB923">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2</w:t>
                  </w:r>
                </w:p>
              </w:tc>
              <w:tc>
                <w:tcPr>
                  <w:tcW w:w="488" w:type="pct"/>
                  <w:tcBorders>
                    <w:tl2br w:val="nil"/>
                    <w:tr2bl w:val="nil"/>
                  </w:tcBorders>
                  <w:vAlign w:val="center"/>
                </w:tcPr>
                <w:p w14:paraId="4A1FC04A">
                  <w:pPr>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0CBCB96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0D83DC52">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restart"/>
                  <w:tcBorders>
                    <w:tl2br w:val="nil"/>
                    <w:tr2bl w:val="nil"/>
                  </w:tcBorders>
                  <w:vAlign w:val="center"/>
                </w:tcPr>
                <w:p w14:paraId="110595DE">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地下水</w:t>
                  </w:r>
                  <w:r>
                    <w:rPr>
                      <w:rFonts w:hint="eastAsia" w:cs="Times New Roman"/>
                      <w:bCs/>
                      <w:color w:val="000000" w:themeColor="text1"/>
                      <w:sz w:val="21"/>
                      <w:szCs w:val="21"/>
                      <w:lang w:eastAsia="zh-CN"/>
                      <w14:textFill>
                        <w14:solidFill>
                          <w14:schemeClr w14:val="tx1"/>
                        </w14:solidFill>
                      </w14:textFill>
                    </w:rPr>
                    <w:t>、</w:t>
                  </w:r>
                  <w:r>
                    <w:rPr>
                      <w:rFonts w:hint="eastAsia" w:cs="Times New Roman"/>
                      <w:bCs/>
                      <w:color w:val="000000" w:themeColor="text1"/>
                      <w:sz w:val="21"/>
                      <w:szCs w:val="21"/>
                      <w:lang w:val="en-US" w:eastAsia="zh-CN"/>
                      <w14:textFill>
                        <w14:solidFill>
                          <w14:schemeClr w14:val="tx1"/>
                        </w14:solidFill>
                      </w14:textFill>
                    </w:rPr>
                    <w:t>土壤</w:t>
                  </w:r>
                  <w:r>
                    <w:rPr>
                      <w:rFonts w:cs="Times New Roman"/>
                      <w:bCs/>
                      <w:color w:val="000000" w:themeColor="text1"/>
                      <w:sz w:val="21"/>
                      <w:szCs w:val="21"/>
                      <w14:textFill>
                        <w14:solidFill>
                          <w14:schemeClr w14:val="tx1"/>
                        </w14:solidFill>
                      </w14:textFill>
                    </w:rPr>
                    <w:t>防治措施</w:t>
                  </w:r>
                </w:p>
              </w:tc>
              <w:tc>
                <w:tcPr>
                  <w:tcW w:w="671" w:type="pct"/>
                  <w:tcBorders>
                    <w:tl2br w:val="nil"/>
                    <w:tr2bl w:val="nil"/>
                  </w:tcBorders>
                  <w:vAlign w:val="center"/>
                </w:tcPr>
                <w:p w14:paraId="3981191B">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color w:val="000000" w:themeColor="text1"/>
                      <w:sz w:val="21"/>
                      <w:szCs w:val="21"/>
                      <w:lang w:bidi="ar"/>
                      <w14:textFill>
                        <w14:solidFill>
                          <w14:schemeClr w14:val="tx1"/>
                        </w14:solidFill>
                      </w14:textFill>
                    </w:rPr>
                    <w:t>重点防渗区</w:t>
                  </w:r>
                </w:p>
              </w:tc>
              <w:tc>
                <w:tcPr>
                  <w:tcW w:w="2354" w:type="pct"/>
                  <w:tcBorders>
                    <w:tl2br w:val="nil"/>
                    <w:tr2bl w:val="nil"/>
                  </w:tcBorders>
                  <w:vAlign w:val="center"/>
                </w:tcPr>
                <w:p w14:paraId="038F89BF">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color w:val="000000" w:themeColor="text1"/>
                      <w:sz w:val="21"/>
                      <w:szCs w:val="21"/>
                      <w:lang w:val="en-US" w:eastAsia="zh-CN" w:bidi="ar"/>
                      <w14:textFill>
                        <w14:solidFill>
                          <w14:schemeClr w14:val="tx1"/>
                        </w14:solidFill>
                      </w14:textFill>
                    </w:rPr>
                  </w:pPr>
                  <w:r>
                    <w:rPr>
                      <w:rFonts w:hint="eastAsia" w:cs="Times New Roman"/>
                      <w:color w:val="000000" w:themeColor="text1"/>
                      <w:sz w:val="21"/>
                      <w:szCs w:val="21"/>
                      <w:lang w:val="en-US" w:eastAsia="zh-CN" w:bidi="ar"/>
                      <w14:textFill>
                        <w14:solidFill>
                          <w14:schemeClr w14:val="tx1"/>
                        </w14:solidFill>
                      </w14:textFill>
                    </w:rPr>
                    <w:t>水基岩屑储存池、滤液池：采用</w:t>
                  </w:r>
                  <w:r>
                    <w:rPr>
                      <w:rFonts w:hint="eastAsia"/>
                      <w:color w:val="000000" w:themeColor="text1"/>
                      <w:lang w:val="en-US" w:eastAsia="zh-CN"/>
                      <w14:textFill>
                        <w14:solidFill>
                          <w14:schemeClr w14:val="tx1"/>
                        </w14:solidFill>
                      </w14:textFill>
                    </w:rPr>
                    <w:t>强度等级为C30且</w:t>
                  </w:r>
                  <w:r>
                    <w:rPr>
                      <w:rFonts w:hint="eastAsia" w:cs="Times New Roman"/>
                      <w:color w:val="000000" w:themeColor="text1"/>
                      <w:lang w:val="en-US" w:eastAsia="zh-CN" w:bidi="ar"/>
                      <w14:textFill>
                        <w14:solidFill>
                          <w14:schemeClr w14:val="tx1"/>
                        </w14:solidFill>
                      </w14:textFill>
                    </w:rPr>
                    <w:t>抗渗等级为P6的混凝土硬</w:t>
                  </w:r>
                  <w:r>
                    <w:rPr>
                      <w:rFonts w:hint="eastAsia" w:cs="Times New Roman"/>
                      <w:color w:val="000000" w:themeColor="text1"/>
                      <w:sz w:val="21"/>
                      <w:szCs w:val="21"/>
                      <w:lang w:val="en-US" w:eastAsia="zh-CN" w:bidi="ar"/>
                      <w14:textFill>
                        <w14:solidFill>
                          <w14:schemeClr w14:val="tx1"/>
                        </w14:solidFill>
                      </w14:textFill>
                    </w:rPr>
                    <w:t>化+2mmHDPE防渗膜；</w:t>
                  </w:r>
                </w:p>
                <w:p w14:paraId="1751CFCE">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bidi="ar"/>
                      <w14:textFill>
                        <w14:solidFill>
                          <w14:schemeClr w14:val="tx1"/>
                        </w14:solidFill>
                      </w14:textFill>
                    </w:rPr>
                    <w:t>危废暂存间、干水基岩屑堆存区、水基岩屑预处理区域、物料装卸区：采用防渗混凝土硬化+2mm厚人工防渗材料</w:t>
                  </w:r>
                  <w:r>
                    <w:rPr>
                      <w:rFonts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确保满足等效黏土防渗层</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Mb≥6m</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k≤10</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w:t>
                  </w:r>
                  <w:r>
                    <w:rPr>
                      <w:rFonts w:hint="eastAsia" w:cs="Times New Roman"/>
                      <w:color w:val="000000" w:themeColor="text1"/>
                      <w:sz w:val="21"/>
                      <w:szCs w:val="21"/>
                      <w:vertAlign w:val="superscript"/>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cm/s</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的防渗技术要求</w:t>
                  </w:r>
                  <w:r>
                    <w:rPr>
                      <w:rFonts w:ascii="Times New Roman" w:hAnsi="Times New Roman" w:eastAsia="宋体" w:cs="Times New Roman"/>
                      <w:color w:val="000000" w:themeColor="text1"/>
                      <w:sz w:val="21"/>
                      <w:szCs w:val="21"/>
                      <w14:textFill>
                        <w14:solidFill>
                          <w14:schemeClr w14:val="tx1"/>
                        </w14:solidFill>
                      </w14:textFill>
                    </w:rPr>
                    <w:t>。</w:t>
                  </w:r>
                </w:p>
              </w:tc>
              <w:tc>
                <w:tcPr>
                  <w:tcW w:w="454" w:type="pct"/>
                  <w:vMerge w:val="restart"/>
                  <w:tcBorders>
                    <w:tl2br w:val="nil"/>
                    <w:tr2bl w:val="nil"/>
                  </w:tcBorders>
                  <w:vAlign w:val="center"/>
                </w:tcPr>
                <w:p w14:paraId="7C205F8F">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80</w:t>
                  </w:r>
                </w:p>
              </w:tc>
              <w:tc>
                <w:tcPr>
                  <w:tcW w:w="488" w:type="pct"/>
                  <w:vMerge w:val="restart"/>
                  <w:tcBorders>
                    <w:tl2br w:val="nil"/>
                    <w:tr2bl w:val="nil"/>
                  </w:tcBorders>
                  <w:vAlign w:val="center"/>
                </w:tcPr>
                <w:p w14:paraId="4972A38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部分计入主体工程</w:t>
                  </w:r>
                </w:p>
              </w:tc>
            </w:tr>
            <w:tr w14:paraId="6DDE892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5B216436">
                  <w:pPr>
                    <w:pStyle w:val="13"/>
                    <w:keepNext w:val="0"/>
                    <w:keepLines w:val="0"/>
                    <w:pageBreakBefore w:val="0"/>
                    <w:kinsoku/>
                    <w:wordWrap/>
                    <w:overflowPunct/>
                    <w:topLinePunct w:val="0"/>
                    <w:autoSpaceDE/>
                    <w:autoSpaceDN/>
                    <w:bidi w:val="0"/>
                    <w:spacing w:line="240" w:lineRule="auto"/>
                    <w:ind w:firstLine="0" w:firstLineChars="0"/>
                    <w:jc w:val="left"/>
                    <w:textAlignment w:val="auto"/>
                    <w:rPr>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182E82B2">
                  <w:pPr>
                    <w:pStyle w:val="13"/>
                    <w:keepNext w:val="0"/>
                    <w:keepLines w:val="0"/>
                    <w:pageBreakBefore w:val="0"/>
                    <w:kinsoku/>
                    <w:wordWrap/>
                    <w:overflowPunct/>
                    <w:topLinePunct w:val="0"/>
                    <w:autoSpaceDE/>
                    <w:autoSpaceDN/>
                    <w:bidi w:val="0"/>
                    <w:spacing w:line="240" w:lineRule="auto"/>
                    <w:ind w:firstLine="0" w:firstLineChars="0"/>
                    <w:jc w:val="left"/>
                    <w:textAlignment w:val="auto"/>
                    <w:rPr>
                      <w:color w:val="000000" w:themeColor="text1"/>
                      <w:sz w:val="21"/>
                      <w:szCs w:val="21"/>
                      <w14:textFill>
                        <w14:solidFill>
                          <w14:schemeClr w14:val="tx1"/>
                        </w14:solidFill>
                      </w14:textFill>
                    </w:rPr>
                  </w:pPr>
                </w:p>
              </w:tc>
              <w:tc>
                <w:tcPr>
                  <w:tcW w:w="671" w:type="pct"/>
                  <w:tcBorders>
                    <w:tl2br w:val="nil"/>
                    <w:tr2bl w:val="nil"/>
                  </w:tcBorders>
                  <w:vAlign w:val="center"/>
                </w:tcPr>
                <w:p w14:paraId="67FF7AD0">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一般防渗区</w:t>
                  </w:r>
                </w:p>
              </w:tc>
              <w:tc>
                <w:tcPr>
                  <w:tcW w:w="2354" w:type="pct"/>
                  <w:tcBorders>
                    <w:tl2br w:val="nil"/>
                    <w:tr2bl w:val="nil"/>
                  </w:tcBorders>
                  <w:vAlign w:val="center"/>
                </w:tcPr>
                <w:p w14:paraId="52832C64">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洗车区及生产车间其他区域：采用防渗混凝土硬化</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，确保达到等效黏土防渗层</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Mb≥1.5m</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K≤10</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cm/s</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防渗技术要求</w:t>
                  </w:r>
                  <w:r>
                    <w:rPr>
                      <w:rFonts w:cs="Times New Roman"/>
                      <w:color w:val="000000" w:themeColor="text1"/>
                      <w:sz w:val="21"/>
                      <w:szCs w:val="21"/>
                      <w:lang w:bidi="ar"/>
                      <w14:textFill>
                        <w14:solidFill>
                          <w14:schemeClr w14:val="tx1"/>
                        </w14:solidFill>
                      </w14:textFill>
                    </w:rPr>
                    <w:t>。</w:t>
                  </w:r>
                </w:p>
              </w:tc>
              <w:tc>
                <w:tcPr>
                  <w:tcW w:w="454" w:type="pct"/>
                  <w:vMerge w:val="continue"/>
                  <w:tcBorders>
                    <w:tl2br w:val="nil"/>
                    <w:tr2bl w:val="nil"/>
                  </w:tcBorders>
                  <w:vAlign w:val="center"/>
                </w:tcPr>
                <w:p w14:paraId="1FA56EB0">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488" w:type="pct"/>
                  <w:vMerge w:val="continue"/>
                  <w:tcBorders>
                    <w:tl2br w:val="nil"/>
                    <w:tr2bl w:val="nil"/>
                  </w:tcBorders>
                  <w:vAlign w:val="center"/>
                </w:tcPr>
                <w:p w14:paraId="62EFF064">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p>
              </w:tc>
            </w:tr>
            <w:tr w14:paraId="01F1642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0F54DA94">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1357F76B">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AF740CC">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简单防渗区</w:t>
                  </w:r>
                </w:p>
              </w:tc>
              <w:tc>
                <w:tcPr>
                  <w:tcW w:w="2354" w:type="pct"/>
                  <w:tcBorders>
                    <w:tl2br w:val="nil"/>
                    <w:tr2bl w:val="nil"/>
                  </w:tcBorders>
                  <w:vAlign w:val="center"/>
                </w:tcPr>
                <w:p w14:paraId="50BD6CFB">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磅房、办公楼、宿舍楼等地面一般硬化。</w:t>
                  </w:r>
                </w:p>
              </w:tc>
              <w:tc>
                <w:tcPr>
                  <w:tcW w:w="454" w:type="pct"/>
                  <w:vMerge w:val="continue"/>
                  <w:tcBorders>
                    <w:tl2br w:val="nil"/>
                    <w:tr2bl w:val="nil"/>
                  </w:tcBorders>
                  <w:vAlign w:val="center"/>
                </w:tcPr>
                <w:p w14:paraId="4CFAD5EB">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488" w:type="pct"/>
                  <w:vMerge w:val="continue"/>
                  <w:tcBorders>
                    <w:tl2br w:val="nil"/>
                    <w:tr2bl w:val="nil"/>
                  </w:tcBorders>
                  <w:vAlign w:val="center"/>
                </w:tcPr>
                <w:p w14:paraId="55479B71">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p>
              </w:tc>
            </w:tr>
            <w:tr w14:paraId="468D12D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265CDC89">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6054F44D">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3025" w:type="pct"/>
                  <w:gridSpan w:val="2"/>
                  <w:tcBorders>
                    <w:tl2br w:val="nil"/>
                    <w:tr2bl w:val="nil"/>
                  </w:tcBorders>
                  <w:vAlign w:val="center"/>
                </w:tcPr>
                <w:p w14:paraId="1B63E5EA">
                  <w:pPr>
                    <w:pStyle w:val="13"/>
                    <w:keepNext w:val="0"/>
                    <w:keepLines w:val="0"/>
                    <w:pageBreakBefore w:val="0"/>
                    <w:kinsoku/>
                    <w:wordWrap/>
                    <w:overflowPunct/>
                    <w:topLinePunct w:val="0"/>
                    <w:autoSpaceDE/>
                    <w:autoSpaceDN/>
                    <w:bidi w:val="0"/>
                    <w:spacing w:line="240" w:lineRule="auto"/>
                    <w:ind w:firstLine="0" w:firstLineChars="0"/>
                    <w:jc w:val="left"/>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建立地下水、土壤跟踪监测计划，定期委托有资质单位对土壤和地下水环境进行跟踪监测。</w:t>
                  </w:r>
                </w:p>
              </w:tc>
              <w:tc>
                <w:tcPr>
                  <w:tcW w:w="454" w:type="pct"/>
                  <w:tcBorders>
                    <w:tl2br w:val="nil"/>
                    <w:tr2bl w:val="nil"/>
                  </w:tcBorders>
                  <w:vAlign w:val="center"/>
                </w:tcPr>
                <w:p w14:paraId="6C63A9E2">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w:t>
                  </w:r>
                </w:p>
              </w:tc>
              <w:tc>
                <w:tcPr>
                  <w:tcW w:w="488" w:type="pct"/>
                  <w:tcBorders>
                    <w:tl2br w:val="nil"/>
                    <w:tr2bl w:val="nil"/>
                  </w:tcBorders>
                  <w:vAlign w:val="center"/>
                </w:tcPr>
                <w:p w14:paraId="5FF77E4F">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2689CFD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6" w:type="pct"/>
                  <w:vMerge w:val="continue"/>
                  <w:tcBorders>
                    <w:tl2br w:val="nil"/>
                    <w:tr2bl w:val="nil"/>
                  </w:tcBorders>
                  <w:vAlign w:val="center"/>
                </w:tcPr>
                <w:p w14:paraId="580844DD">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tcBorders>
                    <w:tl2br w:val="nil"/>
                    <w:tr2bl w:val="nil"/>
                  </w:tcBorders>
                  <w:vAlign w:val="center"/>
                </w:tcPr>
                <w:p w14:paraId="15037AA6">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环境风险</w:t>
                  </w:r>
                </w:p>
              </w:tc>
              <w:tc>
                <w:tcPr>
                  <w:tcW w:w="3025" w:type="pct"/>
                  <w:gridSpan w:val="2"/>
                  <w:tcBorders>
                    <w:tl2br w:val="nil"/>
                    <w:tr2bl w:val="nil"/>
                  </w:tcBorders>
                  <w:vAlign w:val="center"/>
                </w:tcPr>
                <w:p w14:paraId="16F75954">
                  <w:pPr>
                    <w:pStyle w:val="13"/>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 xml:space="preserve">加强管理，设置消防器材、应急物资及风险防范措施，同 </w:t>
                  </w:r>
                </w:p>
                <w:p w14:paraId="01C6048F">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时在厂房设置门槛或墁坡</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制定风险应急预案。</w:t>
                  </w:r>
                  <w:r>
                    <w:rPr>
                      <w:rFonts w:hint="eastAsia" w:cs="Times New Roman"/>
                      <w:color w:val="000000" w:themeColor="text1"/>
                      <w:sz w:val="21"/>
                      <w:szCs w:val="21"/>
                      <w:lang w:val="en-US" w:eastAsia="zh-CN"/>
                      <w14:textFill>
                        <w14:solidFill>
                          <w14:schemeClr w14:val="tx1"/>
                        </w14:solidFill>
                      </w14:textFill>
                    </w:rPr>
                    <w:t>建设1座500m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的事故应急池。</w:t>
                  </w:r>
                </w:p>
              </w:tc>
              <w:tc>
                <w:tcPr>
                  <w:tcW w:w="454" w:type="pct"/>
                  <w:tcBorders>
                    <w:tl2br w:val="nil"/>
                    <w:tr2bl w:val="nil"/>
                  </w:tcBorders>
                  <w:vAlign w:val="center"/>
                </w:tcPr>
                <w:p w14:paraId="1081855F">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10</w:t>
                  </w:r>
                </w:p>
              </w:tc>
              <w:tc>
                <w:tcPr>
                  <w:tcW w:w="488" w:type="pct"/>
                  <w:tcBorders>
                    <w:tl2br w:val="nil"/>
                    <w:tr2bl w:val="nil"/>
                  </w:tcBorders>
                  <w:vAlign w:val="center"/>
                </w:tcPr>
                <w:p w14:paraId="3774A39B">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07FDE8D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056" w:type="pct"/>
                  <w:gridSpan w:val="4"/>
                  <w:tcBorders>
                    <w:tl2br w:val="nil"/>
                    <w:tr2bl w:val="nil"/>
                  </w:tcBorders>
                  <w:vAlign w:val="center"/>
                </w:tcPr>
                <w:p w14:paraId="3A030804">
                  <w:pPr>
                    <w:pStyle w:val="13"/>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合计</w:t>
                  </w:r>
                </w:p>
              </w:tc>
              <w:tc>
                <w:tcPr>
                  <w:tcW w:w="454" w:type="pct"/>
                  <w:tcBorders>
                    <w:tl2br w:val="nil"/>
                    <w:tr2bl w:val="nil"/>
                  </w:tcBorders>
                  <w:vAlign w:val="center"/>
                </w:tcPr>
                <w:p w14:paraId="13C43FC7">
                  <w:pPr>
                    <w:pStyle w:val="13"/>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616</w:t>
                  </w:r>
                </w:p>
              </w:tc>
              <w:tc>
                <w:tcPr>
                  <w:tcW w:w="488" w:type="pct"/>
                  <w:tcBorders>
                    <w:tl2br w:val="nil"/>
                    <w:tr2bl w:val="nil"/>
                  </w:tcBorders>
                  <w:vAlign w:val="center"/>
                </w:tcPr>
                <w:p w14:paraId="5847D15D">
                  <w:pPr>
                    <w:pStyle w:val="13"/>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r>
          </w:tbl>
          <w:p w14:paraId="483FB1FC">
            <w:pPr>
              <w:ind w:left="0" w:leftChars="0" w:firstLine="0" w:firstLineChars="0"/>
              <w:rPr>
                <w:rFonts w:cs="Times New Roman"/>
                <w:color w:val="000000" w:themeColor="text1"/>
                <w14:textFill>
                  <w14:solidFill>
                    <w14:schemeClr w14:val="tx1"/>
                  </w14:solidFill>
                </w14:textFill>
              </w:rPr>
            </w:pPr>
          </w:p>
        </w:tc>
      </w:tr>
    </w:tbl>
    <w:p w14:paraId="25A9058D">
      <w:pPr>
        <w:pStyle w:val="3"/>
        <w:rPr>
          <w:rFonts w:ascii="Times New Roman" w:hAnsi="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574B187D">
      <w:pPr>
        <w:pStyle w:val="3"/>
        <w:rPr>
          <w:rFonts w:ascii="Times New Roman" w:hAnsi="Times New Roman"/>
          <w:color w:val="000000" w:themeColor="text1"/>
          <w14:textFill>
            <w14:solidFill>
              <w14:schemeClr w14:val="tx1"/>
            </w14:solidFill>
          </w14:textFill>
        </w:rPr>
      </w:pPr>
      <w:bookmarkStart w:id="62" w:name="_Toc30635"/>
      <w:r>
        <w:rPr>
          <w:rFonts w:ascii="Times New Roman" w:hAnsi="Times New Roman"/>
          <w:color w:val="000000" w:themeColor="text1"/>
          <w14:textFill>
            <w14:solidFill>
              <w14:schemeClr w14:val="tx1"/>
            </w14:solidFill>
          </w14:textFill>
        </w:rPr>
        <w:t>环境保护措施监督检查清单</w:t>
      </w:r>
      <w:bookmarkEnd w:id="62"/>
    </w:p>
    <w:tbl>
      <w:tblPr>
        <w:tblStyle w:val="29"/>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712"/>
        <w:gridCol w:w="1194"/>
        <w:gridCol w:w="1271"/>
        <w:gridCol w:w="2758"/>
        <w:gridCol w:w="2594"/>
      </w:tblGrid>
      <w:tr w14:paraId="2D9269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tcBorders>
              <w:tl2br w:val="single" w:color="auto" w:sz="4" w:space="0"/>
            </w:tcBorders>
            <w:vAlign w:val="center"/>
          </w:tcPr>
          <w:p w14:paraId="220586A1">
            <w:pPr>
              <w:pStyle w:val="23"/>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内容</w:t>
            </w:r>
          </w:p>
          <w:p w14:paraId="490AA135">
            <w:pPr>
              <w:pStyle w:val="23"/>
              <w:spacing w:line="240" w:lineRule="auto"/>
              <w:rPr>
                <w:rFonts w:cs="Times New Roman"/>
                <w:b/>
                <w:bCs/>
                <w:color w:val="000000" w:themeColor="text1"/>
                <w14:textFill>
                  <w14:solidFill>
                    <w14:schemeClr w14:val="tx1"/>
                  </w14:solidFill>
                </w14:textFill>
              </w:rPr>
            </w:pPr>
          </w:p>
          <w:p w14:paraId="37D75C79">
            <w:pPr>
              <w:pStyle w:val="23"/>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要素</w:t>
            </w:r>
          </w:p>
        </w:tc>
        <w:tc>
          <w:tcPr>
            <w:tcW w:w="979" w:type="pct"/>
            <w:gridSpan w:val="2"/>
            <w:vAlign w:val="center"/>
          </w:tcPr>
          <w:p w14:paraId="5C036F36">
            <w:pPr>
              <w:pStyle w:val="23"/>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排放口(编号、名称)/污染源</w:t>
            </w:r>
          </w:p>
        </w:tc>
        <w:tc>
          <w:tcPr>
            <w:tcW w:w="653" w:type="pct"/>
            <w:vAlign w:val="center"/>
          </w:tcPr>
          <w:p w14:paraId="0ACE61FB">
            <w:pPr>
              <w:pStyle w:val="23"/>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污染物项目</w:t>
            </w:r>
          </w:p>
        </w:tc>
        <w:tc>
          <w:tcPr>
            <w:tcW w:w="1417" w:type="pct"/>
            <w:vAlign w:val="center"/>
          </w:tcPr>
          <w:p w14:paraId="2A919B39">
            <w:pPr>
              <w:pStyle w:val="23"/>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环境保护措施</w:t>
            </w:r>
          </w:p>
        </w:tc>
        <w:tc>
          <w:tcPr>
            <w:tcW w:w="1333" w:type="pct"/>
            <w:vAlign w:val="center"/>
          </w:tcPr>
          <w:p w14:paraId="2EFCA6A9">
            <w:pPr>
              <w:pStyle w:val="23"/>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执行标准</w:t>
            </w:r>
          </w:p>
        </w:tc>
      </w:tr>
      <w:tr w14:paraId="645E85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restart"/>
            <w:vAlign w:val="center"/>
          </w:tcPr>
          <w:p w14:paraId="64F0BC9A">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大气环境</w:t>
            </w:r>
          </w:p>
        </w:tc>
        <w:tc>
          <w:tcPr>
            <w:tcW w:w="979" w:type="pct"/>
            <w:gridSpan w:val="2"/>
            <w:vMerge w:val="restart"/>
            <w:vAlign w:val="center"/>
          </w:tcPr>
          <w:p w14:paraId="0C4F8488">
            <w:pPr>
              <w:pStyle w:val="23"/>
              <w:spacing w:line="240" w:lineRule="auto"/>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煅烧废气</w:t>
            </w:r>
            <w:r>
              <w:rPr>
                <w:rFonts w:cs="Times New Roman"/>
                <w:color w:val="000000" w:themeColor="text1"/>
                <w14:textFill>
                  <w14:solidFill>
                    <w14:schemeClr w14:val="tx1"/>
                  </w14:solidFill>
                </w14:textFill>
              </w:rPr>
              <w:t>（DA001）</w:t>
            </w:r>
          </w:p>
        </w:tc>
        <w:tc>
          <w:tcPr>
            <w:tcW w:w="653" w:type="pct"/>
            <w:vAlign w:val="center"/>
          </w:tcPr>
          <w:p w14:paraId="619C09B5">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氮氧化物</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氟化物</w:t>
            </w:r>
          </w:p>
        </w:tc>
        <w:tc>
          <w:tcPr>
            <w:tcW w:w="1417" w:type="pct"/>
            <w:vMerge w:val="restart"/>
            <w:vAlign w:val="center"/>
          </w:tcPr>
          <w:p w14:paraId="3A2D4D58">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废气经收集后经</w:t>
            </w:r>
            <w:r>
              <w:rPr>
                <w:rFonts w:hint="eastAsia" w:ascii="Times New Roman" w:hAnsi="Times New Roman" w:cs="Times New Roman"/>
                <w:color w:val="000000" w:themeColor="text1"/>
                <w:lang w:val="en-US" w:eastAsia="zh-CN"/>
                <w14:textFill>
                  <w14:solidFill>
                    <w14:schemeClr w14:val="tx1"/>
                  </w14:solidFill>
                </w14:textFill>
              </w:rPr>
              <w:t>低氮燃烧器+</w:t>
            </w:r>
            <w:r>
              <w:rPr>
                <w:rFonts w:hint="eastAsia" w:cs="Times New Roman"/>
                <w:color w:val="000000" w:themeColor="text1"/>
                <w:lang w:val="en-US" w:eastAsia="zh-CN"/>
                <w14:textFill>
                  <w14:solidFill>
                    <w14:schemeClr w14:val="tx1"/>
                  </w14:solidFill>
                </w14:textFill>
              </w:rPr>
              <w:t>旋风除尘器+布袋除尘器1#+活性炭喷射+布袋除尘器2#+2座脱酸塔处理后，经1根45m高排气筒（DA001）排放</w:t>
            </w:r>
          </w:p>
        </w:tc>
        <w:tc>
          <w:tcPr>
            <w:tcW w:w="1333" w:type="pct"/>
            <w:vAlign w:val="center"/>
          </w:tcPr>
          <w:p w14:paraId="2C790451">
            <w:pPr>
              <w:pStyle w:val="23"/>
              <w:spacing w:line="240" w:lineRule="auto"/>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《砖瓦工业大气污染物排放标准》（GB29620-2013）</w:t>
            </w:r>
          </w:p>
        </w:tc>
      </w:tr>
      <w:tr w14:paraId="7B63B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59FB582F">
            <w:pPr>
              <w:pStyle w:val="23"/>
              <w:spacing w:line="240" w:lineRule="auto"/>
              <w:rPr>
                <w:rFonts w:cs="Times New Roman"/>
                <w:color w:val="000000" w:themeColor="text1"/>
                <w14:textFill>
                  <w14:solidFill>
                    <w14:schemeClr w14:val="tx1"/>
                  </w14:solidFill>
                </w14:textFill>
              </w:rPr>
            </w:pPr>
          </w:p>
        </w:tc>
        <w:tc>
          <w:tcPr>
            <w:tcW w:w="979" w:type="pct"/>
            <w:gridSpan w:val="2"/>
            <w:vMerge w:val="continue"/>
            <w:vAlign w:val="center"/>
          </w:tcPr>
          <w:p w14:paraId="4756C83E">
            <w:pPr>
              <w:pStyle w:val="23"/>
              <w:spacing w:line="240" w:lineRule="auto"/>
              <w:rPr>
                <w:rFonts w:hint="eastAsia" w:cs="Times New Roman"/>
                <w:color w:val="000000" w:themeColor="text1"/>
                <w:lang w:val="en-US" w:eastAsia="zh-CN"/>
                <w14:textFill>
                  <w14:solidFill>
                    <w14:schemeClr w14:val="tx1"/>
                  </w14:solidFill>
                </w14:textFill>
              </w:rPr>
            </w:pPr>
          </w:p>
        </w:tc>
        <w:tc>
          <w:tcPr>
            <w:tcW w:w="653" w:type="pct"/>
            <w:vAlign w:val="center"/>
          </w:tcPr>
          <w:p w14:paraId="2A65EEA3">
            <w:pPr>
              <w:pStyle w:val="23"/>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铅、汞</w:t>
            </w:r>
          </w:p>
        </w:tc>
        <w:tc>
          <w:tcPr>
            <w:tcW w:w="1417" w:type="pct"/>
            <w:vMerge w:val="continue"/>
            <w:vAlign w:val="center"/>
          </w:tcPr>
          <w:p w14:paraId="5254441C">
            <w:pPr>
              <w:pStyle w:val="23"/>
              <w:spacing w:line="240" w:lineRule="auto"/>
              <w:rPr>
                <w:rFonts w:hint="eastAsia" w:cs="Times New Roman"/>
                <w:color w:val="000000" w:themeColor="text1"/>
                <w:lang w:val="en-US" w:eastAsia="zh-CN"/>
                <w14:textFill>
                  <w14:solidFill>
                    <w14:schemeClr w14:val="tx1"/>
                  </w14:solidFill>
                </w14:textFill>
              </w:rPr>
            </w:pPr>
          </w:p>
        </w:tc>
        <w:tc>
          <w:tcPr>
            <w:tcW w:w="1333" w:type="pct"/>
            <w:vAlign w:val="center"/>
          </w:tcPr>
          <w:p w14:paraId="101C7EFF">
            <w:pPr>
              <w:pStyle w:val="23"/>
              <w:spacing w:line="240" w:lineRule="auto"/>
              <w:rPr>
                <w:rFonts w:hint="eastAsia"/>
                <w:color w:val="000000" w:themeColor="text1"/>
                <w:sz w:val="24"/>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《工业炉窑大气污染物排放标准》（GB9078-1996）</w:t>
            </w:r>
          </w:p>
        </w:tc>
      </w:tr>
      <w:tr w14:paraId="77A86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69AB78B9">
            <w:pPr>
              <w:pStyle w:val="23"/>
              <w:spacing w:line="240" w:lineRule="auto"/>
              <w:rPr>
                <w:rFonts w:cs="Times New Roman"/>
                <w:color w:val="000000" w:themeColor="text1"/>
                <w14:textFill>
                  <w14:solidFill>
                    <w14:schemeClr w14:val="tx1"/>
                  </w14:solidFill>
                </w14:textFill>
              </w:rPr>
            </w:pPr>
          </w:p>
        </w:tc>
        <w:tc>
          <w:tcPr>
            <w:tcW w:w="979" w:type="pct"/>
            <w:gridSpan w:val="2"/>
            <w:vMerge w:val="continue"/>
            <w:vAlign w:val="center"/>
          </w:tcPr>
          <w:p w14:paraId="3BED927C">
            <w:pPr>
              <w:pStyle w:val="23"/>
              <w:spacing w:line="240" w:lineRule="auto"/>
              <w:rPr>
                <w:rFonts w:hint="eastAsia" w:cs="Times New Roman"/>
                <w:color w:val="000000" w:themeColor="text1"/>
                <w:lang w:val="en-US" w:eastAsia="zh-CN"/>
                <w14:textFill>
                  <w14:solidFill>
                    <w14:schemeClr w14:val="tx1"/>
                  </w14:solidFill>
                </w14:textFill>
              </w:rPr>
            </w:pPr>
          </w:p>
        </w:tc>
        <w:tc>
          <w:tcPr>
            <w:tcW w:w="653" w:type="pct"/>
            <w:vAlign w:val="center"/>
          </w:tcPr>
          <w:p w14:paraId="45BA3F69">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臭气浓度</w:t>
            </w:r>
          </w:p>
        </w:tc>
        <w:tc>
          <w:tcPr>
            <w:tcW w:w="1417" w:type="pct"/>
            <w:vMerge w:val="continue"/>
            <w:vAlign w:val="center"/>
          </w:tcPr>
          <w:p w14:paraId="0202B4EE">
            <w:pPr>
              <w:pStyle w:val="23"/>
              <w:spacing w:line="240" w:lineRule="auto"/>
              <w:rPr>
                <w:rFonts w:hint="eastAsia" w:cs="Times New Roman"/>
                <w:color w:val="000000" w:themeColor="text1"/>
                <w:lang w:val="en-US" w:eastAsia="zh-CN"/>
                <w14:textFill>
                  <w14:solidFill>
                    <w14:schemeClr w14:val="tx1"/>
                  </w14:solidFill>
                </w14:textFill>
              </w:rPr>
            </w:pPr>
          </w:p>
        </w:tc>
        <w:tc>
          <w:tcPr>
            <w:tcW w:w="1333" w:type="pct"/>
            <w:vAlign w:val="center"/>
          </w:tcPr>
          <w:p w14:paraId="7CC521BA">
            <w:pPr>
              <w:pStyle w:val="23"/>
              <w:spacing w:line="240" w:lineRule="auto"/>
              <w:rPr>
                <w:rFonts w:hint="eastAsia"/>
                <w:color w:val="000000" w:themeColor="text1"/>
                <w:sz w:val="24"/>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《恶臭污染物排放标准》（GB14554-1993）</w:t>
            </w:r>
          </w:p>
        </w:tc>
      </w:tr>
      <w:tr w14:paraId="3DC230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42" w:hRule="atLeast"/>
          <w:jc w:val="center"/>
        </w:trPr>
        <w:tc>
          <w:tcPr>
            <w:tcW w:w="615" w:type="pct"/>
            <w:vMerge w:val="continue"/>
            <w:vAlign w:val="center"/>
          </w:tcPr>
          <w:p w14:paraId="68FA80BE">
            <w:pPr>
              <w:pStyle w:val="23"/>
              <w:spacing w:line="240" w:lineRule="auto"/>
              <w:rPr>
                <w:color w:val="000000" w:themeColor="text1"/>
                <w14:textFill>
                  <w14:solidFill>
                    <w14:schemeClr w14:val="tx1"/>
                  </w14:solidFill>
                </w14:textFill>
              </w:rPr>
            </w:pPr>
          </w:p>
        </w:tc>
        <w:tc>
          <w:tcPr>
            <w:tcW w:w="979" w:type="pct"/>
            <w:gridSpan w:val="2"/>
            <w:vMerge w:val="continue"/>
            <w:vAlign w:val="center"/>
          </w:tcPr>
          <w:p w14:paraId="6ECCF27C">
            <w:pPr>
              <w:pStyle w:val="23"/>
              <w:spacing w:line="240" w:lineRule="auto"/>
              <w:rPr>
                <w:color w:val="000000" w:themeColor="text1"/>
                <w14:textFill>
                  <w14:solidFill>
                    <w14:schemeClr w14:val="tx1"/>
                  </w14:solidFill>
                </w14:textFill>
              </w:rPr>
            </w:pPr>
          </w:p>
        </w:tc>
        <w:tc>
          <w:tcPr>
            <w:tcW w:w="653" w:type="pct"/>
            <w:vAlign w:val="center"/>
          </w:tcPr>
          <w:p w14:paraId="51E4D6F9">
            <w:pPr>
              <w:pStyle w:val="23"/>
              <w:spacing w:line="240" w:lineRule="auto"/>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颗粒物</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二氧化硫、二噁英、氯化氢、</w:t>
            </w:r>
            <w:r>
              <w:rPr>
                <w:rFonts w:hint="eastAsia" w:ascii="Times New Roman" w:hAnsi="Times New Roman" w:cs="Times New Roman"/>
                <w:color w:val="000000" w:themeColor="text1"/>
                <w:sz w:val="24"/>
                <w:vertAlign w:val="baseline"/>
                <w:lang w:val="en-US" w:eastAsia="zh-CN"/>
                <w14:textFill>
                  <w14:solidFill>
                    <w14:schemeClr w14:val="tx1"/>
                  </w14:solidFill>
                </w14:textFill>
              </w:rPr>
              <w:t>镉、铊及其化合物、锑、砷、铅、铬、钴、铜、锰、镍及其化合物</w:t>
            </w:r>
          </w:p>
        </w:tc>
        <w:tc>
          <w:tcPr>
            <w:tcW w:w="1417" w:type="pct"/>
            <w:vMerge w:val="continue"/>
            <w:vAlign w:val="center"/>
          </w:tcPr>
          <w:p w14:paraId="02E45CE2">
            <w:pPr>
              <w:pStyle w:val="23"/>
              <w:spacing w:line="240" w:lineRule="auto"/>
              <w:rPr>
                <w:rFonts w:cs="Times New Roman"/>
                <w:color w:val="000000" w:themeColor="text1"/>
                <w14:textFill>
                  <w14:solidFill>
                    <w14:schemeClr w14:val="tx1"/>
                  </w14:solidFill>
                </w14:textFill>
              </w:rPr>
            </w:pPr>
          </w:p>
        </w:tc>
        <w:tc>
          <w:tcPr>
            <w:tcW w:w="1333" w:type="pct"/>
            <w:vAlign w:val="center"/>
          </w:tcPr>
          <w:p w14:paraId="49C3B565">
            <w:pPr>
              <w:pStyle w:val="23"/>
              <w:spacing w:line="240" w:lineRule="auto"/>
              <w:rPr>
                <w:rFonts w:hint="eastAsia"/>
                <w:color w:val="000000" w:themeColor="text1"/>
                <w:sz w:val="24"/>
                <w:lang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参照《生活垃圾焚烧污染控制标准》（GB18485-2014）</w:t>
            </w:r>
          </w:p>
        </w:tc>
      </w:tr>
      <w:tr w14:paraId="5BEE52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1" w:hRule="atLeast"/>
          <w:jc w:val="center"/>
        </w:trPr>
        <w:tc>
          <w:tcPr>
            <w:tcW w:w="615" w:type="pct"/>
            <w:vMerge w:val="continue"/>
            <w:vAlign w:val="center"/>
          </w:tcPr>
          <w:p w14:paraId="48CE12DE">
            <w:pPr>
              <w:pStyle w:val="23"/>
              <w:spacing w:line="240" w:lineRule="auto"/>
              <w:rPr>
                <w:rFonts w:cs="Times New Roman"/>
                <w:color w:val="000000" w:themeColor="text1"/>
                <w14:textFill>
                  <w14:solidFill>
                    <w14:schemeClr w14:val="tx1"/>
                  </w14:solidFill>
                </w14:textFill>
              </w:rPr>
            </w:pPr>
          </w:p>
        </w:tc>
        <w:tc>
          <w:tcPr>
            <w:tcW w:w="979" w:type="pct"/>
            <w:gridSpan w:val="2"/>
            <w:vMerge w:val="continue"/>
            <w:vAlign w:val="center"/>
          </w:tcPr>
          <w:p w14:paraId="448D5F76">
            <w:pPr>
              <w:pStyle w:val="23"/>
              <w:spacing w:line="240" w:lineRule="auto"/>
              <w:rPr>
                <w:rFonts w:cs="Times New Roman"/>
                <w:color w:val="000000" w:themeColor="text1"/>
                <w14:textFill>
                  <w14:solidFill>
                    <w14:schemeClr w14:val="tx1"/>
                  </w14:solidFill>
                </w14:textFill>
              </w:rPr>
            </w:pPr>
          </w:p>
        </w:tc>
        <w:tc>
          <w:tcPr>
            <w:tcW w:w="653" w:type="pct"/>
            <w:vAlign w:val="center"/>
          </w:tcPr>
          <w:p w14:paraId="21DDAFAB">
            <w:pPr>
              <w:pStyle w:val="23"/>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有机废气</w:t>
            </w:r>
            <w:r>
              <w:rPr>
                <w:rFonts w:hint="eastAsia" w:cs="Times New Roman"/>
                <w:color w:val="000000" w:themeColor="text1"/>
                <w:sz w:val="24"/>
                <w:szCs w:val="24"/>
                <w:highlight w:val="none"/>
                <w:lang w:val="en-US" w:eastAsia="zh-CN"/>
                <w14:textFill>
                  <w14:solidFill>
                    <w14:schemeClr w14:val="tx1"/>
                  </w14:solidFill>
                </w14:textFill>
              </w:rPr>
              <w:t>（以非甲烷总烃计</w:t>
            </w:r>
            <w:r>
              <w:rPr>
                <w:rFonts w:hint="eastAsia" w:cs="Times New Roman"/>
                <w:color w:val="000000" w:themeColor="text1"/>
                <w:kern w:val="0"/>
                <w:sz w:val="24"/>
                <w:szCs w:val="24"/>
                <w:lang w:val="en-US" w:eastAsia="zh-CN"/>
                <w14:textFill>
                  <w14:solidFill>
                    <w14:schemeClr w14:val="tx1"/>
                  </w14:solidFill>
                </w14:textFill>
              </w:rPr>
              <w:t>）</w:t>
            </w:r>
          </w:p>
        </w:tc>
        <w:tc>
          <w:tcPr>
            <w:tcW w:w="1417" w:type="pct"/>
            <w:vAlign w:val="center"/>
          </w:tcPr>
          <w:p w14:paraId="09987C63">
            <w:pPr>
              <w:pStyle w:val="23"/>
              <w:spacing w:line="240" w:lineRule="auto"/>
              <w:rPr>
                <w:rFonts w:hint="default" w:cs="Times New Roman"/>
                <w:color w:val="000000" w:themeColor="text1"/>
                <w:lang w:val="en-US"/>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回转窑干燥、预热阶段挥发出的有机物（石油烃）在脱硫塔处冷凝液化成浮油，定期收集，委托有资质单位处置；极少量进入环境空气中，该部分有机废气以非甲烷总烃计</w:t>
            </w:r>
          </w:p>
        </w:tc>
        <w:tc>
          <w:tcPr>
            <w:tcW w:w="1333" w:type="pct"/>
            <w:vAlign w:val="center"/>
          </w:tcPr>
          <w:p w14:paraId="4AB2D1C8">
            <w:pPr>
              <w:pStyle w:val="23"/>
              <w:spacing w:line="240" w:lineRule="auto"/>
              <w:rPr>
                <w:rFonts w:hint="eastAsia"/>
                <w:color w:val="000000" w:themeColor="text1"/>
                <w:sz w:val="24"/>
                <w:lang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从严参照</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cs="Times New Roman"/>
                <w:bCs w:val="0"/>
                <w:color w:val="000000" w:themeColor="text1"/>
                <w:szCs w:val="21"/>
                <w14:textFill>
                  <w14:solidFill>
                    <w14:schemeClr w14:val="tx1"/>
                  </w14:solidFill>
                </w14:textFill>
              </w:rPr>
              <w:t>四川省固定污染源大气挥发性有机物排放标准》（DB51/2377-2017</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4DB241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794A7472">
            <w:pPr>
              <w:pStyle w:val="23"/>
              <w:spacing w:line="240" w:lineRule="auto"/>
              <w:rPr>
                <w:rFonts w:cs="Times New Roman"/>
                <w:color w:val="000000" w:themeColor="text1"/>
                <w14:textFill>
                  <w14:solidFill>
                    <w14:schemeClr w14:val="tx1"/>
                  </w14:solidFill>
                </w14:textFill>
              </w:rPr>
            </w:pPr>
          </w:p>
        </w:tc>
        <w:tc>
          <w:tcPr>
            <w:tcW w:w="365" w:type="pct"/>
            <w:shd w:val="clear" w:color="auto" w:fill="auto"/>
            <w:vAlign w:val="center"/>
          </w:tcPr>
          <w:p w14:paraId="3F7221AE">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1号厂房无组织</w:t>
            </w:r>
          </w:p>
        </w:tc>
        <w:tc>
          <w:tcPr>
            <w:tcW w:w="613" w:type="pct"/>
            <w:shd w:val="clear" w:color="auto" w:fill="auto"/>
            <w:vAlign w:val="center"/>
          </w:tcPr>
          <w:p w14:paraId="57F77F9D">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1号厂房异味</w:t>
            </w:r>
          </w:p>
        </w:tc>
        <w:tc>
          <w:tcPr>
            <w:tcW w:w="653" w:type="pct"/>
            <w:shd w:val="clear" w:color="auto" w:fill="auto"/>
            <w:vAlign w:val="center"/>
          </w:tcPr>
          <w:p w14:paraId="441825F5">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臭气浓度</w:t>
            </w:r>
          </w:p>
        </w:tc>
        <w:tc>
          <w:tcPr>
            <w:tcW w:w="1417" w:type="pct"/>
            <w:shd w:val="clear" w:color="auto" w:fill="auto"/>
            <w:vAlign w:val="center"/>
          </w:tcPr>
          <w:p w14:paraId="67410E29">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封闭式厂房+喷洒生物除臭剂</w:t>
            </w:r>
          </w:p>
        </w:tc>
        <w:tc>
          <w:tcPr>
            <w:tcW w:w="1333" w:type="pct"/>
            <w:shd w:val="clear" w:color="auto" w:fill="auto"/>
            <w:vAlign w:val="center"/>
          </w:tcPr>
          <w:p w14:paraId="7BA3FDDF">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《恶臭污染物排放标准》（GB14554-1993）</w:t>
            </w:r>
          </w:p>
        </w:tc>
      </w:tr>
      <w:tr w14:paraId="09F1A4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311AD650">
            <w:pPr>
              <w:pStyle w:val="23"/>
              <w:spacing w:line="240" w:lineRule="auto"/>
              <w:rPr>
                <w:rFonts w:cs="Times New Roman"/>
                <w:color w:val="000000" w:themeColor="text1"/>
                <w14:textFill>
                  <w14:solidFill>
                    <w14:schemeClr w14:val="tx1"/>
                  </w14:solidFill>
                </w14:textFill>
              </w:rPr>
            </w:pPr>
          </w:p>
        </w:tc>
        <w:tc>
          <w:tcPr>
            <w:tcW w:w="365" w:type="pct"/>
            <w:vMerge w:val="restart"/>
            <w:shd w:val="clear" w:color="auto" w:fill="auto"/>
            <w:vAlign w:val="center"/>
          </w:tcPr>
          <w:p w14:paraId="7D3FE180">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2号厂房无组织</w:t>
            </w:r>
          </w:p>
        </w:tc>
        <w:tc>
          <w:tcPr>
            <w:tcW w:w="613" w:type="pct"/>
            <w:shd w:val="clear" w:color="auto" w:fill="auto"/>
            <w:vAlign w:val="center"/>
          </w:tcPr>
          <w:p w14:paraId="49981BF3">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2号厂房异味</w:t>
            </w:r>
          </w:p>
        </w:tc>
        <w:tc>
          <w:tcPr>
            <w:tcW w:w="653" w:type="pct"/>
            <w:shd w:val="clear" w:color="auto" w:fill="auto"/>
            <w:vAlign w:val="center"/>
          </w:tcPr>
          <w:p w14:paraId="0714EB50">
            <w:pPr>
              <w:pStyle w:val="23"/>
              <w:spacing w:line="240" w:lineRule="auto"/>
              <w:ind w:firstLine="0" w:firstLineChars="0"/>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臭气浓度</w:t>
            </w:r>
          </w:p>
        </w:tc>
        <w:tc>
          <w:tcPr>
            <w:tcW w:w="1417" w:type="pct"/>
            <w:shd w:val="clear" w:color="auto" w:fill="auto"/>
            <w:vAlign w:val="center"/>
          </w:tcPr>
          <w:p w14:paraId="41CB605A">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封闭式厂房+喷洒生物除臭剂</w:t>
            </w:r>
          </w:p>
        </w:tc>
        <w:tc>
          <w:tcPr>
            <w:tcW w:w="1333" w:type="pct"/>
            <w:shd w:val="clear" w:color="auto" w:fill="auto"/>
            <w:vAlign w:val="center"/>
          </w:tcPr>
          <w:p w14:paraId="40A0B780">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《恶臭污染物排放标准》（GB14554-1993）</w:t>
            </w:r>
          </w:p>
        </w:tc>
      </w:tr>
      <w:tr w14:paraId="28298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66F81404">
            <w:pPr>
              <w:pStyle w:val="23"/>
              <w:spacing w:line="240" w:lineRule="auto"/>
              <w:rPr>
                <w:rFonts w:cs="Times New Roman"/>
                <w:color w:val="000000" w:themeColor="text1"/>
                <w14:textFill>
                  <w14:solidFill>
                    <w14:schemeClr w14:val="tx1"/>
                  </w14:solidFill>
                </w14:textFill>
              </w:rPr>
            </w:pPr>
          </w:p>
        </w:tc>
        <w:tc>
          <w:tcPr>
            <w:tcW w:w="365" w:type="pct"/>
            <w:vMerge w:val="continue"/>
            <w:vAlign w:val="center"/>
          </w:tcPr>
          <w:p w14:paraId="3844C4C3">
            <w:pPr>
              <w:pStyle w:val="23"/>
              <w:spacing w:line="240" w:lineRule="auto"/>
              <w:rPr>
                <w:rFonts w:hint="eastAsia" w:cs="Times New Roman"/>
                <w:color w:val="000000" w:themeColor="text1"/>
                <w:lang w:val="en-US" w:eastAsia="zh-CN"/>
                <w14:textFill>
                  <w14:solidFill>
                    <w14:schemeClr w14:val="tx1"/>
                  </w14:solidFill>
                </w14:textFill>
              </w:rPr>
            </w:pPr>
          </w:p>
        </w:tc>
        <w:tc>
          <w:tcPr>
            <w:tcW w:w="613" w:type="pct"/>
            <w:shd w:val="clear" w:color="auto" w:fill="auto"/>
            <w:vAlign w:val="center"/>
          </w:tcPr>
          <w:p w14:paraId="35493073">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预处理药剂投加粉尘</w:t>
            </w:r>
          </w:p>
        </w:tc>
        <w:tc>
          <w:tcPr>
            <w:tcW w:w="653" w:type="pct"/>
            <w:shd w:val="clear" w:color="auto" w:fill="auto"/>
            <w:vAlign w:val="center"/>
          </w:tcPr>
          <w:p w14:paraId="7888EACE">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1417" w:type="pct"/>
            <w:shd w:val="clear" w:color="auto" w:fill="auto"/>
            <w:vAlign w:val="center"/>
          </w:tcPr>
          <w:p w14:paraId="575BC078">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封闭式厂房+投料口围挡+投料口喷淋</w:t>
            </w:r>
          </w:p>
        </w:tc>
        <w:tc>
          <w:tcPr>
            <w:tcW w:w="1333" w:type="pct"/>
            <w:vMerge w:val="restart"/>
            <w:shd w:val="clear" w:color="auto" w:fill="auto"/>
            <w:vAlign w:val="center"/>
          </w:tcPr>
          <w:p w14:paraId="1D73E921">
            <w:pPr>
              <w:pStyle w:val="23"/>
              <w:spacing w:line="240" w:lineRule="auto"/>
              <w:rPr>
                <w:rFonts w:cs="Times New Roman"/>
                <w:color w:val="000000" w:themeColor="text1"/>
                <w14:textFill>
                  <w14:solidFill>
                    <w14:schemeClr w14:val="tx1"/>
                  </w14:solidFill>
                </w14:textFill>
              </w:rPr>
            </w:pPr>
            <w:r>
              <w:rPr>
                <w:rFonts w:hint="eastAsia"/>
                <w:color w:val="000000" w:themeColor="text1"/>
                <w:sz w:val="24"/>
                <w14:textFill>
                  <w14:solidFill>
                    <w14:schemeClr w14:val="tx1"/>
                  </w14:solidFill>
                </w14:textFill>
              </w:rPr>
              <w:t>《砖瓦工业大气污染物排放标准》（GB29620-2013）</w:t>
            </w:r>
          </w:p>
        </w:tc>
      </w:tr>
      <w:tr w14:paraId="48224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10335E10">
            <w:pPr>
              <w:pStyle w:val="23"/>
              <w:spacing w:line="240" w:lineRule="auto"/>
              <w:rPr>
                <w:rFonts w:cs="Times New Roman"/>
                <w:color w:val="000000" w:themeColor="text1"/>
                <w14:textFill>
                  <w14:solidFill>
                    <w14:schemeClr w14:val="tx1"/>
                  </w14:solidFill>
                </w14:textFill>
              </w:rPr>
            </w:pPr>
          </w:p>
        </w:tc>
        <w:tc>
          <w:tcPr>
            <w:tcW w:w="365" w:type="pct"/>
            <w:vMerge w:val="restart"/>
            <w:vAlign w:val="center"/>
          </w:tcPr>
          <w:p w14:paraId="35943C3A">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3号厂房无组织</w:t>
            </w:r>
          </w:p>
        </w:tc>
        <w:tc>
          <w:tcPr>
            <w:tcW w:w="613" w:type="pct"/>
            <w:vAlign w:val="center"/>
          </w:tcPr>
          <w:p w14:paraId="3EECA974">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水泥筒仓粉尘</w:t>
            </w:r>
          </w:p>
        </w:tc>
        <w:tc>
          <w:tcPr>
            <w:tcW w:w="653" w:type="pct"/>
            <w:vAlign w:val="center"/>
          </w:tcPr>
          <w:p w14:paraId="12D75E68">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颗粒物</w:t>
            </w:r>
          </w:p>
        </w:tc>
        <w:tc>
          <w:tcPr>
            <w:tcW w:w="1417" w:type="pct"/>
            <w:vAlign w:val="center"/>
          </w:tcPr>
          <w:p w14:paraId="6B4D6D62">
            <w:pPr>
              <w:pStyle w:val="23"/>
              <w:spacing w:line="240" w:lineRule="auto"/>
              <w:rPr>
                <w:rFonts w:hint="default" w:eastAsia="宋体" w:cs="Times New Roman"/>
                <w:bCs/>
                <w:color w:val="000000" w:themeColor="text1"/>
                <w:shd w:val="clear" w:color="auto" w:fill="FFFFFF"/>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经筒仓顶部自带布袋除尘器处理后于厂房内排放</w:t>
            </w:r>
          </w:p>
        </w:tc>
        <w:tc>
          <w:tcPr>
            <w:tcW w:w="1333" w:type="pct"/>
            <w:vMerge w:val="continue"/>
            <w:vAlign w:val="center"/>
          </w:tcPr>
          <w:p w14:paraId="146A2BE2">
            <w:pPr>
              <w:pStyle w:val="23"/>
              <w:spacing w:line="240" w:lineRule="auto"/>
              <w:rPr>
                <w:rFonts w:cs="Times New Roman"/>
                <w:color w:val="000000" w:themeColor="text1"/>
                <w14:textFill>
                  <w14:solidFill>
                    <w14:schemeClr w14:val="tx1"/>
                  </w14:solidFill>
                </w14:textFill>
              </w:rPr>
            </w:pPr>
          </w:p>
        </w:tc>
      </w:tr>
      <w:tr w14:paraId="7089DE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07ABABAC">
            <w:pPr>
              <w:pStyle w:val="23"/>
              <w:spacing w:line="240" w:lineRule="auto"/>
              <w:rPr>
                <w:color w:val="000000" w:themeColor="text1"/>
                <w14:textFill>
                  <w14:solidFill>
                    <w14:schemeClr w14:val="tx1"/>
                  </w14:solidFill>
                </w14:textFill>
              </w:rPr>
            </w:pPr>
          </w:p>
        </w:tc>
        <w:tc>
          <w:tcPr>
            <w:tcW w:w="365" w:type="pct"/>
            <w:vMerge w:val="continue"/>
            <w:vAlign w:val="center"/>
          </w:tcPr>
          <w:p w14:paraId="35130C27">
            <w:pPr>
              <w:pStyle w:val="23"/>
              <w:spacing w:line="240" w:lineRule="auto"/>
              <w:rPr>
                <w:color w:val="000000" w:themeColor="text1"/>
                <w14:textFill>
                  <w14:solidFill>
                    <w14:schemeClr w14:val="tx1"/>
                  </w14:solidFill>
                </w14:textFill>
              </w:rPr>
            </w:pPr>
          </w:p>
        </w:tc>
        <w:tc>
          <w:tcPr>
            <w:tcW w:w="613" w:type="pct"/>
            <w:vAlign w:val="center"/>
          </w:tcPr>
          <w:p w14:paraId="513751EE">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煅烧料仓粉尘</w:t>
            </w:r>
          </w:p>
        </w:tc>
        <w:tc>
          <w:tcPr>
            <w:tcW w:w="653" w:type="pct"/>
            <w:vAlign w:val="center"/>
          </w:tcPr>
          <w:p w14:paraId="451CCF4B">
            <w:pPr>
              <w:pStyle w:val="23"/>
              <w:spacing w:line="240" w:lineRule="auto"/>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1417" w:type="pct"/>
            <w:vAlign w:val="center"/>
          </w:tcPr>
          <w:p w14:paraId="14EA161B">
            <w:pPr>
              <w:pStyle w:val="23"/>
              <w:spacing w:line="240" w:lineRule="auto"/>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经筒仓顶部自带布袋除尘器处理后于厂房内排放</w:t>
            </w:r>
          </w:p>
        </w:tc>
        <w:tc>
          <w:tcPr>
            <w:tcW w:w="1333" w:type="pct"/>
            <w:vMerge w:val="continue"/>
            <w:vAlign w:val="center"/>
          </w:tcPr>
          <w:p w14:paraId="235119B5">
            <w:pPr>
              <w:pStyle w:val="23"/>
              <w:spacing w:line="240" w:lineRule="auto"/>
              <w:rPr>
                <w:rFonts w:cs="Times New Roman"/>
                <w:color w:val="000000" w:themeColor="text1"/>
                <w14:textFill>
                  <w14:solidFill>
                    <w14:schemeClr w14:val="tx1"/>
                  </w14:solidFill>
                </w14:textFill>
              </w:rPr>
            </w:pPr>
          </w:p>
        </w:tc>
      </w:tr>
      <w:tr w14:paraId="3BB4D2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3E6B51EE">
            <w:pPr>
              <w:pStyle w:val="23"/>
              <w:spacing w:line="240" w:lineRule="auto"/>
              <w:rPr>
                <w:rFonts w:cs="Times New Roman"/>
                <w:color w:val="000000" w:themeColor="text1"/>
                <w14:textFill>
                  <w14:solidFill>
                    <w14:schemeClr w14:val="tx1"/>
                  </w14:solidFill>
                </w14:textFill>
              </w:rPr>
            </w:pPr>
          </w:p>
        </w:tc>
        <w:tc>
          <w:tcPr>
            <w:tcW w:w="365" w:type="pct"/>
            <w:vMerge w:val="continue"/>
            <w:vAlign w:val="center"/>
          </w:tcPr>
          <w:p w14:paraId="05DB87DD">
            <w:pPr>
              <w:pStyle w:val="23"/>
              <w:spacing w:line="240" w:lineRule="auto"/>
              <w:rPr>
                <w:rFonts w:cs="Times New Roman"/>
                <w:color w:val="000000" w:themeColor="text1"/>
                <w14:textFill>
                  <w14:solidFill>
                    <w14:schemeClr w14:val="tx1"/>
                  </w14:solidFill>
                </w14:textFill>
              </w:rPr>
            </w:pPr>
          </w:p>
        </w:tc>
        <w:tc>
          <w:tcPr>
            <w:tcW w:w="613" w:type="pct"/>
            <w:shd w:val="clear" w:color="auto" w:fill="auto"/>
            <w:vAlign w:val="center"/>
          </w:tcPr>
          <w:p w14:paraId="413101B9">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砂石堆存区粉尘</w:t>
            </w:r>
          </w:p>
        </w:tc>
        <w:tc>
          <w:tcPr>
            <w:tcW w:w="653" w:type="pct"/>
            <w:shd w:val="clear" w:color="auto" w:fill="auto"/>
            <w:vAlign w:val="center"/>
          </w:tcPr>
          <w:p w14:paraId="087907BD">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1417" w:type="pct"/>
            <w:shd w:val="clear" w:color="auto" w:fill="auto"/>
            <w:vAlign w:val="center"/>
          </w:tcPr>
          <w:p w14:paraId="2E203C12">
            <w:pPr>
              <w:pStyle w:val="23"/>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喷雾降尘+封闭式厂房</w:t>
            </w:r>
          </w:p>
        </w:tc>
        <w:tc>
          <w:tcPr>
            <w:tcW w:w="1333" w:type="pct"/>
            <w:vMerge w:val="continue"/>
            <w:vAlign w:val="center"/>
          </w:tcPr>
          <w:p w14:paraId="222ED2B8">
            <w:pPr>
              <w:pStyle w:val="23"/>
              <w:spacing w:line="240" w:lineRule="auto"/>
              <w:rPr>
                <w:rFonts w:cs="Times New Roman"/>
                <w:color w:val="000000" w:themeColor="text1"/>
                <w14:textFill>
                  <w14:solidFill>
                    <w14:schemeClr w14:val="tx1"/>
                  </w14:solidFill>
                </w14:textFill>
              </w:rPr>
            </w:pPr>
          </w:p>
        </w:tc>
      </w:tr>
      <w:tr w14:paraId="4F3D62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11E507F5">
            <w:pPr>
              <w:pStyle w:val="23"/>
              <w:spacing w:line="240" w:lineRule="auto"/>
              <w:rPr>
                <w:rFonts w:cs="Times New Roman"/>
                <w:color w:val="000000" w:themeColor="text1"/>
                <w14:textFill>
                  <w14:solidFill>
                    <w14:schemeClr w14:val="tx1"/>
                  </w14:solidFill>
                </w14:textFill>
              </w:rPr>
            </w:pPr>
          </w:p>
        </w:tc>
        <w:tc>
          <w:tcPr>
            <w:tcW w:w="365" w:type="pct"/>
            <w:vMerge w:val="continue"/>
            <w:vAlign w:val="center"/>
          </w:tcPr>
          <w:p w14:paraId="0B153F56">
            <w:pPr>
              <w:pStyle w:val="23"/>
              <w:spacing w:line="240" w:lineRule="auto"/>
              <w:rPr>
                <w:rFonts w:cs="Times New Roman"/>
                <w:color w:val="000000" w:themeColor="text1"/>
                <w14:textFill>
                  <w14:solidFill>
                    <w14:schemeClr w14:val="tx1"/>
                  </w14:solidFill>
                </w14:textFill>
              </w:rPr>
            </w:pPr>
          </w:p>
        </w:tc>
        <w:tc>
          <w:tcPr>
            <w:tcW w:w="613" w:type="pct"/>
            <w:vAlign w:val="center"/>
          </w:tcPr>
          <w:p w14:paraId="3622E474">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投料粉尘</w:t>
            </w:r>
          </w:p>
        </w:tc>
        <w:tc>
          <w:tcPr>
            <w:tcW w:w="653" w:type="pct"/>
            <w:vAlign w:val="center"/>
          </w:tcPr>
          <w:p w14:paraId="592EAC88">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1417" w:type="pct"/>
            <w:vAlign w:val="center"/>
          </w:tcPr>
          <w:p w14:paraId="3206F23A">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侧吸式集气罩+布袋式除尘器+喷淋抑尘处理后于厂房内排放</w:t>
            </w:r>
          </w:p>
        </w:tc>
        <w:tc>
          <w:tcPr>
            <w:tcW w:w="1333" w:type="pct"/>
            <w:vMerge w:val="continue"/>
            <w:vAlign w:val="center"/>
          </w:tcPr>
          <w:p w14:paraId="3B2430B0">
            <w:pPr>
              <w:pStyle w:val="23"/>
              <w:spacing w:line="240" w:lineRule="auto"/>
              <w:rPr>
                <w:rFonts w:cs="Times New Roman"/>
                <w:color w:val="000000" w:themeColor="text1"/>
                <w14:textFill>
                  <w14:solidFill>
                    <w14:schemeClr w14:val="tx1"/>
                  </w14:solidFill>
                </w14:textFill>
              </w:rPr>
            </w:pPr>
          </w:p>
        </w:tc>
      </w:tr>
      <w:tr w14:paraId="51BE92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11196580">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地表水环境</w:t>
            </w:r>
          </w:p>
        </w:tc>
        <w:tc>
          <w:tcPr>
            <w:tcW w:w="979" w:type="pct"/>
            <w:gridSpan w:val="2"/>
            <w:vAlign w:val="center"/>
          </w:tcPr>
          <w:p w14:paraId="16579D18">
            <w:pPr>
              <w:pStyle w:val="23"/>
              <w:spacing w:line="240" w:lineRule="auto"/>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污水总排口</w:t>
            </w:r>
            <w:r>
              <w:rPr>
                <w:rFonts w:cs="Times New Roman"/>
                <w:color w:val="000000" w:themeColor="text1"/>
                <w14:textFill>
                  <w14:solidFill>
                    <w14:schemeClr w14:val="tx1"/>
                  </w14:solidFill>
                </w14:textFill>
              </w:rPr>
              <w:t>（DW001）</w:t>
            </w:r>
          </w:p>
        </w:tc>
        <w:tc>
          <w:tcPr>
            <w:tcW w:w="653" w:type="pct"/>
            <w:vAlign w:val="center"/>
          </w:tcPr>
          <w:p w14:paraId="765861EA">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COD</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BOD</w:t>
            </w:r>
            <w:r>
              <w:rPr>
                <w:rFonts w:cs="Times New Roman"/>
                <w:color w:val="000000" w:themeColor="text1"/>
                <w:vertAlign w:val="subscript"/>
                <w14:textFill>
                  <w14:solidFill>
                    <w14:schemeClr w14:val="tx1"/>
                  </w14:solidFill>
                </w14:textFill>
              </w:rPr>
              <w:t>5</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SS</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氨氮</w:t>
            </w:r>
          </w:p>
          <w:p w14:paraId="6CCC4A7F">
            <w:pPr>
              <w:pStyle w:val="23"/>
              <w:spacing w:line="240" w:lineRule="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总磷、石油类</w:t>
            </w:r>
          </w:p>
        </w:tc>
        <w:tc>
          <w:tcPr>
            <w:tcW w:w="1417" w:type="pct"/>
            <w:vAlign w:val="center"/>
          </w:tcPr>
          <w:p w14:paraId="6A37E6D1">
            <w:pPr>
              <w:pStyle w:val="23"/>
              <w:spacing w:line="240" w:lineRule="auto"/>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依托租赁厂房所在厂区已建预处理池处理后排入园区污水管网，送至</w:t>
            </w:r>
            <w:r>
              <w:rPr>
                <w:rFonts w:hint="eastAsia" w:cs="Times New Roman"/>
                <w:color w:val="000000" w:themeColor="text1"/>
                <w:lang w:val="en-US" w:eastAsia="zh-CN"/>
                <w14:textFill>
                  <w14:solidFill>
                    <w14:schemeClr w14:val="tx1"/>
                  </w14:solidFill>
                </w14:textFill>
              </w:rPr>
              <w:t>星光工业园区</w:t>
            </w:r>
            <w:r>
              <w:rPr>
                <w:rFonts w:cs="Times New Roman"/>
                <w:color w:val="000000" w:themeColor="text1"/>
                <w14:textFill>
                  <w14:solidFill>
                    <w14:schemeClr w14:val="tx1"/>
                  </w14:solidFill>
                </w14:textFill>
              </w:rPr>
              <w:t>污水处理厂处理。</w:t>
            </w:r>
          </w:p>
        </w:tc>
        <w:tc>
          <w:tcPr>
            <w:tcW w:w="1333" w:type="pct"/>
            <w:vAlign w:val="center"/>
          </w:tcPr>
          <w:p w14:paraId="7D9ED782">
            <w:pPr>
              <w:pStyle w:val="23"/>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星光工业园区污水处理厂进水水质要求</w:t>
            </w:r>
          </w:p>
        </w:tc>
      </w:tr>
      <w:tr w14:paraId="18FE5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1708526F">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声环境</w:t>
            </w:r>
          </w:p>
        </w:tc>
        <w:tc>
          <w:tcPr>
            <w:tcW w:w="979" w:type="pct"/>
            <w:gridSpan w:val="2"/>
            <w:vAlign w:val="center"/>
          </w:tcPr>
          <w:p w14:paraId="354F3CCC">
            <w:pPr>
              <w:pStyle w:val="23"/>
              <w:spacing w:line="240" w:lineRule="auto"/>
              <w:rPr>
                <w:rFonts w:cs="Times New Roman"/>
                <w:color w:val="000000" w:themeColor="text1"/>
                <w:szCs w:val="24"/>
                <w:lang w:val="zh-CN"/>
                <w14:textFill>
                  <w14:solidFill>
                    <w14:schemeClr w14:val="tx1"/>
                  </w14:solidFill>
                </w14:textFill>
              </w:rPr>
            </w:pPr>
            <w:r>
              <w:rPr>
                <w:rFonts w:cs="Times New Roman"/>
                <w:color w:val="000000" w:themeColor="text1"/>
                <w:szCs w:val="24"/>
                <w14:textFill>
                  <w14:solidFill>
                    <w14:schemeClr w14:val="tx1"/>
                  </w14:solidFill>
                </w14:textFill>
              </w:rPr>
              <w:t>厂界</w:t>
            </w:r>
          </w:p>
        </w:tc>
        <w:tc>
          <w:tcPr>
            <w:tcW w:w="653" w:type="pct"/>
            <w:vAlign w:val="center"/>
          </w:tcPr>
          <w:p w14:paraId="3BDC3B19">
            <w:pPr>
              <w:pStyle w:val="23"/>
              <w:spacing w:line="240" w:lineRule="auto"/>
              <w:rPr>
                <w:rFonts w:cs="Times New Roman"/>
                <w:color w:val="000000" w:themeColor="text1"/>
                <w:szCs w:val="24"/>
                <w:lang w:val="zh-CN"/>
                <w14:textFill>
                  <w14:solidFill>
                    <w14:schemeClr w14:val="tx1"/>
                  </w14:solidFill>
                </w14:textFill>
              </w:rPr>
            </w:pPr>
            <w:r>
              <w:rPr>
                <w:rFonts w:cs="Times New Roman"/>
                <w:color w:val="000000" w:themeColor="text1"/>
                <w:szCs w:val="24"/>
                <w14:textFill>
                  <w14:solidFill>
                    <w14:schemeClr w14:val="tx1"/>
                  </w14:solidFill>
                </w14:textFill>
              </w:rPr>
              <w:t>等效连续A声级</w:t>
            </w:r>
          </w:p>
        </w:tc>
        <w:tc>
          <w:tcPr>
            <w:tcW w:w="1417" w:type="pct"/>
            <w:vAlign w:val="center"/>
          </w:tcPr>
          <w:p w14:paraId="0AD3F185">
            <w:pPr>
              <w:pStyle w:val="23"/>
              <w:spacing w:line="240" w:lineRule="auto"/>
              <w:rPr>
                <w:rFonts w:cs="Times New Roman"/>
                <w:color w:val="000000" w:themeColor="text1"/>
                <w:lang w:val="zh-CN"/>
                <w14:textFill>
                  <w14:solidFill>
                    <w14:schemeClr w14:val="tx1"/>
                  </w14:solidFill>
                </w14:textFill>
              </w:rPr>
            </w:pPr>
            <w:r>
              <w:rPr>
                <w:rFonts w:cs="Times New Roman"/>
                <w:color w:val="000000" w:themeColor="text1"/>
                <w:lang w:val="zh-CN"/>
                <w14:textFill>
                  <w14:solidFill>
                    <w14:schemeClr w14:val="tx1"/>
                  </w14:solidFill>
                </w14:textFill>
              </w:rPr>
              <w:t>选用低噪声设备、合理平面布局，设备基础减震，建筑隔声，距离衰减。</w:t>
            </w:r>
          </w:p>
        </w:tc>
        <w:tc>
          <w:tcPr>
            <w:tcW w:w="1333" w:type="pct"/>
            <w:vAlign w:val="center"/>
          </w:tcPr>
          <w:p w14:paraId="7FE54112">
            <w:pPr>
              <w:pStyle w:val="23"/>
              <w:spacing w:line="240" w:lineRule="auto"/>
              <w:rPr>
                <w:rFonts w:cs="Times New Roman"/>
                <w:color w:val="000000" w:themeColor="text1"/>
                <w:lang w:val="zh-CN"/>
                <w14:textFill>
                  <w14:solidFill>
                    <w14:schemeClr w14:val="tx1"/>
                  </w14:solidFill>
                </w14:textFill>
              </w:rPr>
            </w:pPr>
            <w:r>
              <w:rPr>
                <w:rFonts w:cs="Times New Roman"/>
                <w:color w:val="000000" w:themeColor="text1"/>
                <w14:textFill>
                  <w14:solidFill>
                    <w14:schemeClr w14:val="tx1"/>
                  </w14:solidFill>
                </w14:textFill>
              </w:rPr>
              <w:t>《工业企业厂界环境噪声排放标准》（GB12348-2008）中3类标准限值</w:t>
            </w:r>
          </w:p>
        </w:tc>
      </w:tr>
      <w:tr w14:paraId="73F580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01" w:hRule="atLeast"/>
          <w:jc w:val="center"/>
        </w:trPr>
        <w:tc>
          <w:tcPr>
            <w:tcW w:w="615" w:type="pct"/>
            <w:vAlign w:val="center"/>
          </w:tcPr>
          <w:p w14:paraId="6FE416BB">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固体废物</w:t>
            </w:r>
          </w:p>
        </w:tc>
        <w:tc>
          <w:tcPr>
            <w:tcW w:w="4384" w:type="pct"/>
            <w:gridSpan w:val="5"/>
            <w:vAlign w:val="center"/>
          </w:tcPr>
          <w:p w14:paraId="41CD447D">
            <w:pPr>
              <w:pStyle w:val="23"/>
              <w:spacing w:line="360" w:lineRule="auto"/>
              <w:jc w:val="left"/>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
                <w:bCs w:val="0"/>
                <w:color w:val="000000" w:themeColor="text1"/>
                <w:lang w:val="en-US" w:eastAsia="zh-CN"/>
                <w14:textFill>
                  <w14:solidFill>
                    <w14:schemeClr w14:val="tx1"/>
                  </w14:solidFill>
                </w14:textFill>
              </w:rPr>
              <w:t>一般固废：</w:t>
            </w:r>
            <w:r>
              <w:rPr>
                <w:rFonts w:hint="eastAsia" w:ascii="Times New Roman" w:hAnsi="Times New Roman" w:eastAsia="宋体" w:cs="Times New Roman"/>
                <w:bCs/>
                <w:color w:val="000000" w:themeColor="text1"/>
                <w:lang w:val="en-US" w:eastAsia="zh-CN"/>
                <w14:textFill>
                  <w14:solidFill>
                    <w14:schemeClr w14:val="tx1"/>
                  </w14:solidFill>
                </w14:textFill>
              </w:rPr>
              <w:t>设置1间一般固废暂存间，面积10m</w:t>
            </w:r>
            <w:r>
              <w:rPr>
                <w:rFonts w:hint="eastAsia" w:ascii="Times New Roman" w:hAnsi="Times New Roman" w:eastAsia="宋体" w:cs="Times New Roman"/>
                <w:bCs/>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bCs/>
                <w:color w:val="000000" w:themeColor="text1"/>
                <w:lang w:val="en-US" w:eastAsia="zh-CN"/>
                <w14:textFill>
                  <w14:solidFill>
                    <w14:schemeClr w14:val="tx1"/>
                  </w14:solidFill>
                </w14:textFill>
              </w:rPr>
              <w:t>。废包装外售废品回收站或交由厂家回收利用；废模具、废布袋厂家回收综合利用；不合格品、旋风除尘器及布袋除尘器1#集尘作为原料回用于</w:t>
            </w:r>
            <w:r>
              <w:rPr>
                <w:rFonts w:hint="eastAsia" w:cs="Times New Roman"/>
                <w:bCs/>
                <w:color w:val="000000" w:themeColor="text1"/>
                <w:lang w:val="en-US" w:eastAsia="zh-CN"/>
                <w14:textFill>
                  <w14:solidFill>
                    <w14:schemeClr w14:val="tx1"/>
                  </w14:solidFill>
                </w14:textFill>
              </w:rPr>
              <w:t>免烧砌块</w:t>
            </w:r>
            <w:r>
              <w:rPr>
                <w:rFonts w:hint="eastAsia" w:ascii="Times New Roman" w:hAnsi="Times New Roman" w:eastAsia="宋体" w:cs="Times New Roman"/>
                <w:bCs/>
                <w:color w:val="000000" w:themeColor="text1"/>
                <w:lang w:val="en-US" w:eastAsia="zh-CN"/>
                <w14:textFill>
                  <w14:solidFill>
                    <w14:schemeClr w14:val="tx1"/>
                  </w14:solidFill>
                </w14:textFill>
              </w:rPr>
              <w:t>生产。生活垃圾袋装</w:t>
            </w:r>
            <w:r>
              <w:rPr>
                <w:rFonts w:hint="eastAsia" w:cs="Times New Roman"/>
                <w:bCs/>
                <w:color w:val="000000" w:themeColor="text1"/>
                <w:lang w:val="en-US" w:eastAsia="zh-CN"/>
                <w14:textFill>
                  <w14:solidFill>
                    <w14:schemeClr w14:val="tx1"/>
                  </w14:solidFill>
                </w14:textFill>
              </w:rPr>
              <w:t>收集</w:t>
            </w:r>
            <w:r>
              <w:rPr>
                <w:rFonts w:hint="eastAsia" w:ascii="Times New Roman" w:hAnsi="Times New Roman" w:eastAsia="宋体" w:cs="Times New Roman"/>
                <w:bCs/>
                <w:color w:val="000000" w:themeColor="text1"/>
                <w:lang w:val="en-US" w:eastAsia="zh-CN"/>
                <w14:textFill>
                  <w14:solidFill>
                    <w14:schemeClr w14:val="tx1"/>
                  </w14:solidFill>
                </w14:textFill>
              </w:rPr>
              <w:t>后交由环卫部门统一清运处理。</w:t>
            </w:r>
            <w:r>
              <w:rPr>
                <w:rFonts w:hint="eastAsia" w:cs="Times New Roman"/>
                <w:bCs/>
                <w:color w:val="000000" w:themeColor="text1"/>
                <w:lang w:val="en-US" w:eastAsia="zh-CN"/>
                <w14:textFill>
                  <w14:solidFill>
                    <w14:schemeClr w14:val="tx1"/>
                  </w14:solidFill>
                </w14:textFill>
              </w:rPr>
              <w:t>氟化钙污泥</w:t>
            </w:r>
            <w:r>
              <w:rPr>
                <w:rFonts w:hint="eastAsia"/>
                <w:b w:val="0"/>
                <w:bCs/>
                <w:color w:val="000000" w:themeColor="text1"/>
                <w:sz w:val="24"/>
                <w:szCs w:val="24"/>
                <w:lang w:val="en-US" w:eastAsia="zh-CN"/>
                <w14:textFill>
                  <w14:solidFill>
                    <w14:schemeClr w14:val="tx1"/>
                  </w14:solidFill>
                </w14:textFill>
              </w:rPr>
              <w:t>通过鉴定确定危险性质，后按照相应的固废种类进行管理</w:t>
            </w:r>
            <w:r>
              <w:rPr>
                <w:rFonts w:hint="eastAsia"/>
                <w:b w:val="0"/>
                <w:color w:val="000000" w:themeColor="text1"/>
                <w:sz w:val="24"/>
                <w:szCs w:val="32"/>
                <w14:textFill>
                  <w14:solidFill>
                    <w14:schemeClr w14:val="tx1"/>
                  </w14:solidFill>
                </w14:textFill>
              </w:rPr>
              <w:t>。</w:t>
            </w:r>
            <w:r>
              <w:rPr>
                <w:rFonts w:hint="eastAsia"/>
                <w:b w:val="0"/>
                <w:color w:val="000000" w:themeColor="text1"/>
                <w:sz w:val="24"/>
                <w:szCs w:val="32"/>
                <w:lang w:val="en-US" w:eastAsia="zh-CN"/>
                <w14:textFill>
                  <w14:solidFill>
                    <w14:schemeClr w14:val="tx1"/>
                  </w14:solidFill>
                </w14:textFill>
              </w:rPr>
              <w:t>在未鉴别确定其性质之前，按危废进行管理</w:t>
            </w:r>
            <w:r>
              <w:rPr>
                <w:rFonts w:hint="eastAsia" w:cs="Times New Roman"/>
                <w:bCs/>
                <w:color w:val="000000" w:themeColor="text1"/>
                <w:lang w:val="en-US" w:eastAsia="zh-CN"/>
                <w14:textFill>
                  <w14:solidFill>
                    <w14:schemeClr w14:val="tx1"/>
                  </w14:solidFill>
                </w14:textFill>
              </w:rPr>
              <w:t>。初期雨水池污泥1年清掏1次，委托有资质固废处置单位统一清运处理。</w:t>
            </w:r>
          </w:p>
          <w:p w14:paraId="34FD4965">
            <w:pPr>
              <w:pStyle w:val="23"/>
              <w:spacing w:line="360" w:lineRule="auto"/>
              <w:jc w:val="left"/>
              <w:rPr>
                <w:rFonts w:cs="Times New Roman"/>
                <w:color w:val="000000" w:themeColor="text1"/>
                <w14:textFill>
                  <w14:solidFill>
                    <w14:schemeClr w14:val="tx1"/>
                  </w14:solidFill>
                </w14:textFill>
              </w:rPr>
            </w:pPr>
            <w:r>
              <w:rPr>
                <w:rFonts w:hint="eastAsia" w:ascii="Times New Roman" w:hAnsi="Times New Roman" w:eastAsia="宋体" w:cs="Times New Roman"/>
                <w:b/>
                <w:bCs w:val="0"/>
                <w:color w:val="000000" w:themeColor="text1"/>
                <w:lang w:val="en-US" w:eastAsia="zh-CN"/>
                <w14:textFill>
                  <w14:solidFill>
                    <w14:schemeClr w14:val="tx1"/>
                  </w14:solidFill>
                </w14:textFill>
              </w:rPr>
              <w:t>危险废物：</w:t>
            </w:r>
            <w:r>
              <w:rPr>
                <w:rFonts w:hint="eastAsia" w:ascii="Times New Roman" w:hAnsi="Times New Roman" w:eastAsia="宋体" w:cs="Times New Roman"/>
                <w:bCs/>
                <w:color w:val="000000" w:themeColor="text1"/>
                <w:lang w:val="en-US" w:eastAsia="zh-CN"/>
                <w14:textFill>
                  <w14:solidFill>
                    <w14:schemeClr w14:val="tx1"/>
                  </w14:solidFill>
                </w14:textFill>
              </w:rPr>
              <w:t>设置1间危废暂存间，面积</w:t>
            </w:r>
            <w:r>
              <w:rPr>
                <w:rFonts w:hint="eastAsia" w:cs="Times New Roman"/>
                <w:bCs/>
                <w:color w:val="000000" w:themeColor="text1"/>
                <w:lang w:val="en-US" w:eastAsia="zh-CN"/>
                <w14:textFill>
                  <w14:solidFill>
                    <w14:schemeClr w14:val="tx1"/>
                  </w14:solidFill>
                </w14:textFill>
              </w:rPr>
              <w:t>50</w:t>
            </w:r>
            <w:r>
              <w:rPr>
                <w:rFonts w:hint="eastAsia" w:ascii="Times New Roman" w:hAnsi="Times New Roman" w:eastAsia="宋体" w:cs="Times New Roman"/>
                <w:bCs/>
                <w:color w:val="000000" w:themeColor="text1"/>
                <w:lang w:val="en-US" w:eastAsia="zh-CN"/>
                <w14:textFill>
                  <w14:solidFill>
                    <w14:schemeClr w14:val="tx1"/>
                  </w14:solidFill>
                </w14:textFill>
              </w:rPr>
              <w:t>m</w:t>
            </w:r>
            <w:r>
              <w:rPr>
                <w:rFonts w:hint="eastAsia" w:ascii="Times New Roman" w:hAnsi="Times New Roman" w:eastAsia="宋体" w:cs="Times New Roman"/>
                <w:bCs/>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bCs/>
                <w:color w:val="000000" w:themeColor="text1"/>
                <w:lang w:val="en-US" w:eastAsia="zh-CN"/>
                <w14:textFill>
                  <w14:solidFill>
                    <w14:schemeClr w14:val="tx1"/>
                  </w14:solidFill>
                </w14:textFill>
              </w:rPr>
              <w:t>，危险废物分类收集，统一</w:t>
            </w:r>
            <w:r>
              <w:rPr>
                <w:rFonts w:hint="eastAsia" w:cs="Times New Roman"/>
                <w:bCs/>
                <w:color w:val="000000" w:themeColor="text1"/>
                <w:lang w:val="en-US" w:eastAsia="zh-CN"/>
                <w14:textFill>
                  <w14:solidFill>
                    <w14:schemeClr w14:val="tx1"/>
                  </w14:solidFill>
                </w14:textFill>
              </w:rPr>
              <w:t>分区</w:t>
            </w:r>
            <w:r>
              <w:rPr>
                <w:rFonts w:hint="eastAsia" w:ascii="Times New Roman" w:hAnsi="Times New Roman" w:eastAsia="宋体" w:cs="Times New Roman"/>
                <w:bCs/>
                <w:color w:val="000000" w:themeColor="text1"/>
                <w:lang w:val="en-US" w:eastAsia="zh-CN"/>
                <w14:textFill>
                  <w14:solidFill>
                    <w14:schemeClr w14:val="tx1"/>
                  </w14:solidFill>
                </w14:textFill>
              </w:rPr>
              <w:t>存放到危废暂存间，定期交由有资质的单位清运处理。</w:t>
            </w:r>
          </w:p>
        </w:tc>
      </w:tr>
      <w:tr w14:paraId="7DF34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2C463247">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电磁辐射</w:t>
            </w:r>
          </w:p>
        </w:tc>
        <w:tc>
          <w:tcPr>
            <w:tcW w:w="4384" w:type="pct"/>
            <w:gridSpan w:val="5"/>
            <w:vAlign w:val="center"/>
          </w:tcPr>
          <w:p w14:paraId="49B69EB4">
            <w:pPr>
              <w:pStyle w:val="23"/>
              <w:spacing w:line="360" w:lineRule="auto"/>
              <w:jc w:val="left"/>
              <w:rPr>
                <w:rFonts w:hint="default"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4A76B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78688CC6">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土壤及地下水污染防治措施</w:t>
            </w:r>
          </w:p>
        </w:tc>
        <w:tc>
          <w:tcPr>
            <w:tcW w:w="4384" w:type="pct"/>
            <w:gridSpan w:val="5"/>
            <w:vAlign w:val="center"/>
          </w:tcPr>
          <w:p w14:paraId="1500602F">
            <w:pPr>
              <w:pStyle w:val="23"/>
              <w:spacing w:line="360" w:lineRule="auto"/>
              <w:jc w:val="left"/>
              <w:rPr>
                <w:rFonts w:cs="Times New Roman"/>
                <w:color w:val="000000" w:themeColor="text1"/>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采取分区防渗措施：</w:t>
            </w:r>
            <w:r>
              <w:rPr>
                <w:rFonts w:hint="eastAsia" w:cs="Times New Roman"/>
                <w:bCs/>
                <w:color w:val="000000" w:themeColor="text1"/>
                <w:lang w:val="en-US" w:eastAsia="zh-CN"/>
                <w14:textFill>
                  <w14:solidFill>
                    <w14:schemeClr w14:val="tx1"/>
                  </w14:solidFill>
                </w14:textFill>
              </w:rPr>
              <w:t>危废暂存间、水基岩屑储存池（含滤液池）、物料装卸区、干水基岩屑堆存区、水基岩屑预处理区域</w:t>
            </w:r>
            <w:r>
              <w:rPr>
                <w:rFonts w:hint="eastAsia" w:ascii="Times New Roman" w:hAnsi="Times New Roman" w:eastAsia="宋体" w:cs="Times New Roman"/>
                <w:bCs/>
                <w:color w:val="000000" w:themeColor="text1"/>
                <w:lang w:val="en-US" w:eastAsia="zh-CN"/>
                <w14:textFill>
                  <w14:solidFill>
                    <w14:schemeClr w14:val="tx1"/>
                  </w14:solidFill>
                </w14:textFill>
              </w:rPr>
              <w:t>采取重点防渗措施；</w:t>
            </w:r>
            <w:r>
              <w:rPr>
                <w:rFonts w:hint="eastAsia" w:cs="Times New Roman"/>
                <w:bCs/>
                <w:color w:val="000000" w:themeColor="text1"/>
                <w:lang w:val="en-US" w:eastAsia="zh-CN"/>
                <w14:textFill>
                  <w14:solidFill>
                    <w14:schemeClr w14:val="tx1"/>
                  </w14:solidFill>
                </w14:textFill>
              </w:rPr>
              <w:t>洗车区、生产车间其余区域采取一般防渗措施；磅房、办公楼等</w:t>
            </w:r>
            <w:r>
              <w:rPr>
                <w:rFonts w:hint="eastAsia" w:ascii="Times New Roman" w:hAnsi="Times New Roman" w:eastAsia="宋体" w:cs="Times New Roman"/>
                <w:bCs/>
                <w:color w:val="000000" w:themeColor="text1"/>
                <w:lang w:val="en-US" w:eastAsia="zh-CN"/>
                <w14:textFill>
                  <w14:solidFill>
                    <w14:schemeClr w14:val="tx1"/>
                  </w14:solidFill>
                </w14:textFill>
              </w:rPr>
              <w:t>采取一般防渗措施。</w:t>
            </w:r>
          </w:p>
        </w:tc>
      </w:tr>
      <w:tr w14:paraId="766DB6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46E933A6">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生态保护措施</w:t>
            </w:r>
          </w:p>
        </w:tc>
        <w:tc>
          <w:tcPr>
            <w:tcW w:w="4384" w:type="pct"/>
            <w:gridSpan w:val="5"/>
            <w:vAlign w:val="center"/>
          </w:tcPr>
          <w:p w14:paraId="7B6F4317">
            <w:pPr>
              <w:pStyle w:val="23"/>
              <w:spacing w:line="360" w:lineRule="auto"/>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本项目位于工业园区内，租用已建厂房，不再单独进行征地，不涉及拆迁和安置，</w:t>
            </w:r>
            <w:r>
              <w:rPr>
                <w:rFonts w:cs="Times New Roman"/>
                <w:color w:val="000000" w:themeColor="text1"/>
                <w:szCs w:val="28"/>
                <w14:textFill>
                  <w14:solidFill>
                    <w14:schemeClr w14:val="tx1"/>
                  </w14:solidFill>
                </w14:textFill>
              </w:rPr>
              <w:t>在各项环保措施实施，污染物排放达标的情况下，项目运营期对周围生态环境影响较小</w:t>
            </w:r>
            <w:r>
              <w:rPr>
                <w:rFonts w:cs="Times New Roman"/>
                <w:color w:val="000000" w:themeColor="text1"/>
                <w14:textFill>
                  <w14:solidFill>
                    <w14:schemeClr w14:val="tx1"/>
                  </w14:solidFill>
                </w14:textFill>
              </w:rPr>
              <w:t>。</w:t>
            </w:r>
          </w:p>
        </w:tc>
      </w:tr>
      <w:tr w14:paraId="7E6CC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6A08C514">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环境风险防范措施</w:t>
            </w:r>
          </w:p>
        </w:tc>
        <w:tc>
          <w:tcPr>
            <w:tcW w:w="4384" w:type="pct"/>
            <w:gridSpan w:val="5"/>
            <w:vAlign w:val="center"/>
          </w:tcPr>
          <w:p w14:paraId="14222EDE">
            <w:pPr>
              <w:pStyle w:val="23"/>
              <w:spacing w:line="360" w:lineRule="auto"/>
              <w:jc w:val="left"/>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szCs w:val="28"/>
                <w14:textFill>
                  <w14:solidFill>
                    <w14:schemeClr w14:val="tx1"/>
                  </w14:solidFill>
                </w14:textFill>
              </w:rPr>
              <w:t>①</w:t>
            </w:r>
            <w:r>
              <w:rPr>
                <w:rFonts w:hint="eastAsia" w:cs="Times New Roman"/>
                <w:color w:val="000000" w:themeColor="text1"/>
                <w:szCs w:val="28"/>
                <w:lang w:val="en-US" w:eastAsia="zh-CN"/>
                <w14:textFill>
                  <w14:solidFill>
                    <w14:schemeClr w14:val="tx1"/>
                  </w14:solidFill>
                </w14:textFill>
              </w:rPr>
              <w:t>油类物质泄漏风险防范措施：</w:t>
            </w:r>
            <w:r>
              <w:rPr>
                <w:rFonts w:hint="eastAsia" w:cs="Times New Roman"/>
                <w:color w:val="000000" w:themeColor="text1"/>
                <w:szCs w:val="28"/>
                <w14:textFill>
                  <w14:solidFill>
                    <w14:schemeClr w14:val="tx1"/>
                  </w14:solidFill>
                </w14:textFill>
              </w:rPr>
              <w:t>液态危险废物（废机油、废液压油）应专桶收集暂存于危废暂存间，收集桶堆放地面</w:t>
            </w:r>
            <w:r>
              <w:rPr>
                <w:rFonts w:hint="eastAsia" w:cs="Times New Roman"/>
                <w:color w:val="000000" w:themeColor="text1"/>
                <w:szCs w:val="28"/>
                <w:lang w:eastAsia="zh-CN"/>
                <w14:textFill>
                  <w14:solidFill>
                    <w14:schemeClr w14:val="tx1"/>
                  </w14:solidFill>
                </w14:textFill>
              </w:rPr>
              <w:t>做</w:t>
            </w:r>
            <w:r>
              <w:rPr>
                <w:rFonts w:hint="eastAsia" w:cs="Times New Roman"/>
                <w:color w:val="000000" w:themeColor="text1"/>
                <w:szCs w:val="28"/>
                <w14:textFill>
                  <w14:solidFill>
                    <w14:schemeClr w14:val="tx1"/>
                  </w14:solidFill>
                </w14:textFill>
              </w:rPr>
              <w:t>防雨、防渗、防漏处理，并在周边设置导流槽；未使用的机油应密封在桶内，并在桶下</w:t>
            </w:r>
            <w:r>
              <w:rPr>
                <w:rFonts w:hint="eastAsia" w:cs="Times New Roman"/>
                <w:color w:val="000000" w:themeColor="text1"/>
                <w:szCs w:val="28"/>
                <w:lang w:val="en-US" w:eastAsia="zh-CN"/>
                <w14:textFill>
                  <w14:solidFill>
                    <w14:schemeClr w14:val="tx1"/>
                  </w14:solidFill>
                </w14:textFill>
              </w:rPr>
              <w:t>方</w:t>
            </w:r>
            <w:r>
              <w:rPr>
                <w:rFonts w:hint="eastAsia" w:cs="Times New Roman"/>
                <w:color w:val="000000" w:themeColor="text1"/>
                <w:szCs w:val="28"/>
                <w14:textFill>
                  <w14:solidFill>
                    <w14:schemeClr w14:val="tx1"/>
                  </w14:solidFill>
                </w14:textFill>
              </w:rPr>
              <w:t>设置防泄漏托盘。</w:t>
            </w:r>
            <w:r>
              <w:rPr>
                <w:rFonts w:hint="eastAsia" w:cs="Times New Roman"/>
                <w:color w:val="000000" w:themeColor="text1"/>
                <w:szCs w:val="28"/>
                <w:lang w:val="en-US" w:eastAsia="zh-CN"/>
                <w14:textFill>
                  <w14:solidFill>
                    <w14:schemeClr w14:val="tx1"/>
                  </w14:solidFill>
                </w14:textFill>
              </w:rPr>
              <w:t>②</w:t>
            </w:r>
            <w:r>
              <w:rPr>
                <w:rFonts w:hint="eastAsia" w:cs="Times New Roman"/>
                <w:color w:val="000000" w:themeColor="text1"/>
                <w:szCs w:val="28"/>
                <w14:textFill>
                  <w14:solidFill>
                    <w14:schemeClr w14:val="tx1"/>
                  </w14:solidFill>
                </w14:textFill>
              </w:rPr>
              <w:t>事故排放防范措施：定期检修各生产区间设置的环保设施，加强设备的运行管理和维护保养</w:t>
            </w:r>
            <w:r>
              <w:rPr>
                <w:rFonts w:hint="eastAsia" w:cs="Times New Roman"/>
                <w:color w:val="000000" w:themeColor="text1"/>
                <w:szCs w:val="28"/>
                <w:lang w:eastAsia="zh-CN"/>
                <w14:textFill>
                  <w14:solidFill>
                    <w14:schemeClr w14:val="tx1"/>
                  </w14:solidFill>
                </w14:textFill>
              </w:rPr>
              <w:t>，</w:t>
            </w:r>
            <w:r>
              <w:rPr>
                <w:rFonts w:hint="eastAsia" w:cs="Times New Roman"/>
                <w:color w:val="000000" w:themeColor="text1"/>
                <w:szCs w:val="28"/>
                <w:lang w:val="en-US" w:eastAsia="zh-CN"/>
                <w14:textFill>
                  <w14:solidFill>
                    <w14:schemeClr w14:val="tx1"/>
                  </w14:solidFill>
                </w14:textFill>
              </w:rPr>
              <w:t>事故状态下立即停产修复治理设施</w:t>
            </w:r>
            <w:r>
              <w:rPr>
                <w:rFonts w:hint="eastAsia" w:cs="Times New Roman"/>
                <w:color w:val="000000" w:themeColor="text1"/>
                <w:szCs w:val="28"/>
                <w14:textFill>
                  <w14:solidFill>
                    <w14:schemeClr w14:val="tx1"/>
                  </w14:solidFill>
                </w14:textFill>
              </w:rPr>
              <w:t>。</w:t>
            </w:r>
            <w:r>
              <w:rPr>
                <w:rFonts w:hint="eastAsia" w:cs="Times New Roman"/>
                <w:color w:val="000000" w:themeColor="text1"/>
                <w:szCs w:val="28"/>
                <w:lang w:val="en-US" w:eastAsia="zh-CN"/>
                <w14:textFill>
                  <w14:solidFill>
                    <w14:schemeClr w14:val="tx1"/>
                  </w14:solidFill>
                </w14:textFill>
              </w:rPr>
              <w:t>③天然气泄漏风险防范措施：设备设置温度显示，</w:t>
            </w:r>
            <w:r>
              <w:rPr>
                <w:rFonts w:hint="eastAsia" w:ascii="宋体" w:hAnsi="宋体" w:eastAsia="宋体" w:cs="宋体"/>
                <w:color w:val="000000" w:themeColor="text1"/>
                <w:kern w:val="0"/>
                <w:sz w:val="24"/>
                <w:szCs w:val="24"/>
                <w:lang w:val="en-US" w:eastAsia="zh-CN" w:bidi="ar"/>
                <w14:textFill>
                  <w14:solidFill>
                    <w14:schemeClr w14:val="tx1"/>
                  </w14:solidFill>
                </w14:textFill>
              </w:rPr>
              <w:t>设有自动温控和自动、手动点火</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熄火</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报警</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火焰检测功能，烧嘴运行设有移位报警装置，燃气管道阀门设有停电自动切断功能，加强日常巡逻检查及燃气管线维护。④</w:t>
            </w:r>
            <w:r>
              <w:rPr>
                <w:rFonts w:hint="eastAsia" w:cs="Times New Roman"/>
                <w:color w:val="000000" w:themeColor="text1"/>
                <w:szCs w:val="28"/>
                <w14:textFill>
                  <w14:solidFill>
                    <w14:schemeClr w14:val="tx1"/>
                  </w14:solidFill>
                </w14:textFill>
              </w:rPr>
              <w:t>火灾防范措施：加强厂区消防设施的日常管理，配备消防器材，设置明显标识，严格明火管理，加强日常检修维护，配备沙袋、封堵气囊、应急收集桶等应急物资，以备应急时作为阻挡物封堵事故废水外流或者收集容器，利用</w:t>
            </w:r>
            <w:r>
              <w:rPr>
                <w:rFonts w:hint="eastAsia" w:cs="Times New Roman"/>
                <w:color w:val="000000" w:themeColor="text1"/>
                <w:szCs w:val="28"/>
                <w:lang w:val="en-US" w:eastAsia="zh-CN"/>
                <w14:textFill>
                  <w14:solidFill>
                    <w14:schemeClr w14:val="tx1"/>
                  </w14:solidFill>
                </w14:textFill>
              </w:rPr>
              <w:t>水基岩屑储存池冗余</w:t>
            </w:r>
            <w:r>
              <w:rPr>
                <w:rFonts w:hint="eastAsia" w:cs="Times New Roman"/>
                <w:color w:val="000000" w:themeColor="text1"/>
                <w:szCs w:val="28"/>
                <w14:textFill>
                  <w14:solidFill>
                    <w14:schemeClr w14:val="tx1"/>
                  </w14:solidFill>
                </w14:textFill>
              </w:rPr>
              <w:t>作为应急收容措施，厂房内设置雨水管网紧急封堵气囊和沙袋，火灾爆炸事件状态下采用充气封堵气囊投入雨污水管网内，封堵雨水管网和污水总排口。</w:t>
            </w:r>
          </w:p>
        </w:tc>
      </w:tr>
      <w:tr w14:paraId="4FE8A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2E602542">
            <w:pPr>
              <w:pStyle w:val="23"/>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其他环境管理要求</w:t>
            </w:r>
          </w:p>
        </w:tc>
        <w:tc>
          <w:tcPr>
            <w:tcW w:w="4384" w:type="pct"/>
            <w:gridSpan w:val="5"/>
            <w:vAlign w:val="center"/>
          </w:tcPr>
          <w:p w14:paraId="0E3A9783">
            <w:pPr>
              <w:pStyle w:val="23"/>
              <w:spacing w:line="360" w:lineRule="auto"/>
              <w:jc w:val="left"/>
              <w:rPr>
                <w:rFonts w:hint="eastAsia" w:ascii="Times New Roman" w:hAnsi="Times New Roman" w:eastAsia="宋体" w:cs="Times New Roman"/>
                <w:color w:val="000000" w:themeColor="text1"/>
                <w:szCs w:val="28"/>
                <w14:textFill>
                  <w14:solidFill>
                    <w14:schemeClr w14:val="tx1"/>
                  </w14:solidFill>
                </w14:textFill>
              </w:rPr>
            </w:pPr>
            <w:r>
              <w:rPr>
                <w:rFonts w:hint="eastAsia" w:ascii="Times New Roman" w:hAnsi="Times New Roman" w:eastAsia="宋体" w:cs="Times New Roman"/>
                <w:color w:val="000000" w:themeColor="text1"/>
                <w:szCs w:val="28"/>
                <w:lang w:val="en-US" w:eastAsia="zh-CN"/>
                <w14:textFill>
                  <w14:solidFill>
                    <w14:schemeClr w14:val="tx1"/>
                  </w14:solidFill>
                </w14:textFill>
              </w:rPr>
              <w:t>（</w:t>
            </w:r>
            <w:r>
              <w:rPr>
                <w:rFonts w:hint="default" w:ascii="Times New Roman" w:hAnsi="Times New Roman" w:eastAsia="宋体" w:cs="Times New Roman"/>
                <w:color w:val="000000" w:themeColor="text1"/>
                <w:szCs w:val="28"/>
                <w:lang w:val="en-US" w:eastAsia="zh-CN"/>
                <w14:textFill>
                  <w14:solidFill>
                    <w14:schemeClr w14:val="tx1"/>
                  </w14:solidFill>
                </w14:textFill>
              </w:rPr>
              <w:t>1</w:t>
            </w:r>
            <w:r>
              <w:rPr>
                <w:rFonts w:hint="eastAsia" w:ascii="Times New Roman" w:hAnsi="Times New Roman" w:eastAsia="宋体" w:cs="Times New Roman"/>
                <w:color w:val="000000" w:themeColor="text1"/>
                <w:szCs w:val="28"/>
                <w:lang w:val="en-US" w:eastAsia="zh-CN"/>
                <w14:textFill>
                  <w14:solidFill>
                    <w14:schemeClr w14:val="tx1"/>
                  </w14:solidFill>
                </w14:textFill>
              </w:rPr>
              <w:t>）项目需建立危险废物的管理台账，如实记录产生</w:t>
            </w:r>
            <w:r>
              <w:rPr>
                <w:rFonts w:hint="eastAsia" w:cs="Times New Roman"/>
                <w:color w:val="000000" w:themeColor="text1"/>
                <w:szCs w:val="28"/>
                <w:lang w:val="en-US" w:eastAsia="zh-CN"/>
                <w14:textFill>
                  <w14:solidFill>
                    <w14:schemeClr w14:val="tx1"/>
                  </w14:solidFill>
                </w14:textFill>
              </w:rPr>
              <w:t>危险</w:t>
            </w:r>
            <w:r>
              <w:rPr>
                <w:rFonts w:hint="eastAsia" w:ascii="Times New Roman" w:hAnsi="Times New Roman" w:eastAsia="宋体" w:cs="Times New Roman"/>
                <w:color w:val="000000" w:themeColor="text1"/>
                <w:szCs w:val="28"/>
                <w:lang w:val="en-US" w:eastAsia="zh-CN"/>
                <w14:textFill>
                  <w14:solidFill>
                    <w14:schemeClr w14:val="tx1"/>
                  </w14:solidFill>
                </w14:textFill>
              </w:rPr>
              <w:t xml:space="preserve">废物的种类、数量、流向、贮存、利用、处置等信息。 </w:t>
            </w:r>
          </w:p>
          <w:p w14:paraId="58C63CE6">
            <w:pPr>
              <w:pStyle w:val="23"/>
              <w:spacing w:line="360" w:lineRule="auto"/>
              <w:jc w:val="left"/>
              <w:rPr>
                <w:rFonts w:hint="eastAsia" w:ascii="Times New Roman" w:hAnsi="Times New Roman" w:eastAsia="宋体" w:cs="Times New Roman"/>
                <w:color w:val="000000" w:themeColor="text1"/>
                <w:szCs w:val="28"/>
                <w14:textFill>
                  <w14:solidFill>
                    <w14:schemeClr w14:val="tx1"/>
                  </w14:solidFill>
                </w14:textFill>
              </w:rPr>
            </w:pPr>
            <w:r>
              <w:rPr>
                <w:rFonts w:hint="eastAsia" w:ascii="Times New Roman" w:hAnsi="Times New Roman" w:eastAsia="宋体" w:cs="Times New Roman"/>
                <w:color w:val="000000" w:themeColor="text1"/>
                <w:szCs w:val="28"/>
                <w:lang w:val="en-US" w:eastAsia="zh-CN"/>
                <w14:textFill>
                  <w14:solidFill>
                    <w14:schemeClr w14:val="tx1"/>
                  </w14:solidFill>
                </w14:textFill>
              </w:rPr>
              <w:t>（</w:t>
            </w:r>
            <w:r>
              <w:rPr>
                <w:rFonts w:hint="default" w:ascii="Times New Roman" w:hAnsi="Times New Roman" w:eastAsia="宋体" w:cs="Times New Roman"/>
                <w:color w:val="000000" w:themeColor="text1"/>
                <w:szCs w:val="28"/>
                <w:lang w:val="en-US" w:eastAsia="zh-CN"/>
                <w14:textFill>
                  <w14:solidFill>
                    <w14:schemeClr w14:val="tx1"/>
                  </w14:solidFill>
                </w14:textFill>
              </w:rPr>
              <w:t>2</w:t>
            </w:r>
            <w:r>
              <w:rPr>
                <w:rFonts w:hint="eastAsia" w:ascii="Times New Roman" w:hAnsi="Times New Roman" w:eastAsia="宋体" w:cs="Times New Roman"/>
                <w:color w:val="000000" w:themeColor="text1"/>
                <w:szCs w:val="28"/>
                <w:lang w:val="en-US" w:eastAsia="zh-CN"/>
                <w14:textFill>
                  <w14:solidFill>
                    <w14:schemeClr w14:val="tx1"/>
                  </w14:solidFill>
                </w14:textFill>
              </w:rPr>
              <w:t xml:space="preserve">）建立健全一套完善的环境管理制度，并严格按管理制度执行。 </w:t>
            </w:r>
          </w:p>
          <w:p w14:paraId="3EE171B0">
            <w:pPr>
              <w:pStyle w:val="23"/>
              <w:spacing w:line="360" w:lineRule="auto"/>
              <w:jc w:val="left"/>
              <w:rPr>
                <w:rFonts w:hint="eastAsia" w:ascii="Times New Roman" w:hAnsi="Times New Roman" w:eastAsia="宋体" w:cs="Times New Roman"/>
                <w:color w:val="000000" w:themeColor="text1"/>
                <w:szCs w:val="28"/>
                <w:lang w:val="en-US" w:eastAsia="zh-CN"/>
                <w14:textFill>
                  <w14:solidFill>
                    <w14:schemeClr w14:val="tx1"/>
                  </w14:solidFill>
                </w14:textFill>
              </w:rPr>
            </w:pPr>
            <w:r>
              <w:rPr>
                <w:rFonts w:hint="eastAsia" w:ascii="Times New Roman" w:hAnsi="Times New Roman" w:eastAsia="宋体" w:cs="Times New Roman"/>
                <w:color w:val="000000" w:themeColor="text1"/>
                <w:szCs w:val="28"/>
                <w:lang w:val="en-US" w:eastAsia="zh-CN"/>
                <w14:textFill>
                  <w14:solidFill>
                    <w14:schemeClr w14:val="tx1"/>
                  </w14:solidFill>
                </w14:textFill>
              </w:rPr>
              <w:t>（</w:t>
            </w:r>
            <w:r>
              <w:rPr>
                <w:rFonts w:hint="default" w:ascii="Times New Roman" w:hAnsi="Times New Roman" w:eastAsia="宋体" w:cs="Times New Roman"/>
                <w:color w:val="000000" w:themeColor="text1"/>
                <w:szCs w:val="28"/>
                <w:lang w:val="en-US" w:eastAsia="zh-CN"/>
                <w14:textFill>
                  <w14:solidFill>
                    <w14:schemeClr w14:val="tx1"/>
                  </w14:solidFill>
                </w14:textFill>
              </w:rPr>
              <w:t>3</w:t>
            </w:r>
            <w:r>
              <w:rPr>
                <w:rFonts w:hint="eastAsia" w:ascii="Times New Roman" w:hAnsi="Times New Roman" w:eastAsia="宋体" w:cs="Times New Roman"/>
                <w:color w:val="000000" w:themeColor="text1"/>
                <w:szCs w:val="28"/>
                <w:lang w:val="en-US" w:eastAsia="zh-CN"/>
                <w14:textFill>
                  <w14:solidFill>
                    <w14:schemeClr w14:val="tx1"/>
                  </w14:solidFill>
                </w14:textFill>
              </w:rPr>
              <w:t>）建设单位应严格按照</w:t>
            </w:r>
            <w:r>
              <w:rPr>
                <w:rFonts w:hint="eastAsia" w:ascii="宋体" w:hAnsi="宋体" w:eastAsia="宋体" w:cs="宋体"/>
                <w:color w:val="000000" w:themeColor="text1"/>
                <w:szCs w:val="28"/>
                <w:lang w:val="en-US" w:eastAsia="zh-CN"/>
                <w14:textFill>
                  <w14:solidFill>
                    <w14:schemeClr w14:val="tx1"/>
                  </w14:solidFill>
                </w14:textFill>
              </w:rPr>
              <w:t>国家“三同时”政策做</w:t>
            </w:r>
            <w:r>
              <w:rPr>
                <w:rFonts w:hint="eastAsia" w:ascii="Times New Roman" w:hAnsi="Times New Roman" w:eastAsia="宋体" w:cs="Times New Roman"/>
                <w:color w:val="000000" w:themeColor="text1"/>
                <w:szCs w:val="28"/>
                <w:lang w:val="en-US" w:eastAsia="zh-CN"/>
                <w14:textFill>
                  <w14:solidFill>
                    <w14:schemeClr w14:val="tx1"/>
                  </w14:solidFill>
                </w14:textFill>
              </w:rPr>
              <w:t>好有关工作，在其配套建设的环境保护设施经验收合格后，方可投入生产</w:t>
            </w:r>
            <w:r>
              <w:rPr>
                <w:rFonts w:hint="eastAsia" w:cs="Times New Roman"/>
                <w:color w:val="000000" w:themeColor="text1"/>
                <w:szCs w:val="28"/>
                <w:lang w:val="en-US" w:eastAsia="zh-CN"/>
                <w14:textFill>
                  <w14:solidFill>
                    <w14:schemeClr w14:val="tx1"/>
                  </w14:solidFill>
                </w14:textFill>
              </w:rPr>
              <w:t>或</w:t>
            </w:r>
            <w:r>
              <w:rPr>
                <w:rFonts w:hint="eastAsia" w:ascii="Times New Roman" w:hAnsi="Times New Roman" w:eastAsia="宋体" w:cs="Times New Roman"/>
                <w:color w:val="000000" w:themeColor="text1"/>
                <w:szCs w:val="28"/>
                <w:lang w:val="en-US" w:eastAsia="zh-CN"/>
                <w14:textFill>
                  <w14:solidFill>
                    <w14:schemeClr w14:val="tx1"/>
                  </w14:solidFill>
                </w14:textFill>
              </w:rPr>
              <w:t>使用。</w:t>
            </w:r>
          </w:p>
          <w:p w14:paraId="0E39EF95">
            <w:pPr>
              <w:rPr>
                <w:rFonts w:hint="eastAsia"/>
                <w:lang w:val="en-US" w:eastAsia="zh-CN"/>
              </w:rPr>
            </w:pPr>
          </w:p>
          <w:p w14:paraId="17AC2390">
            <w:pPr>
              <w:pStyle w:val="23"/>
              <w:spacing w:line="360" w:lineRule="auto"/>
              <w:jc w:val="left"/>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36AC7124">
            <w:pPr>
              <w:pStyle w:val="23"/>
              <w:spacing w:line="360" w:lineRule="auto"/>
              <w:jc w:val="left"/>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223AECBF">
            <w:pPr>
              <w:pStyle w:val="23"/>
              <w:spacing w:line="360" w:lineRule="auto"/>
              <w:jc w:val="left"/>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5AABC1EF">
            <w:pPr>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6FC1B3DA">
            <w:pPr>
              <w:pStyle w:val="2"/>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47E0A479">
            <w:pPr>
              <w:pStyle w:val="2"/>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68A97784">
            <w:pPr>
              <w:pStyle w:val="2"/>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6B368300">
            <w:pPr>
              <w:pStyle w:val="2"/>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5BAE6015">
            <w:pPr>
              <w:pStyle w:val="2"/>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2DF2D625">
            <w:pPr>
              <w:pStyle w:val="23"/>
              <w:spacing w:line="360" w:lineRule="auto"/>
              <w:jc w:val="left"/>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2CEC25C1">
            <w:pPr>
              <w:pStyle w:val="23"/>
              <w:spacing w:line="360" w:lineRule="auto"/>
              <w:jc w:val="left"/>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33E83745">
            <w:pPr>
              <w:pStyle w:val="23"/>
              <w:spacing w:line="360" w:lineRule="auto"/>
              <w:jc w:val="left"/>
              <w:rPr>
                <w:rFonts w:hint="eastAsia" w:ascii="Times New Roman" w:hAnsi="Times New Roman" w:eastAsia="宋体" w:cs="Times New Roman"/>
                <w:color w:val="000000" w:themeColor="text1"/>
                <w:szCs w:val="28"/>
                <w:lang w:val="en-US" w:eastAsia="zh-CN"/>
                <w14:textFill>
                  <w14:solidFill>
                    <w14:schemeClr w14:val="tx1"/>
                  </w14:solidFill>
                </w14:textFill>
              </w:rPr>
            </w:pPr>
          </w:p>
        </w:tc>
      </w:tr>
    </w:tbl>
    <w:p w14:paraId="0528CCED">
      <w:pPr>
        <w:ind w:firstLine="48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19CDE1B2">
      <w:pPr>
        <w:pStyle w:val="3"/>
        <w:rPr>
          <w:rFonts w:ascii="Times New Roman" w:hAnsi="Times New Roman"/>
          <w:color w:val="000000" w:themeColor="text1"/>
          <w14:textFill>
            <w14:solidFill>
              <w14:schemeClr w14:val="tx1"/>
            </w14:solidFill>
          </w14:textFill>
        </w:rPr>
      </w:pPr>
      <w:bookmarkStart w:id="63" w:name="_Toc15298"/>
      <w:r>
        <w:rPr>
          <w:rFonts w:ascii="Times New Roman" w:hAnsi="Times New Roman"/>
          <w:color w:val="000000" w:themeColor="text1"/>
          <w14:textFill>
            <w14:solidFill>
              <w14:schemeClr w14:val="tx1"/>
            </w14:solidFill>
          </w14:textFill>
        </w:rPr>
        <w:t>结论</w:t>
      </w:r>
      <w:bookmarkEnd w:id="63"/>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782E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4" w:hRule="atLeast"/>
        </w:trPr>
        <w:tc>
          <w:tcPr>
            <w:tcW w:w="9736" w:type="dxa"/>
          </w:tcPr>
          <w:p w14:paraId="686B59E1">
            <w:pPr>
              <w:ind w:firstLine="480"/>
              <w:rPr>
                <w:rFonts w:cs="Times New Roman"/>
                <w:color w:val="000000" w:themeColor="text1"/>
                <w14:textFill>
                  <w14:solidFill>
                    <w14:schemeClr w14:val="tx1"/>
                  </w14:solidFill>
                </w14:textFill>
              </w:rPr>
            </w:pPr>
            <w:bookmarkStart w:id="64" w:name="_Hlk207722802"/>
            <w:r>
              <w:rPr>
                <w:rFonts w:cs="Times New Roman"/>
                <w:color w:val="000000" w:themeColor="text1"/>
                <w14:textFill>
                  <w14:solidFill>
                    <w14:schemeClr w14:val="tx1"/>
                  </w14:solidFill>
                </w14:textFill>
              </w:rPr>
              <w:t>本项目的建设符合国家现行产业政策，选址符合当地规划要求，无环境制约因素，总平面布置基本合理。废气、废水、噪声在采取相应污染防治措施后可以做到达标排放，固废实现无害化处理，并通过加强管理等措施降低项目运行对环境的影响。只要认真落实本报告中提出的各项污染防治对策措施，严</w:t>
            </w:r>
            <w:r>
              <w:rPr>
                <w:rFonts w:hint="default" w:ascii="Times New Roman" w:hAnsi="Times New Roman" w:cs="Times New Roman"/>
                <w:color w:val="000000" w:themeColor="text1"/>
                <w14:textFill>
                  <w14:solidFill>
                    <w14:schemeClr w14:val="tx1"/>
                  </w14:solidFill>
                </w14:textFill>
              </w:rPr>
              <w:t>格</w:t>
            </w:r>
            <w:r>
              <w:rPr>
                <w:rFonts w:hint="eastAsia" w:ascii="宋体" w:hAnsi="宋体" w:eastAsia="宋体" w:cs="宋体"/>
                <w:color w:val="000000" w:themeColor="text1"/>
                <w14:textFill>
                  <w14:solidFill>
                    <w14:schemeClr w14:val="tx1"/>
                  </w14:solidFill>
                </w14:textFill>
              </w:rPr>
              <w:t>执行“三同时”制</w:t>
            </w:r>
            <w:r>
              <w:rPr>
                <w:rFonts w:hint="default" w:ascii="Times New Roman" w:hAnsi="Times New Roman" w:cs="Times New Roman"/>
                <w:color w:val="000000" w:themeColor="text1"/>
                <w14:textFill>
                  <w14:solidFill>
                    <w14:schemeClr w14:val="tx1"/>
                  </w14:solidFill>
                </w14:textFill>
              </w:rPr>
              <w:t>度，保</w:t>
            </w:r>
            <w:r>
              <w:rPr>
                <w:rFonts w:cs="Times New Roman"/>
                <w:color w:val="000000" w:themeColor="text1"/>
                <w14:textFill>
                  <w14:solidFill>
                    <w14:schemeClr w14:val="tx1"/>
                  </w14:solidFill>
                </w14:textFill>
              </w:rPr>
              <w:t>证环境保护措施的有效运行，确保污染物稳定达标排放，并严格按照环评要求进行环境风险防范，从环保角度而言，本项目的建设是可行的。</w:t>
            </w:r>
          </w:p>
          <w:bookmarkEnd w:id="64"/>
          <w:p w14:paraId="199B5C3D">
            <w:pPr>
              <w:ind w:firstLine="0" w:firstLineChars="0"/>
              <w:rPr>
                <w:rFonts w:cs="Times New Roman"/>
                <w:color w:val="000000" w:themeColor="text1"/>
                <w14:textFill>
                  <w14:solidFill>
                    <w14:schemeClr w14:val="tx1"/>
                  </w14:solidFill>
                </w14:textFill>
              </w:rPr>
            </w:pPr>
          </w:p>
        </w:tc>
      </w:tr>
    </w:tbl>
    <w:p w14:paraId="26790985">
      <w:pPr>
        <w:ind w:firstLine="48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218D83D5">
      <w:pPr>
        <w:adjustRightInd w:val="0"/>
        <w:snapToGrid w:val="0"/>
        <w:ind w:firstLine="640"/>
        <w:outlineLvl w:val="0"/>
        <w:rPr>
          <w:rFonts w:eastAsia="黑体" w:cs="Times New Roman"/>
          <w:snapToGrid w:val="0"/>
          <w:color w:val="000000" w:themeColor="text1"/>
          <w:sz w:val="32"/>
          <w:szCs w:val="32"/>
          <w14:textFill>
            <w14:solidFill>
              <w14:schemeClr w14:val="tx1"/>
            </w14:solidFill>
          </w14:textFill>
        </w:rPr>
      </w:pPr>
      <w:bookmarkStart w:id="65" w:name="_Toc24922"/>
      <w:bookmarkStart w:id="66" w:name="_Hlk207722850"/>
      <w:r>
        <w:rPr>
          <w:rFonts w:eastAsia="黑体" w:cs="Times New Roman"/>
          <w:snapToGrid w:val="0"/>
          <w:color w:val="000000" w:themeColor="text1"/>
          <w:sz w:val="32"/>
          <w:szCs w:val="32"/>
          <w14:textFill>
            <w14:solidFill>
              <w14:schemeClr w14:val="tx1"/>
            </w14:solidFill>
          </w14:textFill>
        </w:rPr>
        <w:t>附表</w:t>
      </w:r>
      <w:bookmarkEnd w:id="65"/>
    </w:p>
    <w:p w14:paraId="4D074E95">
      <w:pPr>
        <w:adjustRightInd w:val="0"/>
        <w:snapToGrid w:val="0"/>
        <w:spacing w:line="240" w:lineRule="auto"/>
        <w:ind w:firstLine="0" w:firstLineChars="0"/>
        <w:jc w:val="center"/>
        <w:outlineLvl w:val="0"/>
        <w:rPr>
          <w:rFonts w:eastAsia="方正小标宋_GBK" w:cs="Times New Roman"/>
          <w:snapToGrid w:val="0"/>
          <w:color w:val="000000" w:themeColor="text1"/>
          <w:sz w:val="38"/>
          <w:szCs w:val="38"/>
          <w14:textFill>
            <w14:solidFill>
              <w14:schemeClr w14:val="tx1"/>
            </w14:solidFill>
          </w14:textFill>
        </w:rPr>
      </w:pPr>
      <w:bookmarkStart w:id="67" w:name="_Toc3500"/>
      <w:r>
        <w:rPr>
          <w:rFonts w:eastAsia="方正小标宋_GBK" w:cs="Times New Roman"/>
          <w:snapToGrid w:val="0"/>
          <w:color w:val="000000" w:themeColor="text1"/>
          <w:sz w:val="38"/>
          <w:szCs w:val="38"/>
          <w14:textFill>
            <w14:solidFill>
              <w14:schemeClr w14:val="tx1"/>
            </w14:solidFill>
          </w14:textFill>
        </w:rPr>
        <w:t>建设项目污染物排放量汇总表</w:t>
      </w:r>
      <w:bookmarkEnd w:id="67"/>
    </w:p>
    <w:tbl>
      <w:tblPr>
        <w:tblStyle w:val="29"/>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20"/>
        <w:gridCol w:w="1598"/>
        <w:gridCol w:w="1276"/>
        <w:gridCol w:w="1701"/>
        <w:gridCol w:w="1559"/>
        <w:gridCol w:w="1761"/>
        <w:gridCol w:w="1562"/>
        <w:gridCol w:w="1223"/>
      </w:tblGrid>
      <w:tr w14:paraId="5F48B7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tcBorders>
              <w:tl2br w:val="single" w:color="auto" w:sz="4" w:space="0"/>
            </w:tcBorders>
            <w:tcMar>
              <w:left w:w="28" w:type="dxa"/>
              <w:right w:w="28" w:type="dxa"/>
            </w:tcMar>
            <w:vAlign w:val="center"/>
          </w:tcPr>
          <w:p w14:paraId="2C5E798E">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项目</w:t>
            </w:r>
          </w:p>
          <w:p w14:paraId="3F6A04BE">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分类</w:t>
            </w:r>
          </w:p>
        </w:tc>
        <w:tc>
          <w:tcPr>
            <w:tcW w:w="1520" w:type="dxa"/>
            <w:tcMar>
              <w:left w:w="28" w:type="dxa"/>
              <w:right w:w="28" w:type="dxa"/>
            </w:tcMar>
            <w:vAlign w:val="center"/>
          </w:tcPr>
          <w:p w14:paraId="6144C3CA">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污染物名称</w:t>
            </w:r>
          </w:p>
        </w:tc>
        <w:tc>
          <w:tcPr>
            <w:tcW w:w="1598" w:type="dxa"/>
            <w:tcMar>
              <w:left w:w="28" w:type="dxa"/>
              <w:right w:w="28" w:type="dxa"/>
            </w:tcMar>
            <w:vAlign w:val="center"/>
          </w:tcPr>
          <w:p w14:paraId="26180343">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现有工程</w:t>
            </w:r>
          </w:p>
          <w:p w14:paraId="0241E3E1">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排放量（固体废物产生量）</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1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rFonts w:cs="Times New Roman"/>
                <w:snapToGrid w:val="0"/>
                <w:color w:val="000000" w:themeColor="text1"/>
                <w14:textFill>
                  <w14:solidFill>
                    <w14:schemeClr w14:val="tx1"/>
                  </w14:solidFill>
                </w14:textFill>
              </w:rPr>
              <w:fldChar w:fldCharType="end"/>
            </w:r>
          </w:p>
        </w:tc>
        <w:tc>
          <w:tcPr>
            <w:tcW w:w="1276" w:type="dxa"/>
            <w:tcMar>
              <w:left w:w="28" w:type="dxa"/>
              <w:right w:w="28" w:type="dxa"/>
            </w:tcMar>
            <w:vAlign w:val="center"/>
          </w:tcPr>
          <w:p w14:paraId="34CFED9B">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现有工程</w:t>
            </w:r>
          </w:p>
          <w:p w14:paraId="27DB1600">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许可排放量</w:t>
            </w:r>
          </w:p>
          <w:p w14:paraId="1AE7BB72">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2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snapToGrid w:val="0"/>
                <w:color w:val="000000" w:themeColor="text1"/>
                <w14:textFill>
                  <w14:solidFill>
                    <w14:schemeClr w14:val="tx1"/>
                  </w14:solidFill>
                </w14:textFill>
              </w:rPr>
              <w:t>②</w:t>
            </w:r>
            <w:r>
              <w:rPr>
                <w:rFonts w:cs="Times New Roman"/>
                <w:snapToGrid w:val="0"/>
                <w:color w:val="000000" w:themeColor="text1"/>
                <w14:textFill>
                  <w14:solidFill>
                    <w14:schemeClr w14:val="tx1"/>
                  </w14:solidFill>
                </w14:textFill>
              </w:rPr>
              <w:fldChar w:fldCharType="end"/>
            </w:r>
          </w:p>
        </w:tc>
        <w:tc>
          <w:tcPr>
            <w:tcW w:w="1701" w:type="dxa"/>
            <w:tcMar>
              <w:left w:w="28" w:type="dxa"/>
              <w:right w:w="28" w:type="dxa"/>
            </w:tcMar>
            <w:vAlign w:val="center"/>
          </w:tcPr>
          <w:p w14:paraId="470EB5CB">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在建工程</w:t>
            </w:r>
          </w:p>
          <w:p w14:paraId="1A60FB20">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排放量（固体废物产生量）</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3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③</w:t>
            </w:r>
            <w:r>
              <w:rPr>
                <w:rFonts w:cs="Times New Roman"/>
                <w:snapToGrid w:val="0"/>
                <w:color w:val="000000" w:themeColor="text1"/>
                <w14:textFill>
                  <w14:solidFill>
                    <w14:schemeClr w14:val="tx1"/>
                  </w14:solidFill>
                </w14:textFill>
              </w:rPr>
              <w:fldChar w:fldCharType="end"/>
            </w:r>
          </w:p>
        </w:tc>
        <w:tc>
          <w:tcPr>
            <w:tcW w:w="1559" w:type="dxa"/>
            <w:tcMar>
              <w:left w:w="28" w:type="dxa"/>
              <w:right w:w="28" w:type="dxa"/>
            </w:tcMar>
            <w:vAlign w:val="center"/>
          </w:tcPr>
          <w:p w14:paraId="158EADF4">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本项目</w:t>
            </w:r>
          </w:p>
          <w:p w14:paraId="1DB42D61">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排放量（固体废物产生量）</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4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④</w:t>
            </w:r>
            <w:r>
              <w:rPr>
                <w:rFonts w:cs="Times New Roman"/>
                <w:snapToGrid w:val="0"/>
                <w:color w:val="000000" w:themeColor="text1"/>
                <w14:textFill>
                  <w14:solidFill>
                    <w14:schemeClr w14:val="tx1"/>
                  </w14:solidFill>
                </w14:textFill>
              </w:rPr>
              <w:fldChar w:fldCharType="end"/>
            </w:r>
          </w:p>
        </w:tc>
        <w:tc>
          <w:tcPr>
            <w:tcW w:w="1761" w:type="dxa"/>
            <w:tcMar>
              <w:left w:w="28" w:type="dxa"/>
              <w:right w:w="28" w:type="dxa"/>
            </w:tcMar>
            <w:vAlign w:val="center"/>
          </w:tcPr>
          <w:p w14:paraId="243D9D82">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以新带老削减量</w:t>
            </w:r>
          </w:p>
          <w:p w14:paraId="6AD051B3">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（新建项目不填）</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5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⑤</w:t>
            </w:r>
            <w:r>
              <w:rPr>
                <w:rFonts w:cs="Times New Roman"/>
                <w:snapToGrid w:val="0"/>
                <w:color w:val="000000" w:themeColor="text1"/>
                <w14:textFill>
                  <w14:solidFill>
                    <w14:schemeClr w14:val="tx1"/>
                  </w14:solidFill>
                </w14:textFill>
              </w:rPr>
              <w:fldChar w:fldCharType="end"/>
            </w:r>
          </w:p>
        </w:tc>
        <w:tc>
          <w:tcPr>
            <w:tcW w:w="1562" w:type="dxa"/>
            <w:tcMar>
              <w:left w:w="28" w:type="dxa"/>
              <w:right w:w="28" w:type="dxa"/>
            </w:tcMar>
            <w:vAlign w:val="center"/>
          </w:tcPr>
          <w:p w14:paraId="54DB392F">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本项目建成后</w:t>
            </w:r>
          </w:p>
          <w:p w14:paraId="792DB555">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全厂排放量（固体废物产生量）</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6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⑥</w:t>
            </w:r>
            <w:r>
              <w:rPr>
                <w:rFonts w:cs="Times New Roman"/>
                <w:snapToGrid w:val="0"/>
                <w:color w:val="000000" w:themeColor="text1"/>
                <w14:textFill>
                  <w14:solidFill>
                    <w14:schemeClr w14:val="tx1"/>
                  </w14:solidFill>
                </w14:textFill>
              </w:rPr>
              <w:fldChar w:fldCharType="end"/>
            </w:r>
          </w:p>
        </w:tc>
        <w:tc>
          <w:tcPr>
            <w:tcW w:w="1223" w:type="dxa"/>
            <w:tcMar>
              <w:left w:w="28" w:type="dxa"/>
              <w:right w:w="28" w:type="dxa"/>
            </w:tcMar>
            <w:vAlign w:val="center"/>
          </w:tcPr>
          <w:p w14:paraId="69928858">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变化量</w:t>
            </w:r>
          </w:p>
          <w:p w14:paraId="35858B96">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7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⑦</w:t>
            </w:r>
            <w:r>
              <w:rPr>
                <w:rFonts w:cs="Times New Roman"/>
                <w:snapToGrid w:val="0"/>
                <w:color w:val="000000" w:themeColor="text1"/>
                <w14:textFill>
                  <w14:solidFill>
                    <w14:schemeClr w14:val="tx1"/>
                  </w14:solidFill>
                </w14:textFill>
              </w:rPr>
              <w:fldChar w:fldCharType="end"/>
            </w:r>
          </w:p>
        </w:tc>
      </w:tr>
      <w:tr w14:paraId="428F7E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03B005CB">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废气</w:t>
            </w:r>
          </w:p>
        </w:tc>
        <w:tc>
          <w:tcPr>
            <w:tcW w:w="1520" w:type="dxa"/>
            <w:vAlign w:val="center"/>
          </w:tcPr>
          <w:p w14:paraId="12DAF266">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颗粒物</w:t>
            </w:r>
          </w:p>
        </w:tc>
        <w:tc>
          <w:tcPr>
            <w:tcW w:w="1598" w:type="dxa"/>
            <w:vAlign w:val="center"/>
          </w:tcPr>
          <w:p w14:paraId="7491E8A0">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1C963D76">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4AC08ABE">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579781AD">
            <w:pPr>
              <w:keepNext w:val="0"/>
              <w:keepLines w:val="0"/>
              <w:widowControl/>
              <w:suppressLineNumbers w:val="0"/>
              <w:spacing w:line="240" w:lineRule="auto"/>
              <w:ind w:firstLine="0" w:firstLineChars="0"/>
              <w:jc w:val="center"/>
              <w:textAlignment w:val="center"/>
              <w:rPr>
                <w:rFonts w:hint="default" w:eastAsia="宋体" w:cs="Times New Roman"/>
                <w:color w:val="000000" w:themeColor="text1"/>
                <w:kern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0.9491</w:t>
            </w:r>
          </w:p>
        </w:tc>
        <w:tc>
          <w:tcPr>
            <w:tcW w:w="1761" w:type="dxa"/>
            <w:vAlign w:val="center"/>
          </w:tcPr>
          <w:p w14:paraId="6A569DD7">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17F232B3">
            <w:pPr>
              <w:keepNext w:val="0"/>
              <w:keepLines w:val="0"/>
              <w:widowControl/>
              <w:suppressLineNumbers w:val="0"/>
              <w:spacing w:line="240" w:lineRule="auto"/>
              <w:ind w:firstLine="0" w:firstLineChars="0"/>
              <w:jc w:val="center"/>
              <w:textAlignment w:val="center"/>
              <w:rPr>
                <w:rFonts w:cs="Times New Roman"/>
                <w:color w:val="000000" w:themeColor="text1"/>
                <w:kern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0.9491</w:t>
            </w:r>
          </w:p>
        </w:tc>
        <w:tc>
          <w:tcPr>
            <w:tcW w:w="1223" w:type="dxa"/>
            <w:vAlign w:val="center"/>
          </w:tcPr>
          <w:p w14:paraId="418FBE97">
            <w:pPr>
              <w:pStyle w:val="13"/>
              <w:ind w:firstLine="0" w:firstLineChars="0"/>
              <w:rPr>
                <w:rFonts w:cs="Times New Roman"/>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4AA98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045ACA56">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2A10E5C4">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二氧化硫</w:t>
            </w:r>
          </w:p>
        </w:tc>
        <w:tc>
          <w:tcPr>
            <w:tcW w:w="1598" w:type="dxa"/>
            <w:vAlign w:val="center"/>
          </w:tcPr>
          <w:p w14:paraId="654B48BB">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14321526">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6062217A">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2FAB3A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color w:val="000000" w:themeColor="text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4.1216</w:t>
            </w:r>
          </w:p>
        </w:tc>
        <w:tc>
          <w:tcPr>
            <w:tcW w:w="1761" w:type="dxa"/>
            <w:vAlign w:val="center"/>
          </w:tcPr>
          <w:p w14:paraId="56FEC9B7">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078D54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000000" w:themeColor="text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4.1216</w:t>
            </w:r>
          </w:p>
        </w:tc>
        <w:tc>
          <w:tcPr>
            <w:tcW w:w="1223" w:type="dxa"/>
            <w:vAlign w:val="center"/>
          </w:tcPr>
          <w:p w14:paraId="53F3CA6C">
            <w:pPr>
              <w:pStyle w:val="13"/>
              <w:ind w:firstLine="0" w:firstLineChars="0"/>
              <w:rPr>
                <w:rFonts w:eastAsia="黑体" w:cs="Times New Roman"/>
                <w:snapToGrid w:val="0"/>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53A426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4549D58">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1D251C67">
            <w:pPr>
              <w:pStyle w:val="13"/>
              <w:rPr>
                <w:rFonts w:cs="Times New Roman"/>
                <w:color w:val="000000" w:themeColor="text1"/>
                <w:kern w:val="21"/>
                <w:szCs w:val="21"/>
                <w:lang w:bidi="ar"/>
                <w14:textFill>
                  <w14:solidFill>
                    <w14:schemeClr w14:val="tx1"/>
                  </w14:solidFill>
                </w14:textFill>
              </w:rPr>
            </w:pPr>
            <w:r>
              <w:rPr>
                <w:rFonts w:cs="Times New Roman"/>
                <w:snapToGrid w:val="0"/>
                <w:color w:val="000000" w:themeColor="text1"/>
                <w14:textFill>
                  <w14:solidFill>
                    <w14:schemeClr w14:val="tx1"/>
                  </w14:solidFill>
                </w14:textFill>
              </w:rPr>
              <w:t>氮氧化物</w:t>
            </w:r>
          </w:p>
        </w:tc>
        <w:tc>
          <w:tcPr>
            <w:tcW w:w="1598" w:type="dxa"/>
            <w:vAlign w:val="center"/>
          </w:tcPr>
          <w:p w14:paraId="33BF5052">
            <w:pPr>
              <w:pStyle w:val="13"/>
              <w:rPr>
                <w:rFonts w:cs="Times New Roman"/>
                <w:color w:val="000000" w:themeColor="text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4D791668">
            <w:pPr>
              <w:pStyle w:val="13"/>
              <w:rPr>
                <w:rFonts w:cs="Times New Roman"/>
                <w:color w:val="000000" w:themeColor="text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95D6B99">
            <w:pPr>
              <w:pStyle w:val="13"/>
              <w:rPr>
                <w:rFonts w:cs="Times New Roman"/>
                <w:color w:val="000000" w:themeColor="text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4FF5A1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color w:val="000000" w:themeColor="text1"/>
                <w:szCs w:val="21"/>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8.9856</w:t>
            </w:r>
          </w:p>
        </w:tc>
        <w:tc>
          <w:tcPr>
            <w:tcW w:w="1761" w:type="dxa"/>
            <w:vAlign w:val="center"/>
          </w:tcPr>
          <w:p w14:paraId="1D51D6AB">
            <w:pPr>
              <w:pStyle w:val="13"/>
              <w:rPr>
                <w:rFonts w:cs="Times New Roman"/>
                <w:color w:val="000000" w:themeColor="text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67A522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000000" w:themeColor="text1"/>
                <w:szCs w:val="21"/>
                <w:lang w:val="en-US"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8.9856</w:t>
            </w:r>
          </w:p>
        </w:tc>
        <w:tc>
          <w:tcPr>
            <w:tcW w:w="1223" w:type="dxa"/>
            <w:vAlign w:val="center"/>
          </w:tcPr>
          <w:p w14:paraId="451F0F8B">
            <w:pPr>
              <w:pStyle w:val="13"/>
              <w:ind w:firstLine="0" w:firstLineChars="0"/>
              <w:rPr>
                <w:rFonts w:cs="Times New Roman"/>
                <w:color w:val="000000" w:themeColor="text1"/>
                <w:kern w:val="21"/>
                <w:szCs w:val="2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23F39A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7719002">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386F0CBD">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氟化物</w:t>
            </w:r>
          </w:p>
        </w:tc>
        <w:tc>
          <w:tcPr>
            <w:tcW w:w="1598" w:type="dxa"/>
            <w:vAlign w:val="center"/>
          </w:tcPr>
          <w:p w14:paraId="6A2199C8">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7311DAD5">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22A0EED8">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45FDB9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等线" w:cs="Times New Roman"/>
                <w:color w:val="000000" w:themeColor="text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0.0646</w:t>
            </w:r>
          </w:p>
        </w:tc>
        <w:tc>
          <w:tcPr>
            <w:tcW w:w="1761" w:type="dxa"/>
            <w:vAlign w:val="center"/>
          </w:tcPr>
          <w:p w14:paraId="4BE6B8FB">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487B4F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等线" w:cs="Times New Roman"/>
                <w:color w:val="000000" w:themeColor="text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0.0646</w:t>
            </w:r>
          </w:p>
        </w:tc>
        <w:tc>
          <w:tcPr>
            <w:tcW w:w="1223" w:type="dxa"/>
            <w:vAlign w:val="center"/>
          </w:tcPr>
          <w:p w14:paraId="463B42DF">
            <w:pPr>
              <w:pStyle w:val="13"/>
              <w:ind w:firstLine="0" w:firstLineChars="0"/>
              <w:rPr>
                <w:rFonts w:eastAsia="等线" w:cs="Times New Roman"/>
                <w:color w:val="000000" w:themeColor="text1"/>
                <w:szCs w:val="21"/>
                <w14:textFill>
                  <w14:solidFill>
                    <w14:schemeClr w14:val="tx1"/>
                  </w14:solidFill>
                </w14:textFill>
              </w:rPr>
            </w:pPr>
          </w:p>
        </w:tc>
      </w:tr>
      <w:tr w14:paraId="225D00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09BEA533">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12527D44">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氯化物</w:t>
            </w:r>
          </w:p>
        </w:tc>
        <w:tc>
          <w:tcPr>
            <w:tcW w:w="1598" w:type="dxa"/>
            <w:vAlign w:val="center"/>
          </w:tcPr>
          <w:p w14:paraId="579D4AA1">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23660A72">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5A3EB58B">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5122F9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0.7455</w:t>
            </w:r>
          </w:p>
        </w:tc>
        <w:tc>
          <w:tcPr>
            <w:tcW w:w="1761" w:type="dxa"/>
            <w:vAlign w:val="center"/>
          </w:tcPr>
          <w:p w14:paraId="064BF3C6">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438E6C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0.7455</w:t>
            </w:r>
          </w:p>
        </w:tc>
        <w:tc>
          <w:tcPr>
            <w:tcW w:w="1223" w:type="dxa"/>
            <w:vAlign w:val="center"/>
          </w:tcPr>
          <w:p w14:paraId="7D2C5426">
            <w:pPr>
              <w:pStyle w:val="13"/>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w:t>
            </w:r>
          </w:p>
        </w:tc>
      </w:tr>
      <w:tr w14:paraId="24E47E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5115DE43">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5590119F">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二噁英类</w:t>
            </w:r>
          </w:p>
        </w:tc>
        <w:tc>
          <w:tcPr>
            <w:tcW w:w="1598" w:type="dxa"/>
            <w:vAlign w:val="center"/>
          </w:tcPr>
          <w:p w14:paraId="3205AB14">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04D3CD05">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3E378B10">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6BD337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等线" w:cs="Times New Roman"/>
                <w:color w:val="000000" w:themeColor="text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1.15E-08</w:t>
            </w:r>
          </w:p>
        </w:tc>
        <w:tc>
          <w:tcPr>
            <w:tcW w:w="1761" w:type="dxa"/>
            <w:vAlign w:val="center"/>
          </w:tcPr>
          <w:p w14:paraId="3B77D2AC">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155C32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eastAsia="等线" w:cs="Times New Roman"/>
                <w:color w:val="000000" w:themeColor="text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1.15E-08</w:t>
            </w:r>
          </w:p>
        </w:tc>
        <w:tc>
          <w:tcPr>
            <w:tcW w:w="1223" w:type="dxa"/>
            <w:vAlign w:val="center"/>
          </w:tcPr>
          <w:p w14:paraId="58B4E01B">
            <w:pPr>
              <w:pStyle w:val="13"/>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w:t>
            </w:r>
          </w:p>
        </w:tc>
      </w:tr>
      <w:tr w14:paraId="5A51F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B6762F9">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7E9300D5">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VOCs</w:t>
            </w:r>
          </w:p>
        </w:tc>
        <w:tc>
          <w:tcPr>
            <w:tcW w:w="1598" w:type="dxa"/>
            <w:vAlign w:val="center"/>
          </w:tcPr>
          <w:p w14:paraId="7D758655">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60AB563D">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4D4FACA8">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5AF672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3.3895</w:t>
            </w:r>
          </w:p>
        </w:tc>
        <w:tc>
          <w:tcPr>
            <w:tcW w:w="1761" w:type="dxa"/>
            <w:vAlign w:val="center"/>
          </w:tcPr>
          <w:p w14:paraId="780A59C7">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725849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3.3895</w:t>
            </w:r>
          </w:p>
        </w:tc>
        <w:tc>
          <w:tcPr>
            <w:tcW w:w="1223" w:type="dxa"/>
            <w:vAlign w:val="center"/>
          </w:tcPr>
          <w:p w14:paraId="0D5C5A4B">
            <w:pPr>
              <w:pStyle w:val="13"/>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w:t>
            </w:r>
          </w:p>
        </w:tc>
      </w:tr>
      <w:tr w14:paraId="7D366D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E87B699">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33CAE894">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汞</w:t>
            </w:r>
          </w:p>
        </w:tc>
        <w:tc>
          <w:tcPr>
            <w:tcW w:w="1598" w:type="dxa"/>
            <w:vAlign w:val="center"/>
          </w:tcPr>
          <w:p w14:paraId="66582F1C">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16232344">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718D9E7E">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707315CD">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1.02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E-06</w:t>
            </w:r>
          </w:p>
        </w:tc>
        <w:tc>
          <w:tcPr>
            <w:tcW w:w="1761" w:type="dxa"/>
            <w:vAlign w:val="center"/>
          </w:tcPr>
          <w:p w14:paraId="671A9424">
            <w:pPr>
              <w:pStyle w:val="13"/>
              <w:rPr>
                <w:rFonts w:hint="eastAsia" w:cs="Times New Roman"/>
                <w:snapToGrid w:val="0"/>
                <w:color w:val="000000" w:themeColor="text1"/>
                <w:lang w:val="en-US" w:eastAsia="zh-CN"/>
                <w14:textFill>
                  <w14:solidFill>
                    <w14:schemeClr w14:val="tx1"/>
                  </w14:solidFill>
                </w14:textFill>
              </w:rPr>
            </w:pPr>
          </w:p>
        </w:tc>
        <w:tc>
          <w:tcPr>
            <w:tcW w:w="1562" w:type="dxa"/>
            <w:vAlign w:val="center"/>
          </w:tcPr>
          <w:p w14:paraId="459621D9">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cs="Times New Roman"/>
                <w:i w:val="0"/>
                <w:iCs w:val="0"/>
                <w:color w:val="000000" w:themeColor="text1"/>
                <w:kern w:val="0"/>
                <w:sz w:val="21"/>
                <w:szCs w:val="21"/>
                <w:u w:val="none"/>
                <w:lang w:val="en-US" w:eastAsia="zh-CN" w:bidi="ar"/>
                <w14:textFill>
                  <w14:solidFill>
                    <w14:schemeClr w14:val="tx1"/>
                  </w14:solidFill>
                </w14:textFill>
              </w:rPr>
              <w:t>02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E-06</w:t>
            </w:r>
          </w:p>
        </w:tc>
        <w:tc>
          <w:tcPr>
            <w:tcW w:w="1223" w:type="dxa"/>
            <w:vAlign w:val="center"/>
          </w:tcPr>
          <w:p w14:paraId="5D1F4F31">
            <w:pPr>
              <w:pStyle w:val="13"/>
              <w:ind w:firstLine="0" w:firstLineChars="0"/>
              <w:rPr>
                <w:rFonts w:hint="eastAsia" w:eastAsia="等线" w:cs="Times New Roman"/>
                <w:color w:val="000000" w:themeColor="text1"/>
                <w:szCs w:val="21"/>
                <w:lang w:val="en-US" w:eastAsia="zh-CN"/>
                <w14:textFill>
                  <w14:solidFill>
                    <w14:schemeClr w14:val="tx1"/>
                  </w14:solidFill>
                </w14:textFill>
              </w:rPr>
            </w:pPr>
          </w:p>
        </w:tc>
      </w:tr>
      <w:tr w14:paraId="49F013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BB2808F">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6FEB95F2">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铅</w:t>
            </w:r>
          </w:p>
        </w:tc>
        <w:tc>
          <w:tcPr>
            <w:tcW w:w="1598" w:type="dxa"/>
            <w:vAlign w:val="center"/>
          </w:tcPr>
          <w:p w14:paraId="5EBF3971">
            <w:pPr>
              <w:pStyle w:val="13"/>
              <w:ind w:firstLine="0" w:firstLineChars="0"/>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009C918B">
            <w:pPr>
              <w:pStyle w:val="13"/>
              <w:ind w:firstLine="0" w:firstLineChars="0"/>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68FA3A1E">
            <w:pPr>
              <w:pStyle w:val="13"/>
              <w:ind w:firstLine="0" w:firstLineChars="0"/>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00BAC191">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9.48E-08</w:t>
            </w:r>
          </w:p>
        </w:tc>
        <w:tc>
          <w:tcPr>
            <w:tcW w:w="1761" w:type="dxa"/>
            <w:vAlign w:val="center"/>
          </w:tcPr>
          <w:p w14:paraId="6F3E9FAC">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0552F95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9.48E-08</w:t>
            </w:r>
          </w:p>
        </w:tc>
        <w:tc>
          <w:tcPr>
            <w:tcW w:w="1223" w:type="dxa"/>
            <w:vAlign w:val="center"/>
          </w:tcPr>
          <w:p w14:paraId="177955BA">
            <w:pPr>
              <w:pStyle w:val="13"/>
              <w:ind w:firstLine="0" w:firstLineChars="0"/>
              <w:rPr>
                <w:rFonts w:hint="default"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w:t>
            </w:r>
          </w:p>
        </w:tc>
      </w:tr>
      <w:tr w14:paraId="5C7536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77C7ED5E">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1A3E2299">
            <w:pPr>
              <w:pStyle w:val="13"/>
              <w:rPr>
                <w:rFonts w:hint="eastAsia" w:cs="Times New Roman"/>
                <w:snapToGrid w:val="0"/>
                <w:color w:val="000000" w:themeColor="text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镉、铊</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p>
        </w:tc>
        <w:tc>
          <w:tcPr>
            <w:tcW w:w="1598" w:type="dxa"/>
            <w:vAlign w:val="center"/>
          </w:tcPr>
          <w:p w14:paraId="13AEF346">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2B9266A0">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73A49AF5">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612148D3">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cs="Times New Roman"/>
                <w:i w:val="0"/>
                <w:iCs w:val="0"/>
                <w:color w:val="000000" w:themeColor="text1"/>
                <w:kern w:val="0"/>
                <w:sz w:val="21"/>
                <w:szCs w:val="21"/>
                <w:u w:val="none"/>
                <w:lang w:val="en-US" w:eastAsia="zh-CN" w:bidi="ar"/>
                <w14:textFill>
                  <w14:solidFill>
                    <w14:schemeClr w14:val="tx1"/>
                  </w14:solidFill>
                </w14:textFill>
              </w:rPr>
              <w:t>32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E-08</w:t>
            </w:r>
          </w:p>
        </w:tc>
        <w:tc>
          <w:tcPr>
            <w:tcW w:w="1761" w:type="dxa"/>
            <w:vAlign w:val="center"/>
          </w:tcPr>
          <w:p w14:paraId="6412B4C7">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2041D7F4">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cs="Times New Roman"/>
                <w:i w:val="0"/>
                <w:iCs w:val="0"/>
                <w:color w:val="000000" w:themeColor="text1"/>
                <w:kern w:val="0"/>
                <w:sz w:val="21"/>
                <w:szCs w:val="21"/>
                <w:u w:val="none"/>
                <w:lang w:val="en-US" w:eastAsia="zh-CN" w:bidi="ar"/>
                <w14:textFill>
                  <w14:solidFill>
                    <w14:schemeClr w14:val="tx1"/>
                  </w14:solidFill>
                </w14:textFill>
              </w:rPr>
              <w:t>.32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E-08</w:t>
            </w:r>
          </w:p>
        </w:tc>
        <w:tc>
          <w:tcPr>
            <w:tcW w:w="1223" w:type="dxa"/>
            <w:vAlign w:val="center"/>
          </w:tcPr>
          <w:p w14:paraId="6FADE6C1">
            <w:pPr>
              <w:pStyle w:val="13"/>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r>
      <w:tr w14:paraId="238C49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AC0391E">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65CE6715">
            <w:pPr>
              <w:pStyle w:val="13"/>
              <w:rPr>
                <w:rFonts w:hint="eastAsia" w:cs="Times New Roman"/>
                <w:snapToGrid w:val="0"/>
                <w:color w:val="000000" w:themeColor="text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锑、砷、铅、铬、钴、铜、锰、镍</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p>
        </w:tc>
        <w:tc>
          <w:tcPr>
            <w:tcW w:w="1598" w:type="dxa"/>
            <w:vAlign w:val="center"/>
          </w:tcPr>
          <w:p w14:paraId="62BB59BC">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6E4A16CA">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41E8B6ED">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07B5BB8C">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5.49</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E-07</w:t>
            </w:r>
          </w:p>
        </w:tc>
        <w:tc>
          <w:tcPr>
            <w:tcW w:w="1761" w:type="dxa"/>
            <w:vAlign w:val="center"/>
          </w:tcPr>
          <w:p w14:paraId="22535B3F">
            <w:pPr>
              <w:pStyle w:val="13"/>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36C9C1AC">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5.49</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E-07</w:t>
            </w:r>
          </w:p>
        </w:tc>
        <w:tc>
          <w:tcPr>
            <w:tcW w:w="1223" w:type="dxa"/>
            <w:vAlign w:val="center"/>
          </w:tcPr>
          <w:p w14:paraId="2DE4169E">
            <w:pPr>
              <w:pStyle w:val="13"/>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r>
      <w:tr w14:paraId="423BEA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158321A5">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废水</w:t>
            </w:r>
          </w:p>
        </w:tc>
        <w:tc>
          <w:tcPr>
            <w:tcW w:w="1520" w:type="dxa"/>
            <w:vAlign w:val="center"/>
          </w:tcPr>
          <w:p w14:paraId="62AE804B">
            <w:pPr>
              <w:pStyle w:val="13"/>
              <w:rPr>
                <w:rFonts w:cs="Times New Roman"/>
                <w:color w:val="000000" w:themeColor="text1"/>
                <w:kern w:val="21"/>
                <w:szCs w:val="21"/>
                <w:lang w:bidi="ar"/>
                <w14:textFill>
                  <w14:solidFill>
                    <w14:schemeClr w14:val="tx1"/>
                  </w14:solidFill>
                </w14:textFill>
              </w:rPr>
            </w:pPr>
            <w:r>
              <w:rPr>
                <w:rFonts w:cs="Times New Roman"/>
                <w:color w:val="000000" w:themeColor="text1"/>
                <w:kern w:val="21"/>
                <w:szCs w:val="21"/>
                <w:lang w:bidi="ar"/>
                <w14:textFill>
                  <w14:solidFill>
                    <w14:schemeClr w14:val="tx1"/>
                  </w14:solidFill>
                </w14:textFill>
              </w:rPr>
              <w:t>废水量</w:t>
            </w:r>
          </w:p>
        </w:tc>
        <w:tc>
          <w:tcPr>
            <w:tcW w:w="1598" w:type="dxa"/>
            <w:vAlign w:val="center"/>
          </w:tcPr>
          <w:p w14:paraId="5B7CB6C7">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5A7CE1F5">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03F562E7">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77DFE4CC">
            <w:pPr>
              <w:pStyle w:val="13"/>
              <w:rPr>
                <w:rFonts w:hint="default"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772.2</w:t>
            </w:r>
          </w:p>
        </w:tc>
        <w:tc>
          <w:tcPr>
            <w:tcW w:w="1761" w:type="dxa"/>
            <w:vAlign w:val="center"/>
          </w:tcPr>
          <w:p w14:paraId="63595EBE">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769489F1">
            <w:pPr>
              <w:pStyle w:val="13"/>
              <w:ind w:firstLine="0" w:firstLineChars="0"/>
              <w:rPr>
                <w:rFonts w:cs="Times New Roman"/>
                <w:color w:val="000000" w:themeColor="text1"/>
                <w:szCs w:val="21"/>
                <w:lang w:bidi="ar"/>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772.2</w:t>
            </w:r>
          </w:p>
        </w:tc>
        <w:tc>
          <w:tcPr>
            <w:tcW w:w="1223" w:type="dxa"/>
            <w:vAlign w:val="center"/>
          </w:tcPr>
          <w:p w14:paraId="3B7CEA79">
            <w:pPr>
              <w:pStyle w:val="13"/>
              <w:ind w:firstLine="0" w:firstLineChars="0"/>
              <w:rPr>
                <w:rFonts w:cs="Times New Roman"/>
                <w:color w:val="000000" w:themeColor="text1"/>
                <w:szCs w:val="2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421AA1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5B6EA89A">
            <w:pPr>
              <w:pStyle w:val="13"/>
              <w:rPr>
                <w:rFonts w:cs="Times New Roman"/>
                <w:snapToGrid w:val="0"/>
                <w:color w:val="000000" w:themeColor="text1"/>
                <w14:textFill>
                  <w14:solidFill>
                    <w14:schemeClr w14:val="tx1"/>
                  </w14:solidFill>
                </w14:textFill>
              </w:rPr>
            </w:pPr>
          </w:p>
        </w:tc>
        <w:tc>
          <w:tcPr>
            <w:tcW w:w="1520" w:type="dxa"/>
            <w:vAlign w:val="center"/>
          </w:tcPr>
          <w:p w14:paraId="3F46FF86">
            <w:pPr>
              <w:pStyle w:val="13"/>
              <w:rPr>
                <w:rFonts w:cs="Times New Roman"/>
                <w:color w:val="000000" w:themeColor="text1"/>
                <w:kern w:val="21"/>
                <w:szCs w:val="21"/>
                <w14:textFill>
                  <w14:solidFill>
                    <w14:schemeClr w14:val="tx1"/>
                  </w14:solidFill>
                </w14:textFill>
              </w:rPr>
            </w:pPr>
            <w:r>
              <w:rPr>
                <w:rFonts w:cs="Times New Roman"/>
                <w:color w:val="000000" w:themeColor="text1"/>
                <w:kern w:val="21"/>
                <w:szCs w:val="21"/>
                <w:lang w:bidi="ar"/>
                <w14:textFill>
                  <w14:solidFill>
                    <w14:schemeClr w14:val="tx1"/>
                  </w14:solidFill>
                </w14:textFill>
              </w:rPr>
              <w:t>COD</w:t>
            </w:r>
          </w:p>
        </w:tc>
        <w:tc>
          <w:tcPr>
            <w:tcW w:w="1598" w:type="dxa"/>
            <w:vAlign w:val="center"/>
          </w:tcPr>
          <w:p w14:paraId="21C5A0E2">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35B9B27A">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000CAE3">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297434C4">
            <w:pPr>
              <w:widowControl/>
              <w:spacing w:line="240" w:lineRule="auto"/>
              <w:ind w:firstLine="0" w:firstLineChars="0"/>
              <w:jc w:val="center"/>
              <w:rPr>
                <w:rFonts w:hint="default" w:eastAsia="宋体" w:cs="Times New Roman"/>
                <w:color w:val="000000" w:themeColor="text1"/>
                <w:kern w:val="21"/>
                <w:sz w:val="21"/>
                <w:szCs w:val="18"/>
                <w:lang w:val="en-US" w:eastAsia="zh-CN"/>
                <w14:textFill>
                  <w14:solidFill>
                    <w14:schemeClr w14:val="tx1"/>
                  </w14:solidFill>
                </w14:textFill>
              </w:rPr>
            </w:pPr>
            <w:r>
              <w:rPr>
                <w:rFonts w:hint="eastAsia" w:cs="Times New Roman"/>
                <w:color w:val="000000" w:themeColor="text1"/>
                <w:kern w:val="21"/>
                <w:sz w:val="21"/>
                <w:szCs w:val="18"/>
                <w:lang w:val="en-US" w:eastAsia="zh-CN"/>
                <w14:textFill>
                  <w14:solidFill>
                    <w14:schemeClr w14:val="tx1"/>
                  </w14:solidFill>
                </w14:textFill>
              </w:rPr>
              <w:t>0.3861</w:t>
            </w:r>
          </w:p>
        </w:tc>
        <w:tc>
          <w:tcPr>
            <w:tcW w:w="1761" w:type="dxa"/>
            <w:vAlign w:val="center"/>
          </w:tcPr>
          <w:p w14:paraId="6A1915EC">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5F6AECF4">
            <w:pPr>
              <w:widowControl/>
              <w:spacing w:line="240" w:lineRule="auto"/>
              <w:ind w:firstLine="0" w:firstLineChars="0"/>
              <w:jc w:val="center"/>
              <w:rPr>
                <w:rFonts w:cs="Times New Roman"/>
                <w:color w:val="000000" w:themeColor="text1"/>
                <w:kern w:val="21"/>
                <w:szCs w:val="21"/>
                <w14:textFill>
                  <w14:solidFill>
                    <w14:schemeClr w14:val="tx1"/>
                  </w14:solidFill>
                </w14:textFill>
              </w:rPr>
            </w:pPr>
            <w:r>
              <w:rPr>
                <w:rFonts w:hint="eastAsia" w:cs="Times New Roman"/>
                <w:color w:val="000000" w:themeColor="text1"/>
                <w:kern w:val="21"/>
                <w:sz w:val="21"/>
                <w:szCs w:val="18"/>
                <w:lang w:val="en-US" w:eastAsia="zh-CN"/>
                <w14:textFill>
                  <w14:solidFill>
                    <w14:schemeClr w14:val="tx1"/>
                  </w14:solidFill>
                </w14:textFill>
              </w:rPr>
              <w:t>0.3861</w:t>
            </w:r>
          </w:p>
        </w:tc>
        <w:tc>
          <w:tcPr>
            <w:tcW w:w="1223" w:type="dxa"/>
            <w:vAlign w:val="center"/>
          </w:tcPr>
          <w:p w14:paraId="24112DE6">
            <w:pPr>
              <w:pStyle w:val="13"/>
              <w:ind w:firstLine="0" w:firstLineChars="0"/>
              <w:rPr>
                <w:rFonts w:cs="Times New Roman"/>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169E0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4889FA38">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32771814">
            <w:pPr>
              <w:pStyle w:val="13"/>
              <w:rPr>
                <w:rFonts w:cs="Times New Roman"/>
                <w:color w:val="000000" w:themeColor="text1"/>
                <w:kern w:val="21"/>
                <w:szCs w:val="21"/>
                <w14:textFill>
                  <w14:solidFill>
                    <w14:schemeClr w14:val="tx1"/>
                  </w14:solidFill>
                </w14:textFill>
              </w:rPr>
            </w:pPr>
            <w:r>
              <w:rPr>
                <w:rFonts w:cs="Times New Roman"/>
                <w:color w:val="000000" w:themeColor="text1"/>
                <w:kern w:val="21"/>
                <w:szCs w:val="21"/>
                <w:lang w:bidi="ar"/>
                <w14:textFill>
                  <w14:solidFill>
                    <w14:schemeClr w14:val="tx1"/>
                  </w14:solidFill>
                </w14:textFill>
              </w:rPr>
              <w:t>氨氮</w:t>
            </w:r>
          </w:p>
        </w:tc>
        <w:tc>
          <w:tcPr>
            <w:tcW w:w="1598" w:type="dxa"/>
            <w:vAlign w:val="center"/>
          </w:tcPr>
          <w:p w14:paraId="1DE37FA6">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3BA4C89D">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BB1098D">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11C829E3">
            <w:pPr>
              <w:widowControl/>
              <w:spacing w:line="240" w:lineRule="auto"/>
              <w:ind w:firstLine="0" w:firstLineChars="0"/>
              <w:jc w:val="center"/>
              <w:rPr>
                <w:rFonts w:hint="default" w:eastAsia="宋体" w:cs="Times New Roman"/>
                <w:color w:val="000000" w:themeColor="text1"/>
                <w:kern w:val="21"/>
                <w:sz w:val="21"/>
                <w:szCs w:val="18"/>
                <w:lang w:val="en-US" w:eastAsia="zh-CN"/>
                <w14:textFill>
                  <w14:solidFill>
                    <w14:schemeClr w14:val="tx1"/>
                  </w14:solidFill>
                </w14:textFill>
              </w:rPr>
            </w:pPr>
            <w:r>
              <w:rPr>
                <w:rFonts w:hint="eastAsia" w:cs="Times New Roman"/>
                <w:color w:val="000000" w:themeColor="text1"/>
                <w:kern w:val="21"/>
                <w:sz w:val="21"/>
                <w:szCs w:val="18"/>
                <w:lang w:val="en-US" w:eastAsia="zh-CN"/>
                <w14:textFill>
                  <w14:solidFill>
                    <w14:schemeClr w14:val="tx1"/>
                  </w14:solidFill>
                </w14:textFill>
              </w:rPr>
              <w:t>0.0347</w:t>
            </w:r>
          </w:p>
        </w:tc>
        <w:tc>
          <w:tcPr>
            <w:tcW w:w="1761" w:type="dxa"/>
            <w:vAlign w:val="center"/>
          </w:tcPr>
          <w:p w14:paraId="46FB9DC4">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3DE039CD">
            <w:pPr>
              <w:widowControl/>
              <w:spacing w:line="240" w:lineRule="auto"/>
              <w:ind w:firstLine="0" w:firstLineChars="0"/>
              <w:jc w:val="center"/>
              <w:rPr>
                <w:rFonts w:hint="default" w:cs="Times New Roman"/>
                <w:color w:val="000000" w:themeColor="text1"/>
                <w:kern w:val="21"/>
                <w:szCs w:val="21"/>
                <w:lang w:val="en-US"/>
                <w14:textFill>
                  <w14:solidFill>
                    <w14:schemeClr w14:val="tx1"/>
                  </w14:solidFill>
                </w14:textFill>
              </w:rPr>
            </w:pPr>
            <w:r>
              <w:rPr>
                <w:rFonts w:hint="eastAsia" w:cs="Times New Roman"/>
                <w:color w:val="000000" w:themeColor="text1"/>
                <w:kern w:val="21"/>
                <w:sz w:val="21"/>
                <w:szCs w:val="18"/>
                <w:lang w:val="en-US" w:eastAsia="zh-CN"/>
                <w14:textFill>
                  <w14:solidFill>
                    <w14:schemeClr w14:val="tx1"/>
                  </w14:solidFill>
                </w14:textFill>
              </w:rPr>
              <w:t>0.0347</w:t>
            </w:r>
          </w:p>
        </w:tc>
        <w:tc>
          <w:tcPr>
            <w:tcW w:w="1223" w:type="dxa"/>
            <w:vAlign w:val="center"/>
          </w:tcPr>
          <w:p w14:paraId="5E163FE4">
            <w:pPr>
              <w:pStyle w:val="13"/>
              <w:ind w:firstLine="0" w:firstLineChars="0"/>
              <w:rPr>
                <w:rFonts w:cs="Times New Roman"/>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51AAC2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A8AF4A7">
            <w:pPr>
              <w:pStyle w:val="13"/>
              <w:rPr>
                <w:rFonts w:cs="Times New Roman"/>
                <w:snapToGrid w:val="0"/>
                <w:color w:val="000000" w:themeColor="text1"/>
                <w:kern w:val="21"/>
                <w:sz w:val="24"/>
                <w14:textFill>
                  <w14:solidFill>
                    <w14:schemeClr w14:val="tx1"/>
                  </w14:solidFill>
                </w14:textFill>
              </w:rPr>
            </w:pPr>
          </w:p>
        </w:tc>
        <w:tc>
          <w:tcPr>
            <w:tcW w:w="1520" w:type="dxa"/>
            <w:vAlign w:val="center"/>
          </w:tcPr>
          <w:p w14:paraId="4342908B">
            <w:pPr>
              <w:pStyle w:val="13"/>
              <w:rPr>
                <w:rFonts w:hint="eastAsia" w:eastAsia="宋体" w:cs="Times New Roman"/>
                <w:color w:val="000000" w:themeColor="text1"/>
                <w:kern w:val="21"/>
                <w:szCs w:val="21"/>
                <w:lang w:val="en-US" w:eastAsia="zh-CN" w:bidi="ar"/>
                <w14:textFill>
                  <w14:solidFill>
                    <w14:schemeClr w14:val="tx1"/>
                  </w14:solidFill>
                </w14:textFill>
              </w:rPr>
            </w:pPr>
            <w:r>
              <w:rPr>
                <w:rFonts w:hint="eastAsia" w:cs="Times New Roman"/>
                <w:color w:val="000000" w:themeColor="text1"/>
                <w:kern w:val="21"/>
                <w:szCs w:val="21"/>
                <w:lang w:val="en-US" w:eastAsia="zh-CN" w:bidi="ar"/>
                <w14:textFill>
                  <w14:solidFill>
                    <w14:schemeClr w14:val="tx1"/>
                  </w14:solidFill>
                </w14:textFill>
              </w:rPr>
              <w:t>总磷</w:t>
            </w:r>
          </w:p>
        </w:tc>
        <w:tc>
          <w:tcPr>
            <w:tcW w:w="1598" w:type="dxa"/>
            <w:vAlign w:val="center"/>
          </w:tcPr>
          <w:p w14:paraId="48DFCEC5">
            <w:pPr>
              <w:pStyle w:val="13"/>
              <w:rPr>
                <w:rFonts w:cs="Times New Roman"/>
                <w:snapToGrid w:val="0"/>
                <w:color w:val="000000" w:themeColor="text1"/>
                <w14:textFill>
                  <w14:solidFill>
                    <w14:schemeClr w14:val="tx1"/>
                  </w14:solidFill>
                </w14:textFill>
              </w:rPr>
            </w:pPr>
          </w:p>
        </w:tc>
        <w:tc>
          <w:tcPr>
            <w:tcW w:w="1276" w:type="dxa"/>
            <w:vAlign w:val="center"/>
          </w:tcPr>
          <w:p w14:paraId="662F8D2E">
            <w:pPr>
              <w:pStyle w:val="13"/>
              <w:rPr>
                <w:rFonts w:cs="Times New Roman"/>
                <w:snapToGrid w:val="0"/>
                <w:color w:val="000000" w:themeColor="text1"/>
                <w14:textFill>
                  <w14:solidFill>
                    <w14:schemeClr w14:val="tx1"/>
                  </w14:solidFill>
                </w14:textFill>
              </w:rPr>
            </w:pPr>
          </w:p>
        </w:tc>
        <w:tc>
          <w:tcPr>
            <w:tcW w:w="1701" w:type="dxa"/>
            <w:vAlign w:val="center"/>
          </w:tcPr>
          <w:p w14:paraId="10F04DC2">
            <w:pPr>
              <w:pStyle w:val="13"/>
              <w:rPr>
                <w:rFonts w:cs="Times New Roman"/>
                <w:snapToGrid w:val="0"/>
                <w:color w:val="000000" w:themeColor="text1"/>
                <w14:textFill>
                  <w14:solidFill>
                    <w14:schemeClr w14:val="tx1"/>
                  </w14:solidFill>
                </w14:textFill>
              </w:rPr>
            </w:pPr>
          </w:p>
        </w:tc>
        <w:tc>
          <w:tcPr>
            <w:tcW w:w="1559" w:type="dxa"/>
            <w:vAlign w:val="center"/>
          </w:tcPr>
          <w:p w14:paraId="072A545A">
            <w:pPr>
              <w:widowControl/>
              <w:spacing w:line="240" w:lineRule="auto"/>
              <w:ind w:firstLine="0" w:firstLineChars="0"/>
              <w:jc w:val="center"/>
              <w:rPr>
                <w:rFonts w:hint="default" w:eastAsia="等线" w:cs="Times New Roman"/>
                <w:color w:val="000000" w:themeColor="text1"/>
                <w:sz w:val="21"/>
                <w:szCs w:val="21"/>
                <w:lang w:val="en-US" w:eastAsia="zh-CN"/>
                <w14:textFill>
                  <w14:solidFill>
                    <w14:schemeClr w14:val="tx1"/>
                  </w14:solidFill>
                </w14:textFill>
              </w:rPr>
            </w:pPr>
            <w:r>
              <w:rPr>
                <w:rFonts w:hint="eastAsia" w:eastAsia="等线" w:cs="Times New Roman"/>
                <w:color w:val="000000" w:themeColor="text1"/>
                <w:sz w:val="21"/>
                <w:szCs w:val="21"/>
                <w:lang w:val="en-US" w:eastAsia="zh-CN"/>
                <w14:textFill>
                  <w14:solidFill>
                    <w14:schemeClr w14:val="tx1"/>
                  </w14:solidFill>
                </w14:textFill>
              </w:rPr>
              <w:t>0.0062</w:t>
            </w:r>
          </w:p>
        </w:tc>
        <w:tc>
          <w:tcPr>
            <w:tcW w:w="1761" w:type="dxa"/>
            <w:vAlign w:val="center"/>
          </w:tcPr>
          <w:p w14:paraId="2736AFD1">
            <w:pPr>
              <w:pStyle w:val="13"/>
              <w:rPr>
                <w:rFonts w:cs="Times New Roman"/>
                <w:snapToGrid w:val="0"/>
                <w:color w:val="000000" w:themeColor="text1"/>
                <w14:textFill>
                  <w14:solidFill>
                    <w14:schemeClr w14:val="tx1"/>
                  </w14:solidFill>
                </w14:textFill>
              </w:rPr>
            </w:pPr>
          </w:p>
        </w:tc>
        <w:tc>
          <w:tcPr>
            <w:tcW w:w="1562" w:type="dxa"/>
            <w:vAlign w:val="center"/>
          </w:tcPr>
          <w:p w14:paraId="17DEDABA">
            <w:pPr>
              <w:widowControl/>
              <w:spacing w:line="240" w:lineRule="auto"/>
              <w:ind w:firstLine="0" w:firstLineChars="0"/>
              <w:jc w:val="center"/>
              <w:rPr>
                <w:rFonts w:eastAsia="等线" w:cs="Times New Roman"/>
                <w:color w:val="000000" w:themeColor="text1"/>
                <w:szCs w:val="21"/>
                <w14:textFill>
                  <w14:solidFill>
                    <w14:schemeClr w14:val="tx1"/>
                  </w14:solidFill>
                </w14:textFill>
              </w:rPr>
            </w:pPr>
            <w:r>
              <w:rPr>
                <w:rFonts w:hint="eastAsia" w:eastAsia="等线" w:cs="Times New Roman"/>
                <w:color w:val="000000" w:themeColor="text1"/>
                <w:sz w:val="21"/>
                <w:szCs w:val="21"/>
                <w:lang w:val="en-US" w:eastAsia="zh-CN"/>
                <w14:textFill>
                  <w14:solidFill>
                    <w14:schemeClr w14:val="tx1"/>
                  </w14:solidFill>
                </w14:textFill>
              </w:rPr>
              <w:t>0.0062</w:t>
            </w:r>
          </w:p>
        </w:tc>
        <w:tc>
          <w:tcPr>
            <w:tcW w:w="1223" w:type="dxa"/>
            <w:vAlign w:val="center"/>
          </w:tcPr>
          <w:p w14:paraId="7BB7FCCE">
            <w:pPr>
              <w:pStyle w:val="13"/>
              <w:ind w:firstLine="0" w:firstLineChars="0"/>
              <w:rPr>
                <w:rFonts w:eastAsia="等线" w:cs="Times New Roman"/>
                <w:color w:val="000000" w:themeColor="text1"/>
                <w:szCs w:val="21"/>
                <w14:textFill>
                  <w14:solidFill>
                    <w14:schemeClr w14:val="tx1"/>
                  </w14:solidFill>
                </w14:textFill>
              </w:rPr>
            </w:pPr>
          </w:p>
        </w:tc>
      </w:tr>
      <w:tr w14:paraId="37C698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Align w:val="center"/>
          </w:tcPr>
          <w:p w14:paraId="54C01C16">
            <w:pPr>
              <w:pStyle w:val="13"/>
              <w:ind w:firstLine="0" w:firstLineChars="0"/>
              <w:rPr>
                <w:rFonts w:hint="default"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生活垃圾</w:t>
            </w:r>
          </w:p>
        </w:tc>
        <w:tc>
          <w:tcPr>
            <w:tcW w:w="1520" w:type="dxa"/>
            <w:shd w:val="clear" w:color="auto" w:fill="auto"/>
            <w:vAlign w:val="center"/>
          </w:tcPr>
          <w:p w14:paraId="69026D7A">
            <w:pPr>
              <w:pStyle w:val="13"/>
              <w:ind w:firstLine="0" w:firstLineChars="0"/>
              <w:rPr>
                <w:rFonts w:ascii="Times New Roman" w:hAnsi="Times New Roman" w:eastAsia="宋体" w:cs="Times New Roman"/>
                <w:bCs/>
                <w:color w:val="000000" w:themeColor="text1"/>
                <w:kern w:val="0"/>
                <w:sz w:val="21"/>
                <w:szCs w:val="24"/>
                <w:lang w:val="zh-CN" w:eastAsia="zh-CN" w:bidi="ar-SA"/>
                <w14:textFill>
                  <w14:solidFill>
                    <w14:schemeClr w14:val="tx1"/>
                  </w14:solidFill>
                </w14:textFill>
              </w:rPr>
            </w:pPr>
            <w:r>
              <w:rPr>
                <w:rFonts w:cs="Times New Roman"/>
                <w:bCs/>
                <w:color w:val="000000" w:themeColor="text1"/>
                <w14:textFill>
                  <w14:solidFill>
                    <w14:schemeClr w14:val="tx1"/>
                  </w14:solidFill>
                </w14:textFill>
              </w:rPr>
              <w:t>生活垃圾</w:t>
            </w:r>
          </w:p>
        </w:tc>
        <w:tc>
          <w:tcPr>
            <w:tcW w:w="1598" w:type="dxa"/>
            <w:vAlign w:val="center"/>
          </w:tcPr>
          <w:p w14:paraId="1D2EDA55">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297AAFC5">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62B5D794">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751C3FC0">
            <w:pPr>
              <w:pStyle w:val="13"/>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w:t>
            </w:r>
          </w:p>
        </w:tc>
        <w:tc>
          <w:tcPr>
            <w:tcW w:w="1761" w:type="dxa"/>
            <w:vAlign w:val="center"/>
          </w:tcPr>
          <w:p w14:paraId="57C693AC">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781C0F1D">
            <w:pPr>
              <w:pStyle w:val="13"/>
              <w:ind w:firstLine="0" w:firstLineChars="0"/>
              <w:rPr>
                <w:rFonts w:hint="default"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w:t>
            </w:r>
          </w:p>
        </w:tc>
        <w:tc>
          <w:tcPr>
            <w:tcW w:w="1223" w:type="dxa"/>
            <w:vAlign w:val="center"/>
          </w:tcPr>
          <w:p w14:paraId="677CBF5F">
            <w:pPr>
              <w:pStyle w:val="13"/>
              <w:ind w:firstLine="0" w:firstLineChars="0"/>
              <w:rPr>
                <w:rFonts w:cs="Times New Roman"/>
                <w:color w:val="000000" w:themeColor="text1"/>
                <w:szCs w:val="2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55E985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13E92D55">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一般工业</w:t>
            </w:r>
          </w:p>
          <w:p w14:paraId="3C8698D5">
            <w:pPr>
              <w:pStyle w:val="13"/>
              <w:rPr>
                <w:rFonts w:cs="Times New Roman"/>
                <w:snapToGrid w:val="0"/>
                <w:color w:val="000000" w:themeColor="text1"/>
                <w:kern w:val="21"/>
                <w:sz w:val="24"/>
                <w14:textFill>
                  <w14:solidFill>
                    <w14:schemeClr w14:val="tx1"/>
                  </w14:solidFill>
                </w14:textFill>
              </w:rPr>
            </w:pPr>
            <w:r>
              <w:rPr>
                <w:rFonts w:cs="Times New Roman"/>
                <w:snapToGrid w:val="0"/>
                <w:color w:val="000000" w:themeColor="text1"/>
                <w14:textFill>
                  <w14:solidFill>
                    <w14:schemeClr w14:val="tx1"/>
                  </w14:solidFill>
                </w14:textFill>
              </w:rPr>
              <w:t>固体</w:t>
            </w:r>
            <w:r>
              <w:rPr>
                <w:rFonts w:hint="eastAsia" w:ascii="Times New Roman" w:hAnsi="Times New Roman" w:eastAsia="宋体" w:cs="Times New Roman"/>
                <w:color w:val="000000" w:themeColor="text1"/>
                <w:kern w:val="21"/>
                <w:lang w:val="en-US" w:eastAsia="zh-CN"/>
                <w14:textFill>
                  <w14:solidFill>
                    <w14:schemeClr w14:val="tx1"/>
                  </w14:solidFill>
                </w14:textFill>
              </w:rPr>
              <w:t>废物</w:t>
            </w:r>
          </w:p>
        </w:tc>
        <w:tc>
          <w:tcPr>
            <w:tcW w:w="1520" w:type="dxa"/>
            <w:shd w:val="clear" w:color="auto" w:fill="auto"/>
            <w:vAlign w:val="center"/>
          </w:tcPr>
          <w:p w14:paraId="5FED009D">
            <w:pPr>
              <w:pStyle w:val="13"/>
              <w:ind w:firstLine="0" w:firstLineChars="0"/>
              <w:rPr>
                <w:rFonts w:hint="default"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废包装</w:t>
            </w:r>
          </w:p>
        </w:tc>
        <w:tc>
          <w:tcPr>
            <w:tcW w:w="1598" w:type="dxa"/>
            <w:vAlign w:val="center"/>
          </w:tcPr>
          <w:p w14:paraId="223D7F86">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2C51EE27">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5E2A2A07">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129B42E9">
            <w:pPr>
              <w:pStyle w:val="13"/>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16.816</w:t>
            </w:r>
          </w:p>
        </w:tc>
        <w:tc>
          <w:tcPr>
            <w:tcW w:w="1761" w:type="dxa"/>
            <w:vAlign w:val="center"/>
          </w:tcPr>
          <w:p w14:paraId="69629B7D">
            <w:pPr>
              <w:pStyle w:val="13"/>
              <w:rPr>
                <w:rFonts w:hint="default" w:eastAsia="黑体" w:cs="Times New Roman"/>
                <w:snapToGrid w:val="0"/>
                <w:color w:val="000000" w:themeColor="text1"/>
                <w:kern w:val="21"/>
                <w:szCs w:val="21"/>
                <w:lang w:val="en-US" w:eastAsia="zh-CN"/>
                <w14:textFill>
                  <w14:solidFill>
                    <w14:schemeClr w14:val="tx1"/>
                  </w14:solidFill>
                </w14:textFill>
              </w:rPr>
            </w:pPr>
            <w:r>
              <w:rPr>
                <w:rFonts w:hint="eastAsia" w:eastAsia="黑体" w:cs="Times New Roman"/>
                <w:snapToGrid w:val="0"/>
                <w:color w:val="000000" w:themeColor="text1"/>
                <w:kern w:val="21"/>
                <w:szCs w:val="21"/>
                <w:lang w:val="en-US" w:eastAsia="zh-CN"/>
                <w14:textFill>
                  <w14:solidFill>
                    <w14:schemeClr w14:val="tx1"/>
                  </w14:solidFill>
                </w14:textFill>
              </w:rPr>
              <w:t>/</w:t>
            </w:r>
          </w:p>
        </w:tc>
        <w:tc>
          <w:tcPr>
            <w:tcW w:w="1562" w:type="dxa"/>
            <w:vAlign w:val="center"/>
          </w:tcPr>
          <w:p w14:paraId="06F4091E">
            <w:pPr>
              <w:pStyle w:val="13"/>
              <w:ind w:firstLine="0" w:firstLineChars="0"/>
              <w:rPr>
                <w:rFonts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16.816</w:t>
            </w:r>
          </w:p>
        </w:tc>
        <w:tc>
          <w:tcPr>
            <w:tcW w:w="1223" w:type="dxa"/>
            <w:vAlign w:val="center"/>
          </w:tcPr>
          <w:p w14:paraId="5B0E7D4B">
            <w:pPr>
              <w:pStyle w:val="13"/>
              <w:ind w:firstLine="0" w:firstLineChars="0"/>
              <w:rPr>
                <w:rFonts w:eastAsia="黑体" w:cs="Times New Roman"/>
                <w:snapToGrid w:val="0"/>
                <w:color w:val="000000" w:themeColor="text1"/>
                <w:kern w:val="21"/>
                <w:szCs w:val="21"/>
                <w14:textFill>
                  <w14:solidFill>
                    <w14:schemeClr w14:val="tx1"/>
                  </w14:solidFill>
                </w14:textFill>
              </w:rPr>
            </w:pPr>
            <w:r>
              <w:rPr>
                <w:rFonts w:hint="eastAsia" w:eastAsia="黑体" w:cs="Times New Roman"/>
                <w:snapToGrid w:val="0"/>
                <w:color w:val="000000" w:themeColor="text1"/>
                <w:kern w:val="21"/>
                <w:szCs w:val="21"/>
                <w:lang w:val="en-US" w:eastAsia="zh-CN"/>
                <w14:textFill>
                  <w14:solidFill>
                    <w14:schemeClr w14:val="tx1"/>
                  </w14:solidFill>
                </w14:textFill>
              </w:rPr>
              <w:t>/</w:t>
            </w:r>
          </w:p>
        </w:tc>
      </w:tr>
      <w:tr w14:paraId="18F43F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7AACD49C">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5365507E">
            <w:pPr>
              <w:pStyle w:val="13"/>
              <w:ind w:firstLine="0" w:firstLineChars="0"/>
              <w:rPr>
                <w:rFonts w:hint="eastAsia" w:ascii="Times New Roman" w:hAnsi="Times New Roman" w:eastAsia="宋体" w:cs="Times New Roman"/>
                <w:bCs/>
                <w:color w:val="000000" w:themeColor="text1"/>
                <w:kern w:val="0"/>
                <w:sz w:val="21"/>
                <w:szCs w:val="24"/>
                <w:lang w:val="zh-CN"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不合格品</w:t>
            </w:r>
          </w:p>
        </w:tc>
        <w:tc>
          <w:tcPr>
            <w:tcW w:w="1598" w:type="dxa"/>
            <w:vAlign w:val="center"/>
          </w:tcPr>
          <w:p w14:paraId="70CDDA4C">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243C7E5C">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FC866DD">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061F0527">
            <w:pPr>
              <w:pStyle w:val="13"/>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2200</w:t>
            </w:r>
          </w:p>
        </w:tc>
        <w:tc>
          <w:tcPr>
            <w:tcW w:w="1761" w:type="dxa"/>
            <w:vAlign w:val="center"/>
          </w:tcPr>
          <w:p w14:paraId="6F156CFA">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24029B6C">
            <w:pPr>
              <w:pStyle w:val="13"/>
              <w:ind w:firstLine="0" w:firstLineChars="0"/>
              <w:rPr>
                <w:rFonts w:hint="default"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2200</w:t>
            </w:r>
          </w:p>
        </w:tc>
        <w:tc>
          <w:tcPr>
            <w:tcW w:w="1223" w:type="dxa"/>
            <w:vAlign w:val="center"/>
          </w:tcPr>
          <w:p w14:paraId="13114798">
            <w:pPr>
              <w:pStyle w:val="13"/>
              <w:ind w:firstLine="0" w:firstLineChars="0"/>
              <w:rPr>
                <w:rFonts w:cs="Times New Roman"/>
                <w:color w:val="000000" w:themeColor="text1"/>
                <w:szCs w:val="2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75D1E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D22BAD8">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6866DF5C">
            <w:pPr>
              <w:pStyle w:val="13"/>
              <w:ind w:firstLine="0" w:firstLineChars="0"/>
              <w:rPr>
                <w:rFonts w:hint="default"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废模具</w:t>
            </w:r>
          </w:p>
        </w:tc>
        <w:tc>
          <w:tcPr>
            <w:tcW w:w="1598" w:type="dxa"/>
            <w:vAlign w:val="center"/>
          </w:tcPr>
          <w:p w14:paraId="4D93C608">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3920F32E">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401DF01F">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5791A8E1">
            <w:pPr>
              <w:pStyle w:val="13"/>
              <w:rPr>
                <w:rFonts w:hint="eastAsia"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w:t>
            </w:r>
          </w:p>
        </w:tc>
        <w:tc>
          <w:tcPr>
            <w:tcW w:w="1761" w:type="dxa"/>
            <w:vAlign w:val="center"/>
          </w:tcPr>
          <w:p w14:paraId="0A08B4DB">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0B0EE55E">
            <w:pPr>
              <w:pStyle w:val="13"/>
              <w:ind w:firstLine="0" w:firstLineChars="0"/>
              <w:rPr>
                <w:rFonts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w:t>
            </w:r>
          </w:p>
        </w:tc>
        <w:tc>
          <w:tcPr>
            <w:tcW w:w="1223" w:type="dxa"/>
            <w:vAlign w:val="center"/>
          </w:tcPr>
          <w:p w14:paraId="5581F647">
            <w:pPr>
              <w:pStyle w:val="13"/>
              <w:ind w:firstLine="0" w:firstLineChars="0"/>
              <w:rPr>
                <w:rFonts w:eastAsia="黑体" w:cs="Times New Roman"/>
                <w:snapToGrid w:val="0"/>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64309F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05676D8">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6019F50A">
            <w:pPr>
              <w:pStyle w:val="13"/>
              <w:ind w:firstLine="0" w:firstLineChars="0"/>
              <w:rPr>
                <w:rFonts w:hint="default" w:ascii="Times New Roman" w:hAnsi="Times New Roman" w:eastAsia="宋体" w:cs="Times New Roman"/>
                <w:color w:val="000000" w:themeColor="text1"/>
                <w:kern w:val="0"/>
                <w:sz w:val="21"/>
                <w:szCs w:val="24"/>
                <w:lang w:val="zh-CN"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旋风除尘器集尘+布袋除尘器1#集尘</w:t>
            </w:r>
          </w:p>
        </w:tc>
        <w:tc>
          <w:tcPr>
            <w:tcW w:w="1598" w:type="dxa"/>
            <w:vAlign w:val="center"/>
          </w:tcPr>
          <w:p w14:paraId="5EDA5FCA">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7A99BC72">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76DF491D">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6F04C65B">
            <w:pPr>
              <w:pStyle w:val="13"/>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33.9795</w:t>
            </w:r>
          </w:p>
        </w:tc>
        <w:tc>
          <w:tcPr>
            <w:tcW w:w="1761" w:type="dxa"/>
            <w:vAlign w:val="center"/>
          </w:tcPr>
          <w:p w14:paraId="253A95C2">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53900154">
            <w:pPr>
              <w:pStyle w:val="13"/>
              <w:ind w:firstLine="0" w:firstLineChars="0"/>
              <w:rPr>
                <w:rFonts w:cs="Times New Roman"/>
                <w:color w:val="000000" w:themeColor="text1"/>
                <w:szCs w:val="21"/>
                <w:lang w:val="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33.9795</w:t>
            </w:r>
          </w:p>
        </w:tc>
        <w:tc>
          <w:tcPr>
            <w:tcW w:w="1223" w:type="dxa"/>
            <w:vAlign w:val="center"/>
          </w:tcPr>
          <w:p w14:paraId="568FC2CA">
            <w:pPr>
              <w:pStyle w:val="13"/>
              <w:ind w:firstLine="0" w:firstLineChars="0"/>
              <w:rPr>
                <w:rFonts w:cs="Times New Roman"/>
                <w:color w:val="000000" w:themeColor="text1"/>
                <w:szCs w:val="2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16E888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875A5BE">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146429CA">
            <w:pPr>
              <w:pStyle w:val="13"/>
              <w:ind w:firstLine="0" w:firstLineChars="0"/>
              <w:rPr>
                <w:rFonts w:hint="default"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初期雨水池污泥</w:t>
            </w:r>
          </w:p>
        </w:tc>
        <w:tc>
          <w:tcPr>
            <w:tcW w:w="1598" w:type="dxa"/>
            <w:vAlign w:val="center"/>
          </w:tcPr>
          <w:p w14:paraId="61A3F3F6">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69D30C71">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6091305A">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3CF8DCB7">
            <w:pPr>
              <w:pStyle w:val="13"/>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0.21</w:t>
            </w:r>
          </w:p>
        </w:tc>
        <w:tc>
          <w:tcPr>
            <w:tcW w:w="1761" w:type="dxa"/>
            <w:vAlign w:val="center"/>
          </w:tcPr>
          <w:p w14:paraId="32382129">
            <w:pPr>
              <w:pStyle w:val="13"/>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2E5D0314">
            <w:pPr>
              <w:pStyle w:val="13"/>
              <w:ind w:firstLine="0" w:firstLineChars="0"/>
              <w:rPr>
                <w:rFonts w:hint="default"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0.21</w:t>
            </w:r>
          </w:p>
        </w:tc>
        <w:tc>
          <w:tcPr>
            <w:tcW w:w="1223" w:type="dxa"/>
            <w:vAlign w:val="center"/>
          </w:tcPr>
          <w:p w14:paraId="414BE04C">
            <w:pPr>
              <w:pStyle w:val="13"/>
              <w:ind w:firstLine="0" w:firstLineChars="0"/>
              <w:rPr>
                <w:rFonts w:cs="Times New Roman"/>
                <w:color w:val="000000" w:themeColor="text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6E496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1FB845F">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7911DF90">
            <w:pPr>
              <w:pStyle w:val="13"/>
              <w:ind w:firstLine="0" w:firstLineChars="0"/>
              <w:rPr>
                <w:rFonts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废布袋</w:t>
            </w:r>
          </w:p>
        </w:tc>
        <w:tc>
          <w:tcPr>
            <w:tcW w:w="1598" w:type="dxa"/>
            <w:vAlign w:val="center"/>
          </w:tcPr>
          <w:p w14:paraId="3DBA9A36">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3ABAF00B">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097BB73">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47FF025E">
            <w:pPr>
              <w:pStyle w:val="13"/>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0.3</w:t>
            </w:r>
          </w:p>
        </w:tc>
        <w:tc>
          <w:tcPr>
            <w:tcW w:w="1761" w:type="dxa"/>
            <w:vAlign w:val="center"/>
          </w:tcPr>
          <w:p w14:paraId="1D0AB6F4">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3F196A36">
            <w:pPr>
              <w:pStyle w:val="13"/>
              <w:ind w:firstLine="0" w:firstLineChars="0"/>
              <w:rPr>
                <w:rFonts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0.3</w:t>
            </w:r>
          </w:p>
        </w:tc>
        <w:tc>
          <w:tcPr>
            <w:tcW w:w="1223" w:type="dxa"/>
            <w:vAlign w:val="center"/>
          </w:tcPr>
          <w:p w14:paraId="4D0C5C9A">
            <w:pPr>
              <w:pStyle w:val="13"/>
              <w:ind w:firstLine="0" w:firstLineChars="0"/>
              <w:rPr>
                <w:rFonts w:cs="Times New Roman"/>
                <w:color w:val="000000" w:themeColor="text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014F1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0DA5C8AE">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危险废物</w:t>
            </w:r>
          </w:p>
        </w:tc>
        <w:tc>
          <w:tcPr>
            <w:tcW w:w="1520" w:type="dxa"/>
            <w:shd w:val="clear" w:color="auto" w:fill="auto"/>
            <w:vAlign w:val="center"/>
          </w:tcPr>
          <w:p w14:paraId="6F36CD80">
            <w:pPr>
              <w:pStyle w:val="13"/>
              <w:ind w:firstLine="0" w:firstLineChars="0"/>
              <w:rPr>
                <w:rFonts w:hint="eastAsia"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废液压油</w:t>
            </w:r>
          </w:p>
        </w:tc>
        <w:tc>
          <w:tcPr>
            <w:tcW w:w="1598" w:type="dxa"/>
            <w:vAlign w:val="center"/>
          </w:tcPr>
          <w:p w14:paraId="24768756">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7232AE01">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1D4A4C4F">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465E3490">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0.34</w:t>
            </w:r>
          </w:p>
        </w:tc>
        <w:tc>
          <w:tcPr>
            <w:tcW w:w="1761" w:type="dxa"/>
            <w:vAlign w:val="center"/>
          </w:tcPr>
          <w:p w14:paraId="27134531">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29522A37">
            <w:pPr>
              <w:pStyle w:val="13"/>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0.34</w:t>
            </w:r>
          </w:p>
        </w:tc>
        <w:tc>
          <w:tcPr>
            <w:tcW w:w="1223" w:type="dxa"/>
            <w:vAlign w:val="center"/>
          </w:tcPr>
          <w:p w14:paraId="502A4969">
            <w:pPr>
              <w:pStyle w:val="13"/>
              <w:ind w:firstLine="0" w:firstLineChars="0"/>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1F7E4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52D686B3">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0AFA704D">
            <w:pPr>
              <w:pStyle w:val="13"/>
              <w:ind w:firstLine="0" w:firstLineChars="0"/>
              <w:rPr>
                <w:rFonts w:hint="eastAsia"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废机油</w:t>
            </w:r>
          </w:p>
        </w:tc>
        <w:tc>
          <w:tcPr>
            <w:tcW w:w="1598" w:type="dxa"/>
            <w:vAlign w:val="center"/>
          </w:tcPr>
          <w:p w14:paraId="44B2EECC">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1F7FE420">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085F5534">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4C545A7F">
            <w:pPr>
              <w:pStyle w:val="13"/>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0.4</w:t>
            </w:r>
          </w:p>
        </w:tc>
        <w:tc>
          <w:tcPr>
            <w:tcW w:w="1761" w:type="dxa"/>
            <w:vAlign w:val="center"/>
          </w:tcPr>
          <w:p w14:paraId="5B20933A">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0BBCF0CA">
            <w:pPr>
              <w:pStyle w:val="13"/>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0.4</w:t>
            </w:r>
          </w:p>
        </w:tc>
        <w:tc>
          <w:tcPr>
            <w:tcW w:w="1223" w:type="dxa"/>
            <w:vAlign w:val="center"/>
          </w:tcPr>
          <w:p w14:paraId="6A6E2B41">
            <w:pPr>
              <w:pStyle w:val="13"/>
              <w:ind w:firstLine="0" w:firstLineChars="0"/>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5268E6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71D3BA24">
            <w:pPr>
              <w:pStyle w:val="13"/>
              <w:rPr>
                <w:rFonts w:cs="Times New Roman"/>
                <w:snapToGrid w:val="0"/>
                <w:color w:val="000000" w:themeColor="text1"/>
                <w14:textFill>
                  <w14:solidFill>
                    <w14:schemeClr w14:val="tx1"/>
                  </w14:solidFill>
                </w14:textFill>
              </w:rPr>
            </w:pPr>
          </w:p>
        </w:tc>
        <w:tc>
          <w:tcPr>
            <w:tcW w:w="1520" w:type="dxa"/>
            <w:shd w:val="clear" w:color="auto" w:fill="auto"/>
            <w:vAlign w:val="center"/>
          </w:tcPr>
          <w:p w14:paraId="6298E958">
            <w:pPr>
              <w:pStyle w:val="13"/>
              <w:ind w:firstLine="0" w:firstLineChars="0"/>
              <w:rPr>
                <w:rFonts w:hint="default" w:ascii="Times New Roman" w:hAnsi="Times New Roman" w:eastAsia="宋体" w:cs="Times New Roman"/>
                <w:color w:val="000000" w:themeColor="text1"/>
                <w:kern w:val="21"/>
                <w:sz w:val="21"/>
                <w:szCs w:val="24"/>
                <w:lang w:val="zh-CN" w:eastAsia="zh-CN" w:bidi="ar-SA"/>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废机油桶</w:t>
            </w:r>
          </w:p>
        </w:tc>
        <w:tc>
          <w:tcPr>
            <w:tcW w:w="1598" w:type="dxa"/>
            <w:vAlign w:val="center"/>
          </w:tcPr>
          <w:p w14:paraId="1F3CAEF6">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7610CC9C">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7D86742E">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2A23FE20">
            <w:pPr>
              <w:pStyle w:val="13"/>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761" w:type="dxa"/>
            <w:vAlign w:val="center"/>
          </w:tcPr>
          <w:p w14:paraId="41D8DD61">
            <w:pPr>
              <w:pStyle w:val="13"/>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37B19E37">
            <w:pPr>
              <w:pStyle w:val="13"/>
              <w:ind w:firstLine="0" w:firstLineChars="0"/>
              <w:rPr>
                <w:rFonts w:cs="Times New Roman"/>
                <w:color w:val="000000" w:themeColor="text1"/>
                <w:szCs w:val="21"/>
                <w:lang w:val="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223" w:type="dxa"/>
            <w:vAlign w:val="center"/>
          </w:tcPr>
          <w:p w14:paraId="340F84DD">
            <w:pPr>
              <w:pStyle w:val="13"/>
              <w:ind w:firstLine="0" w:firstLineChars="0"/>
              <w:rPr>
                <w:rFonts w:cs="Times New Roman"/>
                <w:color w:val="000000" w:themeColor="text1"/>
                <w:szCs w:val="2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2C1C6E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43E3DB40">
            <w:pPr>
              <w:pStyle w:val="13"/>
              <w:rPr>
                <w:rFonts w:cs="Times New Roman"/>
                <w:snapToGrid w:val="0"/>
                <w:color w:val="000000" w:themeColor="text1"/>
                <w14:textFill>
                  <w14:solidFill>
                    <w14:schemeClr w14:val="tx1"/>
                  </w14:solidFill>
                </w14:textFill>
              </w:rPr>
            </w:pPr>
          </w:p>
        </w:tc>
        <w:tc>
          <w:tcPr>
            <w:tcW w:w="1520" w:type="dxa"/>
            <w:shd w:val="clear" w:color="auto" w:fill="auto"/>
            <w:vAlign w:val="center"/>
          </w:tcPr>
          <w:p w14:paraId="2520295E">
            <w:pPr>
              <w:pStyle w:val="13"/>
              <w:ind w:firstLine="0" w:firstLineChars="0"/>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废活性炭</w:t>
            </w:r>
          </w:p>
        </w:tc>
        <w:tc>
          <w:tcPr>
            <w:tcW w:w="1598" w:type="dxa"/>
            <w:vAlign w:val="center"/>
          </w:tcPr>
          <w:p w14:paraId="78494DC2">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5ED3FBE9">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21D50FA6">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6E6233DC">
            <w:pPr>
              <w:pStyle w:val="13"/>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15.8167</w:t>
            </w:r>
          </w:p>
        </w:tc>
        <w:tc>
          <w:tcPr>
            <w:tcW w:w="1761" w:type="dxa"/>
            <w:vAlign w:val="center"/>
          </w:tcPr>
          <w:p w14:paraId="4D544FBD">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42E43A57">
            <w:pPr>
              <w:pStyle w:val="13"/>
              <w:ind w:firstLine="0" w:firstLineChars="0"/>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15.8167</w:t>
            </w:r>
          </w:p>
        </w:tc>
        <w:tc>
          <w:tcPr>
            <w:tcW w:w="1223" w:type="dxa"/>
            <w:vAlign w:val="center"/>
          </w:tcPr>
          <w:p w14:paraId="6B5A0257">
            <w:pPr>
              <w:pStyle w:val="13"/>
              <w:ind w:firstLine="0" w:firstLineChars="0"/>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r>
      <w:tr w14:paraId="79034C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4E3E48E">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36E233C3">
            <w:pPr>
              <w:pStyle w:val="13"/>
              <w:ind w:firstLine="0" w:firstLineChars="0"/>
              <w:rPr>
                <w:rFonts w:hint="default" w:ascii="Times New Roman" w:hAnsi="Times New Roman" w:eastAsia="宋体" w:cs="Times New Roman"/>
                <w:color w:val="000000" w:themeColor="text1"/>
                <w:kern w:val="21"/>
                <w:sz w:val="21"/>
                <w:szCs w:val="24"/>
                <w:lang w:val="en-US" w:eastAsia="zh-CN" w:bidi="ar-SA"/>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沾油废物</w:t>
            </w:r>
          </w:p>
        </w:tc>
        <w:tc>
          <w:tcPr>
            <w:tcW w:w="1598" w:type="dxa"/>
            <w:vAlign w:val="center"/>
          </w:tcPr>
          <w:p w14:paraId="1EE899D5">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5C62399F">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F498046">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01CACC69">
            <w:pPr>
              <w:pStyle w:val="13"/>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761" w:type="dxa"/>
            <w:vAlign w:val="center"/>
          </w:tcPr>
          <w:p w14:paraId="5C10767D">
            <w:pPr>
              <w:pStyle w:val="13"/>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7E9E88E7">
            <w:pPr>
              <w:pStyle w:val="13"/>
              <w:ind w:firstLine="0" w:firstLineChars="0"/>
              <w:rPr>
                <w:rFonts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223" w:type="dxa"/>
            <w:vAlign w:val="center"/>
          </w:tcPr>
          <w:p w14:paraId="22F7018D">
            <w:pPr>
              <w:pStyle w:val="13"/>
              <w:ind w:firstLine="0" w:firstLineChars="0"/>
              <w:rPr>
                <w:rFonts w:cs="Times New Roman"/>
                <w:color w:val="000000" w:themeColor="text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354569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51E77341">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379B0F46">
            <w:pPr>
              <w:pStyle w:val="13"/>
              <w:ind w:firstLine="0" w:firstLineChars="0"/>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循环水池浮油</w:t>
            </w:r>
          </w:p>
        </w:tc>
        <w:tc>
          <w:tcPr>
            <w:tcW w:w="1598" w:type="dxa"/>
            <w:vAlign w:val="center"/>
          </w:tcPr>
          <w:p w14:paraId="7FC5F16F">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59C76750">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6D2B380E">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116978F2">
            <w:pPr>
              <w:pStyle w:val="13"/>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109.5951</w:t>
            </w:r>
          </w:p>
        </w:tc>
        <w:tc>
          <w:tcPr>
            <w:tcW w:w="1761" w:type="dxa"/>
            <w:vAlign w:val="center"/>
          </w:tcPr>
          <w:p w14:paraId="4E56E36B">
            <w:pPr>
              <w:pStyle w:val="13"/>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6405848A">
            <w:pPr>
              <w:pStyle w:val="13"/>
              <w:ind w:firstLine="0" w:firstLineChars="0"/>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109.5951</w:t>
            </w:r>
          </w:p>
        </w:tc>
        <w:tc>
          <w:tcPr>
            <w:tcW w:w="1223" w:type="dxa"/>
            <w:vAlign w:val="center"/>
          </w:tcPr>
          <w:p w14:paraId="55CE08A8">
            <w:pPr>
              <w:pStyle w:val="13"/>
              <w:ind w:firstLine="0" w:firstLineChars="0"/>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r>
      <w:tr w14:paraId="3A773D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29999117">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77F97B0F">
            <w:pPr>
              <w:pStyle w:val="13"/>
              <w:ind w:firstLine="0" w:firstLineChars="0"/>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硫酸钙污泥</w:t>
            </w:r>
          </w:p>
        </w:tc>
        <w:tc>
          <w:tcPr>
            <w:tcW w:w="1598" w:type="dxa"/>
            <w:vAlign w:val="center"/>
          </w:tcPr>
          <w:p w14:paraId="7680191D">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540C825A">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3FD3DDF7">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6E7780CD">
            <w:pPr>
              <w:pStyle w:val="13"/>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912</w:t>
            </w:r>
          </w:p>
        </w:tc>
        <w:tc>
          <w:tcPr>
            <w:tcW w:w="1761" w:type="dxa"/>
            <w:vAlign w:val="center"/>
          </w:tcPr>
          <w:p w14:paraId="1FA35015">
            <w:pPr>
              <w:pStyle w:val="13"/>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25C9DE0F">
            <w:pPr>
              <w:pStyle w:val="13"/>
              <w:ind w:firstLine="0" w:firstLineChars="0"/>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912</w:t>
            </w:r>
          </w:p>
        </w:tc>
        <w:tc>
          <w:tcPr>
            <w:tcW w:w="1223" w:type="dxa"/>
            <w:vAlign w:val="center"/>
          </w:tcPr>
          <w:p w14:paraId="016DD19B">
            <w:pPr>
              <w:pStyle w:val="13"/>
              <w:ind w:firstLine="0" w:firstLineChars="0"/>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r>
      <w:tr w14:paraId="4C80DE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8337469">
            <w:pPr>
              <w:pStyle w:val="13"/>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377856C0">
            <w:pPr>
              <w:pStyle w:val="13"/>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氟化钙污泥</w:t>
            </w:r>
          </w:p>
        </w:tc>
        <w:tc>
          <w:tcPr>
            <w:tcW w:w="1598" w:type="dxa"/>
            <w:shd w:val="clear" w:color="auto" w:fill="auto"/>
            <w:vAlign w:val="center"/>
          </w:tcPr>
          <w:p w14:paraId="3CB686C9">
            <w:pPr>
              <w:pStyle w:val="13"/>
              <w:ind w:firstLine="0" w:firstLineChars="0"/>
              <w:rPr>
                <w:rFonts w:hint="eastAsia" w:ascii="Times New Roman" w:hAnsi="Times New Roman" w:eastAsia="宋体" w:cs="Times New Roman"/>
                <w:b w:val="0"/>
                <w:bCs/>
                <w:snapToGrid w:val="0"/>
                <w:color w:val="000000" w:themeColor="text1"/>
                <w:kern w:val="0"/>
                <w:sz w:val="21"/>
                <w:szCs w:val="24"/>
                <w:lang w:val="en-US" w:eastAsia="zh-CN" w:bidi="ar-SA"/>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shd w:val="clear" w:color="auto" w:fill="auto"/>
            <w:vAlign w:val="center"/>
          </w:tcPr>
          <w:p w14:paraId="2DD5389B">
            <w:pPr>
              <w:pStyle w:val="13"/>
              <w:ind w:firstLine="0" w:firstLineChars="0"/>
              <w:rPr>
                <w:rFonts w:hint="eastAsia" w:ascii="Times New Roman" w:hAnsi="Times New Roman" w:eastAsia="宋体" w:cs="Times New Roman"/>
                <w:b w:val="0"/>
                <w:bCs/>
                <w:snapToGrid w:val="0"/>
                <w:color w:val="000000" w:themeColor="text1"/>
                <w:kern w:val="0"/>
                <w:sz w:val="21"/>
                <w:szCs w:val="24"/>
                <w:lang w:val="en-US" w:eastAsia="zh-CN" w:bidi="ar-SA"/>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shd w:val="clear" w:color="auto" w:fill="auto"/>
            <w:vAlign w:val="center"/>
          </w:tcPr>
          <w:p w14:paraId="087B0CF9">
            <w:pPr>
              <w:pStyle w:val="13"/>
              <w:ind w:firstLine="0" w:firstLineChars="0"/>
              <w:rPr>
                <w:rFonts w:hint="eastAsia" w:ascii="Times New Roman" w:hAnsi="Times New Roman" w:eastAsia="宋体" w:cs="Times New Roman"/>
                <w:b w:val="0"/>
                <w:bCs/>
                <w:snapToGrid w:val="0"/>
                <w:color w:val="000000" w:themeColor="text1"/>
                <w:kern w:val="0"/>
                <w:sz w:val="21"/>
                <w:szCs w:val="24"/>
                <w:lang w:val="en-US" w:eastAsia="zh-CN" w:bidi="ar-SA"/>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shd w:val="clear" w:color="auto" w:fill="auto"/>
            <w:vAlign w:val="center"/>
          </w:tcPr>
          <w:p w14:paraId="1BDFDA4C">
            <w:pPr>
              <w:pStyle w:val="13"/>
              <w:ind w:firstLine="0" w:firstLineChars="0"/>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35</w:t>
            </w:r>
          </w:p>
        </w:tc>
        <w:tc>
          <w:tcPr>
            <w:tcW w:w="1761" w:type="dxa"/>
            <w:shd w:val="clear" w:color="auto" w:fill="auto"/>
            <w:vAlign w:val="center"/>
          </w:tcPr>
          <w:p w14:paraId="2ABA0B3E">
            <w:pPr>
              <w:pStyle w:val="13"/>
              <w:ind w:firstLine="0" w:firstLineChars="0"/>
              <w:rPr>
                <w:rFonts w:hint="eastAsia" w:ascii="Times New Roman" w:hAnsi="Times New Roman" w:eastAsia="宋体" w:cs="Times New Roman"/>
                <w:b w:val="0"/>
                <w:bCs/>
                <w:snapToGrid w:val="0"/>
                <w:color w:val="000000" w:themeColor="text1"/>
                <w:kern w:val="0"/>
                <w:sz w:val="21"/>
                <w:szCs w:val="24"/>
                <w:lang w:val="en-US" w:eastAsia="zh-CN" w:bidi="ar-SA"/>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shd w:val="clear" w:color="auto" w:fill="auto"/>
            <w:vAlign w:val="center"/>
          </w:tcPr>
          <w:p w14:paraId="5DC25C91">
            <w:pPr>
              <w:pStyle w:val="13"/>
              <w:ind w:firstLine="0" w:firstLineChars="0"/>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35</w:t>
            </w:r>
          </w:p>
        </w:tc>
        <w:tc>
          <w:tcPr>
            <w:tcW w:w="1223" w:type="dxa"/>
            <w:shd w:val="clear" w:color="auto" w:fill="auto"/>
            <w:vAlign w:val="center"/>
          </w:tcPr>
          <w:p w14:paraId="065011B3">
            <w:pPr>
              <w:pStyle w:val="13"/>
              <w:ind w:firstLine="0" w:firstLineChars="0"/>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snapToGrid w:val="0"/>
                <w:color w:val="000000" w:themeColor="text1"/>
                <w14:textFill>
                  <w14:solidFill>
                    <w14:schemeClr w14:val="tx1"/>
                  </w14:solidFill>
                </w14:textFill>
              </w:rPr>
              <w:t>/</w:t>
            </w:r>
          </w:p>
        </w:tc>
      </w:tr>
    </w:tbl>
    <w:p w14:paraId="52FBE221">
      <w:pPr>
        <w:pStyle w:val="13"/>
        <w:jc w:val="left"/>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注：</w:t>
      </w:r>
      <w:r>
        <w:rPr>
          <w:rFonts w:cs="Times New Roman"/>
          <w:snapToGrid w:val="0"/>
          <w:color w:val="000000" w:themeColor="text1"/>
          <w:spacing w:val="-16"/>
          <w14:textFill>
            <w14:solidFill>
              <w14:schemeClr w14:val="tx1"/>
            </w14:solidFill>
          </w14:textFill>
        </w:rPr>
        <w:fldChar w:fldCharType="begin"/>
      </w:r>
      <w:r>
        <w:rPr>
          <w:rFonts w:cs="Times New Roman"/>
          <w:snapToGrid w:val="0"/>
          <w:color w:val="000000" w:themeColor="text1"/>
          <w:spacing w:val="-16"/>
          <w14:textFill>
            <w14:solidFill>
              <w14:schemeClr w14:val="tx1"/>
            </w14:solidFill>
          </w14:textFill>
        </w:rPr>
        <w:instrText xml:space="preserve"> = 6 \* GB3 \* MERGEFORMAT </w:instrText>
      </w:r>
      <w:r>
        <w:rPr>
          <w:rFonts w:cs="Times New Roman"/>
          <w:snapToGrid w:val="0"/>
          <w:color w:val="000000" w:themeColor="text1"/>
          <w:spacing w:val="-16"/>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⑥</w:t>
      </w:r>
      <w:r>
        <w:rPr>
          <w:rFonts w:cs="Times New Roman"/>
          <w:snapToGrid w:val="0"/>
          <w:color w:val="000000" w:themeColor="text1"/>
          <w:spacing w:val="-16"/>
          <w14:textFill>
            <w14:solidFill>
              <w14:schemeClr w14:val="tx1"/>
            </w14:solidFill>
          </w14:textFill>
        </w:rPr>
        <w:fldChar w:fldCharType="end"/>
      </w:r>
      <w:r>
        <w:rPr>
          <w:rFonts w:cs="Times New Roman"/>
          <w:snapToGrid w:val="0"/>
          <w:color w:val="000000" w:themeColor="text1"/>
          <w:spacing w:val="-16"/>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1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rFonts w:cs="Times New Roman"/>
          <w:snapToGrid w:val="0"/>
          <w:color w:val="000000" w:themeColor="text1"/>
          <w14:textFill>
            <w14:solidFill>
              <w14:schemeClr w14:val="tx1"/>
            </w14:solidFill>
          </w14:textFill>
        </w:rPr>
        <w:fldChar w:fldCharType="end"/>
      </w:r>
      <w:r>
        <w:rPr>
          <w:rFonts w:cs="Times New Roman"/>
          <w:snapToGrid w:val="0"/>
          <w:color w:val="000000" w:themeColor="text1"/>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3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③</w:t>
      </w:r>
      <w:r>
        <w:rPr>
          <w:rFonts w:cs="Times New Roman"/>
          <w:snapToGrid w:val="0"/>
          <w:color w:val="000000" w:themeColor="text1"/>
          <w14:textFill>
            <w14:solidFill>
              <w14:schemeClr w14:val="tx1"/>
            </w14:solidFill>
          </w14:textFill>
        </w:rPr>
        <w:fldChar w:fldCharType="end"/>
      </w:r>
      <w:r>
        <w:rPr>
          <w:rFonts w:cs="Times New Roman"/>
          <w:snapToGrid w:val="0"/>
          <w:color w:val="000000" w:themeColor="text1"/>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4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④</w:t>
      </w:r>
      <w:r>
        <w:rPr>
          <w:rFonts w:cs="Times New Roman"/>
          <w:snapToGrid w:val="0"/>
          <w:color w:val="000000" w:themeColor="text1"/>
          <w14:textFill>
            <w14:solidFill>
              <w14:schemeClr w14:val="tx1"/>
            </w14:solidFill>
          </w14:textFill>
        </w:rPr>
        <w:fldChar w:fldCharType="end"/>
      </w:r>
      <w:r>
        <w:rPr>
          <w:rFonts w:cs="Times New Roman"/>
          <w:snapToGrid w:val="0"/>
          <w:color w:val="000000" w:themeColor="text1"/>
          <w14:textFill>
            <w14:solidFill>
              <w14:schemeClr w14:val="tx1"/>
            </w14:solidFill>
          </w14:textFill>
        </w:rPr>
        <w:t>-</w:t>
      </w:r>
      <w:r>
        <w:rPr>
          <w:rFonts w:cs="Times New Roman"/>
          <w:snapToGrid w:val="0"/>
          <w:color w:val="000000" w:themeColor="text1"/>
          <w:spacing w:val="-16"/>
          <w14:textFill>
            <w14:solidFill>
              <w14:schemeClr w14:val="tx1"/>
            </w14:solidFill>
          </w14:textFill>
        </w:rPr>
        <w:fldChar w:fldCharType="begin"/>
      </w:r>
      <w:r>
        <w:rPr>
          <w:rFonts w:cs="Times New Roman"/>
          <w:snapToGrid w:val="0"/>
          <w:color w:val="000000" w:themeColor="text1"/>
          <w:spacing w:val="-16"/>
          <w14:textFill>
            <w14:solidFill>
              <w14:schemeClr w14:val="tx1"/>
            </w14:solidFill>
          </w14:textFill>
        </w:rPr>
        <w:instrText xml:space="preserve"> = 5 \* GB3 \* MERGEFORMAT </w:instrText>
      </w:r>
      <w:r>
        <w:rPr>
          <w:rFonts w:cs="Times New Roman"/>
          <w:snapToGrid w:val="0"/>
          <w:color w:val="000000" w:themeColor="text1"/>
          <w:spacing w:val="-16"/>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⑤</w:t>
      </w:r>
      <w:r>
        <w:rPr>
          <w:rFonts w:cs="Times New Roman"/>
          <w:snapToGrid w:val="0"/>
          <w:color w:val="000000" w:themeColor="text1"/>
          <w:spacing w:val="-16"/>
          <w14:textFill>
            <w14:solidFill>
              <w14:schemeClr w14:val="tx1"/>
            </w14:solidFill>
          </w14:textFill>
        </w:rPr>
        <w:fldChar w:fldCharType="end"/>
      </w:r>
      <w:r>
        <w:rPr>
          <w:rFonts w:cs="Times New Roman"/>
          <w:snapToGrid w:val="0"/>
          <w:color w:val="000000" w:themeColor="text1"/>
          <w:spacing w:val="-16"/>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7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⑦</w:t>
      </w:r>
      <w:r>
        <w:rPr>
          <w:rFonts w:cs="Times New Roman"/>
          <w:snapToGrid w:val="0"/>
          <w:color w:val="000000" w:themeColor="text1"/>
          <w14:textFill>
            <w14:solidFill>
              <w14:schemeClr w14:val="tx1"/>
            </w14:solidFill>
          </w14:textFill>
        </w:rPr>
        <w:fldChar w:fldCharType="end"/>
      </w:r>
      <w:r>
        <w:rPr>
          <w:rFonts w:cs="Times New Roman"/>
          <w:snapToGrid w:val="0"/>
          <w:color w:val="000000" w:themeColor="text1"/>
          <w14:textFill>
            <w14:solidFill>
              <w14:schemeClr w14:val="tx1"/>
            </w14:solidFill>
          </w14:textFill>
        </w:rPr>
        <w:t>=</w:t>
      </w:r>
      <w:r>
        <w:rPr>
          <w:rFonts w:cs="Times New Roman"/>
          <w:snapToGrid w:val="0"/>
          <w:color w:val="000000" w:themeColor="text1"/>
          <w:spacing w:val="-16"/>
          <w14:textFill>
            <w14:solidFill>
              <w14:schemeClr w14:val="tx1"/>
            </w14:solidFill>
          </w14:textFill>
        </w:rPr>
        <w:fldChar w:fldCharType="begin"/>
      </w:r>
      <w:r>
        <w:rPr>
          <w:rFonts w:cs="Times New Roman"/>
          <w:snapToGrid w:val="0"/>
          <w:color w:val="000000" w:themeColor="text1"/>
          <w:spacing w:val="-16"/>
          <w14:textFill>
            <w14:solidFill>
              <w14:schemeClr w14:val="tx1"/>
            </w14:solidFill>
          </w14:textFill>
        </w:rPr>
        <w:instrText xml:space="preserve"> = 6 \* GB3 \* MERGEFORMAT </w:instrText>
      </w:r>
      <w:r>
        <w:rPr>
          <w:rFonts w:cs="Times New Roman"/>
          <w:snapToGrid w:val="0"/>
          <w:color w:val="000000" w:themeColor="text1"/>
          <w:spacing w:val="-16"/>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⑥</w:t>
      </w:r>
      <w:r>
        <w:rPr>
          <w:rFonts w:cs="Times New Roman"/>
          <w:snapToGrid w:val="0"/>
          <w:color w:val="000000" w:themeColor="text1"/>
          <w:spacing w:val="-16"/>
          <w14:textFill>
            <w14:solidFill>
              <w14:schemeClr w14:val="tx1"/>
            </w14:solidFill>
          </w14:textFill>
        </w:rPr>
        <w:fldChar w:fldCharType="end"/>
      </w:r>
      <w:r>
        <w:rPr>
          <w:rFonts w:cs="Times New Roman"/>
          <w:snapToGrid w:val="0"/>
          <w:color w:val="000000" w:themeColor="text1"/>
          <w:spacing w:val="-16"/>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1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rFonts w:cs="Times New Roman"/>
          <w:snapToGrid w:val="0"/>
          <w:color w:val="000000" w:themeColor="text1"/>
          <w14:textFill>
            <w14:solidFill>
              <w14:schemeClr w14:val="tx1"/>
            </w14:solidFill>
          </w14:textFill>
        </w:rPr>
        <w:fldChar w:fldCharType="end"/>
      </w:r>
      <w:bookmarkEnd w:id="66"/>
      <w:r>
        <w:rPr>
          <w:rFonts w:cs="Times New Roman"/>
          <w:snapToGrid w:val="0"/>
          <w:color w:val="000000" w:themeColor="text1"/>
          <w14:textFill>
            <w14:solidFill>
              <w14:schemeClr w14:val="tx1"/>
            </w14:solidFill>
          </w14:textFill>
        </w:rPr>
        <w:t>。</w:t>
      </w:r>
      <w:r>
        <w:rPr>
          <w:rFonts w:cs="Times New Roman"/>
          <w:snapToGrid w:val="0"/>
          <w:color w:val="000000" w:themeColor="text1"/>
          <w:spacing w:val="-6"/>
          <w:kern w:val="21"/>
          <w:szCs w:val="21"/>
          <w14:textFill>
            <w14:solidFill>
              <w14:schemeClr w14:val="tx1"/>
            </w14:solidFill>
          </w14:textFill>
        </w:rPr>
        <w:t>废气单位均为t/a；废水污染物除废水量单位为m</w:t>
      </w:r>
      <w:r>
        <w:rPr>
          <w:rFonts w:cs="Times New Roman"/>
          <w:snapToGrid w:val="0"/>
          <w:color w:val="000000" w:themeColor="text1"/>
          <w:spacing w:val="-6"/>
          <w:kern w:val="21"/>
          <w:szCs w:val="21"/>
          <w:vertAlign w:val="superscript"/>
          <w14:textFill>
            <w14:solidFill>
              <w14:schemeClr w14:val="tx1"/>
            </w14:solidFill>
          </w14:textFill>
        </w:rPr>
        <w:t>3</w:t>
      </w:r>
      <w:r>
        <w:rPr>
          <w:rFonts w:cs="Times New Roman"/>
          <w:snapToGrid w:val="0"/>
          <w:color w:val="000000" w:themeColor="text1"/>
          <w:spacing w:val="-6"/>
          <w:kern w:val="21"/>
          <w:szCs w:val="21"/>
          <w14:textFill>
            <w14:solidFill>
              <w14:schemeClr w14:val="tx1"/>
            </w14:solidFill>
          </w14:textFill>
        </w:rPr>
        <w:t>/a外，单位均为t/a；固废单位均为t/a。</w:t>
      </w:r>
    </w:p>
    <w:p w14:paraId="1D884996">
      <w:pPr>
        <w:ind w:firstLine="480"/>
        <w:rPr>
          <w:rFonts w:cs="Times New Roman"/>
          <w:color w:val="000000" w:themeColor="text1"/>
          <w14:textFill>
            <w14:solidFill>
              <w14:schemeClr w14:val="tx1"/>
            </w14:solidFill>
          </w14:textFill>
        </w:rPr>
      </w:pPr>
    </w:p>
    <w:p w14:paraId="43C5DA55">
      <w:pPr>
        <w:rPr>
          <w:color w:val="000000" w:themeColor="text1"/>
          <w14:textFill>
            <w14:solidFill>
              <w14:schemeClr w14:val="tx1"/>
            </w14:solidFill>
          </w14:textFill>
        </w:rPr>
      </w:pPr>
    </w:p>
    <w:p w14:paraId="237FB02A">
      <w:pPr>
        <w:rPr>
          <w:color w:val="000000" w:themeColor="text1"/>
          <w14:textFill>
            <w14:solidFill>
              <w14:schemeClr w14:val="tx1"/>
            </w14:solidFill>
          </w14:textFill>
        </w:rPr>
      </w:pPr>
    </w:p>
    <w:p w14:paraId="7ECA8B1A">
      <w:pPr>
        <w:rPr>
          <w:color w:val="000000" w:themeColor="text1"/>
          <w14:textFill>
            <w14:solidFill>
              <w14:schemeClr w14:val="tx1"/>
            </w14:solidFill>
          </w14:textFill>
        </w:rPr>
      </w:pPr>
    </w:p>
    <w:p w14:paraId="59499BBA">
      <w:pPr>
        <w:ind w:firstLine="0" w:firstLineChars="0"/>
      </w:pPr>
    </w:p>
    <w:p w14:paraId="061F96B6">
      <w:pPr>
        <w:ind w:firstLine="0" w:firstLineChars="0"/>
      </w:pPr>
    </w:p>
    <w:p w14:paraId="5BEA94B6"/>
    <w:sectPr>
      <w:footerReference r:id="rId12" w:type="default"/>
      <w:pgSz w:w="16838" w:h="11906" w:orient="landscape"/>
      <w:pgMar w:top="1474" w:right="1531" w:bottom="1474" w:left="1531" w:header="851" w:footer="850"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Constantia">
    <w:panose1 w:val="02030602050306030303"/>
    <w:charset w:val="00"/>
    <w:family w:val="auto"/>
    <w:pitch w:val="default"/>
    <w:sig w:usb0="A00002EF" w:usb1="4000204B" w:usb2="00000000"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等线">
    <w:altName w:val="微软雅黑"/>
    <w:panose1 w:val="02010600030101010101"/>
    <w:charset w:val="86"/>
    <w:family w:val="auto"/>
    <w:pitch w:val="default"/>
    <w:sig w:usb0="00000000" w:usb1="00000000" w:usb2="00000016" w:usb3="00000000" w:csb0="0004000F" w:csb1="00000000"/>
  </w:font>
  <w:font w:name="TimesNewRomanPSMT">
    <w:altName w:val="黑体"/>
    <w:panose1 w:val="00000000000000000000"/>
    <w:charset w:val="00"/>
    <w:family w:val="roman"/>
    <w:pitch w:val="default"/>
    <w:sig w:usb0="00000000" w:usb1="00000000" w:usb2="00000010" w:usb3="00000000" w:csb0="00060001" w:csb1="00000000"/>
  </w:font>
  <w:font w:name="Segoe UI">
    <w:panose1 w:val="020B0502040204020203"/>
    <w:charset w:val="00"/>
    <w:family w:val="auto"/>
    <w:pitch w:val="default"/>
    <w:sig w:usb0="E10022FF" w:usb1="C000E47F" w:usb2="00000029" w:usb3="00000000" w:csb0="200001DF" w:csb1="20000000"/>
  </w:font>
  <w:font w:name="新宋体">
    <w:panose1 w:val="02010609030101010101"/>
    <w:charset w:val="86"/>
    <w:family w:val="modern"/>
    <w:pitch w:val="default"/>
    <w:sig w:usb0="00000003" w:usb1="288F0000" w:usb2="00000006"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3953922"/>
      <w:docPartObj>
        <w:docPartGallery w:val="autotext"/>
      </w:docPartObj>
    </w:sdtPr>
    <w:sdtContent>
      <w:p w14:paraId="03600DCB">
        <w:pPr>
          <w:tabs>
            <w:tab w:val="center" w:pos="4153"/>
            <w:tab w:val="right" w:pos="8306"/>
          </w:tabs>
          <w:ind w:firstLine="360"/>
          <w:jc w:val="center"/>
        </w:pPr>
      </w:p>
    </w:sdtContent>
  </w:sdt>
  <w:p w14:paraId="30F37A5B">
    <w:pPr>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87D39">
    <w:pPr>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94BE1">
    <w:pPr>
      <w:ind w:firstLine="4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6996022"/>
      <w:docPartObj>
        <w:docPartGallery w:val="autotext"/>
      </w:docPartObj>
    </w:sdtPr>
    <w:sdtContent>
      <w:p w14:paraId="6A2BBE7A">
        <w:pPr>
          <w:tabs>
            <w:tab w:val="center" w:pos="4153"/>
            <w:tab w:val="right" w:pos="8306"/>
          </w:tabs>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3549627"/>
      <w:docPartObj>
        <w:docPartGallery w:val="autotext"/>
      </w:docPartObj>
    </w:sdtPr>
    <w:sdtContent>
      <w:p w14:paraId="3B7E2B65">
        <w:pPr>
          <w:tabs>
            <w:tab w:val="center" w:pos="4153"/>
            <w:tab w:val="right" w:pos="8306"/>
          </w:tabs>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3554C">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37574">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70E90">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4A641F"/>
    <w:multiLevelType w:val="singleLevel"/>
    <w:tmpl w:val="D64A641F"/>
    <w:lvl w:ilvl="0" w:tentative="0">
      <w:start w:val="14"/>
      <w:numFmt w:val="decimal"/>
      <w:suff w:val="nothing"/>
      <w:lvlText w:val="%1、"/>
      <w:lvlJc w:val="left"/>
    </w:lvl>
  </w:abstractNum>
  <w:abstractNum w:abstractNumId="1">
    <w:nsid w:val="03CDD6CF"/>
    <w:multiLevelType w:val="singleLevel"/>
    <w:tmpl w:val="03CDD6CF"/>
    <w:lvl w:ilvl="0" w:tentative="0">
      <w:start w:val="2"/>
      <w:numFmt w:val="decimal"/>
      <w:suff w:val="nothing"/>
      <w:lvlText w:val="%1）"/>
      <w:lvlJc w:val="left"/>
    </w:lvl>
  </w:abstractNum>
  <w:abstractNum w:abstractNumId="2">
    <w:nsid w:val="15B0369C"/>
    <w:multiLevelType w:val="multilevel"/>
    <w:tmpl w:val="15B0369C"/>
    <w:lvl w:ilvl="0" w:tentative="0">
      <w:start w:val="1"/>
      <w:numFmt w:val="chineseCountingThousand"/>
      <w:pStyle w:val="3"/>
      <w:suff w:val="nothing"/>
      <w:lvlText w:val="%1、"/>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5"/>
      <w:suff w:val="nothing"/>
      <w:lvlText w:val=""/>
      <w:lvlJc w:val="left"/>
      <w:pPr>
        <w:ind w:left="0" w:firstLine="0"/>
      </w:pPr>
      <w:rPr>
        <w:rFonts w:hint="eastAsia"/>
      </w:rPr>
    </w:lvl>
    <w:lvl w:ilvl="3" w:tentative="0">
      <w:start w:val="1"/>
      <w:numFmt w:val="none"/>
      <w:pStyle w:val="6"/>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3">
    <w:nsid w:val="19644C76"/>
    <w:multiLevelType w:val="multilevel"/>
    <w:tmpl w:val="19644C76"/>
    <w:lvl w:ilvl="0" w:tentative="0">
      <w:start w:val="1"/>
      <w:numFmt w:val="decimal"/>
      <w:pStyle w:val="64"/>
      <w:suff w:val="space"/>
      <w:lvlText w:val="表1-%1"/>
      <w:lvlJc w:val="left"/>
      <w:pPr>
        <w:ind w:left="4111" w:firstLine="0"/>
      </w:pPr>
      <w:rPr>
        <w:rFonts w:hint="default" w:ascii="Times New Roman" w:hAnsi="Times New Roman" w:eastAsia="宋体"/>
        <w:b/>
        <w:i w:val="0"/>
        <w:sz w:val="21"/>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33E0575E"/>
    <w:multiLevelType w:val="multilevel"/>
    <w:tmpl w:val="33E0575E"/>
    <w:lvl w:ilvl="0" w:tentative="0">
      <w:start w:val="1"/>
      <w:numFmt w:val="decimal"/>
      <w:pStyle w:val="63"/>
      <w:suff w:val="space"/>
      <w:lvlText w:val="表3-%1"/>
      <w:lvlJc w:val="left"/>
      <w:pPr>
        <w:ind w:left="0" w:firstLine="0"/>
      </w:pPr>
      <w:rPr>
        <w:rFonts w:hint="default" w:ascii="Times New Roman" w:hAnsi="Times New Roman" w:eastAsia="宋体"/>
        <w:b/>
        <w:i w:val="0"/>
        <w:sz w:val="21"/>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C5081E5"/>
    <w:multiLevelType w:val="singleLevel"/>
    <w:tmpl w:val="3C5081E5"/>
    <w:lvl w:ilvl="0" w:tentative="0">
      <w:start w:val="5"/>
      <w:numFmt w:val="decimal"/>
      <w:suff w:val="nothing"/>
      <w:lvlText w:val="%1、"/>
      <w:lvlJc w:val="left"/>
    </w:lvl>
  </w:abstractNum>
  <w:abstractNum w:abstractNumId="6">
    <w:nsid w:val="40A5336D"/>
    <w:multiLevelType w:val="multilevel"/>
    <w:tmpl w:val="40A5336D"/>
    <w:lvl w:ilvl="0" w:tentative="0">
      <w:start w:val="1"/>
      <w:numFmt w:val="decimal"/>
      <w:pStyle w:val="62"/>
      <w:suff w:val="space"/>
      <w:lvlText w:val="表4-%1"/>
      <w:lvlJc w:val="left"/>
      <w:pPr>
        <w:ind w:left="3360" w:firstLine="0"/>
      </w:pPr>
    </w:lvl>
    <w:lvl w:ilvl="1" w:tentative="0">
      <w:start w:val="1"/>
      <w:numFmt w:val="lowerLetter"/>
      <w:lvlText w:val="%2)"/>
      <w:lvlJc w:val="left"/>
      <w:pPr>
        <w:ind w:left="4200" w:hanging="420"/>
      </w:pPr>
    </w:lvl>
    <w:lvl w:ilvl="2" w:tentative="0">
      <w:start w:val="1"/>
      <w:numFmt w:val="lowerRoman"/>
      <w:lvlText w:val="%3."/>
      <w:lvlJc w:val="right"/>
      <w:pPr>
        <w:ind w:left="4620" w:hanging="420"/>
      </w:pPr>
    </w:lvl>
    <w:lvl w:ilvl="3" w:tentative="0">
      <w:start w:val="1"/>
      <w:numFmt w:val="decimal"/>
      <w:lvlText w:val="%4."/>
      <w:lvlJc w:val="left"/>
      <w:pPr>
        <w:ind w:left="5040" w:hanging="420"/>
      </w:pPr>
    </w:lvl>
    <w:lvl w:ilvl="4" w:tentative="0">
      <w:start w:val="1"/>
      <w:numFmt w:val="lowerLetter"/>
      <w:lvlText w:val="%5)"/>
      <w:lvlJc w:val="left"/>
      <w:pPr>
        <w:ind w:left="5460" w:hanging="420"/>
      </w:pPr>
    </w:lvl>
    <w:lvl w:ilvl="5" w:tentative="0">
      <w:start w:val="1"/>
      <w:numFmt w:val="lowerRoman"/>
      <w:lvlText w:val="%6."/>
      <w:lvlJc w:val="right"/>
      <w:pPr>
        <w:ind w:left="5880" w:hanging="420"/>
      </w:pPr>
    </w:lvl>
    <w:lvl w:ilvl="6" w:tentative="0">
      <w:start w:val="1"/>
      <w:numFmt w:val="decimal"/>
      <w:lvlText w:val="%7."/>
      <w:lvlJc w:val="left"/>
      <w:pPr>
        <w:ind w:left="6300" w:hanging="420"/>
      </w:pPr>
    </w:lvl>
    <w:lvl w:ilvl="7" w:tentative="0">
      <w:start w:val="1"/>
      <w:numFmt w:val="lowerLetter"/>
      <w:lvlText w:val="%8)"/>
      <w:lvlJc w:val="left"/>
      <w:pPr>
        <w:ind w:left="6720" w:hanging="420"/>
      </w:pPr>
    </w:lvl>
    <w:lvl w:ilvl="8" w:tentative="0">
      <w:start w:val="1"/>
      <w:numFmt w:val="lowerRoman"/>
      <w:lvlText w:val="%9."/>
      <w:lvlJc w:val="right"/>
      <w:pPr>
        <w:ind w:left="7140" w:hanging="420"/>
      </w:pPr>
    </w:lvl>
  </w:abstractNum>
  <w:abstractNum w:abstractNumId="7">
    <w:nsid w:val="470E3631"/>
    <w:multiLevelType w:val="multilevel"/>
    <w:tmpl w:val="470E3631"/>
    <w:lvl w:ilvl="0" w:tentative="0">
      <w:start w:val="1"/>
      <w:numFmt w:val="decimal"/>
      <w:pStyle w:val="59"/>
      <w:suff w:val="space"/>
      <w:lvlText w:val="图4-%1"/>
      <w:lvlJc w:val="left"/>
      <w:pPr>
        <w:ind w:left="0" w:firstLine="0"/>
      </w:pPr>
      <w:rPr>
        <w:rFonts w:hint="default" w:ascii="Times New Roman" w:hAnsi="Times New Roman" w:eastAsia="宋体"/>
        <w:sz w:val="21"/>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5C3E7623"/>
    <w:multiLevelType w:val="multilevel"/>
    <w:tmpl w:val="5C3E7623"/>
    <w:lvl w:ilvl="0" w:tentative="0">
      <w:start w:val="1"/>
      <w:numFmt w:val="decimal"/>
      <w:pStyle w:val="60"/>
      <w:suff w:val="space"/>
      <w:lvlText w:val="图3-%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EF5483F"/>
    <w:multiLevelType w:val="multilevel"/>
    <w:tmpl w:val="7EF5483F"/>
    <w:lvl w:ilvl="0" w:tentative="0">
      <w:start w:val="1"/>
      <w:numFmt w:val="decimal"/>
      <w:pStyle w:val="61"/>
      <w:suff w:val="space"/>
      <w:lvlText w:val="图1-%1"/>
      <w:lvlJc w:val="left"/>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7"/>
  </w:num>
  <w:num w:numId="3">
    <w:abstractNumId w:val="8"/>
  </w:num>
  <w:num w:numId="4">
    <w:abstractNumId w:val="9"/>
  </w:num>
  <w:num w:numId="5">
    <w:abstractNumId w:val="6"/>
  </w:num>
  <w:num w:numId="6">
    <w:abstractNumId w:val="4"/>
  </w:num>
  <w:num w:numId="7">
    <w:abstractNumId w:val="3"/>
  </w:num>
  <w:num w:numId="8">
    <w:abstractNumId w:val="0"/>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B24"/>
    <w:rsid w:val="00002E31"/>
    <w:rsid w:val="00005CBD"/>
    <w:rsid w:val="000100BB"/>
    <w:rsid w:val="000109D0"/>
    <w:rsid w:val="00011204"/>
    <w:rsid w:val="00011C23"/>
    <w:rsid w:val="00014AFA"/>
    <w:rsid w:val="00014CEA"/>
    <w:rsid w:val="00015531"/>
    <w:rsid w:val="00015C55"/>
    <w:rsid w:val="000160E2"/>
    <w:rsid w:val="00016A32"/>
    <w:rsid w:val="00016F29"/>
    <w:rsid w:val="000205C2"/>
    <w:rsid w:val="00020E8C"/>
    <w:rsid w:val="00022B26"/>
    <w:rsid w:val="0002395C"/>
    <w:rsid w:val="0002436D"/>
    <w:rsid w:val="0002460F"/>
    <w:rsid w:val="000246B1"/>
    <w:rsid w:val="000253A2"/>
    <w:rsid w:val="00025932"/>
    <w:rsid w:val="0002632F"/>
    <w:rsid w:val="00031A94"/>
    <w:rsid w:val="00033B2D"/>
    <w:rsid w:val="00034A36"/>
    <w:rsid w:val="00034CD2"/>
    <w:rsid w:val="0003722F"/>
    <w:rsid w:val="000376C9"/>
    <w:rsid w:val="00037A11"/>
    <w:rsid w:val="00037A55"/>
    <w:rsid w:val="00040D2D"/>
    <w:rsid w:val="00041489"/>
    <w:rsid w:val="000424D4"/>
    <w:rsid w:val="00043243"/>
    <w:rsid w:val="00044D12"/>
    <w:rsid w:val="00044D5C"/>
    <w:rsid w:val="00046172"/>
    <w:rsid w:val="00046F43"/>
    <w:rsid w:val="00047767"/>
    <w:rsid w:val="00047A3E"/>
    <w:rsid w:val="00050829"/>
    <w:rsid w:val="0005202E"/>
    <w:rsid w:val="00052759"/>
    <w:rsid w:val="00053732"/>
    <w:rsid w:val="000544BD"/>
    <w:rsid w:val="000548BF"/>
    <w:rsid w:val="0005530D"/>
    <w:rsid w:val="000553B3"/>
    <w:rsid w:val="00055882"/>
    <w:rsid w:val="000561A1"/>
    <w:rsid w:val="00062030"/>
    <w:rsid w:val="0006255E"/>
    <w:rsid w:val="000626C4"/>
    <w:rsid w:val="00062CDA"/>
    <w:rsid w:val="00062DC3"/>
    <w:rsid w:val="00063908"/>
    <w:rsid w:val="00065603"/>
    <w:rsid w:val="00065D7D"/>
    <w:rsid w:val="000662D8"/>
    <w:rsid w:val="00066536"/>
    <w:rsid w:val="000668AA"/>
    <w:rsid w:val="000675C3"/>
    <w:rsid w:val="000700D7"/>
    <w:rsid w:val="00076A2D"/>
    <w:rsid w:val="00076D8B"/>
    <w:rsid w:val="00077647"/>
    <w:rsid w:val="00077E13"/>
    <w:rsid w:val="0008142E"/>
    <w:rsid w:val="00082FEF"/>
    <w:rsid w:val="000837CB"/>
    <w:rsid w:val="00083E48"/>
    <w:rsid w:val="00084051"/>
    <w:rsid w:val="000857FE"/>
    <w:rsid w:val="00085CA2"/>
    <w:rsid w:val="000860C1"/>
    <w:rsid w:val="00086A3A"/>
    <w:rsid w:val="00087584"/>
    <w:rsid w:val="00090535"/>
    <w:rsid w:val="00090DB7"/>
    <w:rsid w:val="00092BA2"/>
    <w:rsid w:val="00092BBB"/>
    <w:rsid w:val="00092BEF"/>
    <w:rsid w:val="00095B29"/>
    <w:rsid w:val="00095CD2"/>
    <w:rsid w:val="00095D50"/>
    <w:rsid w:val="0009613F"/>
    <w:rsid w:val="0009629B"/>
    <w:rsid w:val="0009792F"/>
    <w:rsid w:val="00097D1B"/>
    <w:rsid w:val="00097F97"/>
    <w:rsid w:val="000A02F1"/>
    <w:rsid w:val="000A07DD"/>
    <w:rsid w:val="000A0BBE"/>
    <w:rsid w:val="000A24ED"/>
    <w:rsid w:val="000A350C"/>
    <w:rsid w:val="000A4AFD"/>
    <w:rsid w:val="000A4B7B"/>
    <w:rsid w:val="000A5903"/>
    <w:rsid w:val="000A5A36"/>
    <w:rsid w:val="000A6796"/>
    <w:rsid w:val="000A67E8"/>
    <w:rsid w:val="000A7099"/>
    <w:rsid w:val="000A7CC3"/>
    <w:rsid w:val="000B0B2E"/>
    <w:rsid w:val="000B1BC8"/>
    <w:rsid w:val="000B316E"/>
    <w:rsid w:val="000B386D"/>
    <w:rsid w:val="000B3D6E"/>
    <w:rsid w:val="000B48E4"/>
    <w:rsid w:val="000B5707"/>
    <w:rsid w:val="000B5F05"/>
    <w:rsid w:val="000B6C58"/>
    <w:rsid w:val="000C0BAB"/>
    <w:rsid w:val="000C1CF7"/>
    <w:rsid w:val="000C1CFF"/>
    <w:rsid w:val="000C2126"/>
    <w:rsid w:val="000C2A56"/>
    <w:rsid w:val="000C403D"/>
    <w:rsid w:val="000C4E54"/>
    <w:rsid w:val="000D16D9"/>
    <w:rsid w:val="000D18E0"/>
    <w:rsid w:val="000D1DF8"/>
    <w:rsid w:val="000D2C5D"/>
    <w:rsid w:val="000D3A5C"/>
    <w:rsid w:val="000D4713"/>
    <w:rsid w:val="000D676D"/>
    <w:rsid w:val="000D791E"/>
    <w:rsid w:val="000E05A7"/>
    <w:rsid w:val="000E0A70"/>
    <w:rsid w:val="000E2663"/>
    <w:rsid w:val="000E32C7"/>
    <w:rsid w:val="000E41B7"/>
    <w:rsid w:val="000E4438"/>
    <w:rsid w:val="000E49D2"/>
    <w:rsid w:val="000E510A"/>
    <w:rsid w:val="000E56C0"/>
    <w:rsid w:val="000E5E72"/>
    <w:rsid w:val="000E614C"/>
    <w:rsid w:val="000E75EC"/>
    <w:rsid w:val="000F20EA"/>
    <w:rsid w:val="000F2325"/>
    <w:rsid w:val="000F3D04"/>
    <w:rsid w:val="000F55A6"/>
    <w:rsid w:val="000F64D4"/>
    <w:rsid w:val="000F704F"/>
    <w:rsid w:val="000F7E0F"/>
    <w:rsid w:val="00104E82"/>
    <w:rsid w:val="00104F7E"/>
    <w:rsid w:val="001054F0"/>
    <w:rsid w:val="001055B8"/>
    <w:rsid w:val="00107EB5"/>
    <w:rsid w:val="00110122"/>
    <w:rsid w:val="00110771"/>
    <w:rsid w:val="001108F5"/>
    <w:rsid w:val="0011131E"/>
    <w:rsid w:val="00111879"/>
    <w:rsid w:val="00111D7E"/>
    <w:rsid w:val="00112425"/>
    <w:rsid w:val="00112D82"/>
    <w:rsid w:val="00112EA9"/>
    <w:rsid w:val="00114208"/>
    <w:rsid w:val="001145B3"/>
    <w:rsid w:val="0011468F"/>
    <w:rsid w:val="00115437"/>
    <w:rsid w:val="00116C78"/>
    <w:rsid w:val="00117B75"/>
    <w:rsid w:val="00117FB9"/>
    <w:rsid w:val="00120909"/>
    <w:rsid w:val="001218CA"/>
    <w:rsid w:val="001229DC"/>
    <w:rsid w:val="00123BF3"/>
    <w:rsid w:val="0012467E"/>
    <w:rsid w:val="00124D5D"/>
    <w:rsid w:val="0012597C"/>
    <w:rsid w:val="0012661B"/>
    <w:rsid w:val="001315A5"/>
    <w:rsid w:val="00131806"/>
    <w:rsid w:val="00131A09"/>
    <w:rsid w:val="001326C8"/>
    <w:rsid w:val="0013369A"/>
    <w:rsid w:val="001339D4"/>
    <w:rsid w:val="001346C1"/>
    <w:rsid w:val="00134C76"/>
    <w:rsid w:val="001359E8"/>
    <w:rsid w:val="00135DD7"/>
    <w:rsid w:val="00136D42"/>
    <w:rsid w:val="00137779"/>
    <w:rsid w:val="001409FD"/>
    <w:rsid w:val="00141243"/>
    <w:rsid w:val="00141D95"/>
    <w:rsid w:val="001420CE"/>
    <w:rsid w:val="001430BC"/>
    <w:rsid w:val="00143C46"/>
    <w:rsid w:val="001445EE"/>
    <w:rsid w:val="00145A60"/>
    <w:rsid w:val="001463C7"/>
    <w:rsid w:val="00146741"/>
    <w:rsid w:val="00150B01"/>
    <w:rsid w:val="0015119D"/>
    <w:rsid w:val="0015233B"/>
    <w:rsid w:val="001533F2"/>
    <w:rsid w:val="00153AE1"/>
    <w:rsid w:val="00155172"/>
    <w:rsid w:val="00155977"/>
    <w:rsid w:val="00156769"/>
    <w:rsid w:val="001570B7"/>
    <w:rsid w:val="0015751F"/>
    <w:rsid w:val="001602D0"/>
    <w:rsid w:val="00162C44"/>
    <w:rsid w:val="00163373"/>
    <w:rsid w:val="00163A46"/>
    <w:rsid w:val="0016461E"/>
    <w:rsid w:val="00170871"/>
    <w:rsid w:val="00170E4D"/>
    <w:rsid w:val="00171DFA"/>
    <w:rsid w:val="00172369"/>
    <w:rsid w:val="001723F5"/>
    <w:rsid w:val="001729B4"/>
    <w:rsid w:val="001734EF"/>
    <w:rsid w:val="00173796"/>
    <w:rsid w:val="00173A28"/>
    <w:rsid w:val="00177038"/>
    <w:rsid w:val="001770D0"/>
    <w:rsid w:val="001778BE"/>
    <w:rsid w:val="00180330"/>
    <w:rsid w:val="001803A7"/>
    <w:rsid w:val="00180462"/>
    <w:rsid w:val="00182AC9"/>
    <w:rsid w:val="0018474E"/>
    <w:rsid w:val="001877F4"/>
    <w:rsid w:val="0019163E"/>
    <w:rsid w:val="00191A82"/>
    <w:rsid w:val="00193F81"/>
    <w:rsid w:val="001942EA"/>
    <w:rsid w:val="00195C11"/>
    <w:rsid w:val="00195EB6"/>
    <w:rsid w:val="00195F29"/>
    <w:rsid w:val="00196E7B"/>
    <w:rsid w:val="001A2D03"/>
    <w:rsid w:val="001A5600"/>
    <w:rsid w:val="001A58DA"/>
    <w:rsid w:val="001A7D4E"/>
    <w:rsid w:val="001B1B88"/>
    <w:rsid w:val="001B2759"/>
    <w:rsid w:val="001B3B42"/>
    <w:rsid w:val="001B53C3"/>
    <w:rsid w:val="001B55B0"/>
    <w:rsid w:val="001B58BF"/>
    <w:rsid w:val="001B635A"/>
    <w:rsid w:val="001B6871"/>
    <w:rsid w:val="001B6FEB"/>
    <w:rsid w:val="001C268A"/>
    <w:rsid w:val="001C2A0B"/>
    <w:rsid w:val="001C2E0F"/>
    <w:rsid w:val="001C5E5F"/>
    <w:rsid w:val="001C6E8A"/>
    <w:rsid w:val="001D0158"/>
    <w:rsid w:val="001D08B3"/>
    <w:rsid w:val="001D28F0"/>
    <w:rsid w:val="001D2C26"/>
    <w:rsid w:val="001D2C34"/>
    <w:rsid w:val="001D365D"/>
    <w:rsid w:val="001D5AB4"/>
    <w:rsid w:val="001D5C4D"/>
    <w:rsid w:val="001E2387"/>
    <w:rsid w:val="001E2EE5"/>
    <w:rsid w:val="001E3C88"/>
    <w:rsid w:val="001E4389"/>
    <w:rsid w:val="001E567A"/>
    <w:rsid w:val="001E580E"/>
    <w:rsid w:val="001E701C"/>
    <w:rsid w:val="001E7103"/>
    <w:rsid w:val="001E7503"/>
    <w:rsid w:val="001F12D9"/>
    <w:rsid w:val="001F1E6D"/>
    <w:rsid w:val="001F2AA0"/>
    <w:rsid w:val="001F2CA8"/>
    <w:rsid w:val="001F446F"/>
    <w:rsid w:val="001F5B8D"/>
    <w:rsid w:val="001F69FB"/>
    <w:rsid w:val="001F756D"/>
    <w:rsid w:val="001F7C58"/>
    <w:rsid w:val="001F7CE7"/>
    <w:rsid w:val="001F7DF2"/>
    <w:rsid w:val="00200961"/>
    <w:rsid w:val="00202FCC"/>
    <w:rsid w:val="00204C3B"/>
    <w:rsid w:val="00205765"/>
    <w:rsid w:val="00206ABD"/>
    <w:rsid w:val="0021103C"/>
    <w:rsid w:val="00212291"/>
    <w:rsid w:val="00212779"/>
    <w:rsid w:val="00213030"/>
    <w:rsid w:val="002142BE"/>
    <w:rsid w:val="00214361"/>
    <w:rsid w:val="0021592C"/>
    <w:rsid w:val="00217488"/>
    <w:rsid w:val="00220821"/>
    <w:rsid w:val="002215DB"/>
    <w:rsid w:val="002238F0"/>
    <w:rsid w:val="00225019"/>
    <w:rsid w:val="00225B93"/>
    <w:rsid w:val="00227698"/>
    <w:rsid w:val="00230F57"/>
    <w:rsid w:val="00234531"/>
    <w:rsid w:val="002348C5"/>
    <w:rsid w:val="0023544A"/>
    <w:rsid w:val="00236435"/>
    <w:rsid w:val="00242382"/>
    <w:rsid w:val="0024291D"/>
    <w:rsid w:val="00243D7C"/>
    <w:rsid w:val="0024516F"/>
    <w:rsid w:val="002451B2"/>
    <w:rsid w:val="0024537E"/>
    <w:rsid w:val="00245B9C"/>
    <w:rsid w:val="0024687B"/>
    <w:rsid w:val="002468BB"/>
    <w:rsid w:val="0024752A"/>
    <w:rsid w:val="00250426"/>
    <w:rsid w:val="00250DCF"/>
    <w:rsid w:val="002511C7"/>
    <w:rsid w:val="00251954"/>
    <w:rsid w:val="00252123"/>
    <w:rsid w:val="00252A35"/>
    <w:rsid w:val="00253276"/>
    <w:rsid w:val="00255700"/>
    <w:rsid w:val="00255C1A"/>
    <w:rsid w:val="0025776C"/>
    <w:rsid w:val="002577EA"/>
    <w:rsid w:val="002627DD"/>
    <w:rsid w:val="00263CDE"/>
    <w:rsid w:val="0026413B"/>
    <w:rsid w:val="002643B9"/>
    <w:rsid w:val="00264A39"/>
    <w:rsid w:val="00264D18"/>
    <w:rsid w:val="002669A7"/>
    <w:rsid w:val="00266ACC"/>
    <w:rsid w:val="00267808"/>
    <w:rsid w:val="00267935"/>
    <w:rsid w:val="00267BDC"/>
    <w:rsid w:val="00271903"/>
    <w:rsid w:val="00271A9C"/>
    <w:rsid w:val="002723B4"/>
    <w:rsid w:val="00277108"/>
    <w:rsid w:val="002773CD"/>
    <w:rsid w:val="0028020A"/>
    <w:rsid w:val="002812C5"/>
    <w:rsid w:val="002825C2"/>
    <w:rsid w:val="002853B1"/>
    <w:rsid w:val="00286B38"/>
    <w:rsid w:val="00287005"/>
    <w:rsid w:val="00290652"/>
    <w:rsid w:val="00290E42"/>
    <w:rsid w:val="002912C8"/>
    <w:rsid w:val="002922B8"/>
    <w:rsid w:val="00293B19"/>
    <w:rsid w:val="002973DD"/>
    <w:rsid w:val="00297A1F"/>
    <w:rsid w:val="00297A25"/>
    <w:rsid w:val="002A2970"/>
    <w:rsid w:val="002A3347"/>
    <w:rsid w:val="002A43B3"/>
    <w:rsid w:val="002A69B4"/>
    <w:rsid w:val="002A7C9A"/>
    <w:rsid w:val="002B0891"/>
    <w:rsid w:val="002B12EE"/>
    <w:rsid w:val="002B15CF"/>
    <w:rsid w:val="002B253B"/>
    <w:rsid w:val="002B3583"/>
    <w:rsid w:val="002B3823"/>
    <w:rsid w:val="002B40CC"/>
    <w:rsid w:val="002B56CE"/>
    <w:rsid w:val="002B5CF1"/>
    <w:rsid w:val="002B6FBA"/>
    <w:rsid w:val="002C1FB0"/>
    <w:rsid w:val="002C2BDA"/>
    <w:rsid w:val="002C2E37"/>
    <w:rsid w:val="002C3FA9"/>
    <w:rsid w:val="002C429F"/>
    <w:rsid w:val="002C5531"/>
    <w:rsid w:val="002C5573"/>
    <w:rsid w:val="002C5917"/>
    <w:rsid w:val="002C609E"/>
    <w:rsid w:val="002C6950"/>
    <w:rsid w:val="002D0134"/>
    <w:rsid w:val="002D10F7"/>
    <w:rsid w:val="002D1F33"/>
    <w:rsid w:val="002D20CB"/>
    <w:rsid w:val="002D21B8"/>
    <w:rsid w:val="002D4BF5"/>
    <w:rsid w:val="002D5F4E"/>
    <w:rsid w:val="002D64E4"/>
    <w:rsid w:val="002D6661"/>
    <w:rsid w:val="002D68A1"/>
    <w:rsid w:val="002D6B73"/>
    <w:rsid w:val="002D703A"/>
    <w:rsid w:val="002D7F63"/>
    <w:rsid w:val="002E2027"/>
    <w:rsid w:val="002E2E72"/>
    <w:rsid w:val="002E3B94"/>
    <w:rsid w:val="002E3D1D"/>
    <w:rsid w:val="002E4626"/>
    <w:rsid w:val="002E5329"/>
    <w:rsid w:val="002E612B"/>
    <w:rsid w:val="002F0897"/>
    <w:rsid w:val="002F4EB5"/>
    <w:rsid w:val="002F668E"/>
    <w:rsid w:val="002F6744"/>
    <w:rsid w:val="00300506"/>
    <w:rsid w:val="003010BA"/>
    <w:rsid w:val="003011E3"/>
    <w:rsid w:val="003031BE"/>
    <w:rsid w:val="0030382E"/>
    <w:rsid w:val="00305C99"/>
    <w:rsid w:val="00305CA6"/>
    <w:rsid w:val="00306E8E"/>
    <w:rsid w:val="0030747E"/>
    <w:rsid w:val="00307D2C"/>
    <w:rsid w:val="0031237C"/>
    <w:rsid w:val="0031333E"/>
    <w:rsid w:val="0031372E"/>
    <w:rsid w:val="00313B27"/>
    <w:rsid w:val="00315401"/>
    <w:rsid w:val="00315687"/>
    <w:rsid w:val="00315CD2"/>
    <w:rsid w:val="00316216"/>
    <w:rsid w:val="00317C4E"/>
    <w:rsid w:val="00317E96"/>
    <w:rsid w:val="0032197F"/>
    <w:rsid w:val="00322EF4"/>
    <w:rsid w:val="00326892"/>
    <w:rsid w:val="0032769C"/>
    <w:rsid w:val="00330183"/>
    <w:rsid w:val="00330562"/>
    <w:rsid w:val="003305F5"/>
    <w:rsid w:val="00330C16"/>
    <w:rsid w:val="003339BF"/>
    <w:rsid w:val="00335396"/>
    <w:rsid w:val="00335D21"/>
    <w:rsid w:val="00336247"/>
    <w:rsid w:val="00336762"/>
    <w:rsid w:val="00336D5B"/>
    <w:rsid w:val="00337358"/>
    <w:rsid w:val="0033782A"/>
    <w:rsid w:val="00340696"/>
    <w:rsid w:val="00340BD2"/>
    <w:rsid w:val="0034187D"/>
    <w:rsid w:val="00344EA8"/>
    <w:rsid w:val="00346019"/>
    <w:rsid w:val="00347225"/>
    <w:rsid w:val="00350590"/>
    <w:rsid w:val="0035210B"/>
    <w:rsid w:val="0035445C"/>
    <w:rsid w:val="003555F5"/>
    <w:rsid w:val="00356A73"/>
    <w:rsid w:val="00361314"/>
    <w:rsid w:val="00363493"/>
    <w:rsid w:val="00364A27"/>
    <w:rsid w:val="00364A2C"/>
    <w:rsid w:val="00364E49"/>
    <w:rsid w:val="0036640C"/>
    <w:rsid w:val="00367A65"/>
    <w:rsid w:val="00370265"/>
    <w:rsid w:val="00370394"/>
    <w:rsid w:val="0037148B"/>
    <w:rsid w:val="00373002"/>
    <w:rsid w:val="0037369D"/>
    <w:rsid w:val="00374390"/>
    <w:rsid w:val="003765F0"/>
    <w:rsid w:val="00377ACB"/>
    <w:rsid w:val="00377D04"/>
    <w:rsid w:val="00377EAA"/>
    <w:rsid w:val="003803CB"/>
    <w:rsid w:val="00383283"/>
    <w:rsid w:val="003851CC"/>
    <w:rsid w:val="0038797A"/>
    <w:rsid w:val="00387C45"/>
    <w:rsid w:val="0039103A"/>
    <w:rsid w:val="00391250"/>
    <w:rsid w:val="00393644"/>
    <w:rsid w:val="0039496D"/>
    <w:rsid w:val="00396157"/>
    <w:rsid w:val="003978B8"/>
    <w:rsid w:val="003A0FA7"/>
    <w:rsid w:val="003A1BDF"/>
    <w:rsid w:val="003A24EE"/>
    <w:rsid w:val="003A5B60"/>
    <w:rsid w:val="003A6EB9"/>
    <w:rsid w:val="003B0891"/>
    <w:rsid w:val="003B0A34"/>
    <w:rsid w:val="003B3F3D"/>
    <w:rsid w:val="003B5853"/>
    <w:rsid w:val="003B5BF8"/>
    <w:rsid w:val="003B7243"/>
    <w:rsid w:val="003B75EC"/>
    <w:rsid w:val="003C0D6F"/>
    <w:rsid w:val="003C3573"/>
    <w:rsid w:val="003C3985"/>
    <w:rsid w:val="003C4380"/>
    <w:rsid w:val="003C4F93"/>
    <w:rsid w:val="003C50F5"/>
    <w:rsid w:val="003C5AFB"/>
    <w:rsid w:val="003C6B0D"/>
    <w:rsid w:val="003C6B51"/>
    <w:rsid w:val="003D1AD1"/>
    <w:rsid w:val="003D1F64"/>
    <w:rsid w:val="003D45F9"/>
    <w:rsid w:val="003D4CC5"/>
    <w:rsid w:val="003D61B0"/>
    <w:rsid w:val="003D6989"/>
    <w:rsid w:val="003D7340"/>
    <w:rsid w:val="003E4DEC"/>
    <w:rsid w:val="003E564B"/>
    <w:rsid w:val="003E5A3D"/>
    <w:rsid w:val="003E64EF"/>
    <w:rsid w:val="003E7823"/>
    <w:rsid w:val="003E7CAE"/>
    <w:rsid w:val="003E7D87"/>
    <w:rsid w:val="003F246D"/>
    <w:rsid w:val="003F40E6"/>
    <w:rsid w:val="003F5115"/>
    <w:rsid w:val="003F5842"/>
    <w:rsid w:val="003F666A"/>
    <w:rsid w:val="003F7800"/>
    <w:rsid w:val="003F7D2E"/>
    <w:rsid w:val="00400F91"/>
    <w:rsid w:val="0040292B"/>
    <w:rsid w:val="00402B12"/>
    <w:rsid w:val="00404A3E"/>
    <w:rsid w:val="00410280"/>
    <w:rsid w:val="00410D8A"/>
    <w:rsid w:val="00412BFD"/>
    <w:rsid w:val="004133C1"/>
    <w:rsid w:val="00413E6D"/>
    <w:rsid w:val="00413FB8"/>
    <w:rsid w:val="00417789"/>
    <w:rsid w:val="004179C8"/>
    <w:rsid w:val="00417A87"/>
    <w:rsid w:val="00417AE5"/>
    <w:rsid w:val="004201D3"/>
    <w:rsid w:val="00421015"/>
    <w:rsid w:val="004221BC"/>
    <w:rsid w:val="004223BE"/>
    <w:rsid w:val="00423A8F"/>
    <w:rsid w:val="0042448D"/>
    <w:rsid w:val="004316AE"/>
    <w:rsid w:val="004328DA"/>
    <w:rsid w:val="004331C0"/>
    <w:rsid w:val="004335B1"/>
    <w:rsid w:val="004344DF"/>
    <w:rsid w:val="00434CC5"/>
    <w:rsid w:val="004366A5"/>
    <w:rsid w:val="0044061E"/>
    <w:rsid w:val="00441D65"/>
    <w:rsid w:val="00444ACE"/>
    <w:rsid w:val="00446445"/>
    <w:rsid w:val="0044777E"/>
    <w:rsid w:val="00450BD3"/>
    <w:rsid w:val="00452DEB"/>
    <w:rsid w:val="00453105"/>
    <w:rsid w:val="00454584"/>
    <w:rsid w:val="0045476C"/>
    <w:rsid w:val="00454896"/>
    <w:rsid w:val="00454A9F"/>
    <w:rsid w:val="00455FFB"/>
    <w:rsid w:val="004561A6"/>
    <w:rsid w:val="0045641B"/>
    <w:rsid w:val="00456B72"/>
    <w:rsid w:val="00456D16"/>
    <w:rsid w:val="00456DDE"/>
    <w:rsid w:val="004571B1"/>
    <w:rsid w:val="0046003F"/>
    <w:rsid w:val="004604B9"/>
    <w:rsid w:val="004604CA"/>
    <w:rsid w:val="0046359A"/>
    <w:rsid w:val="004644A0"/>
    <w:rsid w:val="00466E5C"/>
    <w:rsid w:val="00467223"/>
    <w:rsid w:val="00470183"/>
    <w:rsid w:val="004701A6"/>
    <w:rsid w:val="00470B6C"/>
    <w:rsid w:val="0047103F"/>
    <w:rsid w:val="00471A12"/>
    <w:rsid w:val="00471F5D"/>
    <w:rsid w:val="00472DF8"/>
    <w:rsid w:val="004733F2"/>
    <w:rsid w:val="004734C1"/>
    <w:rsid w:val="00473AB4"/>
    <w:rsid w:val="00474287"/>
    <w:rsid w:val="0047453D"/>
    <w:rsid w:val="00474A1F"/>
    <w:rsid w:val="00474E32"/>
    <w:rsid w:val="00477721"/>
    <w:rsid w:val="00477C3D"/>
    <w:rsid w:val="00480CFA"/>
    <w:rsid w:val="00481266"/>
    <w:rsid w:val="004820B3"/>
    <w:rsid w:val="00482112"/>
    <w:rsid w:val="00483468"/>
    <w:rsid w:val="0048363A"/>
    <w:rsid w:val="00484C78"/>
    <w:rsid w:val="00485441"/>
    <w:rsid w:val="00486216"/>
    <w:rsid w:val="00486718"/>
    <w:rsid w:val="004877E9"/>
    <w:rsid w:val="0049048E"/>
    <w:rsid w:val="00490503"/>
    <w:rsid w:val="00490518"/>
    <w:rsid w:val="0049248C"/>
    <w:rsid w:val="00494585"/>
    <w:rsid w:val="00495A91"/>
    <w:rsid w:val="00497CED"/>
    <w:rsid w:val="004A24C1"/>
    <w:rsid w:val="004A2961"/>
    <w:rsid w:val="004A2B73"/>
    <w:rsid w:val="004A2D3D"/>
    <w:rsid w:val="004A32BC"/>
    <w:rsid w:val="004A43E8"/>
    <w:rsid w:val="004A51E4"/>
    <w:rsid w:val="004A5D42"/>
    <w:rsid w:val="004A6A02"/>
    <w:rsid w:val="004B0773"/>
    <w:rsid w:val="004B0EE5"/>
    <w:rsid w:val="004B18B2"/>
    <w:rsid w:val="004B3E96"/>
    <w:rsid w:val="004B543F"/>
    <w:rsid w:val="004C00BA"/>
    <w:rsid w:val="004C11ED"/>
    <w:rsid w:val="004C2E1A"/>
    <w:rsid w:val="004C376B"/>
    <w:rsid w:val="004C393C"/>
    <w:rsid w:val="004C5F1C"/>
    <w:rsid w:val="004C6B4C"/>
    <w:rsid w:val="004C72DA"/>
    <w:rsid w:val="004D0DB0"/>
    <w:rsid w:val="004D18DF"/>
    <w:rsid w:val="004D2001"/>
    <w:rsid w:val="004D5F4C"/>
    <w:rsid w:val="004D7194"/>
    <w:rsid w:val="004D7B5A"/>
    <w:rsid w:val="004E1F41"/>
    <w:rsid w:val="004E2DDD"/>
    <w:rsid w:val="004E41A4"/>
    <w:rsid w:val="004E4872"/>
    <w:rsid w:val="004F13B4"/>
    <w:rsid w:val="004F19B4"/>
    <w:rsid w:val="004F1AA7"/>
    <w:rsid w:val="004F38BB"/>
    <w:rsid w:val="004F4671"/>
    <w:rsid w:val="004F6EE3"/>
    <w:rsid w:val="004F708E"/>
    <w:rsid w:val="00500902"/>
    <w:rsid w:val="00500F19"/>
    <w:rsid w:val="00501E5F"/>
    <w:rsid w:val="0050352B"/>
    <w:rsid w:val="00503B44"/>
    <w:rsid w:val="005040D7"/>
    <w:rsid w:val="005048CC"/>
    <w:rsid w:val="00505FB1"/>
    <w:rsid w:val="0050698E"/>
    <w:rsid w:val="005105A0"/>
    <w:rsid w:val="005118B3"/>
    <w:rsid w:val="00515405"/>
    <w:rsid w:val="005161CD"/>
    <w:rsid w:val="00516F8B"/>
    <w:rsid w:val="00517BBA"/>
    <w:rsid w:val="00520307"/>
    <w:rsid w:val="00520635"/>
    <w:rsid w:val="00521668"/>
    <w:rsid w:val="005217C7"/>
    <w:rsid w:val="00522489"/>
    <w:rsid w:val="00523148"/>
    <w:rsid w:val="00523AF2"/>
    <w:rsid w:val="00524508"/>
    <w:rsid w:val="00524FCE"/>
    <w:rsid w:val="00525732"/>
    <w:rsid w:val="00525C02"/>
    <w:rsid w:val="00526DC0"/>
    <w:rsid w:val="005270CF"/>
    <w:rsid w:val="00527FBB"/>
    <w:rsid w:val="00530592"/>
    <w:rsid w:val="00531279"/>
    <w:rsid w:val="00531390"/>
    <w:rsid w:val="00532790"/>
    <w:rsid w:val="00533EC4"/>
    <w:rsid w:val="00534CDF"/>
    <w:rsid w:val="005368BA"/>
    <w:rsid w:val="00540917"/>
    <w:rsid w:val="00540E64"/>
    <w:rsid w:val="00542AA5"/>
    <w:rsid w:val="005444E2"/>
    <w:rsid w:val="00546705"/>
    <w:rsid w:val="00547716"/>
    <w:rsid w:val="00551FAB"/>
    <w:rsid w:val="00553D36"/>
    <w:rsid w:val="0055469E"/>
    <w:rsid w:val="005547FC"/>
    <w:rsid w:val="00555C28"/>
    <w:rsid w:val="00556864"/>
    <w:rsid w:val="00557660"/>
    <w:rsid w:val="00557C73"/>
    <w:rsid w:val="005619F1"/>
    <w:rsid w:val="00561A29"/>
    <w:rsid w:val="005622A5"/>
    <w:rsid w:val="005650D0"/>
    <w:rsid w:val="00570197"/>
    <w:rsid w:val="005710EF"/>
    <w:rsid w:val="005712F1"/>
    <w:rsid w:val="00571C1E"/>
    <w:rsid w:val="00571F7D"/>
    <w:rsid w:val="00571FEC"/>
    <w:rsid w:val="00573692"/>
    <w:rsid w:val="005739B7"/>
    <w:rsid w:val="00574EDF"/>
    <w:rsid w:val="005753B9"/>
    <w:rsid w:val="00575582"/>
    <w:rsid w:val="005766CF"/>
    <w:rsid w:val="00576E8B"/>
    <w:rsid w:val="0057711B"/>
    <w:rsid w:val="00580D48"/>
    <w:rsid w:val="00585A93"/>
    <w:rsid w:val="00586EA7"/>
    <w:rsid w:val="00587709"/>
    <w:rsid w:val="00590F62"/>
    <w:rsid w:val="005910F6"/>
    <w:rsid w:val="005917FC"/>
    <w:rsid w:val="00592059"/>
    <w:rsid w:val="00594628"/>
    <w:rsid w:val="005953F6"/>
    <w:rsid w:val="005A0F8C"/>
    <w:rsid w:val="005A14E9"/>
    <w:rsid w:val="005A2AC8"/>
    <w:rsid w:val="005A3AEB"/>
    <w:rsid w:val="005A3C24"/>
    <w:rsid w:val="005A3D64"/>
    <w:rsid w:val="005A3F31"/>
    <w:rsid w:val="005A6A28"/>
    <w:rsid w:val="005A7840"/>
    <w:rsid w:val="005B094B"/>
    <w:rsid w:val="005B0EFB"/>
    <w:rsid w:val="005B0FA3"/>
    <w:rsid w:val="005B2F6B"/>
    <w:rsid w:val="005B3D94"/>
    <w:rsid w:val="005B6384"/>
    <w:rsid w:val="005B63F2"/>
    <w:rsid w:val="005B705E"/>
    <w:rsid w:val="005C096E"/>
    <w:rsid w:val="005C0B19"/>
    <w:rsid w:val="005C14DA"/>
    <w:rsid w:val="005C2119"/>
    <w:rsid w:val="005C4C81"/>
    <w:rsid w:val="005C687A"/>
    <w:rsid w:val="005C7EF2"/>
    <w:rsid w:val="005D16DE"/>
    <w:rsid w:val="005D2B59"/>
    <w:rsid w:val="005D4A51"/>
    <w:rsid w:val="005D4C59"/>
    <w:rsid w:val="005D5F1C"/>
    <w:rsid w:val="005D61A7"/>
    <w:rsid w:val="005D638C"/>
    <w:rsid w:val="005D7A15"/>
    <w:rsid w:val="005D7DAF"/>
    <w:rsid w:val="005D7DF7"/>
    <w:rsid w:val="005D7FBB"/>
    <w:rsid w:val="005E6A72"/>
    <w:rsid w:val="005E7671"/>
    <w:rsid w:val="005E784B"/>
    <w:rsid w:val="005F035D"/>
    <w:rsid w:val="005F25E9"/>
    <w:rsid w:val="005F3FC9"/>
    <w:rsid w:val="005F4CB9"/>
    <w:rsid w:val="005F4DCE"/>
    <w:rsid w:val="005F775C"/>
    <w:rsid w:val="005F7A1F"/>
    <w:rsid w:val="005F7D04"/>
    <w:rsid w:val="00601040"/>
    <w:rsid w:val="006023B8"/>
    <w:rsid w:val="0060600B"/>
    <w:rsid w:val="00607D1A"/>
    <w:rsid w:val="00614580"/>
    <w:rsid w:val="006171D9"/>
    <w:rsid w:val="00617452"/>
    <w:rsid w:val="006202FF"/>
    <w:rsid w:val="00620D78"/>
    <w:rsid w:val="00621153"/>
    <w:rsid w:val="006221E1"/>
    <w:rsid w:val="006232C9"/>
    <w:rsid w:val="00623E3C"/>
    <w:rsid w:val="00624DD8"/>
    <w:rsid w:val="006253F0"/>
    <w:rsid w:val="00626A38"/>
    <w:rsid w:val="00626E08"/>
    <w:rsid w:val="00627432"/>
    <w:rsid w:val="00632C6F"/>
    <w:rsid w:val="00633E7F"/>
    <w:rsid w:val="00634CCB"/>
    <w:rsid w:val="00636CD1"/>
    <w:rsid w:val="00637AD0"/>
    <w:rsid w:val="00641B16"/>
    <w:rsid w:val="00641E35"/>
    <w:rsid w:val="00642F0A"/>
    <w:rsid w:val="0064374A"/>
    <w:rsid w:val="00643795"/>
    <w:rsid w:val="00643E50"/>
    <w:rsid w:val="00645A9C"/>
    <w:rsid w:val="00647B53"/>
    <w:rsid w:val="006504AA"/>
    <w:rsid w:val="00650599"/>
    <w:rsid w:val="006510CC"/>
    <w:rsid w:val="006521AB"/>
    <w:rsid w:val="006522CA"/>
    <w:rsid w:val="0065297D"/>
    <w:rsid w:val="006558AF"/>
    <w:rsid w:val="00656AED"/>
    <w:rsid w:val="00657C1D"/>
    <w:rsid w:val="006608A3"/>
    <w:rsid w:val="006620F2"/>
    <w:rsid w:val="00662456"/>
    <w:rsid w:val="006625BA"/>
    <w:rsid w:val="00662AB0"/>
    <w:rsid w:val="0066315A"/>
    <w:rsid w:val="0066323A"/>
    <w:rsid w:val="00664359"/>
    <w:rsid w:val="006677B6"/>
    <w:rsid w:val="00670830"/>
    <w:rsid w:val="006732D0"/>
    <w:rsid w:val="00674321"/>
    <w:rsid w:val="006754ED"/>
    <w:rsid w:val="00676937"/>
    <w:rsid w:val="00676B6D"/>
    <w:rsid w:val="00677B79"/>
    <w:rsid w:val="0068121E"/>
    <w:rsid w:val="00682B4D"/>
    <w:rsid w:val="00682B62"/>
    <w:rsid w:val="00683138"/>
    <w:rsid w:val="006879AE"/>
    <w:rsid w:val="0069018D"/>
    <w:rsid w:val="0069089C"/>
    <w:rsid w:val="00690B81"/>
    <w:rsid w:val="0069193B"/>
    <w:rsid w:val="00694963"/>
    <w:rsid w:val="00695802"/>
    <w:rsid w:val="00695A4B"/>
    <w:rsid w:val="006967A4"/>
    <w:rsid w:val="00697880"/>
    <w:rsid w:val="006A047F"/>
    <w:rsid w:val="006A0EF1"/>
    <w:rsid w:val="006A1161"/>
    <w:rsid w:val="006A13FF"/>
    <w:rsid w:val="006A1B6F"/>
    <w:rsid w:val="006A1DD3"/>
    <w:rsid w:val="006A2655"/>
    <w:rsid w:val="006A2F66"/>
    <w:rsid w:val="006A2F7F"/>
    <w:rsid w:val="006A7C67"/>
    <w:rsid w:val="006B01E4"/>
    <w:rsid w:val="006B093E"/>
    <w:rsid w:val="006B1A43"/>
    <w:rsid w:val="006B1B62"/>
    <w:rsid w:val="006B2471"/>
    <w:rsid w:val="006B3565"/>
    <w:rsid w:val="006B4194"/>
    <w:rsid w:val="006B4AB2"/>
    <w:rsid w:val="006B55F8"/>
    <w:rsid w:val="006B5747"/>
    <w:rsid w:val="006B67DC"/>
    <w:rsid w:val="006B684A"/>
    <w:rsid w:val="006C0F47"/>
    <w:rsid w:val="006C146E"/>
    <w:rsid w:val="006C1874"/>
    <w:rsid w:val="006C1D93"/>
    <w:rsid w:val="006C2389"/>
    <w:rsid w:val="006C3D88"/>
    <w:rsid w:val="006C449D"/>
    <w:rsid w:val="006C5450"/>
    <w:rsid w:val="006C5F1C"/>
    <w:rsid w:val="006C6109"/>
    <w:rsid w:val="006C63D0"/>
    <w:rsid w:val="006C7005"/>
    <w:rsid w:val="006C77FE"/>
    <w:rsid w:val="006C784B"/>
    <w:rsid w:val="006C7B87"/>
    <w:rsid w:val="006D0816"/>
    <w:rsid w:val="006D25E7"/>
    <w:rsid w:val="006D31D8"/>
    <w:rsid w:val="006D4240"/>
    <w:rsid w:val="006D56EC"/>
    <w:rsid w:val="006D6874"/>
    <w:rsid w:val="006D6CBF"/>
    <w:rsid w:val="006D6DFB"/>
    <w:rsid w:val="006E1455"/>
    <w:rsid w:val="006E535D"/>
    <w:rsid w:val="006E62F1"/>
    <w:rsid w:val="006F0FE0"/>
    <w:rsid w:val="006F13D0"/>
    <w:rsid w:val="006F155B"/>
    <w:rsid w:val="006F3E6A"/>
    <w:rsid w:val="006F53A9"/>
    <w:rsid w:val="006F585E"/>
    <w:rsid w:val="006F5B93"/>
    <w:rsid w:val="006F5C44"/>
    <w:rsid w:val="006F67E0"/>
    <w:rsid w:val="0070024A"/>
    <w:rsid w:val="00700A97"/>
    <w:rsid w:val="00701436"/>
    <w:rsid w:val="00702F99"/>
    <w:rsid w:val="00703136"/>
    <w:rsid w:val="00703B76"/>
    <w:rsid w:val="00703C36"/>
    <w:rsid w:val="007062B4"/>
    <w:rsid w:val="00706BC5"/>
    <w:rsid w:val="00710364"/>
    <w:rsid w:val="00713D13"/>
    <w:rsid w:val="00713EDC"/>
    <w:rsid w:val="007145FB"/>
    <w:rsid w:val="00715C80"/>
    <w:rsid w:val="00720DD8"/>
    <w:rsid w:val="00721EF4"/>
    <w:rsid w:val="007238CC"/>
    <w:rsid w:val="00723DD8"/>
    <w:rsid w:val="007247CD"/>
    <w:rsid w:val="00725F20"/>
    <w:rsid w:val="00727BE3"/>
    <w:rsid w:val="007304CE"/>
    <w:rsid w:val="0073077C"/>
    <w:rsid w:val="00730D19"/>
    <w:rsid w:val="007337C9"/>
    <w:rsid w:val="00736509"/>
    <w:rsid w:val="00736BF0"/>
    <w:rsid w:val="00737506"/>
    <w:rsid w:val="00740BAC"/>
    <w:rsid w:val="007410DE"/>
    <w:rsid w:val="007410E4"/>
    <w:rsid w:val="00741361"/>
    <w:rsid w:val="0074262F"/>
    <w:rsid w:val="0074425F"/>
    <w:rsid w:val="00744AC5"/>
    <w:rsid w:val="00744C9D"/>
    <w:rsid w:val="007452C3"/>
    <w:rsid w:val="007460CD"/>
    <w:rsid w:val="00746F6C"/>
    <w:rsid w:val="007475E6"/>
    <w:rsid w:val="00747FE2"/>
    <w:rsid w:val="00750723"/>
    <w:rsid w:val="007538E9"/>
    <w:rsid w:val="00754605"/>
    <w:rsid w:val="00754A0E"/>
    <w:rsid w:val="00754B15"/>
    <w:rsid w:val="00754D35"/>
    <w:rsid w:val="00756F71"/>
    <w:rsid w:val="00757502"/>
    <w:rsid w:val="00757B85"/>
    <w:rsid w:val="007603FE"/>
    <w:rsid w:val="007629BD"/>
    <w:rsid w:val="00762B68"/>
    <w:rsid w:val="00762B89"/>
    <w:rsid w:val="00762CE2"/>
    <w:rsid w:val="00762D65"/>
    <w:rsid w:val="00763D91"/>
    <w:rsid w:val="00763EE0"/>
    <w:rsid w:val="007642BE"/>
    <w:rsid w:val="007643F5"/>
    <w:rsid w:val="00765D60"/>
    <w:rsid w:val="007676EF"/>
    <w:rsid w:val="007700DE"/>
    <w:rsid w:val="007705C4"/>
    <w:rsid w:val="007706C4"/>
    <w:rsid w:val="00770970"/>
    <w:rsid w:val="00770D76"/>
    <w:rsid w:val="00771EC7"/>
    <w:rsid w:val="007736F1"/>
    <w:rsid w:val="00773EB1"/>
    <w:rsid w:val="007767B7"/>
    <w:rsid w:val="00776840"/>
    <w:rsid w:val="00776924"/>
    <w:rsid w:val="00781E5D"/>
    <w:rsid w:val="00782DB2"/>
    <w:rsid w:val="0078360E"/>
    <w:rsid w:val="00783806"/>
    <w:rsid w:val="0078383C"/>
    <w:rsid w:val="0078450C"/>
    <w:rsid w:val="00786C56"/>
    <w:rsid w:val="007903C5"/>
    <w:rsid w:val="00791488"/>
    <w:rsid w:val="00791845"/>
    <w:rsid w:val="00793356"/>
    <w:rsid w:val="00793ED3"/>
    <w:rsid w:val="00795A58"/>
    <w:rsid w:val="00796634"/>
    <w:rsid w:val="00797ADA"/>
    <w:rsid w:val="007A21F3"/>
    <w:rsid w:val="007A395A"/>
    <w:rsid w:val="007A4A9D"/>
    <w:rsid w:val="007A59D3"/>
    <w:rsid w:val="007B0065"/>
    <w:rsid w:val="007B1328"/>
    <w:rsid w:val="007B2366"/>
    <w:rsid w:val="007B250F"/>
    <w:rsid w:val="007B2C5F"/>
    <w:rsid w:val="007B61FE"/>
    <w:rsid w:val="007B7EFA"/>
    <w:rsid w:val="007C06A5"/>
    <w:rsid w:val="007C0B6C"/>
    <w:rsid w:val="007C0DBE"/>
    <w:rsid w:val="007C2BF6"/>
    <w:rsid w:val="007C3054"/>
    <w:rsid w:val="007C30E0"/>
    <w:rsid w:val="007C32FA"/>
    <w:rsid w:val="007C4D0F"/>
    <w:rsid w:val="007C581B"/>
    <w:rsid w:val="007C5ACD"/>
    <w:rsid w:val="007D090F"/>
    <w:rsid w:val="007D104B"/>
    <w:rsid w:val="007D26F4"/>
    <w:rsid w:val="007D2D2E"/>
    <w:rsid w:val="007D3741"/>
    <w:rsid w:val="007D4072"/>
    <w:rsid w:val="007D49A1"/>
    <w:rsid w:val="007D4B23"/>
    <w:rsid w:val="007D6451"/>
    <w:rsid w:val="007E2A73"/>
    <w:rsid w:val="007E2A80"/>
    <w:rsid w:val="007E49ED"/>
    <w:rsid w:val="007E5D10"/>
    <w:rsid w:val="007E6CA4"/>
    <w:rsid w:val="007E7521"/>
    <w:rsid w:val="007E7A56"/>
    <w:rsid w:val="007E7E2B"/>
    <w:rsid w:val="007F002D"/>
    <w:rsid w:val="007F2112"/>
    <w:rsid w:val="007F2BEF"/>
    <w:rsid w:val="007F3D19"/>
    <w:rsid w:val="007F56BA"/>
    <w:rsid w:val="007F6822"/>
    <w:rsid w:val="007F7642"/>
    <w:rsid w:val="008015E3"/>
    <w:rsid w:val="008017BF"/>
    <w:rsid w:val="00802D5B"/>
    <w:rsid w:val="008034C7"/>
    <w:rsid w:val="008044C3"/>
    <w:rsid w:val="00804C0C"/>
    <w:rsid w:val="008050BF"/>
    <w:rsid w:val="0080519A"/>
    <w:rsid w:val="008063A0"/>
    <w:rsid w:val="00807867"/>
    <w:rsid w:val="00811AEA"/>
    <w:rsid w:val="0081258F"/>
    <w:rsid w:val="00812F42"/>
    <w:rsid w:val="00813119"/>
    <w:rsid w:val="00813980"/>
    <w:rsid w:val="00814B5B"/>
    <w:rsid w:val="00814CB0"/>
    <w:rsid w:val="008179DF"/>
    <w:rsid w:val="00817A7B"/>
    <w:rsid w:val="0082014D"/>
    <w:rsid w:val="008218F2"/>
    <w:rsid w:val="0082194D"/>
    <w:rsid w:val="00821A17"/>
    <w:rsid w:val="00822723"/>
    <w:rsid w:val="00823470"/>
    <w:rsid w:val="00824133"/>
    <w:rsid w:val="00825C0F"/>
    <w:rsid w:val="00830674"/>
    <w:rsid w:val="00830E25"/>
    <w:rsid w:val="008321B6"/>
    <w:rsid w:val="00832D80"/>
    <w:rsid w:val="0083303D"/>
    <w:rsid w:val="0083562A"/>
    <w:rsid w:val="0083658A"/>
    <w:rsid w:val="0083664F"/>
    <w:rsid w:val="00836A96"/>
    <w:rsid w:val="008372B6"/>
    <w:rsid w:val="0084250C"/>
    <w:rsid w:val="00845139"/>
    <w:rsid w:val="00845368"/>
    <w:rsid w:val="008453BD"/>
    <w:rsid w:val="00845485"/>
    <w:rsid w:val="00846220"/>
    <w:rsid w:val="00846893"/>
    <w:rsid w:val="008471CC"/>
    <w:rsid w:val="008475F8"/>
    <w:rsid w:val="00850AC5"/>
    <w:rsid w:val="008512C1"/>
    <w:rsid w:val="00851C5C"/>
    <w:rsid w:val="008553BC"/>
    <w:rsid w:val="00855714"/>
    <w:rsid w:val="0085738F"/>
    <w:rsid w:val="008573E8"/>
    <w:rsid w:val="00857C14"/>
    <w:rsid w:val="008618E5"/>
    <w:rsid w:val="00861B03"/>
    <w:rsid w:val="00862239"/>
    <w:rsid w:val="00866501"/>
    <w:rsid w:val="00866D97"/>
    <w:rsid w:val="00867292"/>
    <w:rsid w:val="00867A45"/>
    <w:rsid w:val="00867CBB"/>
    <w:rsid w:val="00871312"/>
    <w:rsid w:val="008715C9"/>
    <w:rsid w:val="00871660"/>
    <w:rsid w:val="008717DD"/>
    <w:rsid w:val="00871A5C"/>
    <w:rsid w:val="0087498D"/>
    <w:rsid w:val="00874C66"/>
    <w:rsid w:val="008770D1"/>
    <w:rsid w:val="00877C21"/>
    <w:rsid w:val="0088191E"/>
    <w:rsid w:val="00881D7E"/>
    <w:rsid w:val="00882785"/>
    <w:rsid w:val="00882A3B"/>
    <w:rsid w:val="008830E8"/>
    <w:rsid w:val="00883651"/>
    <w:rsid w:val="008839E9"/>
    <w:rsid w:val="008859E9"/>
    <w:rsid w:val="00886256"/>
    <w:rsid w:val="00890B32"/>
    <w:rsid w:val="00891AD4"/>
    <w:rsid w:val="00892157"/>
    <w:rsid w:val="00892992"/>
    <w:rsid w:val="00892FD1"/>
    <w:rsid w:val="0089314D"/>
    <w:rsid w:val="0089367F"/>
    <w:rsid w:val="00893844"/>
    <w:rsid w:val="008962DB"/>
    <w:rsid w:val="00896E84"/>
    <w:rsid w:val="00897264"/>
    <w:rsid w:val="008A0584"/>
    <w:rsid w:val="008A1056"/>
    <w:rsid w:val="008A1D5C"/>
    <w:rsid w:val="008A27B6"/>
    <w:rsid w:val="008A3988"/>
    <w:rsid w:val="008A4374"/>
    <w:rsid w:val="008A44C4"/>
    <w:rsid w:val="008A465F"/>
    <w:rsid w:val="008A4A9B"/>
    <w:rsid w:val="008A5491"/>
    <w:rsid w:val="008A5927"/>
    <w:rsid w:val="008A6300"/>
    <w:rsid w:val="008A7145"/>
    <w:rsid w:val="008A74B3"/>
    <w:rsid w:val="008B160F"/>
    <w:rsid w:val="008B2F01"/>
    <w:rsid w:val="008B3318"/>
    <w:rsid w:val="008B34AD"/>
    <w:rsid w:val="008B3F37"/>
    <w:rsid w:val="008B59D0"/>
    <w:rsid w:val="008B6117"/>
    <w:rsid w:val="008B649F"/>
    <w:rsid w:val="008B6514"/>
    <w:rsid w:val="008B7567"/>
    <w:rsid w:val="008C350E"/>
    <w:rsid w:val="008C3776"/>
    <w:rsid w:val="008C4134"/>
    <w:rsid w:val="008C4717"/>
    <w:rsid w:val="008C49D3"/>
    <w:rsid w:val="008C542A"/>
    <w:rsid w:val="008C7C2D"/>
    <w:rsid w:val="008D0022"/>
    <w:rsid w:val="008D021E"/>
    <w:rsid w:val="008D0648"/>
    <w:rsid w:val="008D0CD0"/>
    <w:rsid w:val="008D0D05"/>
    <w:rsid w:val="008D173C"/>
    <w:rsid w:val="008D1768"/>
    <w:rsid w:val="008D26C5"/>
    <w:rsid w:val="008D323C"/>
    <w:rsid w:val="008D3351"/>
    <w:rsid w:val="008D35A7"/>
    <w:rsid w:val="008D5DFB"/>
    <w:rsid w:val="008D69A7"/>
    <w:rsid w:val="008D6E76"/>
    <w:rsid w:val="008E1281"/>
    <w:rsid w:val="008E1867"/>
    <w:rsid w:val="008E329B"/>
    <w:rsid w:val="008E5B59"/>
    <w:rsid w:val="008E5C12"/>
    <w:rsid w:val="008E6F95"/>
    <w:rsid w:val="008E7DF4"/>
    <w:rsid w:val="008F3672"/>
    <w:rsid w:val="008F5794"/>
    <w:rsid w:val="008F6662"/>
    <w:rsid w:val="008F71D0"/>
    <w:rsid w:val="009031F5"/>
    <w:rsid w:val="009037A9"/>
    <w:rsid w:val="00903A58"/>
    <w:rsid w:val="009049D8"/>
    <w:rsid w:val="00905C76"/>
    <w:rsid w:val="00905C9A"/>
    <w:rsid w:val="00905E3F"/>
    <w:rsid w:val="00906838"/>
    <w:rsid w:val="00906C34"/>
    <w:rsid w:val="00910675"/>
    <w:rsid w:val="00910D8A"/>
    <w:rsid w:val="0091275A"/>
    <w:rsid w:val="0091465D"/>
    <w:rsid w:val="00914B05"/>
    <w:rsid w:val="00915ED8"/>
    <w:rsid w:val="00916D58"/>
    <w:rsid w:val="00916D9F"/>
    <w:rsid w:val="0091720A"/>
    <w:rsid w:val="009177F3"/>
    <w:rsid w:val="00917ABD"/>
    <w:rsid w:val="00921153"/>
    <w:rsid w:val="00922228"/>
    <w:rsid w:val="00922635"/>
    <w:rsid w:val="00925734"/>
    <w:rsid w:val="00925F4B"/>
    <w:rsid w:val="00927088"/>
    <w:rsid w:val="00927DED"/>
    <w:rsid w:val="00931AE0"/>
    <w:rsid w:val="0093313D"/>
    <w:rsid w:val="0093353F"/>
    <w:rsid w:val="00933A1A"/>
    <w:rsid w:val="00933D38"/>
    <w:rsid w:val="00933DC4"/>
    <w:rsid w:val="00933EBA"/>
    <w:rsid w:val="00935C19"/>
    <w:rsid w:val="00935EE5"/>
    <w:rsid w:val="0093695C"/>
    <w:rsid w:val="00936ED7"/>
    <w:rsid w:val="00937C5E"/>
    <w:rsid w:val="00940BFB"/>
    <w:rsid w:val="00940C19"/>
    <w:rsid w:val="00940F62"/>
    <w:rsid w:val="009421C5"/>
    <w:rsid w:val="00942438"/>
    <w:rsid w:val="0094251D"/>
    <w:rsid w:val="00943571"/>
    <w:rsid w:val="009445B5"/>
    <w:rsid w:val="00944FE2"/>
    <w:rsid w:val="009452C4"/>
    <w:rsid w:val="00945A02"/>
    <w:rsid w:val="0094753E"/>
    <w:rsid w:val="00947C14"/>
    <w:rsid w:val="0095133A"/>
    <w:rsid w:val="00952580"/>
    <w:rsid w:val="009536EE"/>
    <w:rsid w:val="0095519D"/>
    <w:rsid w:val="00955888"/>
    <w:rsid w:val="00955CFB"/>
    <w:rsid w:val="00956002"/>
    <w:rsid w:val="0096097E"/>
    <w:rsid w:val="00961A03"/>
    <w:rsid w:val="009639BA"/>
    <w:rsid w:val="009642D1"/>
    <w:rsid w:val="00964640"/>
    <w:rsid w:val="00964DD1"/>
    <w:rsid w:val="009653F6"/>
    <w:rsid w:val="00965A51"/>
    <w:rsid w:val="00966810"/>
    <w:rsid w:val="0096798E"/>
    <w:rsid w:val="0097041C"/>
    <w:rsid w:val="00971926"/>
    <w:rsid w:val="00971AAB"/>
    <w:rsid w:val="0097279D"/>
    <w:rsid w:val="0097283D"/>
    <w:rsid w:val="009731F8"/>
    <w:rsid w:val="00974F9F"/>
    <w:rsid w:val="00975124"/>
    <w:rsid w:val="00975169"/>
    <w:rsid w:val="009753F4"/>
    <w:rsid w:val="00976E24"/>
    <w:rsid w:val="00977FCA"/>
    <w:rsid w:val="00980231"/>
    <w:rsid w:val="00980AB1"/>
    <w:rsid w:val="00980BFA"/>
    <w:rsid w:val="00981515"/>
    <w:rsid w:val="00982233"/>
    <w:rsid w:val="009825A8"/>
    <w:rsid w:val="009847EC"/>
    <w:rsid w:val="00985040"/>
    <w:rsid w:val="00985418"/>
    <w:rsid w:val="009858C0"/>
    <w:rsid w:val="009869C9"/>
    <w:rsid w:val="0098703F"/>
    <w:rsid w:val="00987474"/>
    <w:rsid w:val="00990C93"/>
    <w:rsid w:val="00992DE6"/>
    <w:rsid w:val="00993392"/>
    <w:rsid w:val="00993768"/>
    <w:rsid w:val="00993B3F"/>
    <w:rsid w:val="00993D5F"/>
    <w:rsid w:val="009955F3"/>
    <w:rsid w:val="00996705"/>
    <w:rsid w:val="009A0B75"/>
    <w:rsid w:val="009A2ABF"/>
    <w:rsid w:val="009A33C1"/>
    <w:rsid w:val="009A3728"/>
    <w:rsid w:val="009A39D0"/>
    <w:rsid w:val="009A41C3"/>
    <w:rsid w:val="009A473D"/>
    <w:rsid w:val="009B1A5D"/>
    <w:rsid w:val="009B3EE3"/>
    <w:rsid w:val="009B5DA7"/>
    <w:rsid w:val="009B617C"/>
    <w:rsid w:val="009B687A"/>
    <w:rsid w:val="009B6B69"/>
    <w:rsid w:val="009C0E3D"/>
    <w:rsid w:val="009C15EB"/>
    <w:rsid w:val="009C18B1"/>
    <w:rsid w:val="009C1F4D"/>
    <w:rsid w:val="009C4750"/>
    <w:rsid w:val="009C5217"/>
    <w:rsid w:val="009C7001"/>
    <w:rsid w:val="009C79ED"/>
    <w:rsid w:val="009D00E6"/>
    <w:rsid w:val="009D01FE"/>
    <w:rsid w:val="009D07CA"/>
    <w:rsid w:val="009D1561"/>
    <w:rsid w:val="009D24EF"/>
    <w:rsid w:val="009D2A6C"/>
    <w:rsid w:val="009D2E9A"/>
    <w:rsid w:val="009D67C6"/>
    <w:rsid w:val="009D7D64"/>
    <w:rsid w:val="009E0143"/>
    <w:rsid w:val="009E081F"/>
    <w:rsid w:val="009E0C6C"/>
    <w:rsid w:val="009E2478"/>
    <w:rsid w:val="009E3D4D"/>
    <w:rsid w:val="009E45D9"/>
    <w:rsid w:val="009E4896"/>
    <w:rsid w:val="009E50CF"/>
    <w:rsid w:val="009E639F"/>
    <w:rsid w:val="009E6D03"/>
    <w:rsid w:val="009E7219"/>
    <w:rsid w:val="009E7556"/>
    <w:rsid w:val="009E7FC8"/>
    <w:rsid w:val="009F0111"/>
    <w:rsid w:val="009F0359"/>
    <w:rsid w:val="009F05FF"/>
    <w:rsid w:val="009F2DBA"/>
    <w:rsid w:val="009F50BD"/>
    <w:rsid w:val="009F6B10"/>
    <w:rsid w:val="00A005DA"/>
    <w:rsid w:val="00A035F2"/>
    <w:rsid w:val="00A036B2"/>
    <w:rsid w:val="00A03CA4"/>
    <w:rsid w:val="00A04D76"/>
    <w:rsid w:val="00A057DE"/>
    <w:rsid w:val="00A0599D"/>
    <w:rsid w:val="00A101D8"/>
    <w:rsid w:val="00A1182B"/>
    <w:rsid w:val="00A128CD"/>
    <w:rsid w:val="00A12BFA"/>
    <w:rsid w:val="00A133C6"/>
    <w:rsid w:val="00A17CEF"/>
    <w:rsid w:val="00A2112F"/>
    <w:rsid w:val="00A21F78"/>
    <w:rsid w:val="00A23005"/>
    <w:rsid w:val="00A24576"/>
    <w:rsid w:val="00A24BA7"/>
    <w:rsid w:val="00A25635"/>
    <w:rsid w:val="00A266A3"/>
    <w:rsid w:val="00A266B1"/>
    <w:rsid w:val="00A26993"/>
    <w:rsid w:val="00A27999"/>
    <w:rsid w:val="00A303B5"/>
    <w:rsid w:val="00A305CA"/>
    <w:rsid w:val="00A30A7E"/>
    <w:rsid w:val="00A30F91"/>
    <w:rsid w:val="00A314D3"/>
    <w:rsid w:val="00A32119"/>
    <w:rsid w:val="00A34AF0"/>
    <w:rsid w:val="00A35222"/>
    <w:rsid w:val="00A353C3"/>
    <w:rsid w:val="00A353DE"/>
    <w:rsid w:val="00A402D3"/>
    <w:rsid w:val="00A41425"/>
    <w:rsid w:val="00A41D51"/>
    <w:rsid w:val="00A420B7"/>
    <w:rsid w:val="00A4378E"/>
    <w:rsid w:val="00A443A0"/>
    <w:rsid w:val="00A44AD7"/>
    <w:rsid w:val="00A44B0A"/>
    <w:rsid w:val="00A469D5"/>
    <w:rsid w:val="00A47C43"/>
    <w:rsid w:val="00A509BA"/>
    <w:rsid w:val="00A52523"/>
    <w:rsid w:val="00A52BF8"/>
    <w:rsid w:val="00A52D30"/>
    <w:rsid w:val="00A53164"/>
    <w:rsid w:val="00A53402"/>
    <w:rsid w:val="00A536DB"/>
    <w:rsid w:val="00A54335"/>
    <w:rsid w:val="00A558CE"/>
    <w:rsid w:val="00A55DDF"/>
    <w:rsid w:val="00A57ACA"/>
    <w:rsid w:val="00A57DA5"/>
    <w:rsid w:val="00A6095A"/>
    <w:rsid w:val="00A60A9D"/>
    <w:rsid w:val="00A61110"/>
    <w:rsid w:val="00A612F9"/>
    <w:rsid w:val="00A64324"/>
    <w:rsid w:val="00A6580E"/>
    <w:rsid w:val="00A665A0"/>
    <w:rsid w:val="00A66987"/>
    <w:rsid w:val="00A66FF9"/>
    <w:rsid w:val="00A67978"/>
    <w:rsid w:val="00A70CEF"/>
    <w:rsid w:val="00A72146"/>
    <w:rsid w:val="00A7415F"/>
    <w:rsid w:val="00A762D5"/>
    <w:rsid w:val="00A76DF9"/>
    <w:rsid w:val="00A80F59"/>
    <w:rsid w:val="00A821F6"/>
    <w:rsid w:val="00A82F54"/>
    <w:rsid w:val="00A833C2"/>
    <w:rsid w:val="00A83AA6"/>
    <w:rsid w:val="00A847C6"/>
    <w:rsid w:val="00A863AA"/>
    <w:rsid w:val="00A86A25"/>
    <w:rsid w:val="00A900B0"/>
    <w:rsid w:val="00A91CCD"/>
    <w:rsid w:val="00A923EF"/>
    <w:rsid w:val="00A93E00"/>
    <w:rsid w:val="00A946EE"/>
    <w:rsid w:val="00A95C0E"/>
    <w:rsid w:val="00A96D3A"/>
    <w:rsid w:val="00A975F7"/>
    <w:rsid w:val="00A97719"/>
    <w:rsid w:val="00AA0583"/>
    <w:rsid w:val="00AA08AA"/>
    <w:rsid w:val="00AA3392"/>
    <w:rsid w:val="00AA3AFE"/>
    <w:rsid w:val="00AA5181"/>
    <w:rsid w:val="00AA69CA"/>
    <w:rsid w:val="00AA6B6B"/>
    <w:rsid w:val="00AA7CC3"/>
    <w:rsid w:val="00AA7DF8"/>
    <w:rsid w:val="00AB0A02"/>
    <w:rsid w:val="00AB2440"/>
    <w:rsid w:val="00AB55DC"/>
    <w:rsid w:val="00AB61F5"/>
    <w:rsid w:val="00AB7D9F"/>
    <w:rsid w:val="00AC0594"/>
    <w:rsid w:val="00AC08F8"/>
    <w:rsid w:val="00AC2A98"/>
    <w:rsid w:val="00AC4834"/>
    <w:rsid w:val="00AC5697"/>
    <w:rsid w:val="00AC5B9B"/>
    <w:rsid w:val="00AC6074"/>
    <w:rsid w:val="00AC6A06"/>
    <w:rsid w:val="00AC7C81"/>
    <w:rsid w:val="00AD021C"/>
    <w:rsid w:val="00AD2E99"/>
    <w:rsid w:val="00AD3069"/>
    <w:rsid w:val="00AD36BD"/>
    <w:rsid w:val="00AD3B0E"/>
    <w:rsid w:val="00AD4908"/>
    <w:rsid w:val="00AD4EAA"/>
    <w:rsid w:val="00AD52AD"/>
    <w:rsid w:val="00AD5B8A"/>
    <w:rsid w:val="00AD6675"/>
    <w:rsid w:val="00AD7CC0"/>
    <w:rsid w:val="00AE0F61"/>
    <w:rsid w:val="00AE23AA"/>
    <w:rsid w:val="00AE301C"/>
    <w:rsid w:val="00AE4149"/>
    <w:rsid w:val="00AE475F"/>
    <w:rsid w:val="00AE54A6"/>
    <w:rsid w:val="00AE5EB3"/>
    <w:rsid w:val="00AE7346"/>
    <w:rsid w:val="00AF0C93"/>
    <w:rsid w:val="00AF4D8C"/>
    <w:rsid w:val="00AF5F44"/>
    <w:rsid w:val="00AF7229"/>
    <w:rsid w:val="00B002C9"/>
    <w:rsid w:val="00B00EBE"/>
    <w:rsid w:val="00B02EE9"/>
    <w:rsid w:val="00B06007"/>
    <w:rsid w:val="00B06BEB"/>
    <w:rsid w:val="00B07BA5"/>
    <w:rsid w:val="00B10374"/>
    <w:rsid w:val="00B11CC8"/>
    <w:rsid w:val="00B11ED9"/>
    <w:rsid w:val="00B1200C"/>
    <w:rsid w:val="00B12A5C"/>
    <w:rsid w:val="00B1352F"/>
    <w:rsid w:val="00B1366B"/>
    <w:rsid w:val="00B14EF8"/>
    <w:rsid w:val="00B156A1"/>
    <w:rsid w:val="00B16000"/>
    <w:rsid w:val="00B16980"/>
    <w:rsid w:val="00B17320"/>
    <w:rsid w:val="00B218AE"/>
    <w:rsid w:val="00B22F2B"/>
    <w:rsid w:val="00B23B0E"/>
    <w:rsid w:val="00B241EB"/>
    <w:rsid w:val="00B243B6"/>
    <w:rsid w:val="00B24C34"/>
    <w:rsid w:val="00B26687"/>
    <w:rsid w:val="00B270FC"/>
    <w:rsid w:val="00B27BAE"/>
    <w:rsid w:val="00B312AD"/>
    <w:rsid w:val="00B35F8A"/>
    <w:rsid w:val="00B37C1F"/>
    <w:rsid w:val="00B400C2"/>
    <w:rsid w:val="00B430B1"/>
    <w:rsid w:val="00B43E0C"/>
    <w:rsid w:val="00B449E6"/>
    <w:rsid w:val="00B45963"/>
    <w:rsid w:val="00B468AE"/>
    <w:rsid w:val="00B505DC"/>
    <w:rsid w:val="00B507CF"/>
    <w:rsid w:val="00B5086F"/>
    <w:rsid w:val="00B50ED9"/>
    <w:rsid w:val="00B55165"/>
    <w:rsid w:val="00B553CF"/>
    <w:rsid w:val="00B554FE"/>
    <w:rsid w:val="00B56317"/>
    <w:rsid w:val="00B565B1"/>
    <w:rsid w:val="00B571FC"/>
    <w:rsid w:val="00B574C0"/>
    <w:rsid w:val="00B57C80"/>
    <w:rsid w:val="00B60070"/>
    <w:rsid w:val="00B60C76"/>
    <w:rsid w:val="00B60D97"/>
    <w:rsid w:val="00B61330"/>
    <w:rsid w:val="00B619B8"/>
    <w:rsid w:val="00B64372"/>
    <w:rsid w:val="00B64428"/>
    <w:rsid w:val="00B6622A"/>
    <w:rsid w:val="00B67DF8"/>
    <w:rsid w:val="00B705C2"/>
    <w:rsid w:val="00B70A02"/>
    <w:rsid w:val="00B71899"/>
    <w:rsid w:val="00B72AC3"/>
    <w:rsid w:val="00B75256"/>
    <w:rsid w:val="00B77558"/>
    <w:rsid w:val="00B809E7"/>
    <w:rsid w:val="00B811F4"/>
    <w:rsid w:val="00B81D34"/>
    <w:rsid w:val="00B829A7"/>
    <w:rsid w:val="00B83DDD"/>
    <w:rsid w:val="00B843C3"/>
    <w:rsid w:val="00B8471A"/>
    <w:rsid w:val="00B85661"/>
    <w:rsid w:val="00B859C8"/>
    <w:rsid w:val="00B85FB5"/>
    <w:rsid w:val="00B86068"/>
    <w:rsid w:val="00B86465"/>
    <w:rsid w:val="00B870D3"/>
    <w:rsid w:val="00B91F90"/>
    <w:rsid w:val="00B927C1"/>
    <w:rsid w:val="00B9351B"/>
    <w:rsid w:val="00B94DCB"/>
    <w:rsid w:val="00B958E0"/>
    <w:rsid w:val="00B95D40"/>
    <w:rsid w:val="00B96BA1"/>
    <w:rsid w:val="00B975B0"/>
    <w:rsid w:val="00BA03C8"/>
    <w:rsid w:val="00BA06EE"/>
    <w:rsid w:val="00BA0D11"/>
    <w:rsid w:val="00BA3133"/>
    <w:rsid w:val="00BA3C45"/>
    <w:rsid w:val="00BA453B"/>
    <w:rsid w:val="00BA45BD"/>
    <w:rsid w:val="00BA4762"/>
    <w:rsid w:val="00BA4883"/>
    <w:rsid w:val="00BA60C8"/>
    <w:rsid w:val="00BA7509"/>
    <w:rsid w:val="00BB137B"/>
    <w:rsid w:val="00BB1D4E"/>
    <w:rsid w:val="00BB33B7"/>
    <w:rsid w:val="00BB3BC4"/>
    <w:rsid w:val="00BB5149"/>
    <w:rsid w:val="00BB649D"/>
    <w:rsid w:val="00BB6549"/>
    <w:rsid w:val="00BB715A"/>
    <w:rsid w:val="00BB7A10"/>
    <w:rsid w:val="00BB7BC4"/>
    <w:rsid w:val="00BC0295"/>
    <w:rsid w:val="00BC1DF3"/>
    <w:rsid w:val="00BC260C"/>
    <w:rsid w:val="00BC2AF0"/>
    <w:rsid w:val="00BD16F0"/>
    <w:rsid w:val="00BD3D58"/>
    <w:rsid w:val="00BD4B31"/>
    <w:rsid w:val="00BD4F4C"/>
    <w:rsid w:val="00BD524D"/>
    <w:rsid w:val="00BD6C30"/>
    <w:rsid w:val="00BE1E9E"/>
    <w:rsid w:val="00BE277E"/>
    <w:rsid w:val="00BE2E80"/>
    <w:rsid w:val="00BE359B"/>
    <w:rsid w:val="00BE3D48"/>
    <w:rsid w:val="00BE4260"/>
    <w:rsid w:val="00BE488F"/>
    <w:rsid w:val="00BE489B"/>
    <w:rsid w:val="00BE4D2C"/>
    <w:rsid w:val="00BE4E97"/>
    <w:rsid w:val="00BE639F"/>
    <w:rsid w:val="00BE6719"/>
    <w:rsid w:val="00BE7009"/>
    <w:rsid w:val="00BE76CA"/>
    <w:rsid w:val="00BE7B9D"/>
    <w:rsid w:val="00BF11B1"/>
    <w:rsid w:val="00BF3180"/>
    <w:rsid w:val="00BF54E0"/>
    <w:rsid w:val="00BF5800"/>
    <w:rsid w:val="00C005E5"/>
    <w:rsid w:val="00C0103A"/>
    <w:rsid w:val="00C03915"/>
    <w:rsid w:val="00C03A35"/>
    <w:rsid w:val="00C06DE5"/>
    <w:rsid w:val="00C1036F"/>
    <w:rsid w:val="00C1066B"/>
    <w:rsid w:val="00C108DF"/>
    <w:rsid w:val="00C11433"/>
    <w:rsid w:val="00C11530"/>
    <w:rsid w:val="00C115C9"/>
    <w:rsid w:val="00C12F12"/>
    <w:rsid w:val="00C1307D"/>
    <w:rsid w:val="00C131CE"/>
    <w:rsid w:val="00C1381C"/>
    <w:rsid w:val="00C14D7B"/>
    <w:rsid w:val="00C15996"/>
    <w:rsid w:val="00C16294"/>
    <w:rsid w:val="00C16714"/>
    <w:rsid w:val="00C17A8A"/>
    <w:rsid w:val="00C237E4"/>
    <w:rsid w:val="00C2467F"/>
    <w:rsid w:val="00C27989"/>
    <w:rsid w:val="00C27B90"/>
    <w:rsid w:val="00C30D33"/>
    <w:rsid w:val="00C30D58"/>
    <w:rsid w:val="00C313A6"/>
    <w:rsid w:val="00C318AA"/>
    <w:rsid w:val="00C33503"/>
    <w:rsid w:val="00C33527"/>
    <w:rsid w:val="00C35932"/>
    <w:rsid w:val="00C3599A"/>
    <w:rsid w:val="00C35D22"/>
    <w:rsid w:val="00C35D64"/>
    <w:rsid w:val="00C37854"/>
    <w:rsid w:val="00C40130"/>
    <w:rsid w:val="00C4100A"/>
    <w:rsid w:val="00C4178C"/>
    <w:rsid w:val="00C43642"/>
    <w:rsid w:val="00C439F8"/>
    <w:rsid w:val="00C44BB6"/>
    <w:rsid w:val="00C501B0"/>
    <w:rsid w:val="00C50ACD"/>
    <w:rsid w:val="00C50C79"/>
    <w:rsid w:val="00C511DC"/>
    <w:rsid w:val="00C51CB2"/>
    <w:rsid w:val="00C5626F"/>
    <w:rsid w:val="00C579AE"/>
    <w:rsid w:val="00C57ED4"/>
    <w:rsid w:val="00C616A5"/>
    <w:rsid w:val="00C620B1"/>
    <w:rsid w:val="00C633C3"/>
    <w:rsid w:val="00C63BBD"/>
    <w:rsid w:val="00C67712"/>
    <w:rsid w:val="00C71FCE"/>
    <w:rsid w:val="00C722BE"/>
    <w:rsid w:val="00C73483"/>
    <w:rsid w:val="00C74A91"/>
    <w:rsid w:val="00C74C53"/>
    <w:rsid w:val="00C8198C"/>
    <w:rsid w:val="00C81A31"/>
    <w:rsid w:val="00C81E1D"/>
    <w:rsid w:val="00C84B1F"/>
    <w:rsid w:val="00C85CCA"/>
    <w:rsid w:val="00C86F61"/>
    <w:rsid w:val="00C90383"/>
    <w:rsid w:val="00C92076"/>
    <w:rsid w:val="00C927F6"/>
    <w:rsid w:val="00C92A28"/>
    <w:rsid w:val="00C92BF5"/>
    <w:rsid w:val="00C92F6A"/>
    <w:rsid w:val="00C93148"/>
    <w:rsid w:val="00C94B5E"/>
    <w:rsid w:val="00C964F5"/>
    <w:rsid w:val="00CA0075"/>
    <w:rsid w:val="00CA060C"/>
    <w:rsid w:val="00CA0FE6"/>
    <w:rsid w:val="00CA16AB"/>
    <w:rsid w:val="00CA1CFB"/>
    <w:rsid w:val="00CA385C"/>
    <w:rsid w:val="00CA3BDC"/>
    <w:rsid w:val="00CA4C13"/>
    <w:rsid w:val="00CA561F"/>
    <w:rsid w:val="00CA68CA"/>
    <w:rsid w:val="00CA6BE4"/>
    <w:rsid w:val="00CA72BF"/>
    <w:rsid w:val="00CA75EB"/>
    <w:rsid w:val="00CB0CFD"/>
    <w:rsid w:val="00CB1183"/>
    <w:rsid w:val="00CB181E"/>
    <w:rsid w:val="00CB232D"/>
    <w:rsid w:val="00CB280E"/>
    <w:rsid w:val="00CB37B8"/>
    <w:rsid w:val="00CB71D7"/>
    <w:rsid w:val="00CB7C25"/>
    <w:rsid w:val="00CC01D8"/>
    <w:rsid w:val="00CC0502"/>
    <w:rsid w:val="00CC2031"/>
    <w:rsid w:val="00CC283F"/>
    <w:rsid w:val="00CC33A6"/>
    <w:rsid w:val="00CC3A67"/>
    <w:rsid w:val="00CC3DC6"/>
    <w:rsid w:val="00CC6878"/>
    <w:rsid w:val="00CC6BE5"/>
    <w:rsid w:val="00CC7D4B"/>
    <w:rsid w:val="00CD0329"/>
    <w:rsid w:val="00CD07F3"/>
    <w:rsid w:val="00CD1257"/>
    <w:rsid w:val="00CD1935"/>
    <w:rsid w:val="00CD2399"/>
    <w:rsid w:val="00CD4B88"/>
    <w:rsid w:val="00CE0F4B"/>
    <w:rsid w:val="00CE1322"/>
    <w:rsid w:val="00CE1692"/>
    <w:rsid w:val="00CE217C"/>
    <w:rsid w:val="00CE2C90"/>
    <w:rsid w:val="00CE2E9F"/>
    <w:rsid w:val="00CE308E"/>
    <w:rsid w:val="00CE4123"/>
    <w:rsid w:val="00CE4B53"/>
    <w:rsid w:val="00CF0653"/>
    <w:rsid w:val="00CF274A"/>
    <w:rsid w:val="00CF3C24"/>
    <w:rsid w:val="00CF4C79"/>
    <w:rsid w:val="00CF4E6E"/>
    <w:rsid w:val="00CF5AEC"/>
    <w:rsid w:val="00CF5E8E"/>
    <w:rsid w:val="00CF7FCA"/>
    <w:rsid w:val="00D0020E"/>
    <w:rsid w:val="00D00B1D"/>
    <w:rsid w:val="00D052A7"/>
    <w:rsid w:val="00D071B9"/>
    <w:rsid w:val="00D072D6"/>
    <w:rsid w:val="00D1145F"/>
    <w:rsid w:val="00D1238D"/>
    <w:rsid w:val="00D12E51"/>
    <w:rsid w:val="00D13058"/>
    <w:rsid w:val="00D131C4"/>
    <w:rsid w:val="00D143FB"/>
    <w:rsid w:val="00D154CB"/>
    <w:rsid w:val="00D159F4"/>
    <w:rsid w:val="00D17103"/>
    <w:rsid w:val="00D17FC9"/>
    <w:rsid w:val="00D207FF"/>
    <w:rsid w:val="00D2789E"/>
    <w:rsid w:val="00D27AC8"/>
    <w:rsid w:val="00D27BF5"/>
    <w:rsid w:val="00D27D5F"/>
    <w:rsid w:val="00D30968"/>
    <w:rsid w:val="00D30FF9"/>
    <w:rsid w:val="00D31844"/>
    <w:rsid w:val="00D337A2"/>
    <w:rsid w:val="00D3490D"/>
    <w:rsid w:val="00D37F00"/>
    <w:rsid w:val="00D45F94"/>
    <w:rsid w:val="00D46748"/>
    <w:rsid w:val="00D47384"/>
    <w:rsid w:val="00D475FC"/>
    <w:rsid w:val="00D51588"/>
    <w:rsid w:val="00D5327C"/>
    <w:rsid w:val="00D573B5"/>
    <w:rsid w:val="00D60833"/>
    <w:rsid w:val="00D6238C"/>
    <w:rsid w:val="00D62893"/>
    <w:rsid w:val="00D64640"/>
    <w:rsid w:val="00D65BF3"/>
    <w:rsid w:val="00D66870"/>
    <w:rsid w:val="00D708FD"/>
    <w:rsid w:val="00D710BC"/>
    <w:rsid w:val="00D73069"/>
    <w:rsid w:val="00D73684"/>
    <w:rsid w:val="00D73E02"/>
    <w:rsid w:val="00D73E6D"/>
    <w:rsid w:val="00D74630"/>
    <w:rsid w:val="00D75399"/>
    <w:rsid w:val="00D75DA0"/>
    <w:rsid w:val="00D7738C"/>
    <w:rsid w:val="00D80150"/>
    <w:rsid w:val="00D812AE"/>
    <w:rsid w:val="00D81470"/>
    <w:rsid w:val="00D820D3"/>
    <w:rsid w:val="00D82BAB"/>
    <w:rsid w:val="00D82C35"/>
    <w:rsid w:val="00D856DE"/>
    <w:rsid w:val="00D86340"/>
    <w:rsid w:val="00D864A5"/>
    <w:rsid w:val="00D8707A"/>
    <w:rsid w:val="00D90D91"/>
    <w:rsid w:val="00D924DB"/>
    <w:rsid w:val="00D93DAF"/>
    <w:rsid w:val="00DA027D"/>
    <w:rsid w:val="00DA034C"/>
    <w:rsid w:val="00DA04B9"/>
    <w:rsid w:val="00DA1247"/>
    <w:rsid w:val="00DA1BE1"/>
    <w:rsid w:val="00DA214A"/>
    <w:rsid w:val="00DA2CB5"/>
    <w:rsid w:val="00DA3AFD"/>
    <w:rsid w:val="00DA4A4A"/>
    <w:rsid w:val="00DA7EB0"/>
    <w:rsid w:val="00DA7EB4"/>
    <w:rsid w:val="00DB1C9A"/>
    <w:rsid w:val="00DB3271"/>
    <w:rsid w:val="00DB342B"/>
    <w:rsid w:val="00DB383D"/>
    <w:rsid w:val="00DB6AEA"/>
    <w:rsid w:val="00DB73B6"/>
    <w:rsid w:val="00DB73B7"/>
    <w:rsid w:val="00DC20FB"/>
    <w:rsid w:val="00DC23C5"/>
    <w:rsid w:val="00DC2B9E"/>
    <w:rsid w:val="00DC2E46"/>
    <w:rsid w:val="00DC35BF"/>
    <w:rsid w:val="00DC4305"/>
    <w:rsid w:val="00DC49C8"/>
    <w:rsid w:val="00DC65B5"/>
    <w:rsid w:val="00DC669D"/>
    <w:rsid w:val="00DC6AFA"/>
    <w:rsid w:val="00DC7560"/>
    <w:rsid w:val="00DC79E6"/>
    <w:rsid w:val="00DD00A0"/>
    <w:rsid w:val="00DD0330"/>
    <w:rsid w:val="00DD7211"/>
    <w:rsid w:val="00DE767A"/>
    <w:rsid w:val="00DE7D01"/>
    <w:rsid w:val="00DF2BB3"/>
    <w:rsid w:val="00DF532E"/>
    <w:rsid w:val="00DF642F"/>
    <w:rsid w:val="00DF68C0"/>
    <w:rsid w:val="00DF6CD5"/>
    <w:rsid w:val="00DF7897"/>
    <w:rsid w:val="00E0028B"/>
    <w:rsid w:val="00E01EB8"/>
    <w:rsid w:val="00E064E6"/>
    <w:rsid w:val="00E077B7"/>
    <w:rsid w:val="00E106F5"/>
    <w:rsid w:val="00E11C56"/>
    <w:rsid w:val="00E13A70"/>
    <w:rsid w:val="00E13B12"/>
    <w:rsid w:val="00E13E4E"/>
    <w:rsid w:val="00E14809"/>
    <w:rsid w:val="00E161E1"/>
    <w:rsid w:val="00E16BE6"/>
    <w:rsid w:val="00E1783F"/>
    <w:rsid w:val="00E21033"/>
    <w:rsid w:val="00E21132"/>
    <w:rsid w:val="00E21B64"/>
    <w:rsid w:val="00E224BC"/>
    <w:rsid w:val="00E22ED5"/>
    <w:rsid w:val="00E23AE3"/>
    <w:rsid w:val="00E24382"/>
    <w:rsid w:val="00E2461C"/>
    <w:rsid w:val="00E248B7"/>
    <w:rsid w:val="00E24957"/>
    <w:rsid w:val="00E259C5"/>
    <w:rsid w:val="00E25AD8"/>
    <w:rsid w:val="00E27E98"/>
    <w:rsid w:val="00E307AF"/>
    <w:rsid w:val="00E31EDB"/>
    <w:rsid w:val="00E321D7"/>
    <w:rsid w:val="00E326BF"/>
    <w:rsid w:val="00E34AB4"/>
    <w:rsid w:val="00E40740"/>
    <w:rsid w:val="00E450EE"/>
    <w:rsid w:val="00E45313"/>
    <w:rsid w:val="00E4734C"/>
    <w:rsid w:val="00E50B0D"/>
    <w:rsid w:val="00E5136F"/>
    <w:rsid w:val="00E51DC5"/>
    <w:rsid w:val="00E533E4"/>
    <w:rsid w:val="00E5366C"/>
    <w:rsid w:val="00E54FDD"/>
    <w:rsid w:val="00E55116"/>
    <w:rsid w:val="00E559CA"/>
    <w:rsid w:val="00E571CB"/>
    <w:rsid w:val="00E57869"/>
    <w:rsid w:val="00E60DB9"/>
    <w:rsid w:val="00E61CB8"/>
    <w:rsid w:val="00E6200C"/>
    <w:rsid w:val="00E623C6"/>
    <w:rsid w:val="00E6263F"/>
    <w:rsid w:val="00E677BD"/>
    <w:rsid w:val="00E67E13"/>
    <w:rsid w:val="00E70170"/>
    <w:rsid w:val="00E703AF"/>
    <w:rsid w:val="00E71B2F"/>
    <w:rsid w:val="00E72999"/>
    <w:rsid w:val="00E729D5"/>
    <w:rsid w:val="00E74381"/>
    <w:rsid w:val="00E76510"/>
    <w:rsid w:val="00E76C02"/>
    <w:rsid w:val="00E81E9C"/>
    <w:rsid w:val="00E81EEE"/>
    <w:rsid w:val="00E82D31"/>
    <w:rsid w:val="00E84FF5"/>
    <w:rsid w:val="00E96D78"/>
    <w:rsid w:val="00E971DA"/>
    <w:rsid w:val="00E97AB5"/>
    <w:rsid w:val="00EA1F40"/>
    <w:rsid w:val="00EA2661"/>
    <w:rsid w:val="00EA26BE"/>
    <w:rsid w:val="00EA4BA5"/>
    <w:rsid w:val="00EA4BF0"/>
    <w:rsid w:val="00EA54A8"/>
    <w:rsid w:val="00EA5E47"/>
    <w:rsid w:val="00EA7418"/>
    <w:rsid w:val="00EB04ED"/>
    <w:rsid w:val="00EB1321"/>
    <w:rsid w:val="00EB25FC"/>
    <w:rsid w:val="00EB36F4"/>
    <w:rsid w:val="00EB3BF1"/>
    <w:rsid w:val="00EB4F41"/>
    <w:rsid w:val="00EB7ED2"/>
    <w:rsid w:val="00EC0710"/>
    <w:rsid w:val="00EC1965"/>
    <w:rsid w:val="00EC439C"/>
    <w:rsid w:val="00EC455B"/>
    <w:rsid w:val="00EC4587"/>
    <w:rsid w:val="00EC4AC7"/>
    <w:rsid w:val="00EC5853"/>
    <w:rsid w:val="00EC5C9E"/>
    <w:rsid w:val="00EC5D12"/>
    <w:rsid w:val="00ED106A"/>
    <w:rsid w:val="00ED1611"/>
    <w:rsid w:val="00ED2180"/>
    <w:rsid w:val="00ED55DB"/>
    <w:rsid w:val="00ED5878"/>
    <w:rsid w:val="00ED5991"/>
    <w:rsid w:val="00ED6822"/>
    <w:rsid w:val="00ED78D2"/>
    <w:rsid w:val="00ED7AB0"/>
    <w:rsid w:val="00EE0B9E"/>
    <w:rsid w:val="00EE1F6B"/>
    <w:rsid w:val="00EE276C"/>
    <w:rsid w:val="00EE464D"/>
    <w:rsid w:val="00EE4B0F"/>
    <w:rsid w:val="00EE4CD1"/>
    <w:rsid w:val="00EE50D7"/>
    <w:rsid w:val="00EE710C"/>
    <w:rsid w:val="00EE71B2"/>
    <w:rsid w:val="00EE7336"/>
    <w:rsid w:val="00EF1319"/>
    <w:rsid w:val="00EF1532"/>
    <w:rsid w:val="00EF15A3"/>
    <w:rsid w:val="00EF15D2"/>
    <w:rsid w:val="00EF2E09"/>
    <w:rsid w:val="00EF5397"/>
    <w:rsid w:val="00EF7C3E"/>
    <w:rsid w:val="00F00622"/>
    <w:rsid w:val="00F01FF0"/>
    <w:rsid w:val="00F021EA"/>
    <w:rsid w:val="00F04013"/>
    <w:rsid w:val="00F044F3"/>
    <w:rsid w:val="00F05A87"/>
    <w:rsid w:val="00F10194"/>
    <w:rsid w:val="00F11B1E"/>
    <w:rsid w:val="00F11E14"/>
    <w:rsid w:val="00F13FFF"/>
    <w:rsid w:val="00F145DB"/>
    <w:rsid w:val="00F146EB"/>
    <w:rsid w:val="00F1480B"/>
    <w:rsid w:val="00F156F8"/>
    <w:rsid w:val="00F15E8B"/>
    <w:rsid w:val="00F162C4"/>
    <w:rsid w:val="00F169C3"/>
    <w:rsid w:val="00F25D0A"/>
    <w:rsid w:val="00F26309"/>
    <w:rsid w:val="00F33F27"/>
    <w:rsid w:val="00F35392"/>
    <w:rsid w:val="00F35E54"/>
    <w:rsid w:val="00F36465"/>
    <w:rsid w:val="00F37B8D"/>
    <w:rsid w:val="00F40015"/>
    <w:rsid w:val="00F41E43"/>
    <w:rsid w:val="00F42A97"/>
    <w:rsid w:val="00F4357E"/>
    <w:rsid w:val="00F43A81"/>
    <w:rsid w:val="00F452B0"/>
    <w:rsid w:val="00F45FA8"/>
    <w:rsid w:val="00F478A2"/>
    <w:rsid w:val="00F50820"/>
    <w:rsid w:val="00F50984"/>
    <w:rsid w:val="00F50EC2"/>
    <w:rsid w:val="00F5256C"/>
    <w:rsid w:val="00F52A2C"/>
    <w:rsid w:val="00F52E72"/>
    <w:rsid w:val="00F53417"/>
    <w:rsid w:val="00F55038"/>
    <w:rsid w:val="00F555FE"/>
    <w:rsid w:val="00F55947"/>
    <w:rsid w:val="00F56511"/>
    <w:rsid w:val="00F57B44"/>
    <w:rsid w:val="00F60B30"/>
    <w:rsid w:val="00F60C5B"/>
    <w:rsid w:val="00F635BE"/>
    <w:rsid w:val="00F6362D"/>
    <w:rsid w:val="00F63795"/>
    <w:rsid w:val="00F63EF2"/>
    <w:rsid w:val="00F64664"/>
    <w:rsid w:val="00F6524A"/>
    <w:rsid w:val="00F661BA"/>
    <w:rsid w:val="00F6630D"/>
    <w:rsid w:val="00F727ED"/>
    <w:rsid w:val="00F72839"/>
    <w:rsid w:val="00F7306E"/>
    <w:rsid w:val="00F74C84"/>
    <w:rsid w:val="00F74D66"/>
    <w:rsid w:val="00F76700"/>
    <w:rsid w:val="00F802DC"/>
    <w:rsid w:val="00F80C92"/>
    <w:rsid w:val="00F82C7B"/>
    <w:rsid w:val="00F82E61"/>
    <w:rsid w:val="00F83676"/>
    <w:rsid w:val="00F83C30"/>
    <w:rsid w:val="00F83D48"/>
    <w:rsid w:val="00F84D92"/>
    <w:rsid w:val="00F85751"/>
    <w:rsid w:val="00F86F48"/>
    <w:rsid w:val="00F9083B"/>
    <w:rsid w:val="00F92ACA"/>
    <w:rsid w:val="00F9310A"/>
    <w:rsid w:val="00F93C2F"/>
    <w:rsid w:val="00F94D3D"/>
    <w:rsid w:val="00F96F6C"/>
    <w:rsid w:val="00FA09B7"/>
    <w:rsid w:val="00FA250C"/>
    <w:rsid w:val="00FA2889"/>
    <w:rsid w:val="00FA31B5"/>
    <w:rsid w:val="00FA4761"/>
    <w:rsid w:val="00FA47A0"/>
    <w:rsid w:val="00FA4B24"/>
    <w:rsid w:val="00FA5F2C"/>
    <w:rsid w:val="00FA6524"/>
    <w:rsid w:val="00FA7B8A"/>
    <w:rsid w:val="00FB0F68"/>
    <w:rsid w:val="00FB1005"/>
    <w:rsid w:val="00FB48D7"/>
    <w:rsid w:val="00FB585B"/>
    <w:rsid w:val="00FB58D1"/>
    <w:rsid w:val="00FB65D6"/>
    <w:rsid w:val="00FB6886"/>
    <w:rsid w:val="00FB6B34"/>
    <w:rsid w:val="00FB7CCA"/>
    <w:rsid w:val="00FC0918"/>
    <w:rsid w:val="00FC0B89"/>
    <w:rsid w:val="00FC0E09"/>
    <w:rsid w:val="00FC20D9"/>
    <w:rsid w:val="00FC3D14"/>
    <w:rsid w:val="00FC3EFA"/>
    <w:rsid w:val="00FC42AD"/>
    <w:rsid w:val="00FC4D74"/>
    <w:rsid w:val="00FC6625"/>
    <w:rsid w:val="00FC67C5"/>
    <w:rsid w:val="00FC6BA4"/>
    <w:rsid w:val="00FC6E3A"/>
    <w:rsid w:val="00FD0DE8"/>
    <w:rsid w:val="00FD16C4"/>
    <w:rsid w:val="00FD1D34"/>
    <w:rsid w:val="00FD1EF3"/>
    <w:rsid w:val="00FD2841"/>
    <w:rsid w:val="00FD344D"/>
    <w:rsid w:val="00FD3DAE"/>
    <w:rsid w:val="00FD42AF"/>
    <w:rsid w:val="00FD49AC"/>
    <w:rsid w:val="00FD4EA0"/>
    <w:rsid w:val="00FD4F91"/>
    <w:rsid w:val="00FD569E"/>
    <w:rsid w:val="00FD70C7"/>
    <w:rsid w:val="00FD719D"/>
    <w:rsid w:val="00FD7649"/>
    <w:rsid w:val="00FD7692"/>
    <w:rsid w:val="00FD7F59"/>
    <w:rsid w:val="00FD7FE4"/>
    <w:rsid w:val="00FE045F"/>
    <w:rsid w:val="00FE08FD"/>
    <w:rsid w:val="00FE1032"/>
    <w:rsid w:val="00FE1276"/>
    <w:rsid w:val="00FE1AB9"/>
    <w:rsid w:val="00FE2E7F"/>
    <w:rsid w:val="00FE2E97"/>
    <w:rsid w:val="00FE399B"/>
    <w:rsid w:val="00FE3E06"/>
    <w:rsid w:val="00FE44BB"/>
    <w:rsid w:val="00FE6B2C"/>
    <w:rsid w:val="00FF01DC"/>
    <w:rsid w:val="00FF09B7"/>
    <w:rsid w:val="00FF45A4"/>
    <w:rsid w:val="00FF4C74"/>
    <w:rsid w:val="00FF4DE0"/>
    <w:rsid w:val="00FF5E18"/>
    <w:rsid w:val="00FF739A"/>
    <w:rsid w:val="00FF7413"/>
    <w:rsid w:val="010D0B70"/>
    <w:rsid w:val="01301F8F"/>
    <w:rsid w:val="015974C0"/>
    <w:rsid w:val="016243ED"/>
    <w:rsid w:val="01D91362"/>
    <w:rsid w:val="01E565FC"/>
    <w:rsid w:val="0241242E"/>
    <w:rsid w:val="027B5C22"/>
    <w:rsid w:val="029F7154"/>
    <w:rsid w:val="02BB0BDF"/>
    <w:rsid w:val="02DA6C9B"/>
    <w:rsid w:val="02E27FA5"/>
    <w:rsid w:val="02FC70B4"/>
    <w:rsid w:val="030010CC"/>
    <w:rsid w:val="032A6535"/>
    <w:rsid w:val="032B6C3A"/>
    <w:rsid w:val="03B20880"/>
    <w:rsid w:val="03C86C00"/>
    <w:rsid w:val="03EC40BD"/>
    <w:rsid w:val="03EC63C9"/>
    <w:rsid w:val="042913CB"/>
    <w:rsid w:val="047771F4"/>
    <w:rsid w:val="04925647"/>
    <w:rsid w:val="04932FB3"/>
    <w:rsid w:val="04FD7021"/>
    <w:rsid w:val="05182F0D"/>
    <w:rsid w:val="052E1C6F"/>
    <w:rsid w:val="0536592E"/>
    <w:rsid w:val="058921A8"/>
    <w:rsid w:val="05A332D4"/>
    <w:rsid w:val="05A35D1A"/>
    <w:rsid w:val="05F11A75"/>
    <w:rsid w:val="05F548C2"/>
    <w:rsid w:val="05F6462A"/>
    <w:rsid w:val="060A398F"/>
    <w:rsid w:val="06185F76"/>
    <w:rsid w:val="0626517C"/>
    <w:rsid w:val="062973DE"/>
    <w:rsid w:val="063414EA"/>
    <w:rsid w:val="06450C44"/>
    <w:rsid w:val="06502C76"/>
    <w:rsid w:val="06533B0D"/>
    <w:rsid w:val="068658FE"/>
    <w:rsid w:val="06A7577D"/>
    <w:rsid w:val="06C10216"/>
    <w:rsid w:val="06CD5DB8"/>
    <w:rsid w:val="06F77878"/>
    <w:rsid w:val="070B729D"/>
    <w:rsid w:val="0793718B"/>
    <w:rsid w:val="08793FA4"/>
    <w:rsid w:val="088A7583"/>
    <w:rsid w:val="08A14EC6"/>
    <w:rsid w:val="08A5008B"/>
    <w:rsid w:val="08D57CBF"/>
    <w:rsid w:val="08EF0B22"/>
    <w:rsid w:val="08F24A06"/>
    <w:rsid w:val="09461869"/>
    <w:rsid w:val="09532A47"/>
    <w:rsid w:val="09651679"/>
    <w:rsid w:val="09750C0F"/>
    <w:rsid w:val="09A815C3"/>
    <w:rsid w:val="09D75F4D"/>
    <w:rsid w:val="0A2379CC"/>
    <w:rsid w:val="0A357536"/>
    <w:rsid w:val="0A463FB5"/>
    <w:rsid w:val="0A662E96"/>
    <w:rsid w:val="0AC031C3"/>
    <w:rsid w:val="0AD10691"/>
    <w:rsid w:val="0AF31454"/>
    <w:rsid w:val="0AFA25B2"/>
    <w:rsid w:val="0B1F783E"/>
    <w:rsid w:val="0B247611"/>
    <w:rsid w:val="0B345341"/>
    <w:rsid w:val="0B4458EE"/>
    <w:rsid w:val="0B776EC0"/>
    <w:rsid w:val="0B91386F"/>
    <w:rsid w:val="0BB030FD"/>
    <w:rsid w:val="0BDB5060"/>
    <w:rsid w:val="0BE14BA7"/>
    <w:rsid w:val="0C2E7A24"/>
    <w:rsid w:val="0C5923AD"/>
    <w:rsid w:val="0C593122"/>
    <w:rsid w:val="0C6C00A7"/>
    <w:rsid w:val="0CA85B84"/>
    <w:rsid w:val="0CEF2E51"/>
    <w:rsid w:val="0D532AD2"/>
    <w:rsid w:val="0D5D20E6"/>
    <w:rsid w:val="0D7B4734"/>
    <w:rsid w:val="0D7C6A10"/>
    <w:rsid w:val="0DE54EE2"/>
    <w:rsid w:val="0DFD12E9"/>
    <w:rsid w:val="0DFE567E"/>
    <w:rsid w:val="0E5B13C2"/>
    <w:rsid w:val="0E5C2EA3"/>
    <w:rsid w:val="0E737213"/>
    <w:rsid w:val="0EB36461"/>
    <w:rsid w:val="0EE67045"/>
    <w:rsid w:val="0F4B7840"/>
    <w:rsid w:val="0FCC7AC3"/>
    <w:rsid w:val="0FE55632"/>
    <w:rsid w:val="0FF00FEF"/>
    <w:rsid w:val="100920B1"/>
    <w:rsid w:val="101E318F"/>
    <w:rsid w:val="101E5B5C"/>
    <w:rsid w:val="106B4B1A"/>
    <w:rsid w:val="10A4691B"/>
    <w:rsid w:val="10C50052"/>
    <w:rsid w:val="10DE5163"/>
    <w:rsid w:val="110F7AB8"/>
    <w:rsid w:val="112E108C"/>
    <w:rsid w:val="11457FF1"/>
    <w:rsid w:val="117B2B3A"/>
    <w:rsid w:val="11F85F56"/>
    <w:rsid w:val="11F95B21"/>
    <w:rsid w:val="1214532B"/>
    <w:rsid w:val="12165DA8"/>
    <w:rsid w:val="12284713"/>
    <w:rsid w:val="12887C05"/>
    <w:rsid w:val="12982F18"/>
    <w:rsid w:val="129E6F77"/>
    <w:rsid w:val="12A12A75"/>
    <w:rsid w:val="12AF1DC1"/>
    <w:rsid w:val="12D1438B"/>
    <w:rsid w:val="12DC5714"/>
    <w:rsid w:val="1303403E"/>
    <w:rsid w:val="13117C04"/>
    <w:rsid w:val="133053DB"/>
    <w:rsid w:val="13315BA7"/>
    <w:rsid w:val="133D09EF"/>
    <w:rsid w:val="13640F48"/>
    <w:rsid w:val="138C23CB"/>
    <w:rsid w:val="13963C5C"/>
    <w:rsid w:val="13AE453A"/>
    <w:rsid w:val="13F019C7"/>
    <w:rsid w:val="141D612B"/>
    <w:rsid w:val="14355849"/>
    <w:rsid w:val="145A5B1A"/>
    <w:rsid w:val="14755F67"/>
    <w:rsid w:val="14B7442C"/>
    <w:rsid w:val="14D143EE"/>
    <w:rsid w:val="14DE61FF"/>
    <w:rsid w:val="15427BF2"/>
    <w:rsid w:val="15546C66"/>
    <w:rsid w:val="15927D10"/>
    <w:rsid w:val="15CC6F67"/>
    <w:rsid w:val="15D1541F"/>
    <w:rsid w:val="160E7089"/>
    <w:rsid w:val="1639359F"/>
    <w:rsid w:val="168943C4"/>
    <w:rsid w:val="16CB69E0"/>
    <w:rsid w:val="172B3D49"/>
    <w:rsid w:val="172F4AF3"/>
    <w:rsid w:val="1747051A"/>
    <w:rsid w:val="174E7708"/>
    <w:rsid w:val="17644B2B"/>
    <w:rsid w:val="177C6E73"/>
    <w:rsid w:val="179A0E16"/>
    <w:rsid w:val="17A806FA"/>
    <w:rsid w:val="17A96653"/>
    <w:rsid w:val="17AB288A"/>
    <w:rsid w:val="18784278"/>
    <w:rsid w:val="187B025C"/>
    <w:rsid w:val="187C5B16"/>
    <w:rsid w:val="188E5CA6"/>
    <w:rsid w:val="189F35B2"/>
    <w:rsid w:val="18FF0432"/>
    <w:rsid w:val="19146082"/>
    <w:rsid w:val="194B54E8"/>
    <w:rsid w:val="19B110E6"/>
    <w:rsid w:val="1A0C4BCC"/>
    <w:rsid w:val="1A334B44"/>
    <w:rsid w:val="1A394351"/>
    <w:rsid w:val="1A611335"/>
    <w:rsid w:val="1A855389"/>
    <w:rsid w:val="1A8A2BC4"/>
    <w:rsid w:val="1AB93265"/>
    <w:rsid w:val="1AEC4B07"/>
    <w:rsid w:val="1AED63D8"/>
    <w:rsid w:val="1B1F09DB"/>
    <w:rsid w:val="1B350D96"/>
    <w:rsid w:val="1B4C3FF1"/>
    <w:rsid w:val="1B4D72F6"/>
    <w:rsid w:val="1B665715"/>
    <w:rsid w:val="1BA201F9"/>
    <w:rsid w:val="1BB04F27"/>
    <w:rsid w:val="1BE5101F"/>
    <w:rsid w:val="1BFD16B2"/>
    <w:rsid w:val="1C103FA3"/>
    <w:rsid w:val="1C4E3F3C"/>
    <w:rsid w:val="1C4F52EF"/>
    <w:rsid w:val="1C805D1C"/>
    <w:rsid w:val="1C8D22AC"/>
    <w:rsid w:val="1CAC5BE9"/>
    <w:rsid w:val="1CAF105A"/>
    <w:rsid w:val="1CB25FAA"/>
    <w:rsid w:val="1CC05600"/>
    <w:rsid w:val="1CF93606"/>
    <w:rsid w:val="1D15436E"/>
    <w:rsid w:val="1D4C4F1C"/>
    <w:rsid w:val="1D70551D"/>
    <w:rsid w:val="1D7E0044"/>
    <w:rsid w:val="1D84721B"/>
    <w:rsid w:val="1DCA476F"/>
    <w:rsid w:val="1DE376F2"/>
    <w:rsid w:val="1DEB266C"/>
    <w:rsid w:val="1DF919B7"/>
    <w:rsid w:val="1E1B4E4C"/>
    <w:rsid w:val="1E24026E"/>
    <w:rsid w:val="1E747B65"/>
    <w:rsid w:val="1EB47392"/>
    <w:rsid w:val="1F117EC6"/>
    <w:rsid w:val="1F177BAD"/>
    <w:rsid w:val="1F3D6E93"/>
    <w:rsid w:val="1F4D1FBA"/>
    <w:rsid w:val="1FA96E21"/>
    <w:rsid w:val="1FB1638B"/>
    <w:rsid w:val="204C3722"/>
    <w:rsid w:val="20511980"/>
    <w:rsid w:val="207848CC"/>
    <w:rsid w:val="209842F7"/>
    <w:rsid w:val="20991AB8"/>
    <w:rsid w:val="210851FC"/>
    <w:rsid w:val="21432DF6"/>
    <w:rsid w:val="216B3C80"/>
    <w:rsid w:val="216E0073"/>
    <w:rsid w:val="217A21C1"/>
    <w:rsid w:val="219F4C98"/>
    <w:rsid w:val="21CF5E82"/>
    <w:rsid w:val="220426D8"/>
    <w:rsid w:val="2206430E"/>
    <w:rsid w:val="22077840"/>
    <w:rsid w:val="220C56D6"/>
    <w:rsid w:val="223B07B8"/>
    <w:rsid w:val="22451DD0"/>
    <w:rsid w:val="224F617F"/>
    <w:rsid w:val="22561186"/>
    <w:rsid w:val="225D23CA"/>
    <w:rsid w:val="22857A6C"/>
    <w:rsid w:val="22C74DC7"/>
    <w:rsid w:val="230B6675"/>
    <w:rsid w:val="23127DE3"/>
    <w:rsid w:val="2338088B"/>
    <w:rsid w:val="23AC749F"/>
    <w:rsid w:val="23FE7D27"/>
    <w:rsid w:val="241B67D9"/>
    <w:rsid w:val="244E023E"/>
    <w:rsid w:val="245C0C40"/>
    <w:rsid w:val="2460053B"/>
    <w:rsid w:val="246F652F"/>
    <w:rsid w:val="248D1AB9"/>
    <w:rsid w:val="249A5F83"/>
    <w:rsid w:val="24D653EB"/>
    <w:rsid w:val="24F80483"/>
    <w:rsid w:val="25577F33"/>
    <w:rsid w:val="256C4240"/>
    <w:rsid w:val="2586552D"/>
    <w:rsid w:val="258B29A9"/>
    <w:rsid w:val="25F8537E"/>
    <w:rsid w:val="26154EB4"/>
    <w:rsid w:val="265165B1"/>
    <w:rsid w:val="26747A28"/>
    <w:rsid w:val="26767FCA"/>
    <w:rsid w:val="26880C25"/>
    <w:rsid w:val="268E6A3E"/>
    <w:rsid w:val="269E75D9"/>
    <w:rsid w:val="26A12BEB"/>
    <w:rsid w:val="26B571A6"/>
    <w:rsid w:val="26E35E10"/>
    <w:rsid w:val="27047428"/>
    <w:rsid w:val="270D275B"/>
    <w:rsid w:val="27202AA8"/>
    <w:rsid w:val="274A5031"/>
    <w:rsid w:val="274E6745"/>
    <w:rsid w:val="276362CB"/>
    <w:rsid w:val="2770470A"/>
    <w:rsid w:val="278B222C"/>
    <w:rsid w:val="27BD54F3"/>
    <w:rsid w:val="27E000FB"/>
    <w:rsid w:val="27F3685C"/>
    <w:rsid w:val="280E3633"/>
    <w:rsid w:val="28263BAA"/>
    <w:rsid w:val="284477F3"/>
    <w:rsid w:val="28E06616"/>
    <w:rsid w:val="2901082A"/>
    <w:rsid w:val="29015BC3"/>
    <w:rsid w:val="29662104"/>
    <w:rsid w:val="29754367"/>
    <w:rsid w:val="29A6256C"/>
    <w:rsid w:val="29CD483F"/>
    <w:rsid w:val="29DA60BF"/>
    <w:rsid w:val="2A007DA8"/>
    <w:rsid w:val="2A1C2CB5"/>
    <w:rsid w:val="2A4100D7"/>
    <w:rsid w:val="2A57134C"/>
    <w:rsid w:val="2A6D0297"/>
    <w:rsid w:val="2A81654E"/>
    <w:rsid w:val="2A9655CB"/>
    <w:rsid w:val="2A9B040C"/>
    <w:rsid w:val="2ACC213E"/>
    <w:rsid w:val="2AE3506A"/>
    <w:rsid w:val="2B22501B"/>
    <w:rsid w:val="2B470A82"/>
    <w:rsid w:val="2B65068C"/>
    <w:rsid w:val="2BAB1D19"/>
    <w:rsid w:val="2BC25777"/>
    <w:rsid w:val="2C2718FC"/>
    <w:rsid w:val="2C2A7719"/>
    <w:rsid w:val="2C3005C4"/>
    <w:rsid w:val="2C333058"/>
    <w:rsid w:val="2C503237"/>
    <w:rsid w:val="2C644A23"/>
    <w:rsid w:val="2C890831"/>
    <w:rsid w:val="2CD755B9"/>
    <w:rsid w:val="2CE13D42"/>
    <w:rsid w:val="2D2E1128"/>
    <w:rsid w:val="2D3D715C"/>
    <w:rsid w:val="2D460CC5"/>
    <w:rsid w:val="2D4F3213"/>
    <w:rsid w:val="2D71219F"/>
    <w:rsid w:val="2D8536F2"/>
    <w:rsid w:val="2D875B1B"/>
    <w:rsid w:val="2D881172"/>
    <w:rsid w:val="2D89160D"/>
    <w:rsid w:val="2DAD512D"/>
    <w:rsid w:val="2DB12902"/>
    <w:rsid w:val="2DB925D0"/>
    <w:rsid w:val="2DC15662"/>
    <w:rsid w:val="2DC65A5D"/>
    <w:rsid w:val="2DCA6ECC"/>
    <w:rsid w:val="2DCF5352"/>
    <w:rsid w:val="2DF8162E"/>
    <w:rsid w:val="2E5179A9"/>
    <w:rsid w:val="2E5B44E1"/>
    <w:rsid w:val="2E7439B5"/>
    <w:rsid w:val="2E922B19"/>
    <w:rsid w:val="2E9C5BE6"/>
    <w:rsid w:val="2EB56382"/>
    <w:rsid w:val="2ECA1EE2"/>
    <w:rsid w:val="2ECE71D8"/>
    <w:rsid w:val="2EDC7D8F"/>
    <w:rsid w:val="2EFA5DA5"/>
    <w:rsid w:val="2F416E40"/>
    <w:rsid w:val="2F634689"/>
    <w:rsid w:val="2F85555D"/>
    <w:rsid w:val="2F8C5AC2"/>
    <w:rsid w:val="2FB3602C"/>
    <w:rsid w:val="2FC63A86"/>
    <w:rsid w:val="2FCE6D7B"/>
    <w:rsid w:val="2FF864A2"/>
    <w:rsid w:val="2FFA1E3A"/>
    <w:rsid w:val="300E1AB0"/>
    <w:rsid w:val="3045258A"/>
    <w:rsid w:val="305E6607"/>
    <w:rsid w:val="30AC4667"/>
    <w:rsid w:val="30BE651E"/>
    <w:rsid w:val="30D427EB"/>
    <w:rsid w:val="30E3359C"/>
    <w:rsid w:val="30F04CA4"/>
    <w:rsid w:val="30FF3553"/>
    <w:rsid w:val="31113F22"/>
    <w:rsid w:val="318F242E"/>
    <w:rsid w:val="31BA7C68"/>
    <w:rsid w:val="31C37B5C"/>
    <w:rsid w:val="31D466FE"/>
    <w:rsid w:val="31E367AE"/>
    <w:rsid w:val="31FB3AF8"/>
    <w:rsid w:val="32116E77"/>
    <w:rsid w:val="321E5331"/>
    <w:rsid w:val="32212ED5"/>
    <w:rsid w:val="328465D7"/>
    <w:rsid w:val="32954D02"/>
    <w:rsid w:val="32A25B44"/>
    <w:rsid w:val="32D27C47"/>
    <w:rsid w:val="32E225C2"/>
    <w:rsid w:val="32E53E60"/>
    <w:rsid w:val="330076DC"/>
    <w:rsid w:val="332D0D8B"/>
    <w:rsid w:val="33480672"/>
    <w:rsid w:val="33763871"/>
    <w:rsid w:val="33773CE2"/>
    <w:rsid w:val="339A2E9C"/>
    <w:rsid w:val="33B31894"/>
    <w:rsid w:val="33B70C4D"/>
    <w:rsid w:val="33CE540F"/>
    <w:rsid w:val="33E26B74"/>
    <w:rsid w:val="342033A2"/>
    <w:rsid w:val="3467060D"/>
    <w:rsid w:val="34992CFE"/>
    <w:rsid w:val="349D32C1"/>
    <w:rsid w:val="34B00741"/>
    <w:rsid w:val="34E57DB5"/>
    <w:rsid w:val="34E645EB"/>
    <w:rsid w:val="34EC0B94"/>
    <w:rsid w:val="353867E7"/>
    <w:rsid w:val="357D0366"/>
    <w:rsid w:val="35833151"/>
    <w:rsid w:val="359C7629"/>
    <w:rsid w:val="35BE10C4"/>
    <w:rsid w:val="35E83D07"/>
    <w:rsid w:val="362640C0"/>
    <w:rsid w:val="36445CE4"/>
    <w:rsid w:val="368D0650"/>
    <w:rsid w:val="3733320C"/>
    <w:rsid w:val="373F5D72"/>
    <w:rsid w:val="37436B38"/>
    <w:rsid w:val="37902580"/>
    <w:rsid w:val="37A83DDA"/>
    <w:rsid w:val="37D72911"/>
    <w:rsid w:val="38156F95"/>
    <w:rsid w:val="386629FC"/>
    <w:rsid w:val="38A9798D"/>
    <w:rsid w:val="38AA1DD4"/>
    <w:rsid w:val="38DA1FE0"/>
    <w:rsid w:val="38FC4562"/>
    <w:rsid w:val="39033292"/>
    <w:rsid w:val="391F36F7"/>
    <w:rsid w:val="3957450B"/>
    <w:rsid w:val="39805EEA"/>
    <w:rsid w:val="39974BB9"/>
    <w:rsid w:val="39DC4123"/>
    <w:rsid w:val="39EC512A"/>
    <w:rsid w:val="3A322081"/>
    <w:rsid w:val="3A347BA7"/>
    <w:rsid w:val="3A802587"/>
    <w:rsid w:val="3B1315A5"/>
    <w:rsid w:val="3B221F6D"/>
    <w:rsid w:val="3B3C5B74"/>
    <w:rsid w:val="3B5B0E00"/>
    <w:rsid w:val="3B750B59"/>
    <w:rsid w:val="3B985DA8"/>
    <w:rsid w:val="3BDD426E"/>
    <w:rsid w:val="3BDF184A"/>
    <w:rsid w:val="3BE2723A"/>
    <w:rsid w:val="3BEC4BEA"/>
    <w:rsid w:val="3C126B91"/>
    <w:rsid w:val="3C4F2F5B"/>
    <w:rsid w:val="3D007D17"/>
    <w:rsid w:val="3D1C63B4"/>
    <w:rsid w:val="3D1D7C48"/>
    <w:rsid w:val="3D201EF5"/>
    <w:rsid w:val="3D404AB5"/>
    <w:rsid w:val="3D8C6A45"/>
    <w:rsid w:val="3DB77C44"/>
    <w:rsid w:val="3DCC459A"/>
    <w:rsid w:val="3DD27D42"/>
    <w:rsid w:val="3DFB4077"/>
    <w:rsid w:val="3E667251"/>
    <w:rsid w:val="3E6E433D"/>
    <w:rsid w:val="3EB02CBF"/>
    <w:rsid w:val="3EC3464E"/>
    <w:rsid w:val="3F6824E4"/>
    <w:rsid w:val="3F6F5FCF"/>
    <w:rsid w:val="3F7A7A9C"/>
    <w:rsid w:val="3FC3628E"/>
    <w:rsid w:val="401B4E92"/>
    <w:rsid w:val="40275AB8"/>
    <w:rsid w:val="402A41D8"/>
    <w:rsid w:val="403A41C8"/>
    <w:rsid w:val="403B1A43"/>
    <w:rsid w:val="403D6372"/>
    <w:rsid w:val="40536ED6"/>
    <w:rsid w:val="4058036E"/>
    <w:rsid w:val="40583EC3"/>
    <w:rsid w:val="405F3C2C"/>
    <w:rsid w:val="408777E2"/>
    <w:rsid w:val="40DC0D96"/>
    <w:rsid w:val="40EF2F19"/>
    <w:rsid w:val="411134B5"/>
    <w:rsid w:val="411E510D"/>
    <w:rsid w:val="414169D7"/>
    <w:rsid w:val="41736AF6"/>
    <w:rsid w:val="41886A2A"/>
    <w:rsid w:val="418A3C42"/>
    <w:rsid w:val="420B3DF3"/>
    <w:rsid w:val="422B7AE1"/>
    <w:rsid w:val="423A456F"/>
    <w:rsid w:val="42552DB0"/>
    <w:rsid w:val="429F227D"/>
    <w:rsid w:val="42A17DA3"/>
    <w:rsid w:val="42BC2E2F"/>
    <w:rsid w:val="43047911"/>
    <w:rsid w:val="430D3C5F"/>
    <w:rsid w:val="433A551B"/>
    <w:rsid w:val="43483E86"/>
    <w:rsid w:val="4354615E"/>
    <w:rsid w:val="438F69E7"/>
    <w:rsid w:val="43946792"/>
    <w:rsid w:val="43C875B2"/>
    <w:rsid w:val="43E20674"/>
    <w:rsid w:val="446D12AD"/>
    <w:rsid w:val="45037216"/>
    <w:rsid w:val="4574179F"/>
    <w:rsid w:val="45853CA2"/>
    <w:rsid w:val="458E4192"/>
    <w:rsid w:val="45AA0027"/>
    <w:rsid w:val="45AA6D54"/>
    <w:rsid w:val="45C21806"/>
    <w:rsid w:val="45C37312"/>
    <w:rsid w:val="45C67B21"/>
    <w:rsid w:val="45F778D3"/>
    <w:rsid w:val="460B0005"/>
    <w:rsid w:val="462F460B"/>
    <w:rsid w:val="4642275B"/>
    <w:rsid w:val="464A5E88"/>
    <w:rsid w:val="46BC33FE"/>
    <w:rsid w:val="46D149CF"/>
    <w:rsid w:val="46E12E64"/>
    <w:rsid w:val="473079D6"/>
    <w:rsid w:val="474101B6"/>
    <w:rsid w:val="47A06294"/>
    <w:rsid w:val="47A4404E"/>
    <w:rsid w:val="47B1511C"/>
    <w:rsid w:val="47C04721"/>
    <w:rsid w:val="47C06C09"/>
    <w:rsid w:val="47CC3E0B"/>
    <w:rsid w:val="48686BDB"/>
    <w:rsid w:val="4880045B"/>
    <w:rsid w:val="488316ED"/>
    <w:rsid w:val="488E6C9B"/>
    <w:rsid w:val="488F26C5"/>
    <w:rsid w:val="489F39E3"/>
    <w:rsid w:val="48A8771B"/>
    <w:rsid w:val="48E02ABA"/>
    <w:rsid w:val="49194817"/>
    <w:rsid w:val="49267ED4"/>
    <w:rsid w:val="49320BEE"/>
    <w:rsid w:val="493F377B"/>
    <w:rsid w:val="4981092F"/>
    <w:rsid w:val="49BD306D"/>
    <w:rsid w:val="49C5081B"/>
    <w:rsid w:val="49FE50F5"/>
    <w:rsid w:val="4A062BE2"/>
    <w:rsid w:val="4A5E2A1E"/>
    <w:rsid w:val="4A842FF9"/>
    <w:rsid w:val="4A965AF1"/>
    <w:rsid w:val="4ABF6514"/>
    <w:rsid w:val="4B0C7C28"/>
    <w:rsid w:val="4B3D37FA"/>
    <w:rsid w:val="4B5C51AF"/>
    <w:rsid w:val="4B7E496D"/>
    <w:rsid w:val="4B8B339F"/>
    <w:rsid w:val="4B907CAA"/>
    <w:rsid w:val="4BC14786"/>
    <w:rsid w:val="4BD42F14"/>
    <w:rsid w:val="4BF76C86"/>
    <w:rsid w:val="4BF819E9"/>
    <w:rsid w:val="4C1C5781"/>
    <w:rsid w:val="4C467228"/>
    <w:rsid w:val="4C7536AB"/>
    <w:rsid w:val="4C97537F"/>
    <w:rsid w:val="4CA64A14"/>
    <w:rsid w:val="4CB64358"/>
    <w:rsid w:val="4CDB4DCE"/>
    <w:rsid w:val="4D151ABA"/>
    <w:rsid w:val="4D205D07"/>
    <w:rsid w:val="4D3A1520"/>
    <w:rsid w:val="4D7E1024"/>
    <w:rsid w:val="4D7F6F33"/>
    <w:rsid w:val="4DA644C0"/>
    <w:rsid w:val="4DAD3AA0"/>
    <w:rsid w:val="4E047D31"/>
    <w:rsid w:val="4E552E90"/>
    <w:rsid w:val="4E791605"/>
    <w:rsid w:val="4ECD5523"/>
    <w:rsid w:val="4ED66ED1"/>
    <w:rsid w:val="4EDB7CC1"/>
    <w:rsid w:val="4EFD7176"/>
    <w:rsid w:val="4F196F13"/>
    <w:rsid w:val="4F2B149E"/>
    <w:rsid w:val="4F960564"/>
    <w:rsid w:val="4FCE60D5"/>
    <w:rsid w:val="4FDE5866"/>
    <w:rsid w:val="5010139D"/>
    <w:rsid w:val="50740E07"/>
    <w:rsid w:val="50974404"/>
    <w:rsid w:val="50E84DEF"/>
    <w:rsid w:val="5108650A"/>
    <w:rsid w:val="510C32BB"/>
    <w:rsid w:val="5119769F"/>
    <w:rsid w:val="513872E4"/>
    <w:rsid w:val="515A169C"/>
    <w:rsid w:val="51A10B15"/>
    <w:rsid w:val="51CB0999"/>
    <w:rsid w:val="51E6390E"/>
    <w:rsid w:val="51E82967"/>
    <w:rsid w:val="51E868C0"/>
    <w:rsid w:val="51F25327"/>
    <w:rsid w:val="51FA127E"/>
    <w:rsid w:val="521154AE"/>
    <w:rsid w:val="52120BD5"/>
    <w:rsid w:val="522B29C8"/>
    <w:rsid w:val="525C3CE7"/>
    <w:rsid w:val="52707AE1"/>
    <w:rsid w:val="528E1D22"/>
    <w:rsid w:val="52947AA4"/>
    <w:rsid w:val="52A25C2B"/>
    <w:rsid w:val="52AA3E85"/>
    <w:rsid w:val="52D5596A"/>
    <w:rsid w:val="52EC506B"/>
    <w:rsid w:val="52F201A7"/>
    <w:rsid w:val="52F44C6A"/>
    <w:rsid w:val="531B420E"/>
    <w:rsid w:val="53275046"/>
    <w:rsid w:val="535005EB"/>
    <w:rsid w:val="538A0F34"/>
    <w:rsid w:val="53906D6F"/>
    <w:rsid w:val="53983A49"/>
    <w:rsid w:val="539C0FBF"/>
    <w:rsid w:val="53AF2313"/>
    <w:rsid w:val="53C31560"/>
    <w:rsid w:val="54624EB9"/>
    <w:rsid w:val="54835547"/>
    <w:rsid w:val="548A0EA9"/>
    <w:rsid w:val="54A8564D"/>
    <w:rsid w:val="54B24E23"/>
    <w:rsid w:val="54D26BEB"/>
    <w:rsid w:val="54E20F64"/>
    <w:rsid w:val="54E84465"/>
    <w:rsid w:val="54EA2DCB"/>
    <w:rsid w:val="55B61960"/>
    <w:rsid w:val="55BD279A"/>
    <w:rsid w:val="55E26B54"/>
    <w:rsid w:val="5627299D"/>
    <w:rsid w:val="564A4A10"/>
    <w:rsid w:val="56501F87"/>
    <w:rsid w:val="56A45C5C"/>
    <w:rsid w:val="56AC2CED"/>
    <w:rsid w:val="56BF6C70"/>
    <w:rsid w:val="56CA21A7"/>
    <w:rsid w:val="56E460B2"/>
    <w:rsid w:val="57070F1B"/>
    <w:rsid w:val="571E156B"/>
    <w:rsid w:val="573F7E85"/>
    <w:rsid w:val="577631F1"/>
    <w:rsid w:val="57AE2374"/>
    <w:rsid w:val="57B46AD7"/>
    <w:rsid w:val="57B76B3C"/>
    <w:rsid w:val="57DD5E11"/>
    <w:rsid w:val="57E5652D"/>
    <w:rsid w:val="5805117F"/>
    <w:rsid w:val="580F7106"/>
    <w:rsid w:val="581D6016"/>
    <w:rsid w:val="58223F48"/>
    <w:rsid w:val="58252165"/>
    <w:rsid w:val="585841CB"/>
    <w:rsid w:val="588C710B"/>
    <w:rsid w:val="588E0972"/>
    <w:rsid w:val="58990369"/>
    <w:rsid w:val="58A549BA"/>
    <w:rsid w:val="58BC103B"/>
    <w:rsid w:val="58C45ED4"/>
    <w:rsid w:val="58EC759A"/>
    <w:rsid w:val="591B4F2B"/>
    <w:rsid w:val="591F1682"/>
    <w:rsid w:val="59367040"/>
    <w:rsid w:val="598245DB"/>
    <w:rsid w:val="59C674A6"/>
    <w:rsid w:val="5AAA175C"/>
    <w:rsid w:val="5ACA6ECC"/>
    <w:rsid w:val="5ACE0A9F"/>
    <w:rsid w:val="5B1038C0"/>
    <w:rsid w:val="5B285DC7"/>
    <w:rsid w:val="5B5F03A4"/>
    <w:rsid w:val="5B6E20A4"/>
    <w:rsid w:val="5BC75FD9"/>
    <w:rsid w:val="5BC82EEB"/>
    <w:rsid w:val="5BE54BBA"/>
    <w:rsid w:val="5C003441"/>
    <w:rsid w:val="5C2505E2"/>
    <w:rsid w:val="5C384A0B"/>
    <w:rsid w:val="5C5E532E"/>
    <w:rsid w:val="5C977095"/>
    <w:rsid w:val="5C9B3E80"/>
    <w:rsid w:val="5CA21B46"/>
    <w:rsid w:val="5CB14C2F"/>
    <w:rsid w:val="5CBA2782"/>
    <w:rsid w:val="5CE02AB3"/>
    <w:rsid w:val="5CF5636D"/>
    <w:rsid w:val="5D6323CD"/>
    <w:rsid w:val="5DD466A1"/>
    <w:rsid w:val="5E28234D"/>
    <w:rsid w:val="5E323725"/>
    <w:rsid w:val="5E4E2A21"/>
    <w:rsid w:val="5E7105EA"/>
    <w:rsid w:val="5E8657D0"/>
    <w:rsid w:val="5E9860E0"/>
    <w:rsid w:val="5EB80FAA"/>
    <w:rsid w:val="5EC9616E"/>
    <w:rsid w:val="5ECF797E"/>
    <w:rsid w:val="5EDC23AB"/>
    <w:rsid w:val="5EE600DA"/>
    <w:rsid w:val="5F047383"/>
    <w:rsid w:val="5F1A6884"/>
    <w:rsid w:val="5F225970"/>
    <w:rsid w:val="5F447FDD"/>
    <w:rsid w:val="5F677827"/>
    <w:rsid w:val="5F6E1CDF"/>
    <w:rsid w:val="5F975042"/>
    <w:rsid w:val="5FC8734C"/>
    <w:rsid w:val="5FF946E6"/>
    <w:rsid w:val="600A2FD4"/>
    <w:rsid w:val="60151DB8"/>
    <w:rsid w:val="60430533"/>
    <w:rsid w:val="6089214B"/>
    <w:rsid w:val="60BB72A0"/>
    <w:rsid w:val="60D373D4"/>
    <w:rsid w:val="60EA6513"/>
    <w:rsid w:val="60EB340E"/>
    <w:rsid w:val="610C692D"/>
    <w:rsid w:val="61283A1D"/>
    <w:rsid w:val="614608E4"/>
    <w:rsid w:val="61471ACE"/>
    <w:rsid w:val="615B21A4"/>
    <w:rsid w:val="61882556"/>
    <w:rsid w:val="61893A71"/>
    <w:rsid w:val="61C24BFD"/>
    <w:rsid w:val="61E77A35"/>
    <w:rsid w:val="61FC6F61"/>
    <w:rsid w:val="61FD0A55"/>
    <w:rsid w:val="62243474"/>
    <w:rsid w:val="6238639F"/>
    <w:rsid w:val="625D6F2F"/>
    <w:rsid w:val="62CC1F4B"/>
    <w:rsid w:val="62E310E6"/>
    <w:rsid w:val="63193826"/>
    <w:rsid w:val="63515A9B"/>
    <w:rsid w:val="63FD00F7"/>
    <w:rsid w:val="64483F28"/>
    <w:rsid w:val="6452734A"/>
    <w:rsid w:val="647C0B0B"/>
    <w:rsid w:val="64906511"/>
    <w:rsid w:val="64937DDF"/>
    <w:rsid w:val="64996492"/>
    <w:rsid w:val="649F7C9D"/>
    <w:rsid w:val="64FC0688"/>
    <w:rsid w:val="654622C2"/>
    <w:rsid w:val="65493EEC"/>
    <w:rsid w:val="654A469E"/>
    <w:rsid w:val="654A79CF"/>
    <w:rsid w:val="65AE5912"/>
    <w:rsid w:val="65B343F5"/>
    <w:rsid w:val="65B61711"/>
    <w:rsid w:val="65CB6290"/>
    <w:rsid w:val="65D00F51"/>
    <w:rsid w:val="65EB2F60"/>
    <w:rsid w:val="662171FB"/>
    <w:rsid w:val="66290003"/>
    <w:rsid w:val="667F1A2B"/>
    <w:rsid w:val="66976B52"/>
    <w:rsid w:val="669B32D1"/>
    <w:rsid w:val="66A80E51"/>
    <w:rsid w:val="66B52089"/>
    <w:rsid w:val="66B67DBC"/>
    <w:rsid w:val="66BC2B4E"/>
    <w:rsid w:val="6710161E"/>
    <w:rsid w:val="673E5744"/>
    <w:rsid w:val="676234A9"/>
    <w:rsid w:val="678D1CA9"/>
    <w:rsid w:val="67B40BF1"/>
    <w:rsid w:val="67D21403"/>
    <w:rsid w:val="67D8551A"/>
    <w:rsid w:val="67E6248D"/>
    <w:rsid w:val="67E63627"/>
    <w:rsid w:val="680453DF"/>
    <w:rsid w:val="68246BBB"/>
    <w:rsid w:val="6829775B"/>
    <w:rsid w:val="683F4AF9"/>
    <w:rsid w:val="684469AB"/>
    <w:rsid w:val="68556F94"/>
    <w:rsid w:val="688A4CB2"/>
    <w:rsid w:val="68BB579E"/>
    <w:rsid w:val="690C7FCA"/>
    <w:rsid w:val="692866AF"/>
    <w:rsid w:val="69322061"/>
    <w:rsid w:val="69377CD1"/>
    <w:rsid w:val="695F613F"/>
    <w:rsid w:val="69FD6127"/>
    <w:rsid w:val="6A214920"/>
    <w:rsid w:val="6A235C52"/>
    <w:rsid w:val="6AA66D60"/>
    <w:rsid w:val="6AAA5192"/>
    <w:rsid w:val="6ACB7804"/>
    <w:rsid w:val="6ADB721A"/>
    <w:rsid w:val="6B08773F"/>
    <w:rsid w:val="6B1255BB"/>
    <w:rsid w:val="6B5E28AF"/>
    <w:rsid w:val="6B737E13"/>
    <w:rsid w:val="6B760662"/>
    <w:rsid w:val="6BA46216"/>
    <w:rsid w:val="6BB6239E"/>
    <w:rsid w:val="6BE4017A"/>
    <w:rsid w:val="6BF7791A"/>
    <w:rsid w:val="6C257717"/>
    <w:rsid w:val="6C511909"/>
    <w:rsid w:val="6C6B38E6"/>
    <w:rsid w:val="6CEA01F7"/>
    <w:rsid w:val="6CF0144D"/>
    <w:rsid w:val="6D170ADE"/>
    <w:rsid w:val="6D262F95"/>
    <w:rsid w:val="6D4E2C7F"/>
    <w:rsid w:val="6D8C1BAF"/>
    <w:rsid w:val="6E0160C7"/>
    <w:rsid w:val="6E241705"/>
    <w:rsid w:val="6E504E02"/>
    <w:rsid w:val="6E684454"/>
    <w:rsid w:val="6E6C47A7"/>
    <w:rsid w:val="6E815092"/>
    <w:rsid w:val="6EBD0F25"/>
    <w:rsid w:val="6ED26007"/>
    <w:rsid w:val="6EE2027D"/>
    <w:rsid w:val="6EEA6ECE"/>
    <w:rsid w:val="6F221826"/>
    <w:rsid w:val="6F415205"/>
    <w:rsid w:val="6F4A6F49"/>
    <w:rsid w:val="6F5953DE"/>
    <w:rsid w:val="6F6C0B78"/>
    <w:rsid w:val="6F6D491A"/>
    <w:rsid w:val="6F9E7295"/>
    <w:rsid w:val="6FB02553"/>
    <w:rsid w:val="6FC03866"/>
    <w:rsid w:val="6FE63F4F"/>
    <w:rsid w:val="6FE82285"/>
    <w:rsid w:val="70095323"/>
    <w:rsid w:val="70180F3A"/>
    <w:rsid w:val="7046186E"/>
    <w:rsid w:val="70642AF1"/>
    <w:rsid w:val="7074222B"/>
    <w:rsid w:val="708244C1"/>
    <w:rsid w:val="70CE3495"/>
    <w:rsid w:val="70E23C6C"/>
    <w:rsid w:val="70FE5CEE"/>
    <w:rsid w:val="710736D5"/>
    <w:rsid w:val="710B2708"/>
    <w:rsid w:val="713F23B2"/>
    <w:rsid w:val="713F512E"/>
    <w:rsid w:val="71467BE4"/>
    <w:rsid w:val="71B66CEF"/>
    <w:rsid w:val="71F47640"/>
    <w:rsid w:val="725B76BF"/>
    <w:rsid w:val="72926798"/>
    <w:rsid w:val="729736B0"/>
    <w:rsid w:val="733D0B73"/>
    <w:rsid w:val="734854EA"/>
    <w:rsid w:val="7377394B"/>
    <w:rsid w:val="737E5EBB"/>
    <w:rsid w:val="73820AE6"/>
    <w:rsid w:val="73B21EDC"/>
    <w:rsid w:val="741334F1"/>
    <w:rsid w:val="742E24FE"/>
    <w:rsid w:val="742E508B"/>
    <w:rsid w:val="745F7D66"/>
    <w:rsid w:val="74624D35"/>
    <w:rsid w:val="746610D7"/>
    <w:rsid w:val="747B36E0"/>
    <w:rsid w:val="749F4535"/>
    <w:rsid w:val="751C09E0"/>
    <w:rsid w:val="75462C95"/>
    <w:rsid w:val="75553680"/>
    <w:rsid w:val="75572824"/>
    <w:rsid w:val="755769E6"/>
    <w:rsid w:val="75A924F0"/>
    <w:rsid w:val="75CB5578"/>
    <w:rsid w:val="75E672A0"/>
    <w:rsid w:val="761613DF"/>
    <w:rsid w:val="761756AB"/>
    <w:rsid w:val="76263B40"/>
    <w:rsid w:val="762865F3"/>
    <w:rsid w:val="763444AF"/>
    <w:rsid w:val="76430996"/>
    <w:rsid w:val="765D4560"/>
    <w:rsid w:val="767601BD"/>
    <w:rsid w:val="767800B3"/>
    <w:rsid w:val="76A07FEB"/>
    <w:rsid w:val="76BD6253"/>
    <w:rsid w:val="76E51514"/>
    <w:rsid w:val="76F92243"/>
    <w:rsid w:val="7701170D"/>
    <w:rsid w:val="775A6197"/>
    <w:rsid w:val="779F04EE"/>
    <w:rsid w:val="77FE4B5D"/>
    <w:rsid w:val="781A448C"/>
    <w:rsid w:val="786E2ED7"/>
    <w:rsid w:val="786F2C0E"/>
    <w:rsid w:val="78795779"/>
    <w:rsid w:val="78B41EC8"/>
    <w:rsid w:val="78C673F1"/>
    <w:rsid w:val="78EF46BD"/>
    <w:rsid w:val="79022643"/>
    <w:rsid w:val="79122B3E"/>
    <w:rsid w:val="793E33E2"/>
    <w:rsid w:val="79492020"/>
    <w:rsid w:val="79682330"/>
    <w:rsid w:val="797B13BC"/>
    <w:rsid w:val="798564B4"/>
    <w:rsid w:val="798F2510"/>
    <w:rsid w:val="7A067401"/>
    <w:rsid w:val="7A170287"/>
    <w:rsid w:val="7A403FBA"/>
    <w:rsid w:val="7A5769BE"/>
    <w:rsid w:val="7A5F5873"/>
    <w:rsid w:val="7A750E83"/>
    <w:rsid w:val="7A774EF1"/>
    <w:rsid w:val="7A822CBD"/>
    <w:rsid w:val="7B18614D"/>
    <w:rsid w:val="7B450CA2"/>
    <w:rsid w:val="7B4C2379"/>
    <w:rsid w:val="7BAE6BD4"/>
    <w:rsid w:val="7BCC0858"/>
    <w:rsid w:val="7BF32717"/>
    <w:rsid w:val="7BF87D2D"/>
    <w:rsid w:val="7C0A7ACD"/>
    <w:rsid w:val="7C833DC2"/>
    <w:rsid w:val="7C8C58E9"/>
    <w:rsid w:val="7D061519"/>
    <w:rsid w:val="7D5C1112"/>
    <w:rsid w:val="7D666018"/>
    <w:rsid w:val="7D7B2F3C"/>
    <w:rsid w:val="7D8208C9"/>
    <w:rsid w:val="7DB4697E"/>
    <w:rsid w:val="7DB526FC"/>
    <w:rsid w:val="7DF715BE"/>
    <w:rsid w:val="7E036801"/>
    <w:rsid w:val="7F18710C"/>
    <w:rsid w:val="7F800765"/>
    <w:rsid w:val="7F912AD9"/>
    <w:rsid w:val="7F98785D"/>
    <w:rsid w:val="7FA15ECB"/>
    <w:rsid w:val="7FD011E7"/>
    <w:rsid w:val="7FE12163"/>
    <w:rsid w:val="7FF66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nhideWhenUsed="0" w:uiPriority="0" w:semiHidden="0" w:name="toc 2"/>
    <w:lsdException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iPriority="0" w:name="Block Text"/>
    <w:lsdException w:qFormat="1" w:unhideWhenUsed="0" w:uiPriority="0" w:semiHidden="0" w:name="Hyperlink"/>
    <w:lsdException w:uiPriority="99" w:name="FollowedHyperlink"/>
    <w:lsdException w:qFormat="1" w:unhideWhenUsed="0" w:uiPriority="0" w:semiHidden="0" w:name="Strong"/>
    <w:lsdException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3">
    <w:name w:val="heading 1"/>
    <w:basedOn w:val="1"/>
    <w:next w:val="1"/>
    <w:link w:val="38"/>
    <w:qFormat/>
    <w:uiPriority w:val="9"/>
    <w:pPr>
      <w:widowControl/>
      <w:numPr>
        <w:ilvl w:val="0"/>
        <w:numId w:val="1"/>
      </w:numPr>
      <w:spacing w:before="100" w:beforeAutospacing="1" w:after="100" w:afterAutospacing="1" w:line="240" w:lineRule="auto"/>
      <w:ind w:firstLineChars="0"/>
      <w:jc w:val="center"/>
      <w:outlineLvl w:val="0"/>
    </w:pPr>
    <w:rPr>
      <w:rFonts w:ascii="黑体" w:hAnsi="黑体" w:eastAsia="黑体" w:cs="Times New Roman"/>
      <w:snapToGrid w:val="0"/>
      <w:kern w:val="0"/>
      <w:sz w:val="30"/>
      <w:szCs w:val="30"/>
    </w:rPr>
  </w:style>
  <w:style w:type="paragraph" w:styleId="4">
    <w:name w:val="heading 2"/>
    <w:basedOn w:val="1"/>
    <w:next w:val="1"/>
    <w:link w:val="39"/>
    <w:unhideWhenUsed/>
    <w:qFormat/>
    <w:uiPriority w:val="9"/>
    <w:pPr>
      <w:spacing w:before="50" w:beforeLines="50"/>
      <w:ind w:firstLine="0" w:firstLineChars="0"/>
      <w:outlineLvl w:val="1"/>
    </w:pPr>
    <w:rPr>
      <w:rFonts w:cs="Times New Roman"/>
      <w:b/>
      <w:szCs w:val="21"/>
    </w:rPr>
  </w:style>
  <w:style w:type="paragraph" w:styleId="5">
    <w:name w:val="heading 3"/>
    <w:basedOn w:val="1"/>
    <w:next w:val="1"/>
    <w:link w:val="40"/>
    <w:semiHidden/>
    <w:unhideWhenUsed/>
    <w:qFormat/>
    <w:uiPriority w:val="9"/>
    <w:pPr>
      <w:keepNext/>
      <w:keepLines/>
      <w:numPr>
        <w:ilvl w:val="2"/>
        <w:numId w:val="1"/>
      </w:numPr>
      <w:spacing w:before="260" w:after="260" w:line="416" w:lineRule="auto"/>
      <w:ind w:firstLineChars="0"/>
      <w:outlineLvl w:val="2"/>
    </w:pPr>
    <w:rPr>
      <w:b/>
      <w:bCs/>
      <w:sz w:val="32"/>
      <w:szCs w:val="32"/>
    </w:rPr>
  </w:style>
  <w:style w:type="paragraph" w:styleId="6">
    <w:name w:val="heading 4"/>
    <w:basedOn w:val="1"/>
    <w:next w:val="1"/>
    <w:link w:val="41"/>
    <w:semiHidden/>
    <w:unhideWhenUsed/>
    <w:qFormat/>
    <w:uiPriority w:val="9"/>
    <w:pPr>
      <w:keepNext/>
      <w:keepLines/>
      <w:numPr>
        <w:ilvl w:val="3"/>
        <w:numId w:val="1"/>
      </w:numPr>
      <w:spacing w:before="280" w:after="290" w:line="376" w:lineRule="auto"/>
      <w:ind w:firstLineChars="0"/>
      <w:outlineLvl w:val="3"/>
    </w:pPr>
    <w:rPr>
      <w:rFonts w:asciiTheme="majorHAnsi" w:hAnsiTheme="majorHAnsi" w:eastAsiaTheme="majorEastAsia" w:cstheme="majorBidi"/>
      <w:b/>
      <w:bCs/>
      <w:sz w:val="28"/>
      <w:szCs w:val="28"/>
    </w:rPr>
  </w:style>
  <w:style w:type="paragraph" w:styleId="7">
    <w:name w:val="heading 5"/>
    <w:basedOn w:val="1"/>
    <w:next w:val="1"/>
    <w:link w:val="42"/>
    <w:semiHidden/>
    <w:unhideWhenUsed/>
    <w:qFormat/>
    <w:uiPriority w:val="9"/>
    <w:pPr>
      <w:keepNext/>
      <w:keepLines/>
      <w:numPr>
        <w:ilvl w:val="4"/>
        <w:numId w:val="1"/>
      </w:numPr>
      <w:spacing w:before="280" w:after="290" w:line="376" w:lineRule="auto"/>
      <w:ind w:firstLineChars="0"/>
      <w:outlineLvl w:val="4"/>
    </w:pPr>
    <w:rPr>
      <w:b/>
      <w:bCs/>
      <w:sz w:val="28"/>
      <w:szCs w:val="28"/>
    </w:rPr>
  </w:style>
  <w:style w:type="paragraph" w:styleId="8">
    <w:name w:val="heading 6"/>
    <w:basedOn w:val="1"/>
    <w:next w:val="1"/>
    <w:link w:val="43"/>
    <w:semiHidden/>
    <w:unhideWhenUsed/>
    <w:qFormat/>
    <w:uiPriority w:val="9"/>
    <w:pPr>
      <w:keepNext/>
      <w:keepLines/>
      <w:numPr>
        <w:ilvl w:val="5"/>
        <w:numId w:val="1"/>
      </w:numPr>
      <w:spacing w:before="240" w:after="64" w:line="320" w:lineRule="auto"/>
      <w:ind w:firstLineChars="0"/>
      <w:outlineLvl w:val="5"/>
    </w:pPr>
    <w:rPr>
      <w:rFonts w:asciiTheme="majorHAnsi" w:hAnsiTheme="majorHAnsi" w:eastAsiaTheme="majorEastAsia" w:cstheme="majorBidi"/>
      <w:b/>
      <w:bCs/>
      <w:szCs w:val="24"/>
    </w:rPr>
  </w:style>
  <w:style w:type="paragraph" w:styleId="9">
    <w:name w:val="heading 7"/>
    <w:basedOn w:val="1"/>
    <w:next w:val="1"/>
    <w:link w:val="44"/>
    <w:semiHidden/>
    <w:unhideWhenUsed/>
    <w:qFormat/>
    <w:uiPriority w:val="9"/>
    <w:pPr>
      <w:keepNext/>
      <w:keepLines/>
      <w:numPr>
        <w:ilvl w:val="6"/>
        <w:numId w:val="1"/>
      </w:numPr>
      <w:spacing w:before="240" w:after="64" w:line="320" w:lineRule="auto"/>
      <w:ind w:firstLineChars="0"/>
      <w:outlineLvl w:val="6"/>
    </w:pPr>
    <w:rPr>
      <w:b/>
      <w:bCs/>
      <w:szCs w:val="24"/>
    </w:rPr>
  </w:style>
  <w:style w:type="paragraph" w:styleId="10">
    <w:name w:val="heading 8"/>
    <w:basedOn w:val="1"/>
    <w:next w:val="1"/>
    <w:link w:val="45"/>
    <w:semiHidden/>
    <w:unhideWhenUsed/>
    <w:qFormat/>
    <w:uiPriority w:val="9"/>
    <w:pPr>
      <w:keepNext/>
      <w:keepLines/>
      <w:numPr>
        <w:ilvl w:val="7"/>
        <w:numId w:val="1"/>
      </w:numPr>
      <w:spacing w:before="240" w:after="64" w:line="320" w:lineRule="auto"/>
      <w:ind w:firstLineChars="0"/>
      <w:outlineLvl w:val="7"/>
    </w:pPr>
    <w:rPr>
      <w:rFonts w:asciiTheme="majorHAnsi" w:hAnsiTheme="majorHAnsi" w:eastAsiaTheme="majorEastAsia" w:cstheme="majorBidi"/>
      <w:szCs w:val="24"/>
    </w:rPr>
  </w:style>
  <w:style w:type="paragraph" w:styleId="11">
    <w:name w:val="heading 9"/>
    <w:basedOn w:val="1"/>
    <w:next w:val="1"/>
    <w:link w:val="46"/>
    <w:semiHidden/>
    <w:unhideWhenUsed/>
    <w:qFormat/>
    <w:uiPriority w:val="9"/>
    <w:pPr>
      <w:keepNext/>
      <w:keepLines/>
      <w:numPr>
        <w:ilvl w:val="8"/>
        <w:numId w:val="1"/>
      </w:numPr>
      <w:spacing w:before="240" w:after="64" w:line="320" w:lineRule="auto"/>
      <w:ind w:firstLineChars="0"/>
      <w:outlineLvl w:val="8"/>
    </w:pPr>
    <w:rPr>
      <w:rFonts w:asciiTheme="majorHAnsi" w:hAnsiTheme="majorHAnsi" w:eastAsiaTheme="majorEastAsia" w:cstheme="majorBidi"/>
      <w:sz w:val="21"/>
      <w:szCs w:val="21"/>
    </w:rPr>
  </w:style>
  <w:style w:type="character" w:default="1" w:styleId="31">
    <w:name w:val="Default Paragraph Font"/>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customStyle="1" w:styleId="2">
    <w:name w:val="报告书正文"/>
    <w:basedOn w:val="1"/>
    <w:qFormat/>
    <w:uiPriority w:val="0"/>
    <w:pPr>
      <w:spacing w:line="300" w:lineRule="auto"/>
      <w:ind w:firstLine="200" w:firstLineChars="200"/>
    </w:pPr>
    <w:rPr>
      <w:szCs w:val="20"/>
    </w:rPr>
  </w:style>
  <w:style w:type="paragraph" w:styleId="12">
    <w:name w:val="caption"/>
    <w:basedOn w:val="13"/>
    <w:next w:val="1"/>
    <w:unhideWhenUsed/>
    <w:qFormat/>
    <w:uiPriority w:val="35"/>
    <w:pPr>
      <w:spacing w:after="156"/>
    </w:pPr>
    <w:rPr>
      <w:b/>
    </w:rPr>
  </w:style>
  <w:style w:type="paragraph" w:customStyle="1" w:styleId="13">
    <w:name w:val="表格内容"/>
    <w:basedOn w:val="14"/>
    <w:link w:val="49"/>
    <w:qFormat/>
    <w:uiPriority w:val="0"/>
    <w:pPr>
      <w:widowControl/>
      <w:spacing w:line="240" w:lineRule="auto"/>
      <w:ind w:firstLine="0" w:firstLineChars="0"/>
      <w:jc w:val="center"/>
    </w:pPr>
    <w:rPr>
      <w:rFonts w:ascii="Times New Roman" w:hAnsi="Times New Roman" w:eastAsia="宋体" w:cs="黑体"/>
      <w:b w:val="0"/>
      <w:szCs w:val="24"/>
    </w:rPr>
  </w:style>
  <w:style w:type="paragraph" w:customStyle="1" w:styleId="14">
    <w:name w:val="表格粗"/>
    <w:basedOn w:val="1"/>
    <w:qFormat/>
    <w:uiPriority w:val="0"/>
    <w:pPr>
      <w:adjustRightInd w:val="0"/>
      <w:snapToGrid w:val="0"/>
      <w:spacing w:line="240" w:lineRule="auto"/>
      <w:ind w:firstLine="0" w:firstLineChars="0"/>
      <w:jc w:val="center"/>
    </w:pPr>
    <w:rPr>
      <w:rFonts w:ascii="Times New Roman" w:hAnsi="Times New Roman" w:eastAsia="宋体"/>
      <w:b/>
      <w:bCs/>
      <w:kern w:val="0"/>
      <w:sz w:val="21"/>
      <w:szCs w:val="28"/>
    </w:rPr>
  </w:style>
  <w:style w:type="paragraph" w:styleId="15">
    <w:name w:val="annotation text"/>
    <w:basedOn w:val="1"/>
    <w:qFormat/>
    <w:uiPriority w:val="0"/>
    <w:pPr>
      <w:jc w:val="left"/>
    </w:pPr>
  </w:style>
  <w:style w:type="paragraph" w:styleId="16">
    <w:name w:val="Body Text"/>
    <w:basedOn w:val="1"/>
    <w:link w:val="50"/>
    <w:semiHidden/>
    <w:unhideWhenUsed/>
    <w:qFormat/>
    <w:uiPriority w:val="99"/>
    <w:pPr>
      <w:spacing w:after="120"/>
    </w:pPr>
  </w:style>
  <w:style w:type="paragraph" w:styleId="17">
    <w:name w:val="Body Text Indent"/>
    <w:basedOn w:val="1"/>
    <w:next w:val="18"/>
    <w:qFormat/>
    <w:uiPriority w:val="99"/>
    <w:pPr>
      <w:spacing w:after="120"/>
      <w:ind w:left="420" w:leftChars="200"/>
    </w:pPr>
    <w:rPr>
      <w:kern w:val="0"/>
      <w:sz w:val="24"/>
      <w:szCs w:val="20"/>
    </w:rPr>
  </w:style>
  <w:style w:type="paragraph" w:customStyle="1" w:styleId="18">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19">
    <w:name w:val="Body Text Indent 2"/>
    <w:basedOn w:val="1"/>
    <w:next w:val="20"/>
    <w:qFormat/>
    <w:uiPriority w:val="0"/>
    <w:pPr>
      <w:spacing w:before="15" w:line="480" w:lineRule="exact"/>
      <w:ind w:firstLine="496" w:firstLineChars="200"/>
    </w:pPr>
    <w:rPr>
      <w:rFonts w:ascii="宋体" w:hAnsi="宋体"/>
      <w:spacing w:val="4"/>
      <w:sz w:val="24"/>
    </w:rPr>
  </w:style>
  <w:style w:type="paragraph" w:styleId="20">
    <w:name w:val="Body Text First Indent 2"/>
    <w:basedOn w:val="17"/>
    <w:next w:val="1"/>
    <w:unhideWhenUsed/>
    <w:qFormat/>
    <w:uiPriority w:val="99"/>
    <w:pPr>
      <w:spacing w:line="360" w:lineRule="auto"/>
      <w:ind w:firstLine="420" w:firstLineChars="200"/>
    </w:pPr>
    <w:rPr>
      <w:kern w:val="2"/>
      <w:szCs w:val="24"/>
    </w:rPr>
  </w:style>
  <w:style w:type="paragraph" w:styleId="21">
    <w:name w:val="footer"/>
    <w:basedOn w:val="1"/>
    <w:qFormat/>
    <w:uiPriority w:val="99"/>
    <w:pPr>
      <w:tabs>
        <w:tab w:val="center" w:pos="4153"/>
        <w:tab w:val="right" w:pos="8306"/>
      </w:tabs>
      <w:snapToGrid w:val="0"/>
      <w:jc w:val="left"/>
    </w:pPr>
    <w:rPr>
      <w:kern w:val="0"/>
      <w:sz w:val="18"/>
      <w:szCs w:val="20"/>
    </w:rPr>
  </w:style>
  <w:style w:type="paragraph" w:styleId="22">
    <w:name w:val="toc 1"/>
    <w:basedOn w:val="1"/>
    <w:next w:val="1"/>
    <w:qFormat/>
    <w:uiPriority w:val="0"/>
  </w:style>
  <w:style w:type="paragraph" w:styleId="23">
    <w:name w:val="Subtitle"/>
    <w:basedOn w:val="1"/>
    <w:next w:val="1"/>
    <w:link w:val="47"/>
    <w:qFormat/>
    <w:uiPriority w:val="11"/>
    <w:pPr>
      <w:ind w:firstLine="0" w:firstLineChars="0"/>
      <w:jc w:val="center"/>
    </w:pPr>
  </w:style>
  <w:style w:type="paragraph" w:styleId="24">
    <w:name w:val="table of figures"/>
    <w:basedOn w:val="1"/>
    <w:next w:val="1"/>
    <w:semiHidden/>
    <w:qFormat/>
    <w:uiPriority w:val="0"/>
    <w:pPr>
      <w:ind w:left="840" w:leftChars="200" w:hanging="420" w:hangingChars="200"/>
    </w:pPr>
  </w:style>
  <w:style w:type="paragraph" w:styleId="25">
    <w:name w:val="Normal (Web)"/>
    <w:basedOn w:val="1"/>
    <w:qFormat/>
    <w:uiPriority w:val="0"/>
    <w:rPr>
      <w:sz w:val="24"/>
    </w:rPr>
  </w:style>
  <w:style w:type="paragraph" w:styleId="26">
    <w:name w:val="Title"/>
    <w:basedOn w:val="27"/>
    <w:next w:val="1"/>
    <w:link w:val="48"/>
    <w:qFormat/>
    <w:uiPriority w:val="10"/>
    <w:pPr>
      <w:jc w:val="left"/>
    </w:pPr>
    <w:rPr>
      <w:sz w:val="24"/>
      <w:szCs w:val="28"/>
    </w:rPr>
  </w:style>
  <w:style w:type="paragraph" w:styleId="27">
    <w:name w:val="No Spacing"/>
    <w:basedOn w:val="1"/>
    <w:qFormat/>
    <w:uiPriority w:val="1"/>
    <w:pPr>
      <w:spacing w:line="240" w:lineRule="auto"/>
      <w:ind w:firstLine="0" w:firstLineChars="0"/>
      <w:jc w:val="center"/>
    </w:pPr>
    <w:rPr>
      <w:sz w:val="21"/>
    </w:rPr>
  </w:style>
  <w:style w:type="paragraph" w:styleId="28">
    <w:name w:val="Body Text First Indent"/>
    <w:basedOn w:val="16"/>
    <w:qFormat/>
    <w:uiPriority w:val="0"/>
    <w:pPr>
      <w:widowControl w:val="0"/>
      <w:snapToGrid/>
      <w:spacing w:before="0" w:after="120" w:line="240" w:lineRule="auto"/>
      <w:ind w:right="0" w:firstLine="420" w:firstLineChars="100"/>
    </w:pPr>
    <w:rPr>
      <w:kern w:val="2"/>
      <w:sz w:val="21"/>
    </w:rPr>
  </w:style>
  <w:style w:type="table" w:styleId="30">
    <w:name w:val="Table Grid"/>
    <w:basedOn w:val="2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0"/>
    <w:rPr>
      <w:b/>
      <w:bCs/>
    </w:rPr>
  </w:style>
  <w:style w:type="character" w:styleId="33">
    <w:name w:val="Hyperlink"/>
    <w:basedOn w:val="31"/>
    <w:qFormat/>
    <w:uiPriority w:val="0"/>
    <w:rPr>
      <w:color w:val="0000FF"/>
      <w:u w:val="single"/>
    </w:rPr>
  </w:style>
  <w:style w:type="character" w:styleId="34">
    <w:name w:val="annotation reference"/>
    <w:basedOn w:val="31"/>
    <w:semiHidden/>
    <w:unhideWhenUsed/>
    <w:qFormat/>
    <w:uiPriority w:val="99"/>
    <w:rPr>
      <w:sz w:val="21"/>
      <w:szCs w:val="21"/>
    </w:rPr>
  </w:style>
  <w:style w:type="paragraph" w:customStyle="1" w:styleId="35">
    <w:name w:val="表格文字"/>
    <w:basedOn w:val="16"/>
    <w:next w:val="1"/>
    <w:qFormat/>
    <w:uiPriority w:val="0"/>
    <w:pPr>
      <w:spacing w:line="280" w:lineRule="exact"/>
      <w:ind w:firstLine="0" w:firstLineChars="0"/>
      <w:jc w:val="left"/>
    </w:pPr>
    <w:rPr>
      <w:sz w:val="18"/>
    </w:rPr>
  </w:style>
  <w:style w:type="paragraph" w:customStyle="1" w:styleId="36">
    <w:name w:val="Default"/>
    <w:basedOn w:val="37"/>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37">
    <w:name w:val="纯文本1"/>
    <w:basedOn w:val="1"/>
    <w:qFormat/>
    <w:uiPriority w:val="0"/>
    <w:rPr>
      <w:rFonts w:hint="eastAsia" w:ascii="宋体" w:hAnsi="Courier New"/>
      <w:szCs w:val="22"/>
    </w:rPr>
  </w:style>
  <w:style w:type="character" w:customStyle="1" w:styleId="38">
    <w:name w:val="标题 1 字符"/>
    <w:basedOn w:val="31"/>
    <w:link w:val="3"/>
    <w:qFormat/>
    <w:uiPriority w:val="9"/>
    <w:rPr>
      <w:rFonts w:ascii="黑体" w:hAnsi="黑体" w:eastAsia="黑体" w:cs="Times New Roman"/>
      <w:snapToGrid w:val="0"/>
      <w:kern w:val="0"/>
      <w:sz w:val="30"/>
      <w:szCs w:val="30"/>
    </w:rPr>
  </w:style>
  <w:style w:type="character" w:customStyle="1" w:styleId="39">
    <w:name w:val="标题 2 字符"/>
    <w:basedOn w:val="31"/>
    <w:link w:val="4"/>
    <w:qFormat/>
    <w:uiPriority w:val="9"/>
    <w:rPr>
      <w:rFonts w:ascii="Times New Roman" w:hAnsi="Times New Roman" w:eastAsia="宋体" w:cs="Times New Roman"/>
      <w:b/>
      <w:sz w:val="24"/>
      <w:szCs w:val="21"/>
    </w:rPr>
  </w:style>
  <w:style w:type="character" w:customStyle="1" w:styleId="40">
    <w:name w:val="标题 3 字符"/>
    <w:basedOn w:val="31"/>
    <w:link w:val="5"/>
    <w:semiHidden/>
    <w:qFormat/>
    <w:uiPriority w:val="9"/>
    <w:rPr>
      <w:rFonts w:ascii="Times New Roman" w:hAnsi="Times New Roman" w:eastAsia="宋体"/>
      <w:b/>
      <w:bCs/>
      <w:sz w:val="32"/>
      <w:szCs w:val="32"/>
    </w:rPr>
  </w:style>
  <w:style w:type="character" w:customStyle="1" w:styleId="41">
    <w:name w:val="标题 4 字符"/>
    <w:basedOn w:val="31"/>
    <w:link w:val="6"/>
    <w:semiHidden/>
    <w:qFormat/>
    <w:uiPriority w:val="9"/>
    <w:rPr>
      <w:rFonts w:asciiTheme="majorHAnsi" w:hAnsiTheme="majorHAnsi" w:eastAsiaTheme="majorEastAsia" w:cstheme="majorBidi"/>
      <w:b/>
      <w:bCs/>
      <w:sz w:val="28"/>
      <w:szCs w:val="28"/>
    </w:rPr>
  </w:style>
  <w:style w:type="character" w:customStyle="1" w:styleId="42">
    <w:name w:val="标题 5 字符"/>
    <w:basedOn w:val="31"/>
    <w:link w:val="7"/>
    <w:semiHidden/>
    <w:qFormat/>
    <w:uiPriority w:val="9"/>
    <w:rPr>
      <w:rFonts w:ascii="Times New Roman" w:hAnsi="Times New Roman" w:eastAsia="宋体"/>
      <w:b/>
      <w:bCs/>
      <w:sz w:val="28"/>
      <w:szCs w:val="28"/>
    </w:rPr>
  </w:style>
  <w:style w:type="character" w:customStyle="1" w:styleId="43">
    <w:name w:val="标题 6 字符"/>
    <w:basedOn w:val="31"/>
    <w:link w:val="8"/>
    <w:semiHidden/>
    <w:qFormat/>
    <w:uiPriority w:val="9"/>
    <w:rPr>
      <w:rFonts w:asciiTheme="majorHAnsi" w:hAnsiTheme="majorHAnsi" w:eastAsiaTheme="majorEastAsia" w:cstheme="majorBidi"/>
      <w:b/>
      <w:bCs/>
      <w:sz w:val="24"/>
      <w:szCs w:val="24"/>
    </w:rPr>
  </w:style>
  <w:style w:type="character" w:customStyle="1" w:styleId="44">
    <w:name w:val="标题 7 字符"/>
    <w:basedOn w:val="31"/>
    <w:link w:val="9"/>
    <w:semiHidden/>
    <w:qFormat/>
    <w:uiPriority w:val="9"/>
    <w:rPr>
      <w:rFonts w:ascii="Times New Roman" w:hAnsi="Times New Roman" w:eastAsia="宋体"/>
      <w:b/>
      <w:bCs/>
      <w:sz w:val="24"/>
      <w:szCs w:val="24"/>
    </w:rPr>
  </w:style>
  <w:style w:type="character" w:customStyle="1" w:styleId="45">
    <w:name w:val="标题 8 字符"/>
    <w:basedOn w:val="31"/>
    <w:link w:val="10"/>
    <w:semiHidden/>
    <w:qFormat/>
    <w:uiPriority w:val="9"/>
    <w:rPr>
      <w:rFonts w:asciiTheme="majorHAnsi" w:hAnsiTheme="majorHAnsi" w:eastAsiaTheme="majorEastAsia" w:cstheme="majorBidi"/>
      <w:sz w:val="24"/>
      <w:szCs w:val="24"/>
    </w:rPr>
  </w:style>
  <w:style w:type="character" w:customStyle="1" w:styleId="46">
    <w:name w:val="标题 9 字符"/>
    <w:basedOn w:val="31"/>
    <w:link w:val="11"/>
    <w:semiHidden/>
    <w:qFormat/>
    <w:uiPriority w:val="9"/>
    <w:rPr>
      <w:rFonts w:asciiTheme="majorHAnsi" w:hAnsiTheme="majorHAnsi" w:eastAsiaTheme="majorEastAsia" w:cstheme="majorBidi"/>
      <w:szCs w:val="21"/>
    </w:rPr>
  </w:style>
  <w:style w:type="character" w:customStyle="1" w:styleId="47">
    <w:name w:val="副标题 字符"/>
    <w:basedOn w:val="31"/>
    <w:link w:val="23"/>
    <w:qFormat/>
    <w:uiPriority w:val="11"/>
    <w:rPr>
      <w:rFonts w:ascii="Times New Roman" w:hAnsi="Times New Roman" w:eastAsia="宋体"/>
      <w:sz w:val="24"/>
    </w:rPr>
  </w:style>
  <w:style w:type="character" w:customStyle="1" w:styleId="48">
    <w:name w:val="标题 字符"/>
    <w:basedOn w:val="31"/>
    <w:link w:val="26"/>
    <w:qFormat/>
    <w:uiPriority w:val="10"/>
    <w:rPr>
      <w:rFonts w:ascii="Times New Roman" w:hAnsi="Times New Roman" w:eastAsia="宋体"/>
      <w:sz w:val="24"/>
      <w:szCs w:val="28"/>
    </w:rPr>
  </w:style>
  <w:style w:type="character" w:customStyle="1" w:styleId="49">
    <w:name w:val="表格内容 字符"/>
    <w:basedOn w:val="31"/>
    <w:link w:val="13"/>
    <w:qFormat/>
    <w:uiPriority w:val="0"/>
    <w:rPr>
      <w:rFonts w:ascii="Times New Roman" w:hAnsi="Times New Roman" w:eastAsia="宋体" w:cs="黑体"/>
      <w:kern w:val="0"/>
      <w:szCs w:val="24"/>
    </w:rPr>
  </w:style>
  <w:style w:type="character" w:customStyle="1" w:styleId="50">
    <w:name w:val="正文文本 字符"/>
    <w:basedOn w:val="31"/>
    <w:link w:val="16"/>
    <w:semiHidden/>
    <w:qFormat/>
    <w:uiPriority w:val="99"/>
    <w:rPr>
      <w:rFonts w:ascii="Times New Roman" w:hAnsi="Times New Roman" w:eastAsia="宋体"/>
      <w:sz w:val="24"/>
    </w:rPr>
  </w:style>
  <w:style w:type="paragraph" w:customStyle="1" w:styleId="51">
    <w:name w:val="表格内加粗"/>
    <w:basedOn w:val="13"/>
    <w:next w:val="13"/>
    <w:qFormat/>
    <w:uiPriority w:val="0"/>
    <w:rPr>
      <w:b/>
    </w:rPr>
  </w:style>
  <w:style w:type="table" w:customStyle="1" w:styleId="52">
    <w:name w:val="默认表格"/>
    <w:basedOn w:val="29"/>
    <w:qFormat/>
    <w:uiPriority w:val="99"/>
    <w:pPr>
      <w:jc w:val="center"/>
    </w:pPr>
    <w:rPr>
      <w:rFonts w:ascii="Times New Roman" w:hAnsi="Times New Roman" w:eastAsia="宋体" w:cs="Times New Roman"/>
      <w:kern w:val="21"/>
      <w:sz w:val="20"/>
      <w:szCs w:val="20"/>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cantSplit/>
      <w:jc w:val="center"/>
    </w:trPr>
    <w:tcPr>
      <w:vAlign w:val="center"/>
    </w:tcPr>
  </w:style>
  <w:style w:type="paragraph" w:customStyle="1" w:styleId="53">
    <w:name w:val="Revision"/>
    <w:hidden/>
    <w:semiHidden/>
    <w:qFormat/>
    <w:uiPriority w:val="99"/>
    <w:rPr>
      <w:rFonts w:ascii="Times New Roman" w:hAnsi="Times New Roman" w:eastAsia="宋体" w:cstheme="minorBidi"/>
      <w:kern w:val="2"/>
      <w:sz w:val="24"/>
      <w:szCs w:val="22"/>
      <w:lang w:val="en-US" w:eastAsia="zh-CN" w:bidi="ar-SA"/>
    </w:rPr>
  </w:style>
  <w:style w:type="table" w:customStyle="1" w:styleId="54">
    <w:name w:val="Table Normal"/>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55">
    <w:name w:val="Table Text"/>
    <w:basedOn w:val="1"/>
    <w:semiHidden/>
    <w:qFormat/>
    <w:uiPriority w:val="0"/>
    <w:rPr>
      <w:rFonts w:ascii="Constantia" w:hAnsi="Constantia" w:eastAsia="Constantia" w:cs="Constantia"/>
      <w:sz w:val="21"/>
      <w:szCs w:val="21"/>
      <w:lang w:val="en-US" w:eastAsia="en-US" w:bidi="ar-SA"/>
    </w:rPr>
  </w:style>
  <w:style w:type="character" w:customStyle="1" w:styleId="56">
    <w:name w:val="font01"/>
    <w:basedOn w:val="31"/>
    <w:qFormat/>
    <w:uiPriority w:val="0"/>
    <w:rPr>
      <w:rFonts w:hint="eastAsia" w:ascii="宋体" w:hAnsi="宋体" w:eastAsia="宋体" w:cs="宋体"/>
      <w:color w:val="000000"/>
      <w:sz w:val="24"/>
      <w:szCs w:val="24"/>
      <w:u w:val="none"/>
    </w:rPr>
  </w:style>
  <w:style w:type="paragraph" w:customStyle="1" w:styleId="57">
    <w:name w:val="宋-正文"/>
    <w:basedOn w:val="1"/>
    <w:qFormat/>
    <w:uiPriority w:val="0"/>
    <w:pPr>
      <w:topLinePunct/>
      <w:autoSpaceDE w:val="0"/>
      <w:autoSpaceDN w:val="0"/>
      <w:adjustRightInd w:val="0"/>
    </w:pPr>
    <w:rPr>
      <w:color w:val="000000"/>
      <w:kern w:val="0"/>
      <w:szCs w:val="24"/>
      <w:lang w:val="zh-CN"/>
    </w:rPr>
  </w:style>
  <w:style w:type="paragraph" w:customStyle="1" w:styleId="58">
    <w:name w:val="表文字"/>
    <w:basedOn w:val="1"/>
    <w:qFormat/>
    <w:uiPriority w:val="0"/>
    <w:pPr>
      <w:spacing w:line="240" w:lineRule="auto"/>
      <w:ind w:firstLine="0" w:firstLineChars="0"/>
      <w:jc w:val="center"/>
    </w:pPr>
    <w:rPr>
      <w:sz w:val="21"/>
      <w:szCs w:val="24"/>
    </w:rPr>
  </w:style>
  <w:style w:type="paragraph" w:customStyle="1" w:styleId="59">
    <w:name w:val="图4-X"/>
    <w:basedOn w:val="60"/>
    <w:next w:val="1"/>
    <w:qFormat/>
    <w:uiPriority w:val="0"/>
    <w:pPr>
      <w:numPr>
        <w:numId w:val="2"/>
      </w:numPr>
    </w:pPr>
    <w:rPr>
      <w:color w:val="000000"/>
      <w:szCs w:val="22"/>
    </w:rPr>
  </w:style>
  <w:style w:type="paragraph" w:customStyle="1" w:styleId="60">
    <w:name w:val="图3-X"/>
    <w:basedOn w:val="61"/>
    <w:qFormat/>
    <w:uiPriority w:val="0"/>
    <w:pPr>
      <w:numPr>
        <w:numId w:val="3"/>
      </w:numPr>
    </w:pPr>
  </w:style>
  <w:style w:type="paragraph" w:customStyle="1" w:styleId="61">
    <w:name w:val="图1-X"/>
    <w:basedOn w:val="1"/>
    <w:next w:val="1"/>
    <w:qFormat/>
    <w:uiPriority w:val="0"/>
    <w:pPr>
      <w:numPr>
        <w:ilvl w:val="0"/>
        <w:numId w:val="4"/>
      </w:numPr>
      <w:ind w:firstLineChars="0"/>
      <w:jc w:val="center"/>
    </w:pPr>
    <w:rPr>
      <w:b/>
      <w:kern w:val="0"/>
      <w:sz w:val="21"/>
      <w:szCs w:val="24"/>
      <w:lang w:val="zh-CN"/>
    </w:rPr>
  </w:style>
  <w:style w:type="paragraph" w:customStyle="1" w:styleId="62">
    <w:name w:val="表4-X"/>
    <w:basedOn w:val="63"/>
    <w:qFormat/>
    <w:uiPriority w:val="0"/>
    <w:pPr>
      <w:numPr>
        <w:numId w:val="5"/>
      </w:numPr>
    </w:pPr>
    <w:rPr>
      <w:color w:val="000000"/>
    </w:rPr>
  </w:style>
  <w:style w:type="paragraph" w:customStyle="1" w:styleId="63">
    <w:name w:val="表3-X"/>
    <w:basedOn w:val="64"/>
    <w:next w:val="1"/>
    <w:qFormat/>
    <w:uiPriority w:val="0"/>
    <w:pPr>
      <w:numPr>
        <w:numId w:val="6"/>
      </w:numPr>
    </w:pPr>
  </w:style>
  <w:style w:type="paragraph" w:customStyle="1" w:styleId="64">
    <w:name w:val="表1-x"/>
    <w:basedOn w:val="1"/>
    <w:next w:val="1"/>
    <w:qFormat/>
    <w:uiPriority w:val="0"/>
    <w:pPr>
      <w:numPr>
        <w:ilvl w:val="0"/>
        <w:numId w:val="7"/>
      </w:numPr>
      <w:spacing w:line="240" w:lineRule="auto"/>
      <w:ind w:left="0" w:firstLineChars="0"/>
      <w:jc w:val="center"/>
    </w:pPr>
    <w:rPr>
      <w:b/>
      <w:kern w:val="0"/>
      <w:sz w:val="21"/>
      <w:szCs w:val="20"/>
      <w:lang w:val="zh-CN"/>
    </w:rPr>
  </w:style>
  <w:style w:type="paragraph" w:customStyle="1" w:styleId="65">
    <w:name w:val="报告表格"/>
    <w:basedOn w:val="1"/>
    <w:qFormat/>
    <w:uiPriority w:val="0"/>
    <w:pPr>
      <w:autoSpaceDE w:val="0"/>
      <w:autoSpaceDN w:val="0"/>
      <w:adjustRightInd w:val="0"/>
      <w:spacing w:before="40" w:after="40" w:line="240" w:lineRule="auto"/>
      <w:jc w:val="center"/>
      <w:textAlignment w:val="bottom"/>
    </w:pPr>
    <w:rPr>
      <w:kern w:val="0"/>
      <w:sz w:val="21"/>
      <w:szCs w:val="20"/>
    </w:rPr>
  </w:style>
  <w:style w:type="paragraph" w:customStyle="1" w:styleId="66">
    <w:name w:val="报告书"/>
    <w:basedOn w:val="1"/>
    <w:qFormat/>
    <w:uiPriority w:val="0"/>
    <w:pPr>
      <w:autoSpaceDE w:val="0"/>
      <w:autoSpaceDN w:val="0"/>
      <w:adjustRightInd w:val="0"/>
      <w:spacing w:line="360" w:lineRule="auto"/>
      <w:ind w:firstLine="505"/>
      <w:jc w:val="left"/>
      <w:textAlignment w:val="bottom"/>
    </w:pPr>
    <w:rPr>
      <w:kern w:val="0"/>
      <w:szCs w:val="20"/>
    </w:rPr>
  </w:style>
  <w:style w:type="paragraph" w:customStyle="1" w:styleId="67">
    <w:name w:val="表格"/>
    <w:basedOn w:val="68"/>
    <w:next w:val="1"/>
    <w:qFormat/>
    <w:uiPriority w:val="0"/>
    <w:pPr>
      <w:adjustRightInd w:val="0"/>
      <w:snapToGrid w:val="0"/>
      <w:spacing w:beforeLines="10" w:afterLines="10" w:line="259" w:lineRule="auto"/>
      <w:jc w:val="center"/>
    </w:pPr>
    <w:rPr>
      <w:rFonts w:ascii="宋体"/>
      <w:kern w:val="0"/>
      <w:szCs w:val="20"/>
    </w:rPr>
  </w:style>
  <w:style w:type="paragraph" w:customStyle="1" w:styleId="68">
    <w:name w:val="表格内容数据报告"/>
    <w:basedOn w:val="1"/>
    <w:qFormat/>
    <w:uiPriority w:val="0"/>
    <w:pPr>
      <w:jc w:val="center"/>
      <w:textAlignment w:val="baseline"/>
    </w:pPr>
    <w:rPr>
      <w:rFonts w:ascii="Calibri" w:hAnsi="Calibri" w:cs="黑体"/>
      <w:kern w:val="0"/>
      <w:sz w:val="18"/>
      <w:szCs w:val="20"/>
    </w:rPr>
  </w:style>
  <w:style w:type="paragraph" w:customStyle="1" w:styleId="69">
    <w:name w:val="新表头"/>
    <w:basedOn w:val="1"/>
    <w:qFormat/>
    <w:uiPriority w:val="0"/>
    <w:pPr>
      <w:jc w:val="center"/>
    </w:pPr>
    <w:rPr>
      <w:rFonts w:ascii="Times New Roman" w:hAnsi="Times New Roman" w:eastAsia="黑体"/>
      <w:sz w:val="24"/>
      <w:szCs w:val="24"/>
    </w:rPr>
  </w:style>
  <w:style w:type="paragraph" w:customStyle="1" w:styleId="70">
    <w:name w:val="我的正文"/>
    <w:basedOn w:val="1"/>
    <w:qFormat/>
    <w:uiPriority w:val="0"/>
    <w:pPr>
      <w:overflowPunct w:val="0"/>
      <w:autoSpaceDE w:val="0"/>
      <w:autoSpaceDN w:val="0"/>
      <w:ind w:firstLine="200" w:firstLineChars="200"/>
      <w:jc w:val="both"/>
    </w:pPr>
    <w:rPr>
      <w:rFonts w:ascii="Times New Roman" w:hAnsi="Times New Roman"/>
    </w:rPr>
  </w:style>
  <w:style w:type="paragraph" w:customStyle="1" w:styleId="71">
    <w:name w:val="【表中文字】"/>
    <w:basedOn w:val="1"/>
    <w:qFormat/>
    <w:uiPriority w:val="0"/>
    <w:pPr>
      <w:adjustRightInd w:val="0"/>
      <w:snapToGrid w:val="0"/>
      <w:jc w:val="center"/>
    </w:pPr>
    <w:rPr>
      <w:rFonts w:hAnsi="宋体"/>
      <w:spacing w:val="4"/>
      <w:kern w:val="2"/>
    </w:rPr>
  </w:style>
  <w:style w:type="paragraph" w:customStyle="1" w:styleId="72">
    <w:name w:val="Table Paragraph"/>
    <w:basedOn w:val="1"/>
    <w:qFormat/>
    <w:uiPriority w:val="1"/>
    <w:pPr>
      <w:widowControl/>
      <w:autoSpaceDE w:val="0"/>
      <w:autoSpaceDN w:val="0"/>
      <w:adjustRightInd w:val="0"/>
      <w:jc w:val="left"/>
    </w:pPr>
    <w:rPr>
      <w:kern w:val="0"/>
      <w:sz w:val="24"/>
    </w:rPr>
  </w:style>
  <w:style w:type="paragraph" w:customStyle="1" w:styleId="73">
    <w:name w:val="表头"/>
    <w:basedOn w:val="16"/>
    <w:qFormat/>
    <w:uiPriority w:val="0"/>
    <w:pPr>
      <w:widowControl w:val="0"/>
      <w:adjustRightInd w:val="0"/>
      <w:spacing w:before="0" w:after="0" w:line="400" w:lineRule="exact"/>
      <w:ind w:right="0"/>
      <w:jc w:val="center"/>
    </w:pPr>
    <w:rPr>
      <w:b/>
      <w:kern w:val="2"/>
      <w:sz w:val="24"/>
      <w:szCs w:val="24"/>
    </w:rPr>
  </w:style>
  <w:style w:type="paragraph" w:customStyle="1" w:styleId="74">
    <w:name w:val="表内文字"/>
    <w:basedOn w:val="1"/>
    <w:qFormat/>
    <w:uiPriority w:val="0"/>
    <w:pPr>
      <w:jc w:val="center"/>
    </w:pPr>
    <w:rPr>
      <w:color w:val="000000"/>
    </w:rPr>
  </w:style>
  <w:style w:type="paragraph" w:customStyle="1" w:styleId="75">
    <w:name w:val="S-正文"/>
    <w:basedOn w:val="1"/>
    <w:qFormat/>
    <w:uiPriority w:val="0"/>
    <w:pPr>
      <w:wordWrap w:val="0"/>
      <w:adjustRightInd w:val="0"/>
      <w:snapToGrid w:val="0"/>
      <w:spacing w:line="360" w:lineRule="auto"/>
      <w:ind w:firstLine="200" w:firstLineChars="200"/>
      <w:jc w:val="left"/>
      <w:textAlignment w:val="baseline"/>
    </w:pPr>
    <w:rPr>
      <w:rFonts w:ascii="Times" w:hAnsi="Times"/>
      <w:color w:val="000000"/>
      <w:kern w:val="16"/>
      <w:szCs w:val="21"/>
      <w:lang w:val="zh-CN"/>
    </w:rPr>
  </w:style>
  <w:style w:type="paragraph" w:customStyle="1" w:styleId="76">
    <w:name w:val="S-表名 图名"/>
    <w:basedOn w:val="1"/>
    <w:next w:val="77"/>
    <w:qFormat/>
    <w:uiPriority w:val="0"/>
    <w:pPr>
      <w:keepNext/>
      <w:adjustRightInd w:val="0"/>
      <w:snapToGrid w:val="0"/>
      <w:spacing w:line="360" w:lineRule="exact"/>
      <w:jc w:val="center"/>
    </w:pPr>
    <w:rPr>
      <w:rFonts w:eastAsia="黑体"/>
      <w:kern w:val="21"/>
      <w:sz w:val="21"/>
      <w:szCs w:val="20"/>
    </w:rPr>
  </w:style>
  <w:style w:type="paragraph" w:customStyle="1" w:styleId="77">
    <w:name w:val="S-表内文字"/>
    <w:basedOn w:val="1"/>
    <w:qFormat/>
    <w:uiPriority w:val="0"/>
    <w:pPr>
      <w:widowControl/>
      <w:adjustRightInd w:val="0"/>
      <w:snapToGrid w:val="0"/>
      <w:jc w:val="center"/>
    </w:pPr>
    <w:rPr>
      <w:rFonts w:eastAsia="仿宋"/>
      <w:color w:val="000000"/>
      <w:kern w:val="0"/>
      <w:sz w:val="21"/>
      <w:szCs w:val="20"/>
    </w:rPr>
  </w:style>
  <w:style w:type="paragraph" w:customStyle="1" w:styleId="78">
    <w:name w:val="图名（众诚）"/>
    <w:basedOn w:val="27"/>
    <w:next w:val="1"/>
    <w:qFormat/>
    <w:uiPriority w:val="0"/>
    <w:rPr>
      <w:rFonts w:eastAsia="黑体"/>
      <w:kern w:val="24"/>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7" Type="http://schemas.openxmlformats.org/officeDocument/2006/relationships/fontTable" Target="fontTable.xml"/><Relationship Id="rId56" Type="http://schemas.openxmlformats.org/officeDocument/2006/relationships/customXml" Target="../customXml/item3.xml"/><Relationship Id="rId55" Type="http://schemas.openxmlformats.org/officeDocument/2006/relationships/customXml" Target="../customXml/item2.xml"/><Relationship Id="rId54" Type="http://schemas.openxmlformats.org/officeDocument/2006/relationships/numbering" Target="numbering.xml"/><Relationship Id="rId53" Type="http://schemas.openxmlformats.org/officeDocument/2006/relationships/customXml" Target="../customXml/item1.xml"/><Relationship Id="rId52" Type="http://schemas.openxmlformats.org/officeDocument/2006/relationships/image" Target="media/image36.png"/><Relationship Id="rId51" Type="http://schemas.openxmlformats.org/officeDocument/2006/relationships/image" Target="media/image35.png"/><Relationship Id="rId50" Type="http://schemas.openxmlformats.org/officeDocument/2006/relationships/image" Target="media/image34.png"/><Relationship Id="rId5" Type="http://schemas.openxmlformats.org/officeDocument/2006/relationships/header" Target="header1.xml"/><Relationship Id="rId49" Type="http://schemas.openxmlformats.org/officeDocument/2006/relationships/image" Target="media/image33.png"/><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png"/><Relationship Id="rId4" Type="http://schemas.openxmlformats.org/officeDocument/2006/relationships/endnotes" Target="endnotes.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footnotes" Target="footnotes.xml"/><Relationship Id="rId29" Type="http://schemas.openxmlformats.org/officeDocument/2006/relationships/image" Target="media/image13.emf"/><Relationship Id="rId28" Type="http://schemas.openxmlformats.org/officeDocument/2006/relationships/oleObject" Target="embeddings/oleObject3.bin"/><Relationship Id="rId27" Type="http://schemas.openxmlformats.org/officeDocument/2006/relationships/image" Target="media/image12.emf"/><Relationship Id="rId26" Type="http://schemas.openxmlformats.org/officeDocument/2006/relationships/oleObject" Target="embeddings/oleObject2.bin"/><Relationship Id="rId25" Type="http://schemas.openxmlformats.org/officeDocument/2006/relationships/image" Target="media/image11.emf"/><Relationship Id="rId24" Type="http://schemas.openxmlformats.org/officeDocument/2006/relationships/oleObject" Target="embeddings/oleObject1.bin"/><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fb1a0d95-c373-434a-957b-7abacb4d8412</errorID>
      <errorWord>-</errorWord>
      <group>L1_Format</group>
      <groupName>格式问题</groupName>
      <ability>L2_HalfPunc_CN</ability>
      <abilityName>全半角问题</abilityName>
      <candidateList>
        <item>－</item>
      </candidateList>
      <explain>文本全半角错误。</explain>
      <paraID>2E8203FF</paraID>
      <start>15</start>
      <end>16</end>
      <status>unmodified</status>
      <modifiedWord/>
      <trackRevisions>false</trackRevisions>
    </reviewItem>
    <reviewItem>
      <errorID>3cecf400-092d-4ff5-a72c-6a8ed9f58d65</errorID>
      <errorWord>的</errorWord>
      <group>L1_Word</group>
      <groupName>字词问题</groupName>
      <ability>L2_DDD</ability>
      <abilityName>的地得用法</abilityName>
      <candidateList>
        <item>地</item>
      </candidateList>
      <explain/>
      <paraID>7C672518</paraID>
      <start>66</start>
      <end>67</end>
      <status>unmodified</status>
      <modifiedWord/>
      <trackRevisions>false</trackRevisions>
    </reviewItem>
    <reviewItem>
      <errorID>4f794529-1da5-45b4-91be-068cdbe89fb2</errorID>
      <errorWord>的</errorWord>
      <group>L1_Word</group>
      <groupName>字词问题</groupName>
      <ability>L2_DDD</ability>
      <abilityName>的地得用法</abilityName>
      <candidateList>
        <item>地</item>
      </candidateList>
      <explain/>
      <paraID>7C672518</paraID>
      <start>144</start>
      <end>145</end>
      <status>unmodified</status>
      <modifiedWord/>
      <trackRevisions>false</trackRevisions>
    </reviewItem>
    <reviewItem>
      <errorID>4c5d5cca-21e0-4c1a-b7d1-082df2ec6dd5</errorID>
      <errorWord>的</errorWord>
      <group>L1_Word</group>
      <groupName>字词问题</groupName>
      <ability>L2_DDD</ability>
      <abilityName>的地得用法</abilityName>
      <candidateList>
        <item>地</item>
      </candidateList>
      <explain/>
      <paraID>756EB283</paraID>
      <start>4</start>
      <end>5</end>
      <status>unmodified</status>
      <modifiedWord/>
      <trackRevisions>false</trackRevisions>
    </reviewItem>
    <reviewItem>
      <errorID>4ddee1c3-f9f3-4457-900a-1f11e0383685</errorID>
      <errorWord>的</errorWord>
      <group>L1_Word</group>
      <groupName>字词问题</groupName>
      <ability>L2_DDD</ability>
      <abilityName>的地得用法</abilityName>
      <candidateList>
        <item>地</item>
      </candidateList>
      <explain/>
      <paraID> 7FEB481</paraID>
      <start>4</start>
      <end>5</end>
      <status>unmodified</status>
      <modifiedWord/>
      <trackRevisions>false</trackRevisions>
    </reviewItem>
    <reviewItem>
      <errorID>bb28bbe0-49d9-4462-a76b-2574b6d27198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533673F5</paraID>
      <start>21</start>
      <end>22</end>
      <status>unmodified</status>
      <modifiedWord/>
      <trackRevisions>false</trackRevisions>
    </reviewItem>
    <reviewItem>
      <errorID>55179e41-6141-436a-96a5-c5d22be6f6fc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5135E16C</paraID>
      <start>0</start>
      <end>2</end>
      <status>unmodified</status>
      <modifiedWord/>
      <trackRevisions>false</trackRevisions>
    </reviewItem>
    <reviewItem>
      <errorID>b27088a0-5dff-4830-a67b-6467d8c94c0e</errorID>
      <errorWord>开发区中</errorWord>
      <group>L1_Word</group>
      <groupName>字词问题</groupName>
      <ability>L2_Typo</ability>
      <abilityName>字词错误</abilityName>
      <candidateList>
        <item>开发区</item>
      </candidateList>
      <explain/>
      <paraID>15DA10EA</paraID>
      <start>9</start>
      <end>13</end>
      <status>unmodified</status>
      <modifiedWord/>
      <trackRevisions>false</trackRevisions>
    </reviewItem>
    <reviewItem>
      <errorID>b2e75175-29ba-45e3-b3b9-dea7fed0d38c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5ED69DF2</paraID>
      <start>0</start>
      <end>2</end>
      <status>unmodified</status>
      <modifiedWord/>
      <trackRevisions>false</trackRevisions>
    </reviewItem>
    <reviewItem>
      <errorID>360afab3-58ea-4e41-a15d-1b395b30a5ea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6C3F2F2C</paraID>
      <start>0</start>
      <end>2</end>
      <status>unmodified</status>
      <modifiedWord/>
      <trackRevisions>false</trackRevisions>
    </reviewItem>
    <reviewItem>
      <errorID>ac273c81-b131-4d67-a9e6-6f44cf9d60bf</errorID>
      <errorWord>（</errorWord>
      <group>L1_Punc</group>
      <groupName>标点问题</groupName>
      <ability>L2_Punc_CN</ability>
      <abilityName>标点符号问题</abilityName>
      <candidateList/>
      <explain>同一形式括号套用。</explain>
      <paraID>6C3F2F2C</paraID>
      <start>279</start>
      <end>280</end>
      <status>unmodified</status>
      <modifiedWord/>
      <trackRevisions>false</trackRevisions>
    </reviewItem>
    <reviewItem>
      <errorID>d7b751da-7102-4428-98e9-415a18178f69</errorID>
      <errorWord>）</errorWord>
      <group>L1_Punc</group>
      <groupName>标点问题</groupName>
      <ability>L2_Punc_CN</ability>
      <abilityName>标点符号问题</abilityName>
      <candidateList/>
      <explain>同一形式括号套用。</explain>
      <paraID>6C3F2F2C</paraID>
      <start>281</start>
      <end>282</end>
      <status>unmodified</status>
      <modifiedWord/>
      <trackRevisions>false</trackRevisions>
    </reviewItem>
    <reviewItem>
      <errorID>ed95a526-539a-4faa-92e2-2fb13cae74b3</errorID>
      <errorWord>（2026）第0521号</errorWord>
      <group>L1_Knowledge</group>
      <groupName>知识性问题</groupName>
      <ability>L2_Knowledge</ability>
      <abilityName>其他知识</abilityName>
      <candidateList>
        <item>〔2026〕521号</item>
      </candidateList>
      <explain>发文字号格式错误。</explain>
      <paraID>6C3F2F2C</paraID>
      <start>284</start>
      <end>296</end>
      <status>unmodified</status>
      <modifiedWord/>
      <trackRevisions>false</trackRevisions>
    </reviewItem>
    <reviewItem>
      <errorID>cb927401-23e0-48d8-8c3b-464b91ec0bd3</errorID>
      <errorWord>[2018]117号</errorWord>
      <group>L1_Knowledge</group>
      <groupName>知识性问题</groupName>
      <ability>L2_Knowledge</ability>
      <abilityName>其他知识</abilityName>
      <candidateList>
        <item>〔2018〕117号</item>
      </candidateList>
      <explain>发文字号格式错误。</explain>
      <paraID>6C3F2F2C</paraID>
      <start>328</start>
      <end>338</end>
      <status>unmodified</status>
      <modifiedWord/>
      <trackRevisions>false</trackRevisions>
    </reviewItem>
    <reviewItem>
      <errorID>5b8f85fd-27dd-46bf-a4e8-7c9782655b2a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DF7E4DB</paraID>
      <start>0</start>
      <end>2</end>
      <status>unmodified</status>
      <modifiedWord/>
      <trackRevisions>false</trackRevisions>
    </reviewItem>
    <reviewItem>
      <errorID>bd713688-2716-4c70-8029-e065eda6482b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606DAED7</paraID>
      <start>0</start>
      <end>2</end>
      <status>unmodified</status>
      <modifiedWord/>
      <trackRevisions>false</trackRevisions>
    </reviewItem>
    <reviewItem>
      <errorID>fc59d3d6-c8c2-441f-814e-5bc48abcf007</errorID>
      <errorWord>......</errorWord>
      <group>L1_Punc</group>
      <groupName>标点问题</groupName>
      <ability>L2_Punc_CN</ability>
      <abilityName>标点符号问题</abilityName>
      <candidateList>
        <item>……</item>
      </candidateList>
      <explain>省略号错误。</explain>
      <paraID>2B989DC9</paraID>
      <start>258</start>
      <end>264</end>
      <status>unmodified</status>
      <modifiedWord/>
      <trackRevisions>false</trackRevisions>
    </reviewItem>
    <reviewItem>
      <errorID>521e637f-aef6-4178-8e5d-7f2eae8b4bb4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53734844</paraID>
      <start>37</start>
      <end>40</end>
      <status>unmodified</status>
      <modifiedWord/>
      <trackRevisions>false</trackRevisions>
    </reviewItem>
    <reviewItem>
      <errorID>43c2ecbc-973d-4b3f-aab4-8f9cf54a331c</errorID>
      <errorWord>&lt;</errorWord>
      <group>L1_Format</group>
      <groupName>格式问题</groupName>
      <ability>L2_HalfPunc_CN</ability>
      <abilityName>全半角问题</abilityName>
      <candidateList>
        <item>〈</item>
      </candidateList>
      <explain>文本全半角错误。</explain>
      <paraID>65DA33EE</paraID>
      <start>7</start>
      <end>8</end>
      <status>unmodified</status>
      <modifiedWord/>
      <trackRevisions>false</trackRevisions>
    </reviewItem>
    <reviewItem>
      <errorID>20b2c6ce-9a94-42d0-9c8f-437bc25e324a</errorID>
      <errorWord>&gt;》</errorWord>
      <group>L1_Punc</group>
      <groupName>标点问题</groupName>
      <ability>L2_Punc_CN</ability>
      <abilityName>标点符号问题</abilityName>
      <candidateList>
        <item>》</item>
      </candidateList>
      <explain/>
      <paraID>65DA33EE</paraID>
      <start>35</start>
      <end>37</end>
      <status>unmodified</status>
      <modifiedWord/>
      <trackRevisions>false</trackRevisions>
    </reviewItem>
    <reviewItem>
      <errorID>85b7f8f0-e9d8-4baf-ba01-c59a93bb3978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19B7DDFA</paraID>
      <start>0</start>
      <end>2</end>
      <status>unmodified</status>
      <modifiedWord/>
      <trackRevisions>false</trackRevisions>
    </reviewItem>
    <reviewItem>
      <errorID>5cc6baaa-c30e-4aa5-a542-3e1f8951f59e</errorID>
      <errorWord>-</errorWord>
      <group>L1_Format</group>
      <groupName>格式问题</groupName>
      <ability>L2_HalfPunc_CN</ability>
      <abilityName>全半角问题</abilityName>
      <candidateList>
        <item>－</item>
      </candidateList>
      <explain>文本全半角错误。</explain>
      <paraID>33C9C105</paraID>
      <start>108</start>
      <end>109</end>
      <status>unmodified</status>
      <modifiedWord/>
      <trackRevisions>false</trackRevisions>
    </reviewItem>
    <reviewItem>
      <errorID>293b5ce3-b88d-4c71-87b6-8262294d7d8a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1F9E65AD</paraID>
      <start>0</start>
      <end>2</end>
      <status>unmodified</status>
      <modifiedWord/>
      <trackRevisions>false</trackRevisions>
    </reviewItem>
    <reviewItem>
      <errorID>9b817967-a6b6-4609-8a8d-ce0a842aea0f</errorID>
      <errorWord>法律、法规</errorWord>
      <group>L1_Word</group>
      <groupName>字词问题</groupName>
      <ability>L2_Typo</ability>
      <abilityName>字词错误</abilityName>
      <candidateList>
        <item>法律法规</item>
      </candidateList>
      <explain/>
      <paraID>45C05CEE</paraID>
      <start>97</start>
      <end>102</end>
      <status>unmodified</status>
      <modifiedWord/>
      <trackRevisions>false</trackRevisions>
    </reviewItem>
    <reviewItem>
      <errorID>e84f08f6-ac82-4e9e-9e6e-c1ac795350e6</errorID>
      <errorWord>)</errorWord>
      <group>L1_Format</group>
      <groupName>格式问题</groupName>
      <ability>L2_HalfPunc_CN</ability>
      <abilityName>全半角问题</abilityName>
      <candidateList>
        <item>）</item>
      </candidateList>
      <explain>文本全半角错误。</explain>
      <paraID>641D8318</paraID>
      <start>49</start>
      <end>50</end>
      <status>unmodified</status>
      <modifiedWord/>
      <trackRevisions>false</trackRevisions>
    </reviewItem>
    <reviewItem>
      <errorID>98617906-cb4b-4aa4-8c30-4a3f229a73da</errorID>
      <errorWord>-</errorWord>
      <group>L1_Format</group>
      <groupName>格式问题</groupName>
      <ability>L2_HalfPunc_CN</ability>
      <abilityName>全半角问题</abilityName>
      <candidateList>
        <item>－</item>
      </candidateList>
      <explain>文本全半角错误。</explain>
      <paraID>65169ED4</paraID>
      <start>2</start>
      <end>3</end>
      <status>unmodified</status>
      <modifiedWord/>
      <trackRevisions>false</trackRevisions>
    </reviewItem>
    <reviewItem>
      <errorID>13294bdb-d01c-4841-92ce-81080065954c</errorID>
      <errorWord>-</errorWord>
      <group>L1_Format</group>
      <groupName>格式问题</groupName>
      <ability>L2_HalfPunc_CN</ability>
      <abilityName>全半角问题</abilityName>
      <candidateList>
        <item>－</item>
      </candidateList>
      <explain>文本全半角错误。</explain>
      <paraID>65169ED4</paraID>
      <start>6</start>
      <end>7</end>
      <status>unmodified</status>
      <modifiedWord/>
      <trackRevisions>false</trackRevisions>
    </reviewItem>
    <reviewItem>
      <errorID>0f5ffc3a-c8c3-4d14-a487-4d4d0a2e9c0b</errorID>
      <errorWord>-</errorWord>
      <group>L1_Format</group>
      <groupName>格式问题</groupName>
      <ability>L2_HalfPunc_CN</ability>
      <abilityName>全半角问题</abilityName>
      <candidateList>
        <item>－</item>
      </candidateList>
      <explain>文本全半角错误。</explain>
      <paraID>65169ED4</paraID>
      <start>9</start>
      <end>10</end>
      <status>unmodified</status>
      <modifiedWord/>
      <trackRevisions>false</trackRevisions>
    </reviewItem>
    <reviewItem>
      <errorID>520d12ee-f157-4749-90eb-1e5bfc141b5c</errorID>
      <errorWord>)</errorWord>
      <group>L1_Format</group>
      <groupName>格式问题</groupName>
      <ability>L2_HalfPunc_CN</ability>
      <abilityName>全半角问题</abilityName>
      <candidateList>
        <item>）</item>
      </candidateList>
      <explain>文本全半角错误。</explain>
      <paraID>7F86E10C</paraID>
      <start>49</start>
      <end>50</end>
      <status>unmodified</status>
      <modifiedWord/>
      <trackRevisions>false</trackRevisions>
    </reviewItem>
    <reviewItem>
      <errorID>ed34ba1e-20ca-489d-9646-7dae50fb2ee7</errorID>
      <errorWord>生态红线</errorWord>
      <group>L1_Political</group>
      <groupName>政治性问题</groupName>
      <ability>L2_Unpolitical</ability>
      <abilityName>政治敏感错误</abilityName>
      <candidateList>
        <item>生态保护红线</item>
      </candidateList>
      <explain/>
      <paraID>5BFF1391</paraID>
      <start>73</start>
      <end>77</end>
      <status>unmodified</status>
      <modifiedWord/>
      <trackRevisions>false</trackRevisions>
    </reviewItem>
    <reviewItem>
      <errorID>1286aefb-32c0-4aa6-8195-e87dbc904ef1</errorID>
      <errorWord>生态准入清单</errorWord>
      <group>L1_Political</group>
      <groupName>政治性问题</groupName>
      <ability>L2_Unpolitical</ability>
      <abilityName>政治敏感错误</abilityName>
      <candidateList>
        <item>生态环境准入清单</item>
      </candidateList>
      <explain/>
      <paraID>25F3CA78</paraID>
      <start>4</start>
      <end>10</end>
      <status>unmodified</status>
      <modifiedWord/>
      <trackRevisions>false</trackRevisions>
    </reviewItem>
    <reviewItem>
      <errorID>e6cfa690-aebf-4136-9d54-cfd44325eb69</errorID>
      <errorWord>生态准入清单</errorWord>
      <group>L1_Political</group>
      <groupName>政治性问题</groupName>
      <ability>L2_Unpolitical</ability>
      <abilityName>政治敏感错误</abilityName>
      <candidateList>
        <item>生态环境准入清单</item>
      </candidateList>
      <explain/>
      <paraID>792DF498</paraID>
      <start>31</start>
      <end>37</end>
      <status>unmodified</status>
      <modifiedWord/>
      <trackRevisions>false</trackRevisions>
    </reviewItem>
    <reviewItem>
      <errorID>0b45f345-0574-42ad-bd4c-401b4684900e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39FA83CB</paraID>
      <start>78</start>
      <end>79</end>
      <status>unmodified</status>
      <modifiedWord/>
      <trackRevisions>false</trackRevisions>
    </reviewItem>
    <reviewItem>
      <errorID>e1e14a39-85a0-4ca1-8963-9237e9ef2977</errorID>
      <errorWord>胶粘剂</errorWord>
      <group>L1_Word</group>
      <groupName>字词问题</groupName>
      <ability>L2_Typo</ability>
      <abilityName>字词错误</abilityName>
      <candidateList>
        <item>胶黏剂</item>
      </candidateList>
      <explain/>
      <paraID>68B0FC8B</paraID>
      <start>82</start>
      <end>85</end>
      <status>unmodified</status>
      <modifiedWord/>
      <trackRevisions>false</trackRevisions>
    </reviewItem>
    <reviewItem>
      <errorID>8a1312a4-aee8-4b36-8172-0e876ca0a9b4</errorID>
      <errorWord>（</errorWord>
      <group>L1_Punc</group>
      <groupName>标点问题</groupName>
      <ability>L2_Punc_CN</ability>
      <abilityName>标点符号问题</abilityName>
      <candidateList/>
      <explain>同一形式括号套用。</explain>
      <paraID>26E033CE</paraID>
      <start>116</start>
      <end>117</end>
      <status>unmodified</status>
      <modifiedWord/>
      <trackRevisions>false</trackRevisions>
    </reviewItem>
    <reviewItem>
      <errorID>880b1da1-c8e1-47f9-a5c5-3cb0dcd5531b</errorID>
      <errorWord>）</errorWord>
      <group>L1_Punc</group>
      <groupName>标点问题</groupName>
      <ability>L2_Punc_CN</ability>
      <abilityName>标点符号问题</abilityName>
      <candidateList/>
      <explain>同一形式括号套用。</explain>
      <paraID>26E033CE</paraID>
      <start>118</start>
      <end>119</end>
      <status>unmodified</status>
      <modifiedWord/>
      <trackRevisions>false</trackRevisions>
    </reviewItem>
    <reviewItem>
      <errorID>0b7f58d3-278b-46bd-b7c7-c7cf3f6655df</errorID>
      <errorWord>（2026）第0521号</errorWord>
      <group>L1_Knowledge</group>
      <groupName>知识性问题</groupName>
      <ability>L2_Knowledge</ability>
      <abilityName>其他知识</abilityName>
      <candidateList>
        <item>〔2026〕521号</item>
      </candidateList>
      <explain>发文字号格式错误。</explain>
      <paraID>26E033CE</paraID>
      <start>121</start>
      <end>133</end>
      <status>unmodified</status>
      <modifiedWord/>
      <trackRevisions>false</trackRevisions>
    </reviewItem>
    <reviewItem>
      <errorID>66480d6a-544d-418a-9b87-676766088f81</errorID>
      <errorWord>[2018]117号</errorWord>
      <group>L1_Knowledge</group>
      <groupName>知识性问题</groupName>
      <ability>L2_Knowledge</ability>
      <abilityName>其他知识</abilityName>
      <candidateList>
        <item>〔2018〕117号</item>
      </candidateList>
      <explain>发文字号格式错误。</explain>
      <paraID>26E033CE</paraID>
      <start>165</start>
      <end>175</end>
      <status>unmodified</status>
      <modifiedWord/>
      <trackRevisions>false</trackRevisions>
    </reviewItem>
    <reviewItem>
      <errorID>cefdd560-fb48-4885-8a5f-1b839c0f4433</errorID>
      <errorWord>-</errorWord>
      <group>L1_Format</group>
      <groupName>格式问题</groupName>
      <ability>L2_HalfPunc_CN</ability>
      <abilityName>全半角问题</abilityName>
      <candidateList>
        <item>－</item>
      </candidateList>
      <explain>文本全半角错误。</explain>
      <paraID>489BDD19</paraID>
      <start>0</start>
      <end>1</end>
      <status>unmodified</status>
      <modifiedWord/>
      <trackRevisions>false</trackRevisions>
    </reviewItem>
    <reviewItem>
      <errorID>0095be12-a21b-4739-ab43-910f133a19e6</errorID>
      <errorWord>-</errorWord>
      <group>L1_Format</group>
      <groupName>格式问题</groupName>
      <ability>L2_HalfPunc_CN</ability>
      <abilityName>全半角问题</abilityName>
      <candidateList>
        <item>－</item>
      </candidateList>
      <explain>文本全半角错误。</explain>
      <paraID>2C535456</paraID>
      <start>0</start>
      <end>1</end>
      <status>unmodified</status>
      <modifiedWord/>
      <trackRevisions>false</trackRevisions>
    </reviewItem>
    <reviewItem>
      <errorID>68aa446f-28cf-4036-ae8a-ab4cf2614dcb</errorID>
      <errorWord>护</errorWord>
      <group>L1_Word</group>
      <groupName>字词问题</groupName>
      <ability>L2_Typo</ability>
      <abilityName>字词错误</abilityName>
      <candidateList>
        <item>护和</item>
      </candidateList>
      <explain/>
      <paraID>2C535456</paraID>
      <start>29</start>
      <end>30</end>
      <status>unmodified</status>
      <modifiedWord/>
      <trackRevisions>false</trackRevisions>
    </reviewItem>
    <reviewItem>
      <errorID>6f51db19-03a6-4fb1-942a-ba3938c770fa</errorID>
      <errorWord>-</errorWord>
      <group>L1_Format</group>
      <groupName>格式问题</groupName>
      <ability>L2_HalfPunc_CN</ability>
      <abilityName>全半角问题</abilityName>
      <candidateList>
        <item>－</item>
      </candidateList>
      <explain>文本全半角错误。</explain>
      <paraID>3DD221B1</paraID>
      <start>0</start>
      <end>1</end>
      <status>unmodified</status>
      <modifiedWord/>
      <trackRevisions>false</trackRevisions>
    </reviewItem>
    <reviewItem>
      <errorID>6d3e5666-fcc9-48e4-878d-e21ac0ba6145</errorID>
      <errorWord>-</errorWord>
      <group>L1_Format</group>
      <groupName>格式问题</groupName>
      <ability>L2_HalfPunc_CN</ability>
      <abilityName>全半角问题</abilityName>
      <candidateList>
        <item>－</item>
      </candidateList>
      <explain>文本全半角错误。</explain>
      <paraID>3A794897</paraID>
      <start>19</start>
      <end>20</end>
      <status>unmodified</status>
      <modifiedWord/>
      <trackRevisions>false</trackRevisions>
    </reviewItem>
    <reviewItem>
      <errorID>a0b6f00d-75bd-4554-b070-2d041c39b450</errorID>
      <errorWord>-</errorWord>
      <group>L1_Format</group>
      <groupName>格式问题</groupName>
      <ability>L2_HalfPunc_CN</ability>
      <abilityName>全半角问题</abilityName>
      <candidateList>
        <item>－</item>
      </candidateList>
      <explain>文本全半角错误。</explain>
      <paraID>3A9A1125</paraID>
      <start>7</start>
      <end>8</end>
      <status>unmodified</status>
      <modifiedWord/>
      <trackRevisions>false</trackRevisions>
    </reviewItem>
    <reviewItem>
      <errorID>773fb101-0e3d-4137-ad53-85c486d8aec6</errorID>
      <errorWord>-</errorWord>
      <group>L1_Format</group>
      <groupName>格式问题</groupName>
      <ability>L2_HalfPunc_CN</ability>
      <abilityName>全半角问题</abilityName>
      <candidateList>
        <item>－</item>
      </candidateList>
      <explain>文本全半角错误。</explain>
      <paraID>5513C4E6</paraID>
      <start>7</start>
      <end>8</end>
      <status>unmodified</status>
      <modifiedWord/>
      <trackRevisions>false</trackRevisions>
    </reviewItem>
    <reviewItem>
      <errorID>9630986d-efd9-4c05-8b71-3fc1dd98b139</errorID>
      <errorWord>-</errorWord>
      <group>L1_Format</group>
      <groupName>格式问题</groupName>
      <ability>L2_HalfPunc_CN</ability>
      <abilityName>全半角问题</abilityName>
      <candidateList>
        <item>－</item>
      </candidateList>
      <explain>文本全半角错误。</explain>
      <paraID>2F87172A</paraID>
      <start>7</start>
      <end>8</end>
      <status>unmodified</status>
      <modifiedWord/>
      <trackRevisions>false</trackRevisions>
    </reviewItem>
    <reviewItem>
      <errorID>f35cfdbb-7fdd-4e89-9a20-8fbab10136dc</errorID>
      <errorWord>-</errorWord>
      <group>L1_Format</group>
      <groupName>格式问题</groupName>
      <ability>L2_HalfPunc_CN</ability>
      <abilityName>全半角问题</abilityName>
      <candidateList>
        <item>－</item>
      </candidateList>
      <explain>文本全半角错误。</explain>
      <paraID> DF75CA2</paraID>
      <start>7</start>
      <end>8</end>
      <status>unmodified</status>
      <modifiedWord/>
      <trackRevisions>false</trackRevisions>
    </reviewItem>
    <reviewItem>
      <errorID>852b9140-bc10-41c0-9d7f-bfa87d64db91</errorID>
      <errorWord>-</errorWord>
      <group>L1_Format</group>
      <groupName>格式问题</groupName>
      <ability>L2_HalfPunc_CN</ability>
      <abilityName>全半角问题</abilityName>
      <candidateList>
        <item>－</item>
      </candidateList>
      <explain>文本全半角错误。</explain>
      <paraID> DF75CA2</paraID>
      <start>47</start>
      <end>48</end>
      <status>unmodified</status>
      <modifiedWord/>
      <trackRevisions>false</trackRevisions>
    </reviewItem>
    <reviewItem>
      <errorID>e983decb-da14-48bf-bd9a-de0f47bef317</errorID>
      <errorWord>-</errorWord>
      <group>L1_Format</group>
      <groupName>格式问题</groupName>
      <ability>L2_HalfPunc_CN</ability>
      <abilityName>全半角问题</abilityName>
      <candidateList>
        <item>－</item>
      </candidateList>
      <explain>文本全半角错误。</explain>
      <paraID> DF75CA2</paraID>
      <start>216</start>
      <end>217</end>
      <status>unmodified</status>
      <modifiedWord/>
      <trackRevisions>false</trackRevisions>
    </reviewItem>
    <reviewItem>
      <errorID>1d299595-9110-4d97-95ab-b271329169df</errorID>
      <errorWord>-</errorWord>
      <group>L1_Format</group>
      <groupName>格式问题</groupName>
      <ability>L2_HalfPunc_CN</ability>
      <abilityName>全半角问题</abilityName>
      <candidateList>
        <item>－</item>
      </candidateList>
      <explain>文本全半角错误。</explain>
      <paraID>41763DB1</paraID>
      <start>7</start>
      <end>8</end>
      <status>unmodified</status>
      <modifiedWord/>
      <trackRevisions>false</trackRevisions>
    </reviewItem>
    <reviewItem>
      <errorID>f00c6d73-37c2-4465-b917-a559239330d3</errorID>
      <errorWord>-</errorWord>
      <group>L1_Format</group>
      <groupName>格式问题</groupName>
      <ability>L2_HalfPunc_CN</ability>
      <abilityName>全半角问题</abilityName>
      <candidateList>
        <item>－</item>
      </candidateList>
      <explain>文本全半角错误。</explain>
      <paraID>3CCAEFDE</paraID>
      <start>7</start>
      <end>8</end>
      <status>unmodified</status>
      <modifiedWord/>
      <trackRevisions>false</trackRevisions>
    </reviewItem>
    <reviewItem>
      <errorID>ff2b0569-49c3-40c7-a4bc-3a31c47df7d9</errorID>
      <errorWord>(</errorWord>
      <group>L1_Format</group>
      <groupName>格式问题</groupName>
      <ability>L2_HalfPunc_CN</ability>
      <abilityName>全半角问题</abilityName>
      <candidateList>
        <item>（</item>
      </candidateList>
      <explain>文本全半角错误。</explain>
      <paraID>3CCAEFDE</paraID>
      <start>152</start>
      <end>153</end>
      <status>unmodified</status>
      <modifiedWord/>
      <trackRevisions>false</trackRevisions>
    </reviewItem>
    <reviewItem>
      <errorID>645aa84b-99c1-451d-8af3-848b3f8fc081</errorID>
      <errorWord>)</errorWord>
      <group>L1_Format</group>
      <groupName>格式问题</groupName>
      <ability>L2_HalfPunc_CN</ability>
      <abilityName>全半角问题</abilityName>
      <candidateList>
        <item>）</item>
      </candidateList>
      <explain>文本全半角错误。</explain>
      <paraID>3CCAEFDE</paraID>
      <start>154</start>
      <end>155</end>
      <status>unmodified</status>
      <modifiedWord/>
      <trackRevisions>false</trackRevisions>
    </reviewItem>
    <reviewItem>
      <errorID>218daa59-b069-43c7-88cf-53aa6e58d209</errorID>
      <errorWord>-</errorWord>
      <group>L1_Format</group>
      <groupName>格式问题</groupName>
      <ability>L2_HalfPunc_CN</ability>
      <abilityName>全半角问题</abilityName>
      <candidateList>
        <item>－</item>
      </candidateList>
      <explain>文本全半角错误。</explain>
      <paraID>3CCAEFDE</paraID>
      <start>209</start>
      <end>210</end>
      <status>unmodified</status>
      <modifiedWord/>
      <trackRevisions>false</trackRevisions>
    </reviewItem>
    <reviewItem>
      <errorID>42000f0e-fc82-4659-9567-aa8f52f6ac53</errorID>
      <errorWord>-</errorWord>
      <group>L1_Format</group>
      <groupName>格式问题</groupName>
      <ability>L2_HalfPunc_CN</ability>
      <abilityName>全半角问题</abilityName>
      <candidateList>
        <item>－</item>
      </candidateList>
      <explain>文本全半角错误。</explain>
      <paraID>3CCAEFDE</paraID>
      <start>242</start>
      <end>243</end>
      <status>unmodified</status>
      <modifiedWord/>
      <trackRevisions>false</trackRevisions>
    </reviewItem>
    <reviewItem>
      <errorID>df5732ba-f74f-4c93-8715-9f06c675c9f5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6CFA7AA1</paraID>
      <start>0</start>
      <end>2</end>
      <status>unmodified</status>
      <modifiedWord/>
      <trackRevisions>false</trackRevisions>
    </reviewItem>
    <reviewItem>
      <errorID>f2930906-cfe8-4032-88a5-c6bcffcb8949</errorID>
      <errorWord>（2026）第0521号</errorWord>
      <group>L1_Knowledge</group>
      <groupName>知识性问题</groupName>
      <ability>L2_Knowledge</ability>
      <abilityName>其他知识</abilityName>
      <candidateList>
        <item>〔2026〕521号</item>
      </candidateList>
      <explain>发文字号格式错误。</explain>
      <paraID>6CFA7AA1</paraID>
      <start>109</start>
      <end>121</end>
      <status>unmodified</status>
      <modifiedWord/>
      <trackRevisions>false</trackRevisions>
    </reviewItem>
    <reviewItem>
      <errorID>5ed7f313-e459-4b69-9109-1db300f020c9</errorID>
      <errorWord>[2018]117号</errorWord>
      <group>L1_Knowledge</group>
      <groupName>知识性问题</groupName>
      <ability>L2_Knowledge</ability>
      <abilityName>其他知识</abilityName>
      <candidateList>
        <item>〔2018〕117号</item>
      </candidateList>
      <explain>发文字号格式错误。</explain>
      <paraID>6CFA7AA1</paraID>
      <start>146</start>
      <end>156</end>
      <status>unmodified</status>
      <modifiedWord/>
      <trackRevisions>false</trackRevisions>
    </reviewItem>
    <reviewItem>
      <errorID>9bdffdc3-7bf5-4f17-9c50-306f52dfe1e9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5060D923</paraID>
      <start>0</start>
      <end>2</end>
      <status>unmodified</status>
      <modifiedWord/>
      <trackRevisions>false</trackRevisions>
    </reviewItem>
    <reviewItem>
      <errorID>c99a8422-4d26-43ba-81f6-1bab6a7dc863</errorID>
      <errorWord>-</errorWord>
      <group>L1_Format</group>
      <groupName>格式问题</groupName>
      <ability>L2_HalfPunc_CN</ability>
      <abilityName>全半角问题</abilityName>
      <candidateList>
        <item>－</item>
      </candidateList>
      <explain>文本全半角错误。</explain>
      <paraID>3ED5BC30</paraID>
      <start>2</start>
      <end>3</end>
      <status>unmodified</status>
      <modifiedWord/>
      <trackRevisions>false</trackRevisions>
    </reviewItem>
    <reviewItem>
      <errorID>ca616949-4f47-4a73-b63f-c16a0fec53b3</errorID>
      <errorWord>-</errorWord>
      <group>L1_Format</group>
      <groupName>格式问题</groupName>
      <ability>L2_HalfPunc_CN</ability>
      <abilityName>全半角问题</abilityName>
      <candidateList>
        <item>－</item>
      </candidateList>
      <explain>文本全半角错误。</explain>
      <paraID>3ED5BC30</paraID>
      <start>6</start>
      <end>7</end>
      <status>unmodified</status>
      <modifiedWord/>
      <trackRevisions>false</trackRevisions>
    </reviewItem>
    <reviewItem>
      <errorID>dbfbddbe-fb3d-462a-8075-3a9fb4afa428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7F44274D</paraID>
      <start>0</start>
      <end>2</end>
      <status>unmodified</status>
      <modifiedWord/>
      <trackRevisions>false</trackRevisions>
    </reviewItem>
    <reviewItem>
      <errorID>f9a3d48d-bbed-44d9-9d10-874c1ca6bcbc</errorID>
      <errorWord>》</errorWord>
      <group>L1_Word</group>
      <groupName>字词问题</groupName>
      <ability>L2_Typo</ability>
      <abilityName>字词错误</abilityName>
      <candidateList>
        <item>》等</item>
      </candidateList>
      <explain/>
      <paraID>7F44274D</paraID>
      <start>445</start>
      <end>446</end>
      <status>unmodified</status>
      <modifiedWord/>
      <trackRevisions>false</trackRevisions>
    </reviewItem>
    <reviewItem>
      <errorID>c5d3638b-acbb-403c-9296-4117e30564db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4603CD79</paraID>
      <start>7</start>
      <end>8</end>
      <status>unmodified</status>
      <modifiedWord/>
      <trackRevisions>false</trackRevisions>
    </reviewItem>
    <reviewItem>
      <errorID>49dcfbbd-916a-43d8-9e1e-083d30de852b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4603CD79</paraID>
      <start>49</start>
      <end>50</end>
      <status>unmodified</status>
      <modifiedWord/>
      <trackRevisions>false</trackRevisions>
    </reviewItem>
    <reviewItem>
      <errorID>98ae41e4-c9c4-4824-80fe-c173380ee2c2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40B9FB99</paraID>
      <start>0</start>
      <end>2</end>
      <status>unmodified</status>
      <modifiedWord/>
      <trackRevisions>false</trackRevisions>
    </reviewItem>
    <reviewItem>
      <errorID>42d95e23-87fb-43c7-bf27-6997fcbdb701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10941569</paraID>
      <start>0</start>
      <end>2</end>
      <status>unmodified</status>
      <modifiedWord/>
      <trackRevisions>false</trackRevisions>
    </reviewItem>
    <reviewItem>
      <errorID>d039dc85-7449-44f5-934c-6fba96886925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10941569</paraID>
      <start>20</start>
      <end>21</end>
      <status>unmodified</status>
      <modifiedWord/>
      <trackRevisions>false</trackRevisions>
    </reviewItem>
    <reviewItem>
      <errorID>384f96f7-90d0-4afa-bcbc-61b71f1c019a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C50BAA0</paraID>
      <start>17</start>
      <end>18</end>
      <status>unmodified</status>
      <modifiedWord/>
      <trackRevisions>false</trackRevisions>
    </reviewItem>
    <reviewItem>
      <errorID>476cd462-b8ea-4d11-b9b0-bb44214ec27f</errorID>
      <errorWord>国家级经济开发区</errorWord>
      <group>L1_Political</group>
      <groupName>政治性问题</groupName>
      <ability>L2_Keyword</ability>
      <abilityName>固定表述</abilityName>
      <candidateList>
        <item>国家级经济技术开发区</item>
      </candidateList>
      <explain>词汇“国家级经济技术开发区”在特定场景下为固定表述形式，请确认此处的“国家级经济开发区”是否存在不当。</explain>
      <paraID> C50BAA0</paraID>
      <start>262</start>
      <end>270</end>
      <status>unmodified</status>
      <modifiedWord/>
      <trackRevisions>false</trackRevisions>
    </reviewItem>
    <reviewItem>
      <errorID>a2816fa7-8136-4002-b20c-2b22ee823873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4E2845AA</paraID>
      <start>150</start>
      <end>151</end>
      <status>unmodified</status>
      <modifiedWord/>
      <trackRevisions>false</trackRevisions>
    </reviewItem>
    <reviewItem>
      <errorID>7aa72d66-27f3-4432-ae43-37d4a20698b8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4211531C</paraID>
      <start>0</start>
      <end>2</end>
      <status>unmodified</status>
      <modifiedWord/>
      <trackRevisions>false</trackRevisions>
    </reviewItem>
    <reviewItem>
      <errorID>0fbf430f-ccd1-46be-8d6e-c7e414654056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4211531C</paraID>
      <start>20</start>
      <end>21</end>
      <status>unmodified</status>
      <modifiedWord/>
      <trackRevisions>false</trackRevisions>
    </reviewItem>
    <reviewItem>
      <errorID>6b0d8bbe-03df-4527-9d88-2f77f3a2fb74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48DEBA3E</paraID>
      <start>17</start>
      <end>18</end>
      <status>unmodified</status>
      <modifiedWord/>
      <trackRevisions>false</trackRevisions>
    </reviewItem>
    <reviewItem>
      <errorID>a60295d5-0848-4e4c-b397-475ac2332844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6C1ED1B4</paraID>
      <start>150</start>
      <end>151</end>
      <status>unmodified</status>
      <modifiedWord/>
      <trackRevisions>false</trackRevisions>
    </reviewItem>
    <reviewItem>
      <errorID>8c646569-3518-44c4-98d4-44b9ab8bafc7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61FE59EE</paraID>
      <start>0</start>
      <end>2</end>
      <status>unmodified</status>
      <modifiedWord/>
      <trackRevisions>false</trackRevisions>
    </reviewItem>
    <reviewItem>
      <errorID>de0edbd9-0aba-4c26-a40b-3fea19dfc2e4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61FE59EE</paraID>
      <start>20</start>
      <end>21</end>
      <status>unmodified</status>
      <modifiedWord/>
      <trackRevisions>false</trackRevisions>
    </reviewItem>
    <reviewItem>
      <errorID>b2ce1c0f-d01d-43f6-9431-c6c7b1af534d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7A6555F0</paraID>
      <start>28</start>
      <end>29</end>
      <status>unmodified</status>
      <modifiedWord/>
      <trackRevisions>false</trackRevisions>
    </reviewItem>
    <reviewItem>
      <errorID>8c99a35b-dbaf-4486-a2b3-fbf232cf4a73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4B1EBE0A</paraID>
      <start>150</start>
      <end>151</end>
      <status>unmodified</status>
      <modifiedWord/>
      <trackRevisions>false</trackRevisions>
    </reviewItem>
    <reviewItem>
      <errorID>11a9de79-b4fa-44a8-a1cf-e35cbc8b1e38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FDEAE41</paraID>
      <start>0</start>
      <end>2</end>
      <status>unmodified</status>
      <modifiedWord/>
      <trackRevisions>false</trackRevisions>
    </reviewItem>
    <reviewItem>
      <errorID>97a5b21d-0b50-4769-b3d1-b29253e1d814</errorID>
      <errorWord>,</errorWord>
      <group>L1_Format</group>
      <groupName>格式问题</groupName>
      <ability>L2_HalfPunc_CN</ability>
      <abilityName>全半角问题</abilityName>
      <candidateList>
        <item>，</item>
      </candidateList>
      <explain>文本全半角错误。</explain>
      <paraID>6857EE57</paraID>
      <start>43</start>
      <end>44</end>
      <status>unmodified</status>
      <modifiedWord/>
      <trackRevisions>false</trackRevisions>
    </reviewItem>
    <reviewItem>
      <errorID>990a1385-eba4-4899-a471-7f0b9bcfa730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28AA77C9</paraID>
      <start>0</start>
      <end>2</end>
      <status>unmodified</status>
      <modifiedWord/>
      <trackRevisions>false</trackRevisions>
    </reviewItem>
    <reviewItem>
      <errorID>b2c2596c-e05b-40aa-b4ce-656708908f61</errorID>
      <errorWord>，</errorWord>
      <group>L1_Word</group>
      <groupName>字词问题</groupName>
      <ability>L2_Typo</ability>
      <abilityName>字词错误</abilityName>
      <candidateList>
        <item>，对</item>
      </candidateList>
      <explain/>
      <paraID>1210C82A</paraID>
      <start>31</start>
      <end>32</end>
      <status>unmodified</status>
      <modifiedWord/>
      <trackRevisions>false</trackRevisions>
    </reviewItem>
    <reviewItem>
      <errorID>92fe1d11-5158-45ca-9590-84219efd4e2c</errorID>
      <errorWord>程</errorWord>
      <group>L1_Word</group>
      <groupName>字词问题</groupName>
      <ability>L2_Typo</ability>
      <abilityName>字词错误</abilityName>
      <candidateList>
        <item>程中</item>
      </candidateList>
      <explain/>
      <paraID>47D8B8C5</paraID>
      <start>73</start>
      <end>74</end>
      <status>unmodified</status>
      <modifiedWord/>
      <trackRevisions>false</trackRevisions>
    </reviewItem>
    <reviewItem>
      <errorID>ef1e030f-c1ac-4814-944b-c65b91df84f9</errorID>
      <errorWord>，</errorWord>
      <group>L1_Word</group>
      <groupName>字词问题</groupName>
      <ability>L2_Typo</ability>
      <abilityName>字词错误</abilityName>
      <candidateList>
        <item>，在</item>
      </candidateList>
      <explain/>
      <paraID> 8CA8A96</paraID>
      <start>45</start>
      <end>46</end>
      <status>unmodified</status>
      <modifiedWord/>
      <trackRevisions>false</trackRevisions>
    </reviewItem>
    <reviewItem>
      <errorID>08611182-0105-4238-8952-72014c4528a0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2A5FB795</paraID>
      <start>0</start>
      <end>2</end>
      <status>unmodified</status>
      <modifiedWord/>
      <trackRevisions>false</trackRevisions>
    </reviewItem>
    <reviewItem>
      <errorID>8cc9808a-6b64-4e84-b9c1-198ed3ff0636</errorID>
      <errorWord>；</errorWord>
      <group>L1_Word</group>
      <groupName>字词问题</groupName>
      <ability>L2_Typo</ability>
      <abilityName>字词错误</abilityName>
      <candidateList>
        <item>；对</item>
      </candidateList>
      <explain/>
      <paraID>49A3D3DB</paraID>
      <start>90</start>
      <end>91</end>
      <status>unmodified</status>
      <modifiedWord/>
      <trackRevisions>false</trackRevisions>
    </reviewItem>
    <reviewItem>
      <errorID>0292992e-6ffd-468c-81f2-86bb4f7de050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2457DC51</paraID>
      <start>0</start>
      <end>3</end>
      <status>unmodified</status>
      <modifiedWord/>
      <trackRevisions>false</trackRevisions>
    </reviewItem>
    <reviewItem>
      <errorID>6efbe2ea-23da-423c-a303-cab2ea3cf9e7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4BEB3D3A</paraID>
      <start>0</start>
      <end>3</end>
      <status>unmodified</status>
      <modifiedWord/>
      <trackRevisions>false</trackRevisions>
    </reviewItem>
    <reviewItem>
      <errorID>af2c75f9-3e5f-4b55-802c-733b5df9f17e</errorID>
      <errorWord>(</errorWord>
      <group>L1_Format</group>
      <groupName>格式问题</groupName>
      <ability>L2_HalfPunc_CN</ability>
      <abilityName>全半角问题</abilityName>
      <candidateList>
        <item>（</item>
      </candidateList>
      <explain>文本全半角错误。</explain>
      <paraID>76E8F708</paraID>
      <start>48</start>
      <end>49</end>
      <status>unmodified</status>
      <modifiedWord/>
      <trackRevisions>false</trackRevisions>
    </reviewItem>
    <reviewItem>
      <errorID>c1b9e79e-2fce-4ebf-b42e-ad8e2f5ae17e</errorID>
      <errorWord>)</errorWord>
      <group>L1_Format</group>
      <groupName>格式问题</groupName>
      <ability>L2_HalfPunc_CN</ability>
      <abilityName>全半角问题</abilityName>
      <candidateList>
        <item>）</item>
      </candidateList>
      <explain>文本全半角错误。</explain>
      <paraID>76E8F708</paraID>
      <start>57</start>
      <end>58</end>
      <status>unmodified</status>
      <modifiedWord/>
      <trackRevisions>false</trackRevisions>
    </reviewItem>
    <reviewItem>
      <errorID>7c5cfba0-67b3-4296-9c63-09dccb983328</errorID>
      <errorWord>(</errorWord>
      <group>L1_Format</group>
      <groupName>格式问题</groupName>
      <ability>L2_HalfPunc_CN</ability>
      <abilityName>全半角问题</abilityName>
      <candidateList>
        <item>（</item>
      </candidateList>
      <explain>文本全半角错误。</explain>
      <paraID>40063BAB</paraID>
      <start>51</start>
      <end>52</end>
      <status>unmodified</status>
      <modifiedWord/>
      <trackRevisions>false</trackRevisions>
    </reviewItem>
    <reviewItem>
      <errorID>b5856063-4b4b-4c6e-81d4-9fbed489fa1a</errorID>
      <errorWord>)</errorWord>
      <group>L1_Format</group>
      <groupName>格式问题</groupName>
      <ability>L2_HalfPunc_CN</ability>
      <abilityName>全半角问题</abilityName>
      <candidateList>
        <item>）</item>
      </candidateList>
      <explain>文本全半角错误。</explain>
      <paraID>40063BAB</paraID>
      <start>64</start>
      <end>65</end>
      <status>unmodified</status>
      <modifiedWord/>
      <trackRevisions>false</trackRevisions>
    </reviewItem>
    <reviewItem>
      <errorID>5e866570-1cb3-43c1-9d68-ad0f706b1a5c</errorID>
      <errorWord>，</errorWord>
      <group>L1_Word</group>
      <groupName>字词问题</groupName>
      <ability>L2_Typo</ability>
      <abilityName>字词错误</abilityName>
      <candidateList>
        <item>，对</item>
      </candidateList>
      <explain/>
      <paraID> D932719</paraID>
      <start>36</start>
      <end>37</end>
      <status>unmodified</status>
      <modifiedWord/>
      <trackRevisions>false</trackRevisions>
    </reviewItem>
    <reviewItem>
      <errorID>693c803b-f4d2-4cf1-a1bf-15d14e849750</errorID>
      <errorWord>(</errorWord>
      <group>L1_Format</group>
      <groupName>格式问题</groupName>
      <ability>L2_HalfPunc_CN</ability>
      <abilityName>全半角问题</abilityName>
      <candidateList>
        <item>（</item>
      </candidateList>
      <explain>文本全半角错误。</explain>
      <paraID>14186085</paraID>
      <start>36</start>
      <end>37</end>
      <status>unmodified</status>
      <modifiedWord/>
      <trackRevisions>false</trackRevisions>
    </reviewItem>
    <reviewItem>
      <errorID>3351b9f2-260d-4067-8665-b56a11e74b1b</errorID>
      <errorWord>)</errorWord>
      <group>L1_Format</group>
      <groupName>格式问题</groupName>
      <ability>L2_HalfPunc_CN</ability>
      <abilityName>全半角问题</abilityName>
      <candidateList>
        <item>）</item>
      </candidateList>
      <explain>文本全半角错误。</explain>
      <paraID>14186085</paraID>
      <start>39</start>
      <end>40</end>
      <status>unmodified</status>
      <modifiedWord/>
      <trackRevisions>false</trackRevisions>
    </reviewItem>
    <reviewItem>
      <errorID>9fdc27e0-2e69-4c38-9cf8-f258b16db024</errorID>
      <errorWord>(</errorWord>
      <group>L1_Format</group>
      <groupName>格式问题</groupName>
      <ability>L2_HalfPunc_CN</ability>
      <abilityName>全半角问题</abilityName>
      <candidateList>
        <item>（</item>
      </candidateList>
      <explain>文本全半角错误。</explain>
      <paraID>14186085</paraID>
      <start>42</start>
      <end>43</end>
      <status>unmodified</status>
      <modifiedWord/>
      <trackRevisions>false</trackRevisions>
    </reviewItem>
    <reviewItem>
      <errorID>e55dc40d-0646-4916-ac34-d23949480fe7</errorID>
      <errorWord>)</errorWord>
      <group>L1_Format</group>
      <groupName>格式问题</groupName>
      <ability>L2_HalfPunc_CN</ability>
      <abilityName>全半角问题</abilityName>
      <candidateList>
        <item>）</item>
      </candidateList>
      <explain>文本全半角错误。</explain>
      <paraID>14186085</paraID>
      <start>52</start>
      <end>53</end>
      <status>unmodified</status>
      <modifiedWord/>
      <trackRevisions>false</trackRevisions>
    </reviewItem>
    <reviewItem>
      <errorID>2f4429ac-d1e2-425b-b137-7f20a7902fe1</errorID>
      <errorWord>(</errorWord>
      <group>L1_Format</group>
      <groupName>格式问题</groupName>
      <ability>L2_HalfPunc_CN</ability>
      <abilityName>全半角问题</abilityName>
      <candidateList>
        <item>（</item>
      </candidateList>
      <explain>文本全半角错误。</explain>
      <paraID>6381EF97</paraID>
      <start>65</start>
      <end>66</end>
      <status>unmodified</status>
      <modifiedWord/>
      <trackRevisions>false</trackRevisions>
    </reviewItem>
    <reviewItem>
      <errorID>30bb9273-230e-4bbf-b352-175bc544d2ee</errorID>
      <errorWord>)</errorWord>
      <group>L1_Format</group>
      <groupName>格式问题</groupName>
      <ability>L2_HalfPunc_CN</ability>
      <abilityName>全半角问题</abilityName>
      <candidateList>
        <item>）</item>
      </candidateList>
      <explain>文本全半角错误。</explain>
      <paraID>6381EF97</paraID>
      <start>73</start>
      <end>74</end>
      <status>unmodified</status>
      <modifiedWord/>
      <trackRevisions>false</trackRevisions>
    </reviewItem>
    <reviewItem>
      <errorID>13fcfcda-911d-4f2e-afef-591c3f2d5cc0</errorID>
      <errorWord>(</errorWord>
      <group>L1_Format</group>
      <groupName>格式问题</groupName>
      <ability>L2_HalfPunc_CN</ability>
      <abilityName>全半角问题</abilityName>
      <candidateList>
        <item>（</item>
      </candidateList>
      <explain>文本全半角错误。</explain>
      <paraID>6381EF97</paraID>
      <start>87</start>
      <end>88</end>
      <status>unmodified</status>
      <modifiedWord/>
      <trackRevisions>false</trackRevisions>
    </reviewItem>
    <reviewItem>
      <errorID>8156ada9-da84-464d-bfda-1ed22aeceac7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6381EF97</paraID>
      <start>90</start>
      <end>91</end>
      <status>unmodified</status>
      <modifiedWord/>
      <trackRevisions>false</trackRevisions>
    </reviewItem>
    <reviewItem>
      <errorID>bf299fd2-079e-4403-8ee3-8183bb841029</errorID>
      <errorWord>)</errorWord>
      <group>L1_Format</group>
      <groupName>格式问题</groupName>
      <ability>L2_HalfPunc_CN</ability>
      <abilityName>全半角问题</abilityName>
      <candidateList>
        <item>）</item>
      </candidateList>
      <explain>文本全半角错误。</explain>
      <paraID>6381EF97</paraID>
      <start>95</start>
      <end>96</end>
      <status>unmodified</status>
      <modifiedWord/>
      <trackRevisions>false</trackRevisions>
    </reviewItem>
    <reviewItem>
      <errorID>b9b4cb9d-3dbf-475c-a664-cf25b6a61fae</errorID>
      <errorWord>(</errorWord>
      <group>L1_Format</group>
      <groupName>格式问题</groupName>
      <ability>L2_HalfPunc_CN</ability>
      <abilityName>全半角问题</abilityName>
      <candidateList>
        <item>（</item>
      </candidateList>
      <explain>文本全半角错误。</explain>
      <paraID>6381EF97</paraID>
      <start>118</start>
      <end>119</end>
      <status>unmodified</status>
      <modifiedWord/>
      <trackRevisions>false</trackRevisions>
    </reviewItem>
    <reviewItem>
      <errorID>f672cb6e-08a4-4199-9d2b-95530c41bb2c</errorID>
      <errorWord>)</errorWord>
      <group>L1_Format</group>
      <groupName>格式问题</groupName>
      <ability>L2_HalfPunc_CN</ability>
      <abilityName>全半角问题</abilityName>
      <candidateList>
        <item>）</item>
      </candidateList>
      <explain>文本全半角错误。</explain>
      <paraID>6381EF97</paraID>
      <start>126</start>
      <end>127</end>
      <status>unmodified</status>
      <modifiedWord/>
      <trackRevisions>false</trackRevisions>
    </reviewItem>
    <reviewItem>
      <errorID>c24377a5-7a8c-4f07-bb3f-cb23af56e9c5</errorID>
      <errorWord>(</errorWord>
      <group>L1_Format</group>
      <groupName>格式问题</groupName>
      <ability>L2_HalfPunc_CN</ability>
      <abilityName>全半角问题</abilityName>
      <candidateList>
        <item>（</item>
      </candidateList>
      <explain>文本全半角错误。</explain>
      <paraID>2115476B</paraID>
      <start>45</start>
      <end>46</end>
      <status>unmodified</status>
      <modifiedWord/>
      <trackRevisions>false</trackRevisions>
    </reviewItem>
    <reviewItem>
      <errorID>9f6b5d20-c59e-44bf-80a2-271c9803669b</errorID>
      <errorWord>)</errorWord>
      <group>L1_Format</group>
      <groupName>格式问题</groupName>
      <ability>L2_HalfPunc_CN</ability>
      <abilityName>全半角问题</abilityName>
      <candidateList>
        <item>）</item>
      </candidateList>
      <explain>文本全半角错误。</explain>
      <paraID>2115476B</paraID>
      <start>53</start>
      <end>54</end>
      <status>unmodified</status>
      <modifiedWord/>
      <trackRevisions>false</trackRevisions>
    </reviewItem>
    <reviewItem>
      <errorID>1e952a29-abe2-4cda-b2e4-7e5ce983beea</errorID>
      <errorWord>(</errorWord>
      <group>L1_Format</group>
      <groupName>格式问题</groupName>
      <ability>L2_HalfPunc_CN</ability>
      <abilityName>全半角问题</abilityName>
      <candidateList>
        <item>（</item>
      </candidateList>
      <explain>文本全半角错误。</explain>
      <paraID>2115476B</paraID>
      <start>74</start>
      <end>75</end>
      <status>unmodified</status>
      <modifiedWord/>
      <trackRevisions>false</trackRevisions>
    </reviewItem>
    <reviewItem>
      <errorID>fe437543-d90b-4b16-96bc-8826b0ab66f9</errorID>
      <errorWord>)</errorWord>
      <group>L1_Format</group>
      <groupName>格式问题</groupName>
      <ability>L2_HalfPunc_CN</ability>
      <abilityName>全半角问题</abilityName>
      <candidateList>
        <item>）</item>
      </candidateList>
      <explain>文本全半角错误。</explain>
      <paraID>2115476B</paraID>
      <start>82</start>
      <end>83</end>
      <status>unmodified</status>
      <modifiedWord/>
      <trackRevisions>false</trackRevisions>
    </reviewItem>
    <reviewItem>
      <errorID>cfde3096-1942-4cb3-a2e4-05eb5d5d1480</errorID>
      <errorWord>(</errorWord>
      <group>L1_Format</group>
      <groupName>格式问题</groupName>
      <ability>L2_HalfPunc_CN</ability>
      <abilityName>全半角问题</abilityName>
      <candidateList>
        <item>（</item>
      </candidateList>
      <explain>文本全半角错误。</explain>
      <paraID>6DAED179</paraID>
      <start>33</start>
      <end>34</end>
      <status>unmodified</status>
      <modifiedWord/>
      <trackRevisions>false</trackRevisions>
    </reviewItem>
    <reviewItem>
      <errorID>8ac00b08-b566-4876-aaa5-9d5d9d24a321</errorID>
      <errorWord>)</errorWord>
      <group>L1_Format</group>
      <groupName>格式问题</groupName>
      <ability>L2_HalfPunc_CN</ability>
      <abilityName>全半角问题</abilityName>
      <candidateList>
        <item>）</item>
      </candidateList>
      <explain>文本全半角错误。</explain>
      <paraID>6DAED179</paraID>
      <start>41</start>
      <end>42</end>
      <status>unmodified</status>
      <modifiedWord/>
      <trackRevisions>false</trackRevisions>
    </reviewItem>
    <reviewItem>
      <errorID>8a9dd4af-42f9-40f2-80d2-f8c4abeca11e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22EDC11D</paraID>
      <start>0</start>
      <end>3</end>
      <status>unmodified</status>
      <modifiedWord/>
      <trackRevisions>false</trackRevisions>
    </reviewItem>
    <reviewItem>
      <errorID>e9f8a09c-5318-4e7e-b7ee-d70e8bb99c64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6E8C00C8</paraID>
      <start>0</start>
      <end>3</end>
      <status>unmodified</status>
      <modifiedWord/>
      <trackRevisions>false</trackRevisions>
    </reviewItem>
    <reviewItem>
      <errorID>90639f5d-1b3f-450b-a2df-fdde2ddd8171</errorID>
      <errorWord>程</errorWord>
      <group>L1_Word</group>
      <groupName>字词问题</groupName>
      <ability>L2_Typo</ability>
      <abilityName>字词错误</abilityName>
      <candidateList>
        <item>程中</item>
      </candidateList>
      <explain/>
      <paraID>61F208EA</paraID>
      <start>13</start>
      <end>14</end>
      <status>unmodified</status>
      <modifiedWord/>
      <trackRevisions>false</trackRevisions>
    </reviewItem>
    <reviewItem>
      <errorID>a1ce9037-a4f2-4dd5-96ba-51eae0b632fd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1D4CF53E</paraID>
      <start>47</start>
      <end>48</end>
      <status>unmodified</status>
      <modifiedWord/>
      <trackRevisions>false</trackRevisions>
    </reviewItem>
    <reviewItem>
      <errorID>36bb8764-6bac-4f6f-bcad-0228a97d42bb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46E8E7DA</paraID>
      <start>0</start>
      <end>2</end>
      <status>unmodified</status>
      <modifiedWord/>
      <trackRevisions>false</trackRevisions>
    </reviewItem>
    <reviewItem>
      <errorID>fd601fa1-f25d-4fe4-bcc4-5504ffcc5b68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3835188E</paraID>
      <start>213</start>
      <end>216</end>
      <status>unmodified</status>
      <modifiedWord/>
      <trackRevisions>false</trackRevisions>
    </reviewItem>
    <reviewItem>
      <errorID>fbf7d65c-d86c-4c43-b25d-854930db2f43</errorID>
      <errorWord>(</errorWord>
      <group>L1_Format</group>
      <groupName>格式问题</groupName>
      <ability>L2_HalfPunc_CN</ability>
      <abilityName>全半角问题</abilityName>
      <candidateList>
        <item>（</item>
      </candidateList>
      <explain>文本全半角错误。</explain>
      <paraID>3835188E</paraID>
      <start>238</start>
      <end>239</end>
      <status>unmodified</status>
      <modifiedWord/>
      <trackRevisions>false</trackRevisions>
    </reviewItem>
    <reviewItem>
      <errorID>0cfb6d6a-3c5b-421d-858e-66b646bcd525</errorID>
      <errorWord>)</errorWord>
      <group>L1_Format</group>
      <groupName>格式问题</groupName>
      <ability>L2_HalfPunc_CN</ability>
      <abilityName>全半角问题</abilityName>
      <candidateList>
        <item>）</item>
      </candidateList>
      <explain>文本全半角错误。</explain>
      <paraID>3835188E</paraID>
      <start>251</start>
      <end>252</end>
      <status>unmodified</status>
      <modifiedWord/>
      <trackRevisions>false</trackRevisions>
    </reviewItem>
    <reviewItem>
      <errorID>73df4f70-fd5d-4816-9da3-a7cd3d4f2ae7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67C98347</paraID>
      <start>0</start>
      <end>2</end>
      <status>unmodified</status>
      <modifiedWord/>
      <trackRevisions>false</trackRevisions>
    </reviewItem>
    <reviewItem>
      <errorID>b85ab30a-9669-424c-a04d-91358b6878bc</errorID>
      <errorWord>外逸</errorWord>
      <group>L1_Word</group>
      <groupName>字词问题</groupName>
      <ability>L2_Typo</ability>
      <abilityName>字词错误</abilityName>
      <candidateList>
        <item>外溢</item>
      </candidateList>
      <explain/>
      <paraID>57EA1AF1</paraID>
      <start>36</start>
      <end>38</end>
      <status>unmodified</status>
      <modifiedWord/>
      <trackRevisions>false</trackRevisions>
    </reviewItem>
    <reviewItem>
      <errorID>e7aa875b-33d4-4b9f-9ab3-3a980a477a5a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5B0E9DA0</paraID>
      <start>0</start>
      <end>2</end>
      <status>unmodified</status>
      <modifiedWord/>
      <trackRevisions>false</trackRevisions>
    </reviewItem>
    <reviewItem>
      <errorID>22360771-1907-4891-b662-d476e21a1ee9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3290C101</paraID>
      <start>0</start>
      <end>2</end>
      <status>unmodified</status>
      <modifiedWord/>
      <trackRevisions>false</trackRevisions>
    </reviewItem>
    <reviewItem>
      <errorID>01738626-d59c-4719-a89f-d63f2d0459dd</errorID>
      <errorWord>粘</errorWord>
      <group>L1_Word</group>
      <groupName>字词问题</groupName>
      <ability>L2_Typo</ability>
      <abilityName>字词错误</abilityName>
      <candidateList>
        <item>黏</item>
      </candidateList>
      <explain>存在发音相同字词的误用。</explain>
      <paraID>6B2FA3C7</paraID>
      <start>55</start>
      <end>56</end>
      <status>unmodified</status>
      <modifiedWord/>
      <trackRevisions>false</trackRevisions>
    </reviewItem>
    <reviewItem>
      <errorID>d8f8fb0b-3951-4535-99e1-b89e0317d30b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565254F1</paraID>
      <start>0</start>
      <end>2</end>
      <status>unmodified</status>
      <modifiedWord/>
      <trackRevisions>false</trackRevisions>
    </reviewItem>
    <reviewItem>
      <errorID>5741b80c-c215-4a4c-90eb-66b281c99c34</errorID>
      <errorWord>外逸</errorWord>
      <group>L1_Word</group>
      <groupName>字词问题</groupName>
      <ability>L2_Typo</ability>
      <abilityName>字词错误</abilityName>
      <candidateList>
        <item>外溢</item>
      </candidateList>
      <explain/>
      <paraID> B461EB1</paraID>
      <start>37</start>
      <end>39</end>
      <status>unmodified</status>
      <modifiedWord/>
      <trackRevisions>false</trackRevisions>
    </reviewItem>
    <reviewItem>
      <errorID>4e18fd41-a21c-480a-b20f-f8142b585ce6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B4A80E8</paraID>
      <start>0</start>
      <end>2</end>
      <status>unmodified</status>
      <modifiedWord/>
      <trackRevisions>false</trackRevisions>
    </reviewItem>
    <reviewItem>
      <errorID>f4c5f0fe-ec10-42d1-a9ba-17ba655ad546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10B48A2C</paraID>
      <start>0</start>
      <end>2</end>
      <status>unmodified</status>
      <modifiedWord/>
      <trackRevisions>false</trackRevisions>
    </reviewItem>
    <reviewItem>
      <errorID>b43266b1-7b22-4743-b917-c6939e9ca714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CBC8AF4</paraID>
      <start>0</start>
      <end>2</end>
      <status>unmodified</status>
      <modifiedWord/>
      <trackRevisions>false</trackRevisions>
    </reviewItem>
    <reviewItem>
      <errorID>f5d90103-ec6f-4572-940b-c84b05c9b3a4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42CB0269</paraID>
      <start>0</start>
      <end>2</end>
      <status>unmodified</status>
      <modifiedWord/>
      <trackRevisions>false</trackRevisions>
    </reviewItem>
    <reviewItem>
      <errorID>06a363d6-c2d5-4299-b95d-774637dbd7e7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747F4445</paraID>
      <start>0</start>
      <end>2</end>
      <status>unmodified</status>
      <modifiedWord/>
      <trackRevisions>false</trackRevisions>
    </reviewItem>
    <reviewItem>
      <errorID>19ed860d-7271-4168-bb3a-1bb190e335ee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36BEAF80</paraID>
      <start>0</start>
      <end>2</end>
      <status>unmodified</status>
      <modifiedWord/>
      <trackRevisions>false</trackRevisions>
    </reviewItem>
    <reviewItem>
      <errorID>46b3d39e-49a6-4181-b97a-6942add873e7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608224D7</paraID>
      <start>0</start>
      <end>2</end>
      <status>unmodified</status>
      <modifiedWord/>
      <trackRevisions>false</trackRevisions>
    </reviewItem>
    <reviewItem>
      <errorID>f8c9d7c6-c66c-443c-bf83-d047df554d30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35CA8E91</paraID>
      <start>0</start>
      <end>2</end>
      <status>unmodified</status>
      <modifiedWord/>
      <trackRevisions>false</trackRevisions>
    </reviewItem>
    <reviewItem>
      <errorID>e9f3d58b-4971-4a93-8af0-cef4c00229cf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548BD82</paraID>
      <start>0</start>
      <end>2</end>
      <status>unmodified</status>
      <modifiedWord/>
      <trackRevisions>false</trackRevisions>
    </reviewItem>
    <reviewItem>
      <errorID>c27ce7c8-3da5-470b-9f36-71f75363471c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45B4EAD3</paraID>
      <start>0</start>
      <end>2</end>
      <status>unmodified</status>
      <modifiedWord/>
      <trackRevisions>false</trackRevisions>
    </reviewItem>
    <reviewItem>
      <errorID>621ee18d-39b0-4124-9494-43836e3dc5f1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7EEC205F</paraID>
      <start>0</start>
      <end>2</end>
      <status>unmodified</status>
      <modifiedWord/>
      <trackRevisions>false</trackRevisions>
    </reviewItem>
    <reviewItem>
      <errorID>8746596d-90c5-466d-bb37-92d0f557715d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6445C09E</paraID>
      <start>0</start>
      <end>2</end>
      <status>unmodified</status>
      <modifiedWord/>
      <trackRevisions>false</trackRevisions>
    </reviewItem>
    <reviewItem>
      <errorID>08625d62-62f2-4283-89b1-76cc6b6d52e1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3B134844</paraID>
      <start>0</start>
      <end>2</end>
      <status>unmodified</status>
      <modifiedWord/>
      <trackRevisions>false</trackRevisions>
    </reviewItem>
    <reviewItem>
      <errorID>d1aa6513-9552-4f40-89f1-6006e123fa4c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72A44338</paraID>
      <start>0</start>
      <end>2</end>
      <status>unmodified</status>
      <modifiedWord/>
      <trackRevisions>false</trackRevisions>
    </reviewItem>
    <reviewItem>
      <errorID>a5a4b0c4-6ea0-491c-8d1a-1ac1cd5eba57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27ADDC06</paraID>
      <start>0</start>
      <end>2</end>
      <status>unmodified</status>
      <modifiedWord/>
      <trackRevisions>false</trackRevisions>
    </reviewItem>
    <reviewItem>
      <errorID>de2255ca-b797-4816-9cee-f6c81ba10948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35855C38</paraID>
      <start>0</start>
      <end>2</end>
      <status>unmodified</status>
      <modifiedWord/>
      <trackRevisions>false</trackRevisions>
    </reviewItem>
    <reviewItem>
      <errorID>6d39cdc7-27cd-4178-a230-cf153a3acec5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6129148A</paraID>
      <start>0</start>
      <end>2</end>
      <status>unmodified</status>
      <modifiedWord/>
      <trackRevisions>false</trackRevisions>
    </reviewItem>
    <reviewItem>
      <errorID>cd13f6ed-0c9c-433b-8944-667223ff921a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5341F2E1</paraID>
      <start>0</start>
      <end>2</end>
      <status>unmodified</status>
      <modifiedWord/>
      <trackRevisions>false</trackRevisions>
    </reviewItem>
    <reviewItem>
      <errorID>852cc367-0a87-4b6a-b073-f1110e03ea7f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4E3F0558</paraID>
      <start>0</start>
      <end>2</end>
      <status>unmodified</status>
      <modifiedWord/>
      <trackRevisions>false</trackRevisions>
    </reviewItem>
    <reviewItem>
      <errorID>62db63ca-45e9-4d70-a978-beda04379582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33C0E07D</paraID>
      <start>0</start>
      <end>2</end>
      <status>unmodified</status>
      <modifiedWord/>
      <trackRevisions>false</trackRevisions>
    </reviewItem>
    <reviewItem>
      <errorID>e450a2e0-275b-4477-b93d-ac29f735f486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513A5AA0</paraID>
      <start>0</start>
      <end>2</end>
      <status>unmodified</status>
      <modifiedWord/>
      <trackRevisions>false</trackRevisions>
    </reviewItem>
    <reviewItem>
      <errorID>09a304af-6197-4734-a527-55db367d4617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1881590A</paraID>
      <start>0</start>
      <end>2</end>
      <status>unmodified</status>
      <modifiedWord/>
      <trackRevisions>false</trackRevisions>
    </reviewItem>
    <reviewItem>
      <errorID>505af3be-9754-4d26-a623-53e684db85e7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39602184</paraID>
      <start>0</start>
      <end>2</end>
      <status>unmodified</status>
      <modifiedWord/>
      <trackRevisions>false</trackRevisions>
    </reviewItem>
    <reviewItem>
      <errorID>9d5929f5-b42d-4805-b91a-2a4661e73246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7E7493A</paraID>
      <start>0</start>
      <end>2</end>
      <status>unmodified</status>
      <modifiedWord/>
      <trackRevisions>false</trackRevisions>
    </reviewItem>
    <reviewItem>
      <errorID>c740ca5c-01a8-4c4a-9a04-0f010942ab65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787840DD</paraID>
      <start>0</start>
      <end>2</end>
      <status>unmodified</status>
      <modifiedWord/>
      <trackRevisions>false</trackRevisions>
    </reviewItem>
    <reviewItem>
      <errorID>0d562c75-de3e-4b63-a6ae-918dec7d0eb4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C661764</paraID>
      <start>0</start>
      <end>2</end>
      <status>unmodified</status>
      <modifiedWord/>
      <trackRevisions>false</trackRevisions>
    </reviewItem>
    <reviewItem>
      <errorID>31e6e7c5-e844-466e-87d6-42bc2e32c149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910EE27</paraID>
      <start>0</start>
      <end>2</end>
      <status>unmodified</status>
      <modifiedWord/>
      <trackRevisions>false</trackRevisions>
    </reviewItem>
    <reviewItem>
      <errorID>47bfc520-b596-4e3c-8c3a-8b57b9686fb4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8ADAE65</paraID>
      <start>0</start>
      <end>2</end>
      <status>unmodified</status>
      <modifiedWord/>
      <trackRevisions>false</trackRevisions>
    </reviewItem>
    <reviewItem>
      <errorID>b77c75f6-1ecf-4cf2-b7f1-b029f0a5316b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451F7188</paraID>
      <start>0</start>
      <end>2</end>
      <status>unmodified</status>
      <modifiedWord/>
      <trackRevisions>false</trackRevisions>
    </reviewItem>
    <reviewItem>
      <errorID>6e9c1d2c-5632-4ade-8950-f83c506e7713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38BC07BD</paraID>
      <start>0</start>
      <end>2</end>
      <status>unmodified</status>
      <modifiedWord/>
      <trackRevisions>false</trackRevisions>
    </reviewItem>
    <reviewItem>
      <errorID>e652f0ee-a24d-44cc-9852-a3edcf7d7d53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6463935D</paraID>
      <start>0</start>
      <end>2</end>
      <status>unmodified</status>
      <modifiedWord/>
      <trackRevisions>false</trackRevisions>
    </reviewItem>
    <reviewItem>
      <errorID>8f016aaf-6b25-4abb-acb0-50b8a6941c08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2BF01437</paraID>
      <start>71</start>
      <end>72</end>
      <status>unmodified</status>
      <modifiedWord/>
      <trackRevisions>false</trackRevisions>
    </reviewItem>
    <reviewItem>
      <errorID>92e4f752-0d54-420a-a125-f5ecf08f09bf</errorID>
      <errorWord>[2018]22号</errorWord>
      <group>L1_Knowledge</group>
      <groupName>知识性问题</groupName>
      <ability>L2_Knowledge</ability>
      <abilityName>其他知识</abilityName>
      <candidateList>
        <item>〔2018〕22号</item>
      </candidateList>
      <explain>发文字号格式错误。</explain>
      <paraID>616CFB3B</paraID>
      <start>56</start>
      <end>65</end>
      <status>unmodified</status>
      <modifiedWord/>
      <trackRevisions>false</trackRevisions>
    </reviewItem>
    <reviewItem>
      <errorID>6ba441c5-d2bf-4787-ac8e-cf953fe6bb67</errorID>
      <errorWord>-</errorWord>
      <group>L1_Format</group>
      <groupName>格式问题</groupName>
      <ability>L2_HalfPunc_CN</ability>
      <abilityName>全半角问题</abilityName>
      <candidateList>
        <item>－</item>
      </candidateList>
      <explain>文本全半角错误。</explain>
      <paraID>1D640CDB</paraID>
      <start>14</start>
      <end>15</end>
      <status>unmodified</status>
      <modifiedWord/>
      <trackRevisions>false</trackRevisions>
    </reviewItem>
    <reviewItem>
      <errorID>7673b9e4-7f7f-4fd4-bd73-cc7f8a4cf8b9</errorID>
      <errorWord>（</errorWord>
      <group>L1_Punc</group>
      <groupName>标点问题</groupName>
      <ability>L2_Punc_CN</ability>
      <abilityName>标点符号问题</abilityName>
      <candidateList/>
      <explain>同一形式括号套用。</explain>
      <paraID>212620A2</paraID>
      <start>105</start>
      <end>106</end>
      <status>unmodified</status>
      <modifiedWord/>
      <trackRevisions>false</trackRevisions>
    </reviewItem>
    <reviewItem>
      <errorID>ae6d3a26-f5e1-422d-8d6f-0dede63a472b</errorID>
      <errorWord>）</errorWord>
      <group>L1_Punc</group>
      <groupName>标点问题</groupName>
      <ability>L2_Punc_CN</ability>
      <abilityName>标点符号问题</abilityName>
      <candidateList/>
      <explain>同一形式括号套用。</explain>
      <paraID>212620A2</paraID>
      <start>107</start>
      <end>108</end>
      <status>unmodified</status>
      <modifiedWord/>
      <trackRevisions>false</trackRevisions>
    </reviewItem>
    <reviewItem>
      <errorID>c33bd9d9-9efa-40ca-9983-b1b01eb52283</errorID>
      <errorWord>生态红线</errorWord>
      <group>L1_Political</group>
      <groupName>政治性问题</groupName>
      <ability>L2_Unpolitical</ability>
      <abilityName>政治敏感错误</abilityName>
      <candidateList>
        <item>生态保护红线</item>
      </candidateList>
      <explain/>
      <paraID>43FC7E79</paraID>
      <start>42</start>
      <end>46</end>
      <status>unmodified</status>
      <modifiedWord/>
      <trackRevisions>false</trackRevisions>
    </reviewItem>
    <reviewItem>
      <errorID>c318ac3a-aa22-412b-9c84-c286cad82432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18904E89</paraID>
      <start>0</start>
      <end>3</end>
      <status>unmodified</status>
      <modifiedWord/>
      <trackRevisions>false</trackRevisions>
    </reviewItem>
    <reviewItem>
      <errorID>f9d60193-f9c3-4014-8acf-7142d21e4474</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285DFEB5</paraID>
      <start>0</start>
      <end>3</end>
      <status>unmodified</status>
      <modifiedWord/>
      <trackRevisions>false</trackRevisions>
    </reviewItem>
    <reviewItem>
      <errorID>864256cb-7935-457c-9d21-33b8cbe877d5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370C4842</paraID>
      <start>26</start>
      <end>27</end>
      <status>unmodified</status>
      <modifiedWord/>
      <trackRevisions>false</trackRevisions>
    </reviewItem>
    <reviewItem>
      <errorID>a1aa11cd-1f64-489b-bde7-a391ac3a5c90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12A4C7BA</paraID>
      <start>82</start>
      <end>83</end>
      <status>unmodified</status>
      <modifiedWord/>
      <trackRevisions>false</trackRevisions>
    </reviewItem>
    <reviewItem>
      <errorID>4bc2179d-7696-4fc4-b83b-17d0ec465643</errorID>
      <errorWord>II类</errorWord>
      <group>L1_Knowledge</group>
      <groupName>知识性问题</groupName>
      <ability>L2_Knowledge</ability>
      <abilityName>其他知识</abilityName>
      <candidateList>
        <item>Ⅱ类</item>
      </candidateList>
      <explain>中文环境下罗马数字格式错误。</explain>
      <paraID>320C9F41</paraID>
      <start>0</start>
      <end>3</end>
      <status>unmodified</status>
      <modifiedWord/>
      <trackRevisions>false</trackRevisions>
    </reviewItem>
    <reviewItem>
      <errorID>7ead4444-90c1-49a6-b89c-5913393f7ba1</errorID>
      <errorWord>II类</errorWord>
      <group>L1_Knowledge</group>
      <groupName>知识性问题</groupName>
      <ability>L2_Knowledge</ability>
      <abilityName>其他知识</abilityName>
      <candidateList>
        <item>Ⅱ类</item>
      </candidateList>
      <explain>中文环境下罗马数字格式错误。</explain>
      <paraID>1EE72B79</paraID>
      <start>6</start>
      <end>9</end>
      <status>unmodified</status>
      <modifiedWord/>
      <trackRevisions>false</trackRevisions>
    </reviewItem>
    <reviewItem>
      <errorID>7aa68666-a142-4b47-abaa-bb72b0361b9d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4C232C0E</paraID>
      <start>50</start>
      <end>51</end>
      <status>unmodified</status>
      <modifiedWord/>
      <trackRevisions>false</trackRevisions>
    </reviewItem>
    <reviewItem>
      <errorID>c7a5deda-113f-4070-8f7f-28b1bd11b30a</errorID>
      <errorWord>II类</errorWord>
      <group>L1_Knowledge</group>
      <groupName>知识性问题</groupName>
      <ability>L2_Knowledge</ability>
      <abilityName>其他知识</abilityName>
      <candidateList>
        <item>Ⅱ类</item>
      </candidateList>
      <explain>中文环境下罗马数字格式错误。</explain>
      <paraID> 62AE63C</paraID>
      <start>17</start>
      <end>20</end>
      <status>unmodified</status>
      <modifiedWord/>
      <trackRevisions>false</trackRevisions>
    </reviewItem>
    <reviewItem>
      <errorID>3ff6ad27-0b12-4a49-85a1-85f7c19f6439</errorID>
      <errorWord>II类</errorWord>
      <group>L1_Knowledge</group>
      <groupName>知识性问题</groupName>
      <ability>L2_Knowledge</ability>
      <abilityName>其他知识</abilityName>
      <candidateList>
        <item>Ⅱ类</item>
      </candidateList>
      <explain>中文环境下罗马数字格式错误。</explain>
      <paraID>21F9C469</paraID>
      <start>5</start>
      <end>8</end>
      <status>unmodified</status>
      <modifiedWord/>
      <trackRevisions>false</trackRevisions>
    </reviewItem>
    <reviewItem>
      <errorID>1f7be15d-24c2-4e47-9b7f-5a6adab04d8b</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7C933F05</paraID>
      <start>0</start>
      <end>3</end>
      <status>unmodified</status>
      <modifiedWord/>
      <trackRevisions>false</trackRevisions>
    </reviewItem>
    <reviewItem>
      <errorID>6426b926-d3c7-4d00-82d9-f546b7fdbbce</errorID>
      <errorWord>-</errorWord>
      <group>L1_Format</group>
      <groupName>格式问题</groupName>
      <ability>L2_HalfPunc_CN</ability>
      <abilityName>全半角问题</abilityName>
      <candidateList>
        <item>－</item>
      </candidateList>
      <explain>文本全半角错误。</explain>
      <paraID>63C78DBC</paraID>
      <start>78</start>
      <end>79</end>
      <status>unmodified</status>
      <modifiedWord/>
      <trackRevisions>false</trackRevisions>
    </reviewItem>
    <reviewItem>
      <errorID>9595a2ab-8bbf-4bdb-a547-b19d08ac8086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63C78DBC</paraID>
      <start>95</start>
      <end>96</end>
      <status>unmodified</status>
      <modifiedWord/>
      <trackRevisions>false</trackRevisions>
    </reviewItem>
    <reviewItem>
      <errorID>55f7b132-c4d1-4101-92ae-3911c3054ffc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435EE514</paraID>
      <start>29</start>
      <end>30</end>
      <status>unmodified</status>
      <modifiedWord/>
      <trackRevisions>false</trackRevisions>
    </reviewItem>
    <reviewItem>
      <errorID>55ffb6fe-2db3-4119-aa06-c0315ab9e38e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3C03C435</paraID>
      <start>0</start>
      <end>2</end>
      <status>unmodified</status>
      <modifiedWord/>
      <trackRevisions>false</trackRevisions>
    </reviewItem>
    <reviewItem>
      <errorID>94e1c0dd-5694-49c6-a390-8a1030504556</errorID>
      <errorWord>，原</errorWord>
      <group>L1_Word</group>
      <groupName>字词问题</groupName>
      <ability>L2_Typo</ability>
      <abilityName>字词错误</abilityName>
      <candidateList>
        <item>，</item>
      </candidateList>
      <explain/>
      <paraID>6739F841</paraID>
      <start>23</start>
      <end>25</end>
      <status>unmodified</status>
      <modifiedWord/>
      <trackRevisions>false</trackRevisions>
    </reviewItem>
    <reviewItem>
      <errorID>f18b6d89-7694-441f-9fa8-d3e6b38a6c5f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654B812D</paraID>
      <start>16</start>
      <end>19</end>
      <status>unmodified</status>
      <modifiedWord/>
      <trackRevisions>false</trackRevisions>
    </reviewItem>
    <reviewItem>
      <errorID>923fcf12-0247-457f-890d-5e16e642926f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13AFEBAC</paraID>
      <start>0</start>
      <end>2</end>
      <status>unmodified</status>
      <modifiedWord/>
      <trackRevisions>false</trackRevisions>
    </reviewItem>
    <reviewItem>
      <errorID>4763835b-2ff4-4c7b-aa28-874d39da19c3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282C4CF9</paraID>
      <start>0</start>
      <end>2</end>
      <status>unmodified</status>
      <modifiedWord/>
      <trackRevisions>false</trackRevisions>
    </reviewItem>
    <reviewItem>
      <errorID>195962b5-3e6a-4b1b-ba52-c338f56cb951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2AE944AE</paraID>
      <start>0</start>
      <end>2</end>
      <status>unmodified</status>
      <modifiedWord/>
      <trackRevisions>false</trackRevisions>
    </reviewItem>
    <reviewItem>
      <errorID>3b5af0ca-af5f-468f-b16e-b7fdaf0c9d84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17BC517F</paraID>
      <start>0</start>
      <end>2</end>
      <status>unmodified</status>
      <modifiedWord/>
      <trackRevisions>false</trackRevisions>
    </reviewItem>
    <reviewItem>
      <errorID>22da74e3-268e-4047-8084-c4b4e0655007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6E6BF0C2</paraID>
      <start>0</start>
      <end>2</end>
      <status>unmodified</status>
      <modifiedWord/>
      <trackRevisions>false</trackRevisions>
    </reviewItem>
    <reviewItem>
      <errorID>ac8f5e53-ea82-4a1e-aad5-9d9f15e40314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604A790B</paraID>
      <start>0</start>
      <end>2</end>
      <status>unmodified</status>
      <modifiedWord/>
      <trackRevisions>false</trackRevisions>
    </reviewItem>
    <reviewItem>
      <errorID>d88b4484-b1fc-42a4-b2e5-beb5a0ccfb4a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6B3BEDC</paraID>
      <start>0</start>
      <end>3</end>
      <status>unmodified</status>
      <modifiedWord/>
      <trackRevisions>false</trackRevisions>
    </reviewItem>
    <reviewItem>
      <errorID>85c6e1d9-c015-40d3-8813-7de6e2601a8e</errorID>
      <errorWord>(</errorWord>
      <group>L1_Format</group>
      <groupName>格式问题</groupName>
      <ability>L2_HalfPunc_CN</ability>
      <abilityName>全半角问题</abilityName>
      <candidateList>
        <item>（</item>
      </candidateList>
      <explain>文本全半角错误。</explain>
      <paraID> 6B3BEDC</paraID>
      <start>13</start>
      <end>14</end>
      <status>unmodified</status>
      <modifiedWord/>
      <trackRevisions>false</trackRevisions>
    </reviewItem>
    <reviewItem>
      <errorID>d55dd6b7-cd75-477a-9c08-06f1b38b5977</errorID>
      <errorWord>)</errorWord>
      <group>L1_Format</group>
      <groupName>格式问题</groupName>
      <ability>L2_HalfPunc_CN</ability>
      <abilityName>全半角问题</abilityName>
      <candidateList>
        <item>）</item>
      </candidateList>
      <explain>文本全半角错误。</explain>
      <paraID> 6B3BEDC</paraID>
      <start>25</start>
      <end>26</end>
      <status>unmodified</status>
      <modifiedWord/>
      <trackRevisions>false</trackRevisions>
    </reviewItem>
    <reviewItem>
      <errorID>36b95f7e-3bbe-4ee1-9686-b562bc41de4a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C16CCE3</paraID>
      <start>0</start>
      <end>3</end>
      <status>unmodified</status>
      <modifiedWord/>
      <trackRevisions>false</trackRevisions>
    </reviewItem>
    <reviewItem>
      <errorID>d235d983-3223-4148-9761-12c97e97702f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29FF1ED0</paraID>
      <start>0</start>
      <end>3</end>
      <status>unmodified</status>
      <modifiedWord/>
      <trackRevisions>false</trackRevisions>
    </reviewItem>
    <reviewItem>
      <errorID>c32841ba-50a2-460b-8287-d7b8e883688e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56523673</paraID>
      <start>0</start>
      <end>3</end>
      <status>unmodified</status>
      <modifiedWord/>
      <trackRevisions>false</trackRevisions>
    </reviewItem>
    <reviewItem>
      <errorID>37ae4d2b-32cc-40df-a9f0-9ebf984e92c6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BC4A55F</paraID>
      <start>0</start>
      <end>2</end>
      <status>unmodified</status>
      <modifiedWord/>
      <trackRevisions>false</trackRevisions>
    </reviewItem>
    <reviewItem>
      <errorID>6fd1a735-bc20-40cc-91b9-d0cbd1e0c7ba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227A5E4D</paraID>
      <start>0</start>
      <end>2</end>
      <status>unmodified</status>
      <modifiedWord/>
      <trackRevisions>false</trackRevisions>
    </reviewItem>
    <reviewItem>
      <errorID>477f0f9d-267e-477e-818a-c092bf242dfd</errorID>
      <errorWord>(</errorWord>
      <group>L1_Format</group>
      <groupName>格式问题</groupName>
      <ability>L2_HalfPunc_CN</ability>
      <abilityName>全半角问题</abilityName>
      <candidateList>
        <item>（</item>
      </candidateList>
      <explain>文本全半角错误。</explain>
      <paraID>227A5E4D</paraID>
      <start>28</start>
      <end>29</end>
      <status>unmodified</status>
      <modifiedWord/>
      <trackRevisions>false</trackRevisions>
    </reviewItem>
    <reviewItem>
      <errorID>da2cccb4-7675-41ff-bca8-305dff388d2e</errorID>
      <errorWord>)</errorWord>
      <group>L1_Format</group>
      <groupName>格式问题</groupName>
      <ability>L2_HalfPunc_CN</ability>
      <abilityName>全半角问题</abilityName>
      <candidateList>
        <item>）</item>
      </candidateList>
      <explain>文本全半角错误。</explain>
      <paraID>227A5E4D</paraID>
      <start>58</start>
      <end>59</end>
      <status>unmodified</status>
      <modifiedWord/>
      <trackRevisions>false</trackRevisions>
    </reviewItem>
    <reviewItem>
      <errorID>8c359b01-8f26-46a4-bac2-83da8eb0adb7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727D3720</paraID>
      <start>0</start>
      <end>2</end>
      <status>unmodified</status>
      <modifiedWord/>
      <trackRevisions>false</trackRevisions>
    </reviewItem>
    <reviewItem>
      <errorID>49fab0bd-2507-4002-b58a-a24a0ec70131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14CF279C</paraID>
      <start>0</start>
      <end>3</end>
      <status>unmodified</status>
      <modifiedWord/>
      <trackRevisions>false</trackRevisions>
    </reviewItem>
    <reviewItem>
      <errorID>055b1d85-eb1c-421f-bfef-9d4cddc6bcfa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3C44710D</paraID>
      <start>0</start>
      <end>3</end>
      <status>unmodified</status>
      <modifiedWord/>
      <trackRevisions>false</trackRevisions>
    </reviewItem>
    <reviewItem>
      <errorID>37f28f4d-dd2a-40d9-aeb8-d8d6853186d4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488C4C6A</paraID>
      <start>0</start>
      <end>3</end>
      <status>unmodified</status>
      <modifiedWord/>
      <trackRevisions>false</trackRevisions>
    </reviewItem>
    <reviewItem>
      <errorID>3e52b6dc-0d86-403c-824e-eaf11146b3d9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577257BA</paraID>
      <start>0</start>
      <end>3</end>
      <status>unmodified</status>
      <modifiedWord/>
      <trackRevisions>false</trackRevisions>
    </reviewItem>
    <reviewItem>
      <errorID>9f3871da-414c-413d-8e1e-fde703d0c1c1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324701E6</paraID>
      <start>0</start>
      <end>2</end>
      <status>unmodified</status>
      <modifiedWord/>
      <trackRevisions>false</trackRevisions>
    </reviewItem>
    <reviewItem>
      <errorID>9bda252e-2d62-41b1-8606-c8d652e561a6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508405B</paraID>
      <start>0</start>
      <end>2</end>
      <status>unmodified</status>
      <modifiedWord/>
      <trackRevisions>false</trackRevisions>
    </reviewItem>
    <reviewItem>
      <errorID>1e3eb9e4-d22f-4dba-a346-44e69425dad9</errorID>
      <errorWord>(</errorWord>
      <group>L1_Format</group>
      <groupName>格式问题</groupName>
      <ability>L2_HalfPunc_CN</ability>
      <abilityName>全半角问题</abilityName>
      <candidateList>
        <item>（</item>
      </candidateList>
      <explain>文本全半角错误。</explain>
      <paraID>3398505D</paraID>
      <start>47</start>
      <end>48</end>
      <status>unmodified</status>
      <modifiedWord/>
      <trackRevisions>false</trackRevisions>
    </reviewItem>
    <reviewItem>
      <errorID>39763037-1c67-4fa4-a7a4-7ec3968703d9</errorID>
      <errorWord>)</errorWord>
      <group>L1_Format</group>
      <groupName>格式问题</groupName>
      <ability>L2_HalfPunc_CN</ability>
      <abilityName>全半角问题</abilityName>
      <candidateList>
        <item>）</item>
      </candidateList>
      <explain>文本全半角错误。</explain>
      <paraID>3398505D</paraID>
      <start>65</start>
      <end>66</end>
      <status>unmodified</status>
      <modifiedWord/>
      <trackRevisions>false</trackRevisions>
    </reviewItem>
    <reviewItem>
      <errorID>2faaf72d-2123-486a-bd65-b2084ff71242</errorID>
      <errorWord>(</errorWord>
      <group>L1_Format</group>
      <groupName>格式问题</groupName>
      <ability>L2_HalfPunc_CN</ability>
      <abilityName>全半角问题</abilityName>
      <candidateList>
        <item>（</item>
      </candidateList>
      <explain>文本全半角错误。</explain>
      <paraID>3398505D</paraID>
      <start>117</start>
      <end>118</end>
      <status>unmodified</status>
      <modifiedWord/>
      <trackRevisions>false</trackRevisions>
    </reviewItem>
    <reviewItem>
      <errorID>2e55cdbe-f311-4bc2-b328-049e27381d27</errorID>
      <errorWord>)</errorWord>
      <group>L1_Format</group>
      <groupName>格式问题</groupName>
      <ability>L2_HalfPunc_CN</ability>
      <abilityName>全半角问题</abilityName>
      <candidateList>
        <item>）</item>
      </candidateList>
      <explain>文本全半角错误。</explain>
      <paraID>3398505D</paraID>
      <start>122</start>
      <end>123</end>
      <status>unmodified</status>
      <modifiedWord/>
      <trackRevisions>false</trackRevisions>
    </reviewItem>
    <reviewItem>
      <errorID>ec9da514-1557-46b5-8e94-b9a96f60d9f0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6FD0B536</paraID>
      <start>0</start>
      <end>2</end>
      <status>unmodified</status>
      <modifiedWord/>
      <trackRevisions>false</trackRevisions>
    </reviewItem>
    <reviewItem>
      <errorID>c4370840-7ab9-40b1-980a-70f8339e9616</errorID>
      <errorWord>(</errorWord>
      <group>L1_Format</group>
      <groupName>格式问题</groupName>
      <ability>L2_HalfPunc_CN</ability>
      <abilityName>全半角问题</abilityName>
      <candidateList>
        <item>（</item>
      </candidateList>
      <explain>文本全半角错误。</explain>
      <paraID>6FD0B536</paraID>
      <start>49</start>
      <end>50</end>
      <status>unmodified</status>
      <modifiedWord/>
      <trackRevisions>false</trackRevisions>
    </reviewItem>
    <reviewItem>
      <errorID>4f71860f-5b52-47ba-8f76-6f9938825d77</errorID>
      <errorWord>)</errorWord>
      <group>L1_Format</group>
      <groupName>格式问题</groupName>
      <ability>L2_HalfPunc_CN</ability>
      <abilityName>全半角问题</abilityName>
      <candidateList>
        <item>）</item>
      </candidateList>
      <explain>文本全半角错误。</explain>
      <paraID>6FD0B536</paraID>
      <start>67</start>
      <end>68</end>
      <status>unmodified</status>
      <modifiedWord/>
      <trackRevisions>false</trackRevisions>
    </reviewItem>
    <reviewItem>
      <errorID>f3baaaa1-572a-442c-b4f4-4a1f8030f3ce</errorID>
      <errorWord>(</errorWord>
      <group>L1_Format</group>
      <groupName>格式问题</groupName>
      <ability>L2_HalfPunc_CN</ability>
      <abilityName>全半角问题</abilityName>
      <candidateList>
        <item>（</item>
      </candidateList>
      <explain>文本全半角错误。</explain>
      <paraID>6FD0B536</paraID>
      <start>119</start>
      <end>120</end>
      <status>unmodified</status>
      <modifiedWord/>
      <trackRevisions>false</trackRevisions>
    </reviewItem>
    <reviewItem>
      <errorID>d74ece05-085d-4cbc-96b4-191ae58dda86</errorID>
      <errorWord>)</errorWord>
      <group>L1_Format</group>
      <groupName>格式问题</groupName>
      <ability>L2_HalfPunc_CN</ability>
      <abilityName>全半角问题</abilityName>
      <candidateList>
        <item>）</item>
      </candidateList>
      <explain>文本全半角错误。</explain>
      <paraID>6FD0B536</paraID>
      <start>124</start>
      <end>125</end>
      <status>unmodified</status>
      <modifiedWord/>
      <trackRevisions>false</trackRevisions>
    </reviewItem>
    <reviewItem>
      <errorID>9927361e-b30e-42c6-8f16-b748417265dd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3CD07ABE</paraID>
      <start>0</start>
      <end>2</end>
      <status>unmodified</status>
      <modifiedWord/>
      <trackRevisions>false</trackRevisions>
    </reviewItem>
    <reviewItem>
      <errorID>75be900c-5973-4edb-9d46-e8d1c5989890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2B7D6B43</paraID>
      <start>0</start>
      <end>2</end>
      <status>unmodified</status>
      <modifiedWord/>
      <trackRevisions>false</trackRevisions>
    </reviewItem>
    <reviewItem>
      <errorID>c9ca32ae-0d25-462b-8a2b-edeb93643047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1C7414A3</paraID>
      <start>0</start>
      <end>2</end>
      <status>unmodified</status>
      <modifiedWord/>
      <trackRevisions>false</trackRevisions>
    </reviewItem>
    <reviewItem>
      <errorID>0bcf5699-8e13-4db1-9d79-37a122f013cc</errorID>
      <errorWord>)</errorWord>
      <group>L1_Format</group>
      <groupName>格式问题</groupName>
      <ability>L2_HalfPunc_CN</ability>
      <abilityName>全半角问题</abilityName>
      <candidateList>
        <item>）</item>
      </candidateList>
      <explain>文本全半角错误。</explain>
      <paraID>5B69A435</paraID>
      <start>37</start>
      <end>38</end>
      <status>unmodified</status>
      <modifiedWord/>
      <trackRevisions>false</trackRevisions>
    </reviewItem>
    <reviewItem>
      <errorID>e758aaf8-c934-4985-99cd-19a928f980e0</errorID>
      <errorWord>、</errorWord>
      <group>L1_Punc</group>
      <groupName>标点问题</groupName>
      <ability>L2_Punc_CN</ability>
      <abilityName>标点符号问题</abilityName>
      <candidateList>
        <item>.</item>
      </candidateList>
      <explain/>
      <paraID>133B614B</paraID>
      <start>1</start>
      <end>2</end>
      <status>unmodified</status>
      <modifiedWord/>
      <trackRevisions>false</trackRevisions>
    </reviewItem>
    <reviewItem>
      <errorID>e28fe32b-03d6-4087-8b1a-ffd9c4032b4c</errorID>
      <errorWord>、</errorWord>
      <group>L1_Punc</group>
      <groupName>标点问题</groupName>
      <ability>L2_Punc_CN</ability>
      <abilityName>标点符号问题</abilityName>
      <candidateList>
        <item>.</item>
      </candidateList>
      <explain/>
      <paraID>7DBD99DC</paraID>
      <start>1</start>
      <end>2</end>
      <status>unmodified</status>
      <modifiedWord/>
      <trackRevisions>false</trackRevisions>
    </reviewItem>
    <reviewItem>
      <errorID>d309e4ba-8acf-4b8a-8b32-d73638448930</errorID>
      <errorWord>、</errorWord>
      <group>L1_Punc</group>
      <groupName>标点问题</groupName>
      <ability>L2_Punc_CN</ability>
      <abilityName>标点符号问题</abilityName>
      <candidateList>
        <item>.</item>
      </candidateList>
      <explain/>
      <paraID>744A7DC3</paraID>
      <start>1</start>
      <end>2</end>
      <status>unmodified</status>
      <modifiedWord/>
      <trackRevisions>false</trackRevisions>
    </reviewItem>
    <reviewItem>
      <errorID>d3e3f810-282e-420c-81c6-fe6778b50b19</errorID>
      <errorWord>、</errorWord>
      <group>L1_Punc</group>
      <groupName>标点问题</groupName>
      <ability>L2_Punc_CN</ability>
      <abilityName>标点符号问题</abilityName>
      <candidateList>
        <item>.</item>
      </candidateList>
      <explain/>
      <paraID>450A16E3</paraID>
      <start>1</start>
      <end>2</end>
      <status>unmodified</status>
      <modifiedWord/>
      <trackRevisions>false</trackRevisions>
    </reviewItem>
    <reviewItem>
      <errorID>30d90ea3-e97c-4274-9c7b-060543fa29f8</errorID>
      <errorWord>、</errorWord>
      <group>L1_Punc</group>
      <groupName>标点问题</groupName>
      <ability>L2_Punc_CN</ability>
      <abilityName>标点符号问题</abilityName>
      <candidateList>
        <item>.</item>
      </candidateList>
      <explain/>
      <paraID>32A103D7</paraID>
      <start>1</start>
      <end>2</end>
      <status>unmodified</status>
      <modifiedWord/>
      <trackRevisions>false</trackRevisions>
    </reviewItem>
    <reviewItem>
      <errorID>d2ffff04-f199-4537-a85d-8c80e62e9bed</errorID>
      <errorWord>、</errorWord>
      <group>L1_Punc</group>
      <groupName>标点问题</groupName>
      <ability>L2_Punc_CN</ability>
      <abilityName>标点符号问题</abilityName>
      <candidateList>
        <item>.</item>
      </candidateList>
      <explain/>
      <paraID>1EB9C566</paraID>
      <start>1</start>
      <end>2</end>
      <status>unmodified</status>
      <modifiedWord/>
      <trackRevisions>false</trackRevisions>
    </reviewItem>
    <reviewItem>
      <errorID>5fbade7b-5a66-4f34-87e1-a320afa4c0cb</errorID>
      <errorWord>、</errorWord>
      <group>L1_Punc</group>
      <groupName>标点问题</groupName>
      <ability>L2_Punc_CN</ability>
      <abilityName>标点符号问题</abilityName>
      <candidateList>
        <item>.</item>
      </candidateList>
      <explain/>
      <paraID>3E03E3E8</paraID>
      <start>1</start>
      <end>2</end>
      <status>unmodified</status>
      <modifiedWord/>
      <trackRevisions>false</trackRevisions>
    </reviewItem>
    <reviewItem>
      <errorID>8bd5e6d2-2460-4298-992b-edba8883cdb9</errorID>
      <errorWord>、</errorWord>
      <group>L1_Punc</group>
      <groupName>标点问题</groupName>
      <ability>L2_Punc_CN</ability>
      <abilityName>标点符号问题</abilityName>
      <candidateList>
        <item>.</item>
      </candidateList>
      <explain/>
      <paraID>1893BE47</paraID>
      <start>1</start>
      <end>2</end>
      <status>unmodified</status>
      <modifiedWord/>
      <trackRevisions>false</trackRevisions>
    </reviewItem>
    <reviewItem>
      <errorID>f63da3bd-36a2-4715-8fba-4e73e144fca9</errorID>
      <errorWord>须</errorWord>
      <group>L1_Word</group>
      <groupName>字词问题</groupName>
      <ability>L2_Typo</ability>
      <abilityName>字词错误</abilityName>
      <candidateList>
        <item>需</item>
      </candidateList>
      <explain>存在发音相同字词的误用。</explain>
      <paraID>1893BE47</paraID>
      <start>38</start>
      <end>39</end>
      <status>unmodified</status>
      <modifiedWord/>
      <trackRevisions>false</trackRevisions>
    </reviewItem>
    <reviewItem>
      <errorID>c3da9aef-e910-46d0-ab6e-c4481e9c7bcc</errorID>
      <errorWord>、</errorWord>
      <group>L1_Punc</group>
      <groupName>标点问题</groupName>
      <ability>L2_Punc_CN</ability>
      <abilityName>标点符号问题</abilityName>
      <candidateList>
        <item>.</item>
      </candidateList>
      <explain/>
      <paraID>2ADD1C47</paraID>
      <start>1</start>
      <end>2</end>
      <status>unmodified</status>
      <modifiedWord/>
      <trackRevisions>false</trackRevisions>
    </reviewItem>
    <reviewItem>
      <errorID>8bdf143e-590d-4394-87f7-857e02661c44</errorID>
      <errorWord>、</errorWord>
      <group>L1_Punc</group>
      <groupName>标点问题</groupName>
      <ability>L2_Punc_CN</ability>
      <abilityName>标点符号问题</abilityName>
      <candidateList>
        <item>.</item>
      </candidateList>
      <explain/>
      <paraID>2E15D466</paraID>
      <start>1</start>
      <end>2</end>
      <status>unmodified</status>
      <modifiedWord/>
      <trackRevisions>false</trackRevisions>
    </reviewItem>
    <reviewItem>
      <errorID>8bf77bfb-3f03-4a79-bbb0-3b0dba95d8c6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1AF95084</paraID>
      <start>0</start>
      <end>2</end>
      <status>unmodified</status>
      <modifiedWord/>
      <trackRevisions>false</trackRevisions>
    </reviewItem>
    <reviewItem>
      <errorID>1e6e6110-9f84-4b3e-ad44-dca1c57f9d65</errorID>
      <errorWord>(</errorWord>
      <group>L1_Format</group>
      <groupName>格式问题</groupName>
      <ability>L2_HalfPunc_CN</ability>
      <abilityName>全半角问题</abilityName>
      <candidateList>
        <item>（</item>
      </candidateList>
      <explain>文本全半角错误。</explain>
      <paraID>7F464692</paraID>
      <start>3</start>
      <end>4</end>
      <status>unmodified</status>
      <modifiedWord/>
      <trackRevisions>false</trackRevisions>
    </reviewItem>
    <reviewItem>
      <errorID>98e882ac-9a29-4ee8-b6ef-71e4e2ec416a</errorID>
      <errorWord>)</errorWord>
      <group>L1_Format</group>
      <groupName>格式问题</groupName>
      <ability>L2_HalfPunc_CN</ability>
      <abilityName>全半角问题</abilityName>
      <candidateList>
        <item>）</item>
      </candidateList>
      <explain>文本全半角错误。</explain>
      <paraID>7F464692</paraID>
      <start>7</start>
      <end>8</end>
      <status>unmodified</status>
      <modifiedWord/>
      <trackRevisions>false</trackRevisions>
    </reviewItem>
    <reviewItem>
      <errorID>b7033b9b-04cc-48fe-aa2f-0cafa36a2fd1</errorID>
      <errorWord>~</errorWord>
      <group>L1_Format</group>
      <groupName>格式问题</groupName>
      <ability>L2_HalfPunc_CN</ability>
      <abilityName>全半角问题</abilityName>
      <candidateList>
        <item>～</item>
      </candidateList>
      <explain>文本全半角错误。</explain>
      <paraID>38333265</paraID>
      <start>5</start>
      <end>6</end>
      <status>unmodified</status>
      <modifiedWord/>
      <trackRevisions>false</trackRevisions>
    </reviewItem>
    <reviewItem>
      <errorID>863869c5-ab5a-48e7-ae62-55260d282fc8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7B9A7ED3</paraID>
      <start>0</start>
      <end>2</end>
      <status>unmodified</status>
      <modifiedWord/>
      <trackRevisions>false</trackRevisions>
    </reviewItem>
    <reviewItem>
      <errorID>2977351b-5ce7-4375-a071-99159c8e9bb3</errorID>
      <errorWord>：</errorWord>
      <group>L1_Format</group>
      <groupName>格式问题</groupName>
      <ability>L2_HalfPunc_CN</ability>
      <abilityName>全半角问题</abilityName>
      <candidateList>
        <item>:</item>
      </candidateList>
      <explain>文本全半角错误。</explain>
      <paraID>7B9A7ED3</paraID>
      <start>73</start>
      <end>74</end>
      <status>unmodified</status>
      <modifiedWord/>
      <trackRevisions>false</trackRevisions>
    </reviewItem>
    <reviewItem>
      <errorID>94372060-f85b-4407-a1f0-b1bbc6462398</errorID>
      <errorWord>：</errorWord>
      <group>L1_Format</group>
      <groupName>格式问题</groupName>
      <ability>L2_HalfPunc_CN</ability>
      <abilityName>全半角问题</abilityName>
      <candidateList>
        <item>:</item>
      </candidateList>
      <explain>文本全半角错误。</explain>
      <paraID>7B9A7ED3</paraID>
      <start>77</start>
      <end>78</end>
      <status>unmodified</status>
      <modifiedWord/>
      <trackRevisions>false</trackRevisions>
    </reviewItem>
    <reviewItem>
      <errorID>4675f3f6-e43e-48c4-baaf-a50a39ccd5c8</errorID>
      <errorWord>：</errorWord>
      <group>L1_Format</group>
      <groupName>格式问题</groupName>
      <ability>L2_HalfPunc_CN</ability>
      <abilityName>全半角问题</abilityName>
      <candidateList>
        <item>:</item>
      </candidateList>
      <explain>文本全半角错误。</explain>
      <paraID>7B9A7ED3</paraID>
      <start>81</start>
      <end>82</end>
      <status>unmodified</status>
      <modifiedWord/>
      <trackRevisions>false</trackRevisions>
    </reviewItem>
    <reviewItem>
      <errorID>4ddd0444-f9d4-4000-aa9c-16d51f45f027</errorID>
      <errorWord>：</errorWord>
      <group>L1_Format</group>
      <groupName>格式问题</groupName>
      <ability>L2_HalfPunc_CN</ability>
      <abilityName>全半角问题</abilityName>
      <candidateList>
        <item>:</item>
      </candidateList>
      <explain>文本全半角错误。</explain>
      <paraID>7B9A7ED3</paraID>
      <start>85</start>
      <end>86</end>
      <status>unmodified</status>
      <modifiedWord/>
      <trackRevisions>false</trackRevisions>
    </reviewItem>
    <reviewItem>
      <errorID>abce0f60-897a-42cf-8355-95d2ecc442bb</errorID>
      <errorWord>：</errorWord>
      <group>L1_Format</group>
      <groupName>格式问题</groupName>
      <ability>L2_HalfPunc_CN</ability>
      <abilityName>全半角问题</abilityName>
      <candidateList>
        <item>:</item>
      </candidateList>
      <explain>文本全半角错误。</explain>
      <paraID>7B9A7ED3</paraID>
      <start>87</start>
      <end>88</end>
      <status>unmodified</status>
      <modifiedWord/>
      <trackRevisions>false</trackRevisions>
    </reviewItem>
    <reviewItem>
      <errorID>f2994b4d-b3f6-4b5e-850d-dc4c4ff46cc8</errorID>
      <errorWord>:</errorWord>
      <group>L1_Format</group>
      <groupName>格式问题</groupName>
      <ability>L2_HalfPunc_CN</ability>
      <abilityName>全半角问题</abilityName>
      <candidateList>
        <item>：</item>
      </candidateList>
      <explain>文本全半角错误。</explain>
      <paraID>683ED98E</paraID>
      <start>25</start>
      <end>26</end>
      <status>unmodified</status>
      <modifiedWord/>
      <trackRevisions>false</trackRevisions>
    </reviewItem>
    <reviewItem>
      <errorID>8b30b16d-9e51-4f46-837a-e21a427f29fe</errorID>
      <errorWord>:</errorWord>
      <group>L1_Format</group>
      <groupName>格式问题</groupName>
      <ability>L2_HalfPunc_CN</ability>
      <abilityName>全半角问题</abilityName>
      <candidateList>
        <item>：</item>
      </candidateList>
      <explain>文本全半角错误。</explain>
      <paraID>7745FAC5</paraID>
      <start>25</start>
      <end>26</end>
      <status>unmodified</status>
      <modifiedWord/>
      <trackRevisions>false</trackRevisions>
    </reviewItem>
    <reviewItem>
      <errorID>b01c4e16-bea3-41f3-bf79-8c7ed3f7603d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232A1D13</paraID>
      <start>0</start>
      <end>2</end>
      <status>unmodified</status>
      <modifiedWord/>
      <trackRevisions>false</trackRevisions>
    </reviewItem>
    <reviewItem>
      <errorID>fe5187f2-1fc3-44de-9f9b-cf83c36ae222</errorID>
      <errorWord>(</errorWord>
      <group>L1_Format</group>
      <groupName>格式问题</groupName>
      <ability>L2_HalfPunc_CN</ability>
      <abilityName>全半角问题</abilityName>
      <candidateList>
        <item>（</item>
      </candidateList>
      <explain>文本全半角错误。</explain>
      <paraID>2E928357</paraID>
      <start>110</start>
      <end>111</end>
      <status>unmodified</status>
      <modifiedWord/>
      <trackRevisions>false</trackRevisions>
    </reviewItem>
    <reviewItem>
      <errorID>b9bef19d-7f23-48a6-b7f2-066ce8c1c839</errorID>
      <errorWord>)</errorWord>
      <group>L1_Format</group>
      <groupName>格式问题</groupName>
      <ability>L2_HalfPunc_CN</ability>
      <abilityName>全半角问题</abilityName>
      <candidateList>
        <item>）</item>
      </candidateList>
      <explain>文本全半角错误。</explain>
      <paraID>2E928357</paraID>
      <start>129</start>
      <end>130</end>
      <status>unmodified</status>
      <modifiedWord/>
      <trackRevisions>false</trackRevisions>
    </reviewItem>
    <reviewItem>
      <errorID>19fddf92-9738-4616-9b01-2aa5300f4d6d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591E9721</paraID>
      <start>0</start>
      <end>2</end>
      <status>unmodified</status>
      <modifiedWord/>
      <trackRevisions>false</trackRevisions>
    </reviewItem>
    <reviewItem>
      <errorID>74a9b1e6-b042-470f-b7db-2b0e3e725930</errorID>
      <errorWord>(</errorWord>
      <group>L1_Format</group>
      <groupName>格式问题</groupName>
      <ability>L2_HalfPunc_CN</ability>
      <abilityName>全半角问题</abilityName>
      <candidateList>
        <item>（</item>
      </candidateList>
      <explain>文本全半角错误。</explain>
      <paraID>3A84877B</paraID>
      <start>4</start>
      <end>5</end>
      <status>unmodified</status>
      <modifiedWord/>
      <trackRevisions>false</trackRevisions>
    </reviewItem>
    <reviewItem>
      <errorID>5e828e6a-afdd-48c1-9a2a-9d6373626178</errorID>
      <errorWord>)</errorWord>
      <group>L1_Format</group>
      <groupName>格式问题</groupName>
      <ability>L2_HalfPunc_CN</ability>
      <abilityName>全半角问题</abilityName>
      <candidateList>
        <item>）</item>
      </candidateList>
      <explain>文本全半角错误。</explain>
      <paraID>3A84877B</paraID>
      <start>7</start>
      <end>8</end>
      <status>unmodified</status>
      <modifiedWord/>
      <trackRevisions>false</trackRevisions>
    </reviewItem>
    <reviewItem>
      <errorID>b1a05741-e377-4b3e-8351-7a1666ae2838</errorID>
      <errorWord>；</errorWord>
      <group>L1_Word</group>
      <groupName>字词问题</groupName>
      <ability>L2_Typo</ability>
      <abilityName>字词错误</abilityName>
      <candidateList>
        <item>；在</item>
      </candidateList>
      <explain/>
      <paraID>1D069BD2</paraID>
      <start>195</start>
      <end>196</end>
      <status>unmodified</status>
      <modifiedWord/>
      <trackRevisions>false</trackRevisions>
    </reviewItem>
    <reviewItem>
      <errorID>ee03181f-8a2a-4b31-b5f2-23d92811a079</errorID>
      <errorWord>粘结性</errorWord>
      <group>L1_Word</group>
      <groupName>字词问题</groupName>
      <ability>L2_Typo</ability>
      <abilityName>字词错误</abilityName>
      <candidateList>
        <item>黏结性</item>
      </candidateList>
      <explain>存在发音相同字词的误用。</explain>
      <paraID>401B8AC1</paraID>
      <start>279</start>
      <end>282</end>
      <status>unmodified</status>
      <modifiedWord/>
      <trackRevisions>false</trackRevisions>
    </reviewItem>
    <reviewItem>
      <errorID>6baf976a-2fbe-4899-a9e3-75191a00990a</errorID>
      <errorWord>粘稠</errorWord>
      <group>L1_Word</group>
      <groupName>字词问题</groupName>
      <ability>L2_Typo</ability>
      <abilityName>字词错误</abilityName>
      <candidateList>
        <item>黏稠</item>
      </candidateList>
      <explain>存在发音相同字词的误用。</explain>
      <paraID> 371CF93</paraID>
      <start>29</start>
      <end>31</end>
      <status>unmodified</status>
      <modifiedWord/>
      <trackRevisions>false</trackRevisions>
    </reviewItem>
    <reviewItem>
      <errorID>e4a4222a-e718-4e4a-826b-c1acc35e1a2e</errorID>
      <errorWord>的粘度</errorWord>
      <group>L1_Word</group>
      <groupName>字词问题</groupName>
      <ability>L2_Alias</ability>
      <abilityName>也作/曾用词</abilityName>
      <candidateList>
        <item>的黏度</item>
      </candidateList>
      <explain>词汇[的粘度]为不规范表述或旧称，其规范书面表述为[的黏度]。</explain>
      <paraID> 371CF93</paraID>
      <start>141</start>
      <end>144</end>
      <status>unmodified</status>
      <modifiedWord/>
      <trackRevisions>false</trackRevisions>
    </reviewItem>
    <reviewItem>
      <errorID>caf2b5e5-ebff-4ee6-8af6-3a4c8e660fc5</errorID>
      <errorWord>粘结</errorWord>
      <group>L1_Word</group>
      <groupName>字词问题</groupName>
      <ability>L2_Typo</ability>
      <abilityName>字词错误</abilityName>
      <candidateList>
        <item>黏结</item>
      </candidateList>
      <explain>存在发音相同字词的误用。</explain>
      <paraID> 371CF93</paraID>
      <start>224</start>
      <end>226</end>
      <status>unmodified</status>
      <modifiedWord/>
      <trackRevisions>false</trackRevisions>
    </reviewItem>
    <reviewItem>
      <errorID>0b30afba-804f-4a38-a39e-3f46118decff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CB78B6A</paraID>
      <start>46</start>
      <end>47</end>
      <status>unmodified</status>
      <modifiedWord/>
      <trackRevisions>false</trackRevisions>
    </reviewItem>
    <reviewItem>
      <errorID>7ff12e67-d19a-4374-8c75-9dc0bbeea311</errorID>
      <errorWord>粘度</errorWord>
      <group>L1_Word</group>
      <groupName>字词问题</groupName>
      <ability>L2_Alias</ability>
      <abilityName>也作/曾用词</abilityName>
      <candidateList>
        <item>黏度</item>
      </candidateList>
      <explain>词汇[粘度]为不规范表述或旧称，其规范书面表述为[黏度]。</explain>
      <paraID> CB78B6A</paraID>
      <start>155</start>
      <end>157</end>
      <status>unmodified</status>
      <modifiedWord/>
      <trackRevisions>false</trackRevisions>
    </reviewItem>
    <reviewItem>
      <errorID>a91e7ff8-289e-4711-bb20-e3604a5fe264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2B4C4617</paraID>
      <start>0</start>
      <end>2</end>
      <status>unmodified</status>
      <modifiedWord/>
      <trackRevisions>false</trackRevisions>
    </reviewItem>
    <reviewItem>
      <errorID>180006a8-5ca3-4c07-8925-65dadec5bfe8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2B8EA184</paraID>
      <start>39</start>
      <end>42</end>
      <status>unmodified</status>
      <modifiedWord/>
      <trackRevisions>false</trackRevisions>
    </reviewItem>
    <reviewItem>
      <errorID>7a13c13e-1243-4c1f-a7aa-e41e532117b9</errorID>
      <errorWord>kw</errorWord>
      <group>L1_Word</group>
      <groupName>字词问题</groupName>
      <ability>L2_Typo</ability>
      <abilityName>字词错误</abilityName>
      <candidateList>
        <item>kW</item>
      </candidateList>
      <explain/>
      <paraID>6FB4E5F6</paraID>
      <start>2</start>
      <end>4</end>
      <status>unmodified</status>
      <modifiedWord/>
      <trackRevisions>false</trackRevisions>
    </reviewItem>
    <reviewItem>
      <errorID>e30b679d-bbee-45c8-ac40-7c503f8d0d0b</errorID>
      <errorWord>kw</errorWord>
      <group>L1_Word</group>
      <groupName>字词问题</groupName>
      <ability>L2_Typo</ability>
      <abilityName>字词错误</abilityName>
      <candidateList>
        <item>kW</item>
      </candidateList>
      <explain/>
      <paraID>5980D943</paraID>
      <start>2</start>
      <end>4</end>
      <status>unmodified</status>
      <modifiedWord/>
      <trackRevisions>false</trackRevisions>
    </reviewItem>
    <reviewItem>
      <errorID>b4c5a13d-545d-408e-ad58-a18d175ef208</errorID>
      <errorWord>kw</errorWord>
      <group>L1_Word</group>
      <groupName>字词问题</groupName>
      <ability>L2_Typo</ability>
      <abilityName>字词错误</abilityName>
      <candidateList>
        <item>kW</item>
      </candidateList>
      <explain/>
      <paraID>4DAD0C90</paraID>
      <start>2</start>
      <end>4</end>
      <status>unmodified</status>
      <modifiedWord/>
      <trackRevisions>false</trackRevisions>
    </reviewItem>
    <reviewItem>
      <errorID>39431740-5356-4f94-9a18-00d29bd2fbe6</errorID>
      <errorWord>Kg</errorWord>
      <group>L1_Word</group>
      <groupName>字词问题</groupName>
      <ability>L2_Typo</ability>
      <abilityName>字词错误</abilityName>
      <candidateList>
        <item>kg</item>
      </candidateList>
      <explain/>
      <paraID>134D4C21</paraID>
      <start>0</start>
      <end>2</end>
      <status>unmodified</status>
      <modifiedWord/>
      <trackRevisions>false</trackRevisions>
    </reviewItem>
    <reviewItem>
      <errorID>63e373b2-5504-45bb-954c-0410c6e9dddc</errorID>
      <errorWord>～</errorWord>
      <group>L1_Punc</group>
      <groupName>标点问题</groupName>
      <ability>L2_Punc_CN</ability>
      <abilityName>标点符号问题</abilityName>
      <candidateList/>
      <explain/>
      <paraID>406D5EB8</paraID>
      <start>0</start>
      <end>1</end>
      <status>unmodified</status>
      <modifiedWord/>
      <trackRevisions>false</trackRevisions>
    </reviewItem>
    <reviewItem>
      <errorID>f9f8506b-da63-441a-8f61-41f8580c24aa</errorID>
      <errorWord>～</errorWord>
      <group>L1_Format</group>
      <groupName>格式问题</groupName>
      <ability>L2_HalfPunc_CN</ability>
      <abilityName>全半角问题</abilityName>
      <candidateList>
        <item>~</item>
      </candidateList>
      <explain>文本全半角错误。</explain>
      <paraID>107EDFA3</paraID>
      <start>3</start>
      <end>4</end>
      <status>unmodified</status>
      <modifiedWord/>
      <trackRevisions>false</trackRevisions>
    </reviewItem>
    <reviewItem>
      <errorID>1a8ee985-6247-486c-90f1-3d6b63b3c24d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37BE8E3</paraID>
      <start>0</start>
      <end>2</end>
      <status>unmodified</status>
      <modifiedWord/>
      <trackRevisions>false</trackRevisions>
    </reviewItem>
    <reviewItem>
      <errorID>891dece9-c3e9-478b-b6f4-667380e1e914</errorID>
      <errorWord>粘稠度</errorWord>
      <group>L1_Word</group>
      <groupName>字词问题</groupName>
      <ability>L2_Typo</ability>
      <abilityName>字词错误</abilityName>
      <candidateList>
        <item>黏稠度</item>
      </candidateList>
      <explain/>
      <paraID>19DCB4A6</paraID>
      <start>15</start>
      <end>18</end>
      <status>unmodified</status>
      <modifiedWord/>
      <trackRevisions>false</trackRevisions>
    </reviewItem>
    <reviewItem>
      <errorID>b59ce699-c6b6-41bc-a24f-88f31fc92737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1C5E2316</paraID>
      <start>62</start>
      <end>63</end>
      <status>unmodified</status>
      <modifiedWord/>
      <trackRevisions>false</trackRevisions>
    </reviewItem>
    <reviewItem>
      <errorID>9b5a0832-e956-414e-9302-b5d5a76f48a0</errorID>
      <errorWord>（</errorWord>
      <group>L1_Format</group>
      <groupName>格式问题</groupName>
      <ability>L2_HalfPunc_CN</ability>
      <abilityName>全半角问题</abilityName>
      <candidateList>
        <item>(</item>
      </candidateList>
      <explain>文本全半角错误。</explain>
      <paraID> EB63534</paraID>
      <start>0</start>
      <end>1</end>
      <status>unmodified</status>
      <modifiedWord/>
      <trackRevisions>false</trackRevisions>
    </reviewItem>
    <reviewItem>
      <errorID>f1cc3d7e-4902-4756-a980-f3dc5201969d</errorID>
      <errorWord>）</errorWord>
      <group>L1_Format</group>
      <groupName>格式问题</groupName>
      <ability>L2_HalfPunc_CN</ability>
      <abilityName>全半角问题</abilityName>
      <candidateList>
        <item>)</item>
      </candidateList>
      <explain>文本全半角错误。</explain>
      <paraID> EB63534</paraID>
      <start>4</start>
      <end>5</end>
      <status>unmodified</status>
      <modifiedWord/>
      <trackRevisions>false</trackRevisions>
    </reviewItem>
    <reviewItem>
      <errorID>abec43c7-3830-4437-bed0-ea4d49706913</errorID>
      <errorWord>一</errorWord>
      <group>L1_Word</group>
      <groupName>字词问题</groupName>
      <ability>L2_Typo</ability>
      <abilityName>字词错误</abilityName>
      <candidateList>
        <item>一道</item>
      </candidateList>
      <explain/>
      <paraID>124D230F</paraID>
      <start>3</start>
      <end>4</end>
      <status>unmodified</status>
      <modifiedWord/>
      <trackRevisions>false</trackRevisions>
    </reviewItem>
    <reviewItem>
      <errorID>aa2317b1-c411-47dc-a4c8-7495265de9de</errorID>
      <errorWord>蒸养冷凝水</errorWord>
      <group>L1_Knowledge</group>
      <groupName>知识性问题</groupName>
      <ability>L2_Term</ability>
      <abilityName>专业术语</abilityName>
      <candidateList>
        <item>蒸汽冷凝水</item>
      </candidateList>
      <explain/>
      <paraID> E6889B5</paraID>
      <start>3</start>
      <end>8</end>
      <status>unmodified</status>
      <modifiedWord/>
      <trackRevisions>false</trackRevisions>
    </reviewItem>
    <reviewItem>
      <errorID>b6c322db-56b0-4f08-a30c-e878f2d0b087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4249B52A</paraID>
      <start>0</start>
      <end>2</end>
      <status>unmodified</status>
      <modifiedWord/>
      <trackRevisions>false</trackRevisions>
    </reviewItem>
    <reviewItem>
      <errorID>7b45b586-aff9-4e34-808c-4baf27c1fb16</errorID>
      <errorWord>(</errorWord>
      <group>L1_Format</group>
      <groupName>格式问题</groupName>
      <ability>L2_HalfPunc_CN</ability>
      <abilityName>全半角问题</abilityName>
      <candidateList>
        <item>（</item>
      </candidateList>
      <explain>文本全半角错误。</explain>
      <paraID>18884ADC</paraID>
      <start>8</start>
      <end>9</end>
      <status>unmodified</status>
      <modifiedWord/>
      <trackRevisions>false</trackRevisions>
    </reviewItem>
    <reviewItem>
      <errorID>4e560e31-2808-479b-981c-6edd0986ec52</errorID>
      <errorWord>)</errorWord>
      <group>L1_Format</group>
      <groupName>格式问题</groupName>
      <ability>L2_HalfPunc_CN</ability>
      <abilityName>全半角问题</abilityName>
      <candidateList>
        <item>）</item>
      </candidateList>
      <explain>文本全半角错误。</explain>
      <paraID>18884ADC</paraID>
      <start>16</start>
      <end>17</end>
      <status>unmodified</status>
      <modifiedWord/>
      <trackRevisions>false</trackRevisions>
    </reviewItem>
    <reviewItem>
      <errorID>c4cac17f-de8a-4090-8c8d-8532a2abd299</errorID>
      <errorWord>（</errorWord>
      <group>L1_Punc</group>
      <groupName>标点问题</groupName>
      <ability>L2_Punc_CN</ability>
      <abilityName>标点符号问题</abilityName>
      <candidateList/>
      <explain>同一形式括号套用。</explain>
      <paraID> 8AC0AB1</paraID>
      <start>37</start>
      <end>38</end>
      <status>unmodified</status>
      <modifiedWord/>
      <trackRevisions>false</trackRevisions>
    </reviewItem>
    <reviewItem>
      <errorID>f2f095f7-9e1e-4dc2-a31d-f36c8463f204</errorID>
      <errorWord>）</errorWord>
      <group>L1_Punc</group>
      <groupName>标点问题</groupName>
      <ability>L2_Punc_CN</ability>
      <abilityName>标点符号问题</abilityName>
      <candidateList/>
      <explain>同一形式括号套用。</explain>
      <paraID> 8AC0AB1</paraID>
      <start>40</start>
      <end>41</end>
      <status>unmodified</status>
      <modifiedWord/>
      <trackRevisions>false</trackRevisions>
    </reviewItem>
    <reviewItem>
      <errorID>fa90d637-9298-4e79-92b1-bdf63023e949</errorID>
      <errorWord>（</errorWord>
      <group>L1_Punc</group>
      <groupName>标点问题</groupName>
      <ability>L2_Punc_CN</ability>
      <abilityName>标点符号问题</abilityName>
      <candidateList/>
      <explain>同一形式括号套用。</explain>
      <paraID> 8AC0AB1</paraID>
      <start>46</start>
      <end>47</end>
      <status>unmodified</status>
      <modifiedWord/>
      <trackRevisions>false</trackRevisions>
    </reviewItem>
    <reviewItem>
      <errorID>b3ac0724-7636-4484-8a23-4241fd698199</errorID>
      <errorWord>）</errorWord>
      <group>L1_Punc</group>
      <groupName>标点问题</groupName>
      <ability>L2_Punc_CN</ability>
      <abilityName>标点符号问题</abilityName>
      <candidateList/>
      <explain>同一形式括号套用。</explain>
      <paraID> 8AC0AB1</paraID>
      <start>51</start>
      <end>52</end>
      <status>unmodified</status>
      <modifiedWord/>
      <trackRevisions>false</trackRevisions>
    </reviewItem>
    <reviewItem>
      <errorID>e4208d59-a3ae-49f5-b4f7-c103a26d4228</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4801516A</paraID>
      <start>11</start>
      <end>14</end>
      <status>unmodified</status>
      <modifiedWord/>
      <trackRevisions>false</trackRevisions>
    </reviewItem>
    <reviewItem>
      <errorID>b4e360ad-2058-4ea3-acf1-816d98dc42a6</errorID>
      <errorWord>，</errorWord>
      <group>L1_Format</group>
      <groupName>格式问题</groupName>
      <ability>L2_HalfPunc_CN</ability>
      <abilityName>全半角问题</abilityName>
      <candidateList>
        <item>, </item>
      </candidateList>
      <explain>文本全半角错误。</explain>
      <paraID>22670C85</paraID>
      <start>2</start>
      <end>3</end>
      <status>unmodified</status>
      <modifiedWord/>
      <trackRevisions>false</trackRevisions>
    </reviewItem>
    <reviewItem>
      <errorID>667502ab-727d-4b36-9123-67e2d3de7e80</errorID>
      <errorWord>，</errorWord>
      <group>L1_Format</group>
      <groupName>格式问题</groupName>
      <ability>L2_HalfPunc_CN</ability>
      <abilityName>全半角问题</abilityName>
      <candidateList>
        <item>, </item>
      </candidateList>
      <explain>文本全半角错误。</explain>
      <paraID>22670C85</paraID>
      <start>5</start>
      <end>6</end>
      <status>unmodified</status>
      <modifiedWord/>
      <trackRevisions>false</trackRevisions>
    </reviewItem>
    <reviewItem>
      <errorID>6d36ef16-b134-4800-890f-ea3d89b7a518</errorID>
      <errorWord>，</errorWord>
      <group>L1_Format</group>
      <groupName>格式问题</groupName>
      <ability>L2_HalfPunc_CN</ability>
      <abilityName>全半角问题</abilityName>
      <candidateList>
        <item>, </item>
      </candidateList>
      <explain>文本全半角错误。</explain>
      <paraID>22670C85</paraID>
      <start>8</start>
      <end>9</end>
      <status>unmodified</status>
      <modifiedWord/>
      <trackRevisions>false</trackRevisions>
    </reviewItem>
    <reviewItem>
      <errorID>075c7917-a7e8-4ab9-b035-d01a930ce68a</errorID>
      <errorWord>，</errorWord>
      <group>L1_Format</group>
      <groupName>格式问题</groupName>
      <ability>L2_HalfPunc_CN</ability>
      <abilityName>全半角问题</abilityName>
      <candidateList>
        <item>, </item>
      </candidateList>
      <explain>文本全半角错误。</explain>
      <paraID>22670C85</paraID>
      <start>11</start>
      <end>12</end>
      <status>unmodified</status>
      <modifiedWord/>
      <trackRevisions>false</trackRevisions>
    </reviewItem>
    <reviewItem>
      <errorID>350b5360-7260-43fb-bac8-75188be6650a</errorID>
      <errorWord>，</errorWord>
      <group>L1_Format</group>
      <groupName>格式问题</groupName>
      <ability>L2_HalfPunc_CN</ability>
      <abilityName>全半角问题</abilityName>
      <candidateList>
        <item>, </item>
      </candidateList>
      <explain>文本全半角错误。</explain>
      <paraID>22670C85</paraID>
      <start>14</start>
      <end>15</end>
      <status>unmodified</status>
      <modifiedWord/>
      <trackRevisions>false</trackRevisions>
    </reviewItem>
    <reviewItem>
      <errorID>fb94e467-de4e-47b1-a191-ddbfafc28c85</errorID>
      <errorWord>，</errorWord>
      <group>L1_Format</group>
      <groupName>格式问题</groupName>
      <ability>L2_HalfPunc_CN</ability>
      <abilityName>全半角问题</abilityName>
      <candidateList>
        <item>, </item>
      </candidateList>
      <explain>文本全半角错误。</explain>
      <paraID>22670C85</paraID>
      <start>16</start>
      <end>17</end>
      <status>unmodified</status>
      <modifiedWord/>
      <trackRevisions>false</trackRevisions>
    </reviewItem>
    <reviewItem>
      <errorID>bc9d0fa4-bd7b-42f5-bca6-c029d4d306fd</errorID>
      <errorWord>，</errorWord>
      <group>L1_Format</group>
      <groupName>格式问题</groupName>
      <ability>L2_HalfPunc_CN</ability>
      <abilityName>全半角问题</abilityName>
      <candidateList>
        <item>, </item>
      </candidateList>
      <explain>文本全半角错误。</explain>
      <paraID>22670C85</paraID>
      <start>19</start>
      <end>20</end>
      <status>unmodified</status>
      <modifiedWord/>
      <trackRevisions>false</trackRevisions>
    </reviewItem>
    <reviewItem>
      <errorID>118431ff-208b-4d54-b8d7-67720cbb19f0</errorID>
      <errorWord>，</errorWord>
      <group>L1_Format</group>
      <groupName>格式问题</groupName>
      <ability>L2_HalfPunc_CN</ability>
      <abilityName>全半角问题</abilityName>
      <candidateList>
        <item>, </item>
      </candidateList>
      <explain>文本全半角错误。</explain>
      <paraID>22670C85</paraID>
      <start>22</start>
      <end>23</end>
      <status>unmodified</status>
      <modifiedWord/>
      <trackRevisions>false</trackRevisions>
    </reviewItem>
    <reviewItem>
      <errorID>f2abb0c0-3951-437c-a398-30776c16623a</errorID>
      <errorWord>，</errorWord>
      <group>L1_Format</group>
      <groupName>格式问题</groupName>
      <ability>L2_HalfPunc_CN</ability>
      <abilityName>全半角问题</abilityName>
      <candidateList>
        <item>, </item>
      </candidateList>
      <explain>文本全半角错误。</explain>
      <paraID>22670C85</paraID>
      <start>25</start>
      <end>26</end>
      <status>unmodified</status>
      <modifiedWord/>
      <trackRevisions>false</trackRevisions>
    </reviewItem>
    <reviewItem>
      <errorID>9b16cd5a-2549-49c3-bb4f-6983e375cbdd</errorID>
      <errorWord>，</errorWord>
      <group>L1_Format</group>
      <groupName>格式问题</groupName>
      <ability>L2_HalfPunc_CN</ability>
      <abilityName>全半角问题</abilityName>
      <candidateList>
        <item>, </item>
      </candidateList>
      <explain>文本全半角错误。</explain>
      <paraID>22670C85</paraID>
      <start>28</start>
      <end>29</end>
      <status>unmodified</status>
      <modifiedWord/>
      <trackRevisions>false</trackRevisions>
    </reviewItem>
    <reviewItem>
      <errorID>fffd3fd5-c7b6-46b8-8b7c-1a86239a78f2</errorID>
      <errorWord>，</errorWord>
      <group>L1_Format</group>
      <groupName>格式问题</groupName>
      <ability>L2_HalfPunc_CN</ability>
      <abilityName>全半角问题</abilityName>
      <candidateList>
        <item>, </item>
      </candidateList>
      <explain>文本全半角错误。</explain>
      <paraID>22670C85</paraID>
      <start>31</start>
      <end>32</end>
      <status>unmodified</status>
      <modifiedWord/>
      <trackRevisions>false</trackRevisions>
    </reviewItem>
    <reviewItem>
      <errorID>61b18f33-dced-4612-a84f-93d827137065</errorID>
      <errorWord>，</errorWord>
      <group>L1_Format</group>
      <groupName>格式问题</groupName>
      <ability>L2_HalfPunc_CN</ability>
      <abilityName>全半角问题</abilityName>
      <candidateList>
        <item>, </item>
      </candidateList>
      <explain>文本全半角错误。</explain>
      <paraID>22670C85</paraID>
      <start>34</start>
      <end>35</end>
      <status>unmodified</status>
      <modifiedWord/>
      <trackRevisions>false</trackRevisions>
    </reviewItem>
    <reviewItem>
      <errorID>55ff0ff7-9714-455f-baba-0cf5b3ce476e</errorID>
      <errorWord>，</errorWord>
      <group>L1_Format</group>
      <groupName>格式问题</groupName>
      <ability>L2_HalfPunc_CN</ability>
      <abilityName>全半角问题</abilityName>
      <candidateList>
        <item>, </item>
      </candidateList>
      <explain>文本全半角错误。</explain>
      <paraID>14BFB970</paraID>
      <start>2</start>
      <end>3</end>
      <status>unmodified</status>
      <modifiedWord/>
      <trackRevisions>false</trackRevisions>
    </reviewItem>
    <reviewItem>
      <errorID>2ebec160-6da6-4978-8bc9-23df36ce2cec</errorID>
      <errorWord>，</errorWord>
      <group>L1_Format</group>
      <groupName>格式问题</groupName>
      <ability>L2_HalfPunc_CN</ability>
      <abilityName>全半角问题</abilityName>
      <candidateList>
        <item>, </item>
      </candidateList>
      <explain>文本全半角错误。</explain>
      <paraID>14BFB970</paraID>
      <start>5</start>
      <end>6</end>
      <status>unmodified</status>
      <modifiedWord/>
      <trackRevisions>false</trackRevisions>
    </reviewItem>
    <reviewItem>
      <errorID>3ecac065-aedf-4685-880c-0d344666e3e3</errorID>
      <errorWord>，</errorWord>
      <group>L1_Format</group>
      <groupName>格式问题</groupName>
      <ability>L2_HalfPunc_CN</ability>
      <abilityName>全半角问题</abilityName>
      <candidateList>
        <item>, </item>
      </candidateList>
      <explain>文本全半角错误。</explain>
      <paraID>14BFB970</paraID>
      <start>8</start>
      <end>9</end>
      <status>unmodified</status>
      <modifiedWord/>
      <trackRevisions>false</trackRevisions>
    </reviewItem>
    <reviewItem>
      <errorID>87cb591d-d063-4622-b0e9-92348958b726</errorID>
      <errorWord>，</errorWord>
      <group>L1_Format</group>
      <groupName>格式问题</groupName>
      <ability>L2_HalfPunc_CN</ability>
      <abilityName>全半角问题</abilityName>
      <candidateList>
        <item>, </item>
      </candidateList>
      <explain>文本全半角错误。</explain>
      <paraID>14BFB970</paraID>
      <start>11</start>
      <end>12</end>
      <status>unmodified</status>
      <modifiedWord/>
      <trackRevisions>false</trackRevisions>
    </reviewItem>
    <reviewItem>
      <errorID>6f4b36ed-f7a2-4f3d-90de-f36272179e03</errorID>
      <errorWord>，</errorWord>
      <group>L1_Format</group>
      <groupName>格式问题</groupName>
      <ability>L2_HalfPunc_CN</ability>
      <abilityName>全半角问题</abilityName>
      <candidateList>
        <item>, </item>
      </candidateList>
      <explain>文本全半角错误。</explain>
      <paraID>14BFB970</paraID>
      <start>14</start>
      <end>15</end>
      <status>unmodified</status>
      <modifiedWord/>
      <trackRevisions>false</trackRevisions>
    </reviewItem>
    <reviewItem>
      <errorID>6f2df25b-fc80-46c0-903a-5f39e47ef42e</errorID>
      <errorWord>，</errorWord>
      <group>L1_Format</group>
      <groupName>格式问题</groupName>
      <ability>L2_HalfPunc_CN</ability>
      <abilityName>全半角问题</abilityName>
      <candidateList>
        <item>, </item>
      </candidateList>
      <explain>文本全半角错误。</explain>
      <paraID>14BFB970</paraID>
      <start>17</start>
      <end>18</end>
      <status>unmodified</status>
      <modifiedWord/>
      <trackRevisions>false</trackRevisions>
    </reviewItem>
    <reviewItem>
      <errorID>238a4362-9698-4862-9a66-a5a758b69bbf</errorID>
      <errorWord>，</errorWord>
      <group>L1_Format</group>
      <groupName>格式问题</groupName>
      <ability>L2_HalfPunc_CN</ability>
      <abilityName>全半角问题</abilityName>
      <candidateList>
        <item>, </item>
      </candidateList>
      <explain>文本全半角错误。</explain>
      <paraID>14BFB970</paraID>
      <start>19</start>
      <end>20</end>
      <status>unmodified</status>
      <modifiedWord/>
      <trackRevisions>false</trackRevisions>
    </reviewItem>
    <reviewItem>
      <errorID>c7f0d824-4641-46bf-bcde-e9058ba96a39</errorID>
      <errorWord>《固体废物生产水泥污染控制标准》(征求意见稿)</errorWord>
      <group>L1_Knowledge</group>
      <groupName>知识性问题</groupName>
      <ability>L2_Knowledge</ability>
      <abilityName>其他知识</abilityName>
      <candidateList>
        <item>《固体废物生产水泥污染控制标准(征求意见稿)》</item>
      </candidateList>
      <explain>疑似政策文件、法律法规名称等书写不规范，请注意检查。</explain>
      <paraID>786666F0</paraID>
      <start>57</start>
      <end>80</end>
      <status>unmodified</status>
      <modifiedWord/>
      <trackRevisions>false</trackRevisions>
    </reviewItem>
    <reviewItem>
      <errorID>c4666589-59eb-4b1e-a769-f2c50aea288c</errorID>
      <errorWord>;</errorWord>
      <group>L1_Format</group>
      <groupName>格式问题</groupName>
      <ability>L2_HalfPunc_CN</ability>
      <abilityName>全半角问题</abilityName>
      <candidateList>
        <item>；</item>
      </candidateList>
      <explain>文本全半角错误。</explain>
      <paraID>774682DD</paraID>
      <start>78</start>
      <end>79</end>
      <status>unmodified</status>
      <modifiedWord/>
      <trackRevisions>false</trackRevisions>
    </reviewItem>
    <reviewItem>
      <errorID>124c9eb4-d47e-47bf-9b0d-04a7518beedf</errorID>
      <errorWord>＜</errorWord>
      <group>L1_Format</group>
      <groupName>格式问题</groupName>
      <ability>L2_HalfPunc_CN</ability>
      <abilityName>全半角问题</abilityName>
      <candidateList>
        <item>&lt;</item>
      </candidateList>
      <explain>文本全半角错误。</explain>
      <paraID>4A0790DF</paraID>
      <start>6</start>
      <end>7</end>
      <status>unmodified</status>
      <modifiedWord/>
      <trackRevisions>false</trackRevisions>
    </reviewItem>
    <reviewItem>
      <errorID>6f4d80b8-4a44-460e-a253-21aae835c725</errorID>
      <errorWord>＜</errorWord>
      <group>L1_Format</group>
      <groupName>格式问题</groupName>
      <ability>L2_HalfPunc_CN</ability>
      <abilityName>全半角问题</abilityName>
      <candidateList>
        <item>&lt;</item>
      </candidateList>
      <explain>文本全半角错误。</explain>
      <paraID>70F6D7D1</paraID>
      <start>6</start>
      <end>7</end>
      <status>unmodified</status>
      <modifiedWord/>
      <trackRevisions>false</trackRevisions>
    </reviewItem>
    <reviewItem>
      <errorID>c40948ca-1b52-4537-a0d2-06677dacddfa</errorID>
      <errorWord>＜</errorWord>
      <group>L1_Format</group>
      <groupName>格式问题</groupName>
      <ability>L2_HalfPunc_CN</ability>
      <abilityName>全半角问题</abilityName>
      <candidateList>
        <item>&lt;</item>
      </candidateList>
      <explain>文本全半角错误。</explain>
      <paraID>56924276</paraID>
      <start>6</start>
      <end>7</end>
      <status>unmodified</status>
      <modifiedWord/>
      <trackRevisions>false</trackRevisions>
    </reviewItem>
    <reviewItem>
      <errorID>379f5265-b101-4ee5-aedd-b842f360c0f2</errorID>
      <errorWord>＜</errorWord>
      <group>L1_Format</group>
      <groupName>格式问题</groupName>
      <ability>L2_HalfPunc_CN</ability>
      <abilityName>全半角问题</abilityName>
      <candidateList>
        <item>&lt;</item>
      </candidateList>
      <explain>文本全半角错误。</explain>
      <paraID>17912CF1</paraID>
      <start>7</start>
      <end>8</end>
      <status>unmodified</status>
      <modifiedWord/>
      <trackRevisions>false</trackRevisions>
    </reviewItem>
    <reviewItem>
      <errorID>47e99ef3-1404-451b-b23e-1441d5106fd4</errorID>
      <errorWord>＜</errorWord>
      <group>L1_Format</group>
      <groupName>格式问题</groupName>
      <ability>L2_HalfPunc_CN</ability>
      <abilityName>全半角问题</abilityName>
      <candidateList>
        <item>&lt;</item>
      </candidateList>
      <explain>文本全半角错误。</explain>
      <paraID> A36A2DD</paraID>
      <start>6</start>
      <end>7</end>
      <status>unmodified</status>
      <modifiedWord/>
      <trackRevisions>false</trackRevisions>
    </reviewItem>
    <reviewItem>
      <errorID>17d01288-be27-4f59-83fa-a268d27ca21e</errorID>
      <errorWord>＜</errorWord>
      <group>L1_Format</group>
      <groupName>格式问题</groupName>
      <ability>L2_HalfPunc_CN</ability>
      <abilityName>全半角问题</abilityName>
      <candidateList>
        <item>&lt;</item>
      </candidateList>
      <explain>文本全半角错误。</explain>
      <paraID>20F41BD5</paraID>
      <start>6</start>
      <end>7</end>
      <status>unmodified</status>
      <modifiedWord/>
      <trackRevisions>false</trackRevisions>
    </reviewItem>
    <reviewItem>
      <errorID>d17309a8-b74b-4782-9adf-d037c133b2b3</errorID>
      <errorWord>＜</errorWord>
      <group>L1_Format</group>
      <groupName>格式问题</groupName>
      <ability>L2_HalfPunc_CN</ability>
      <abilityName>全半角问题</abilityName>
      <candidateList>
        <item>&lt;</item>
      </candidateList>
      <explain>文本全半角错误。</explain>
      <paraID>5EF4AE0A</paraID>
      <start>6</start>
      <end>7</end>
      <status>unmodified</status>
      <modifiedWord/>
      <trackRevisions>false</trackRevisions>
    </reviewItem>
    <reviewItem>
      <errorID>e191819a-7552-436f-bbd4-8b128ef75f1b</errorID>
      <errorWord>＜</errorWord>
      <group>L1_Format</group>
      <groupName>格式问题</groupName>
      <ability>L2_HalfPunc_CN</ability>
      <abilityName>全半角问题</abilityName>
      <candidateList>
        <item>&lt;</item>
      </candidateList>
      <explain>文本全半角错误。</explain>
      <paraID> 880B220</paraID>
      <start>5</start>
      <end>6</end>
      <status>unmodified</status>
      <modifiedWord/>
      <trackRevisions>false</trackRevisions>
    </reviewItem>
    <reviewItem>
      <errorID>d441114d-ba72-4a51-ab80-ebc901627d79</errorID>
      <errorWord>＜</errorWord>
      <group>L1_Format</group>
      <groupName>格式问题</groupName>
      <ability>L2_HalfPunc_CN</ability>
      <abilityName>全半角问题</abilityName>
      <candidateList>
        <item>&lt;</item>
      </candidateList>
      <explain>文本全半角错误。</explain>
      <paraID>206134E8</paraID>
      <start>5</start>
      <end>6</end>
      <status>unmodified</status>
      <modifiedWord/>
      <trackRevisions>false</trackRevisions>
    </reviewItem>
    <reviewItem>
      <errorID>3d962cfa-0d76-4e20-bdd5-3d017fa05f48</errorID>
      <errorWord>＜</errorWord>
      <group>L1_Format</group>
      <groupName>格式问题</groupName>
      <ability>L2_HalfPunc_CN</ability>
      <abilityName>全半角问题</abilityName>
      <candidateList>
        <item>&lt;</item>
      </candidateList>
      <explain>文本全半角错误。</explain>
      <paraID>5A165611</paraID>
      <start>5</start>
      <end>6</end>
      <status>unmodified</status>
      <modifiedWord/>
      <trackRevisions>false</trackRevisions>
    </reviewItem>
    <reviewItem>
      <errorID>d4308e3a-8e5f-4ec3-850e-528b12ba2027</errorID>
      <errorWord>＜</errorWord>
      <group>L1_Format</group>
      <groupName>格式问题</groupName>
      <ability>L2_HalfPunc_CN</ability>
      <abilityName>全半角问题</abilityName>
      <candidateList>
        <item>&lt;</item>
      </candidateList>
      <explain>文本全半角错误。</explain>
      <paraID>3B0D7292</paraID>
      <start>5</start>
      <end>6</end>
      <status>unmodified</status>
      <modifiedWord/>
      <trackRevisions>false</trackRevisions>
    </reviewItem>
    <reviewItem>
      <errorID>5df7e777-3ead-441f-a6be-d4285d56ce36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4FC74CBF</paraID>
      <start>0</start>
      <end>2</end>
      <status>unmodified</status>
      <modifiedWord/>
      <trackRevisions>false</trackRevisions>
    </reviewItem>
    <reviewItem>
      <errorID>6597f95b-3cdf-4d69-af98-dc6f5a3bd032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236FDA6D</paraID>
      <start>0</start>
      <end>2</end>
      <status>unmodified</status>
      <modifiedWord/>
      <trackRevisions>false</trackRevisions>
    </reviewItem>
    <reviewItem>
      <errorID>92eca8ee-244b-4070-b99f-95f2dc3d31f7</errorID>
      <errorWord>建成</errorWord>
      <group>L1_Word</group>
      <groupName>字词问题</groupName>
      <ability>L2_Typo</ability>
      <abilityName>字词错误</abilityName>
      <candidateList>
        <item>成</item>
      </candidateList>
      <explain/>
      <paraID>64DC3DF5</paraID>
      <start>48</start>
      <end>50</end>
      <status>unmodified</status>
      <modifiedWord/>
      <trackRevisions>false</trackRevisions>
    </reviewItem>
    <reviewItem>
      <errorID>6dceeb91-63e3-4648-84b0-3594d1e25640</errorID>
      <errorWord>作</errorWord>
      <group>L1_Word</group>
      <groupName>字词问题</groupName>
      <ability>L2_Typo</ability>
      <abilityName>字词错误</abilityName>
      <candidateList>
        <item>做</item>
      </candidateList>
      <explain>存在发音相同字词的误用。</explain>
      <paraID>64DC3DF5</paraID>
      <start>177</start>
      <end>178</end>
      <status>unmodified</status>
      <modifiedWord/>
      <trackRevisions>false</trackRevisions>
    </reviewItem>
    <reviewItem>
      <errorID>841788c6-bef9-489f-aeb0-30c531e9dafd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346591B7</paraID>
      <start>0</start>
      <end>2</end>
      <status>unmodified</status>
      <modifiedWord/>
      <trackRevisions>false</trackRevisions>
    </reviewItem>
    <reviewItem>
      <errorID>d6ae6bd3-5152-495f-a573-8d0d71f9b6f1</errorID>
      <errorWord>程</errorWord>
      <group>L1_Word</group>
      <groupName>字词问题</groupName>
      <ability>L2_Typo</ability>
      <abilityName>字词错误</abilityName>
      <candidateList>
        <item>程中</item>
      </candidateList>
      <explain/>
      <paraID>304E7C88</paraID>
      <start>42</start>
      <end>43</end>
      <status>unmodified</status>
      <modifiedWord/>
      <trackRevisions>false</trackRevisions>
    </reviewItem>
    <reviewItem>
      <errorID>4f2633b6-0933-47e9-a8b8-8d06d068bf94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4503472F</paraID>
      <start>5</start>
      <end>6</end>
      <status>unmodified</status>
      <modifiedWord/>
      <trackRevisions>false</trackRevisions>
    </reviewItem>
    <reviewItem>
      <errorID>4e82b60c-d0da-4f83-bfbf-11a051366c16</errorID>
      <errorWord>~</errorWord>
      <group>L1_Format</group>
      <groupName>格式问题</groupName>
      <ability>L2_HalfPunc_CN</ability>
      <abilityName>全半角问题</abilityName>
      <candidateList>
        <item>～</item>
      </candidateList>
      <explain>文本全半角错误。</explain>
      <paraID>4503472F</paraID>
      <start>26</start>
      <end>27</end>
      <status>unmodified</status>
      <modifiedWord/>
      <trackRevisions>false</trackRevisions>
    </reviewItem>
    <reviewItem>
      <errorID>5f29f51a-d15f-4f0b-8385-5770bfe3c4a3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39834C52</paraID>
      <start>5</start>
      <end>6</end>
      <status>unmodified</status>
      <modifiedWord/>
      <trackRevisions>false</trackRevisions>
    </reviewItem>
    <reviewItem>
      <errorID>ba1c6833-7cd1-4a5a-b9b5-aff7968674ab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39834C52</paraID>
      <start>22</start>
      <end>23</end>
      <status>unmodified</status>
      <modifiedWord/>
      <trackRevisions>false</trackRevisions>
    </reviewItem>
    <reviewItem>
      <errorID>a9f02ccd-154c-4caa-98ed-3a9c9031df37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3800EF49</paraID>
      <start>6</start>
      <end>7</end>
      <status>unmodified</status>
      <modifiedWord/>
      <trackRevisions>false</trackRevisions>
    </reviewItem>
    <reviewItem>
      <errorID>1a00d52b-32cb-4701-ab2f-3ffc1a6393de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3800EF49</paraID>
      <start>25</start>
      <end>26</end>
      <status>unmodified</status>
      <modifiedWord/>
      <trackRevisions>false</trackRevisions>
    </reviewItem>
    <reviewItem>
      <errorID>031303f4-fa2c-40a2-9c99-ad7eeabe841d</errorID>
      <errorWord>-</errorWord>
      <group>L1_Format</group>
      <groupName>格式问题</groupName>
      <ability>L2_HalfPunc_CN</ability>
      <abilityName>全半角问题</abilityName>
      <candidateList>
        <item>－</item>
      </candidateList>
      <explain>文本全半角错误。</explain>
      <paraID>3800EF49</paraID>
      <start>199</start>
      <end>200</end>
      <status>unmodified</status>
      <modifiedWord/>
      <trackRevisions>false</trackRevisions>
    </reviewItem>
    <reviewItem>
      <errorID>b4a89dd0-93e0-47ad-b7af-f3b9f6a2d1ec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3800EF49</paraID>
      <start>400</start>
      <end>401</end>
      <status>unmodified</status>
      <modifiedWord/>
      <trackRevisions>false</trackRevisions>
    </reviewItem>
    <reviewItem>
      <errorID>7b53eec5-84bd-44a1-83dc-56db81bb672b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1BBAC435</paraID>
      <start>77</start>
      <end>78</end>
      <status>unmodified</status>
      <modifiedWord/>
      <trackRevisions>false</trackRevisions>
    </reviewItem>
    <reviewItem>
      <errorID>bfcf1094-13f1-460c-b6a7-672cf52c76c4</errorID>
      <errorWord>产生的</errorWord>
      <group>L1_Word</group>
      <groupName>字词问题</groupName>
      <ability>L2_Typo</ability>
      <abilityName>字词错误</abilityName>
      <candidateList>
        <item>产生</item>
      </candidateList>
      <explain/>
      <paraID>73FD0607</paraID>
      <start>54</start>
      <end>57</end>
      <status>unmodified</status>
      <modifiedWord/>
      <trackRevisions>false</trackRevisions>
    </reviewItem>
    <reviewItem>
      <errorID>1b57b35e-481b-4b8b-b5dd-741b050bd836</errorID>
      <errorWord>一个</errorWord>
      <group>L1_Word</group>
      <groupName>字词问题</groupName>
      <ability>L2_Typo</ability>
      <abilityName>字词错误</abilityName>
      <candidateList>
        <item>一道</item>
      </candidateList>
      <explain/>
      <paraID>79676964</paraID>
      <start>183</start>
      <end>185</end>
      <status>unmodified</status>
      <modifiedWord/>
      <trackRevisions>false</trackRevisions>
    </reviewItem>
    <reviewItem>
      <errorID>6bd34bc5-b603-47b8-9ae0-e8a19dfa24ad</errorID>
      <errorWord>一</errorWord>
      <group>L1_Word</group>
      <groupName>字词问题</groupName>
      <ability>L2_Typo</ability>
      <abilityName>字词错误</abilityName>
      <candidateList>
        <item>一道</item>
      </candidateList>
      <explain/>
      <paraID>7DE444C9</paraID>
      <start>83</start>
      <end>84</end>
      <status>unmodified</status>
      <modifiedWord/>
      <trackRevisions>false</trackRevisions>
    </reviewItem>
    <reviewItem>
      <errorID>5c72dd0e-a758-490e-a005-5ece15d6fa16</errorID>
      <errorWord>一</errorWord>
      <group>L1_Word</group>
      <groupName>字词问题</groupName>
      <ability>L2_Typo</ability>
      <abilityName>字词错误</abilityName>
      <candidateList>
        <item>一道</item>
      </candidateList>
      <explain/>
      <paraID>275FE468</paraID>
      <start>114</start>
      <end>115</end>
      <status>unmodified</status>
      <modifiedWord/>
      <trackRevisions>false</trackRevisions>
    </reviewItem>
    <reviewItem>
      <errorID>10611357-2f69-4b14-8216-d7d0e56341af</errorID>
      <errorWord>蒸养</errorWord>
      <group>L1_Word</group>
      <groupName>字词问题</groupName>
      <ability>L2_Typo</ability>
      <abilityName>字词错误</abilityName>
      <candidateList>
        <item>蒸汽</item>
      </candidateList>
      <explain/>
      <paraID>74BD7EF0</paraID>
      <start>18</start>
      <end>20</end>
      <status>unmodified</status>
      <modifiedWord/>
      <trackRevisions>false</trackRevisions>
    </reviewItem>
    <reviewItem>
      <errorID>2bd25a10-37a1-404a-8162-831b38e7c287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74BD7EF0</paraID>
      <start>93</start>
      <end>94</end>
      <status>unmodified</status>
      <modifiedWord/>
      <trackRevisions>false</trackRevisions>
    </reviewItem>
    <reviewItem>
      <errorID>a9c55289-83b8-46a1-948f-5c31e5b0e13b</errorID>
      <errorWord>蒸养冷凝水</errorWord>
      <group>L1_Knowledge</group>
      <groupName>知识性问题</groupName>
      <ability>L2_Term</ability>
      <abilityName>专业术语</abilityName>
      <candidateList>
        <item>蒸汽冷凝水</item>
      </candidateList>
      <explain/>
      <paraID>2011FD80</paraID>
      <start>10</start>
      <end>15</end>
      <status>unmodified</status>
      <modifiedWord/>
      <trackRevisions>false</trackRevisions>
    </reviewItem>
    <reviewItem>
      <errorID>539b1fbf-d6b7-47f2-a955-1e1630e6d50e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7C98E187</paraID>
      <start>0</start>
      <end>2</end>
      <status>unmodified</status>
      <modifiedWord/>
      <trackRevisions>false</trackRevisions>
    </reviewItem>
    <reviewItem>
      <errorID>087bec47-0127-49aa-8f4d-7089ae4f365a</errorID>
      <errorWord>(</errorWord>
      <group>L1_Format</group>
      <groupName>格式问题</groupName>
      <ability>L2_HalfPunc_CN</ability>
      <abilityName>全半角问题</abilityName>
      <candidateList>
        <item>（</item>
      </candidateList>
      <explain>文本全半角错误。</explain>
      <paraID>6BDEF22E</paraID>
      <start>272</start>
      <end>273</end>
      <status>unmodified</status>
      <modifiedWord/>
      <trackRevisions>false</trackRevisions>
    </reviewItem>
    <reviewItem>
      <errorID>dd875e3a-94a2-4aef-82c1-a4cd1d6885cc</errorID>
      <errorWord>)</errorWord>
      <group>L1_Format</group>
      <groupName>格式问题</groupName>
      <ability>L2_HalfPunc_CN</ability>
      <abilityName>全半角问题</abilityName>
      <candidateList>
        <item>）</item>
      </candidateList>
      <explain>文本全半角错误。</explain>
      <paraID>6BDEF22E</paraID>
      <start>292</start>
      <end>293</end>
      <status>unmodified</status>
      <modifiedWord/>
      <trackRevisions>false</trackRevisions>
    </reviewItem>
    <reviewItem>
      <errorID>9e1139ce-8439-4cef-b22f-4b4f17b0aa17</errorID>
      <errorWord>(</errorWord>
      <group>L1_Format</group>
      <groupName>格式问题</groupName>
      <ability>L2_HalfPunc_CN</ability>
      <abilityName>全半角问题</abilityName>
      <candidateList>
        <item>（</item>
      </candidateList>
      <explain>文本全半角错误。</explain>
      <paraID>6BDEF22E</paraID>
      <start>305</start>
      <end>306</end>
      <status>unmodified</status>
      <modifiedWord/>
      <trackRevisions>false</trackRevisions>
    </reviewItem>
    <reviewItem>
      <errorID>b5390494-eb3a-49d7-8b4b-d30e2bf60ecc</errorID>
      <errorWord>)</errorWord>
      <group>L1_Format</group>
      <groupName>格式问题</groupName>
      <ability>L2_HalfPunc_CN</ability>
      <abilityName>全半角问题</abilityName>
      <candidateList>
        <item>）</item>
      </candidateList>
      <explain>文本全半角错误。</explain>
      <paraID>6BDEF22E</paraID>
      <start>331</start>
      <end>332</end>
      <status>unmodified</status>
      <modifiedWord/>
      <trackRevisions>false</trackRevisions>
    </reviewItem>
    <reviewItem>
      <errorID>48bd6e64-77f1-479b-9b06-5aeae33da5d5</errorID>
      <errorWord>掺和料</errorWord>
      <group>L1_Word</group>
      <groupName>字词问题</groupName>
      <ability>L2_Typo</ability>
      <abilityName>字词错误</abilityName>
      <candidateList>
        <item>掺合料</item>
      </candidateList>
      <explain>存在发音相同字词的误用。</explain>
      <paraID>6BDEF22E</paraID>
      <start>457</start>
      <end>460</end>
      <status>unmodified</status>
      <modifiedWord/>
      <trackRevisions>false</trackRevisions>
    </reviewItem>
    <reviewItem>
      <errorID>0e6064bb-405f-4902-bbf8-49e0157f4865</errorID>
      <errorWord>-</errorWord>
      <group>L1_Format</group>
      <groupName>格式问题</groupName>
      <ability>L2_HalfPunc_CN</ability>
      <abilityName>全半角问题</abilityName>
      <candidateList>
        <item>－</item>
      </candidateList>
      <explain>文本全半角错误。</explain>
      <paraID>4FA119DB</paraID>
      <start>58</start>
      <end>59</end>
      <status>unmodified</status>
      <modifiedWord/>
      <trackRevisions>false</trackRevisions>
    </reviewItem>
    <reviewItem>
      <errorID>29d35bf6-a971-4436-8ccc-e173fb2cfe84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510B7356</paraID>
      <start>0</start>
      <end>2</end>
      <status>unmodified</status>
      <modifiedWord/>
      <trackRevisions>false</trackRevisions>
    </reviewItem>
    <reviewItem>
      <errorID>145638cc-69e0-49d5-afec-3ffed7ff4d17</errorID>
      <errorWord>》（试行）</errorWord>
      <group>L1_Word</group>
      <groupName>字词问题</groupName>
      <ability>L2_Typo</ability>
      <abilityName>字词错误</abilityName>
      <candidateList>
        <item>（试行）》</item>
      </candidateList>
      <explain/>
      <paraID>59E29047</paraID>
      <start>27</start>
      <end>32</end>
      <status>unmodified</status>
      <modifiedWord/>
      <trackRevisions>false</trackRevisions>
    </reviewItem>
    <reviewItem>
      <errorID>f7f6d6cd-8920-49db-b55f-c43795099bbd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26FB648B</paraID>
      <start>96</start>
      <end>97</end>
      <status>unmodified</status>
      <modifiedWord/>
      <trackRevisions>false</trackRevisions>
    </reviewItem>
    <reviewItem>
      <errorID>3fa8cf15-2681-4a31-999b-1e17dc0eb000</errorID>
      <errorWord>检测点位</errorWord>
      <group>L1_Knowledge</group>
      <groupName>知识性问题</groupName>
      <ability>L2_Term</ability>
      <abilityName>专业术语</abilityName>
      <candidateList>
        <item>监测点位</item>
      </candidateList>
      <explain/>
      <paraID>26FB648B</paraID>
      <start>150</start>
      <end>154</end>
      <status>unmodified</status>
      <modifiedWord/>
      <trackRevisions>false</trackRevisions>
    </reviewItem>
    <reviewItem>
      <errorID>850c9fb1-d4b0-45b9-8f6a-6a2aaa80c765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5053FF1C</paraID>
      <start>0</start>
      <end>2</end>
      <status>unmodified</status>
      <modifiedWord/>
      <trackRevisions>false</trackRevisions>
    </reviewItem>
    <reviewItem>
      <errorID>b9b969c3-af69-42b7-b5d0-1c6d03cdc1cd</errorID>
      <errorWord>-</errorWord>
      <group>L1_Format</group>
      <groupName>格式问题</groupName>
      <ability>L2_HalfPunc_CN</ability>
      <abilityName>全半角问题</abilityName>
      <candidateList>
        <item>－</item>
      </candidateList>
      <explain>文本全半角错误。</explain>
      <paraID>71F99AF2</paraID>
      <start>13</start>
      <end>14</end>
      <status>unmodified</status>
      <modifiedWord/>
      <trackRevisions>false</trackRevisions>
    </reviewItem>
    <reviewItem>
      <errorID>d637f161-fbf0-44e8-9adb-35fdd78c847f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1925DDB3</paraID>
      <start>0</start>
      <end>2</end>
      <status>unmodified</status>
      <modifiedWord/>
      <trackRevisions>false</trackRevisions>
    </reviewItem>
    <reviewItem>
      <errorID>d16cc3d2-9088-4d85-a7c9-85847f9b5df3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707FB45D</paraID>
      <start>0</start>
      <end>2</end>
      <status>unmodified</status>
      <modifiedWord/>
      <trackRevisions>false</trackRevisions>
    </reviewItem>
    <reviewItem>
      <errorID>69634cc3-d051-48a7-9683-dfa70723615f</errorID>
      <errorWord>（</errorWord>
      <group>L1_Punc</group>
      <groupName>标点问题</groupName>
      <ability>L2_Punc_CN</ability>
      <abilityName>标点符号问题</abilityName>
      <candidateList/>
      <explain>同一形式括号套用。</explain>
      <paraID>1EBD8716</paraID>
      <start>83</start>
      <end>84</end>
      <status>unmodified</status>
      <modifiedWord/>
      <trackRevisions>false</trackRevisions>
    </reviewItem>
    <reviewItem>
      <errorID>3a901f4c-e812-4a5b-9aff-7edead1add14</errorID>
      <errorWord>）</errorWord>
      <group>L1_Punc</group>
      <groupName>标点问题</groupName>
      <ability>L2_Punc_CN</ability>
      <abilityName>标点符号问题</abilityName>
      <candidateList/>
      <explain>同一形式括号套用。</explain>
      <paraID>1EBD8716</paraID>
      <start>88</start>
      <end>89</end>
      <status>unmodified</status>
      <modifiedWord/>
      <trackRevisions>false</trackRevisions>
    </reviewItem>
    <reviewItem>
      <errorID>6591d351-b860-4e26-b1cc-8058b3710dcf</errorID>
      <errorWord>(</errorWord>
      <group>L1_Format</group>
      <groupName>格式问题</groupName>
      <ability>L2_HalfPunc_CN</ability>
      <abilityName>全半角问题</abilityName>
      <candidateList>
        <item>（</item>
      </candidateList>
      <explain>文本全半角错误。</explain>
      <paraID>4D3F105C</paraID>
      <start>1</start>
      <end>2</end>
      <status>unmodified</status>
      <modifiedWord/>
      <trackRevisions>false</trackRevisions>
    </reviewItem>
    <reviewItem>
      <errorID>ed7a4c78-6676-440a-8437-20ce115c3a8d</errorID>
      <errorWord>)</errorWord>
      <group>L1_Format</group>
      <groupName>格式问题</groupName>
      <ability>L2_HalfPunc_CN</ability>
      <abilityName>全半角问题</abilityName>
      <candidateList>
        <item>）</item>
      </candidateList>
      <explain>文本全半角错误。</explain>
      <paraID>4D3F105C</paraID>
      <start>4</start>
      <end>5</end>
      <status>unmodified</status>
      <modifiedWord/>
      <trackRevisions>false</trackRevisions>
    </reviewItem>
    <reviewItem>
      <errorID>c9e7613a-563e-4c5d-93d6-5cb24143ebb4</errorID>
      <errorWord>(</errorWord>
      <group>L1_Format</group>
      <groupName>格式问题</groupName>
      <ability>L2_HalfPunc_CN</ability>
      <abilityName>全半角问题</abilityName>
      <candidateList>
        <item>（</item>
      </candidateList>
      <explain>文本全半角错误。</explain>
      <paraID>2C25E526</paraID>
      <start>3</start>
      <end>4</end>
      <status>unmodified</status>
      <modifiedWord/>
      <trackRevisions>false</trackRevisions>
    </reviewItem>
    <reviewItem>
      <errorID>da849ee1-9af8-419d-80e6-4604a7bf7536</errorID>
      <errorWord>)</errorWord>
      <group>L1_Format</group>
      <groupName>格式问题</groupName>
      <ability>L2_HalfPunc_CN</ability>
      <abilityName>全半角问题</abilityName>
      <candidateList>
        <item>）</item>
      </candidateList>
      <explain>文本全半角错误。</explain>
      <paraID>2C25E526</paraID>
      <start>7</start>
      <end>8</end>
      <status>unmodified</status>
      <modifiedWord/>
      <trackRevisions>false</trackRevisions>
    </reviewItem>
    <reviewItem>
      <errorID>65a51b0e-65d1-48e6-86cd-33c48b625b56</errorID>
      <errorWord>(</errorWord>
      <group>L1_Format</group>
      <groupName>格式问题</groupName>
      <ability>L2_HalfPunc_CN</ability>
      <abilityName>全半角问题</abilityName>
      <candidateList>
        <item>（</item>
      </candidateList>
      <explain>文本全半角错误。</explain>
      <paraID>63A392BF</paraID>
      <start>1</start>
      <end>2</end>
      <status>unmodified</status>
      <modifiedWord/>
      <trackRevisions>false</trackRevisions>
    </reviewItem>
    <reviewItem>
      <errorID>9fd69168-21d4-4035-a0a5-1a073e50db8e</errorID>
      <errorWord>)</errorWord>
      <group>L1_Format</group>
      <groupName>格式问题</groupName>
      <ability>L2_HalfPunc_CN</ability>
      <abilityName>全半角问题</abilityName>
      <candidateList>
        <item>）</item>
      </candidateList>
      <explain>文本全半角错误。</explain>
      <paraID>63A392BF</paraID>
      <start>4</start>
      <end>5</end>
      <status>unmodified</status>
      <modifiedWord/>
      <trackRevisions>false</trackRevisions>
    </reviewItem>
    <reviewItem>
      <errorID>ce0a675e-49e2-430c-ba39-fd8319535a14</errorID>
      <errorWord>(</errorWord>
      <group>L1_Format</group>
      <groupName>格式问题</groupName>
      <ability>L2_HalfPunc_CN</ability>
      <abilityName>全半角问题</abilityName>
      <candidateList>
        <item>（</item>
      </candidateList>
      <explain>文本全半角错误。</explain>
      <paraID>20CB1BC9</paraID>
      <start>1</start>
      <end>2</end>
      <status>unmodified</status>
      <modifiedWord/>
      <trackRevisions>false</trackRevisions>
    </reviewItem>
    <reviewItem>
      <errorID>f04543a2-a723-41e0-ac85-215d4ff4637e</errorID>
      <errorWord>)</errorWord>
      <group>L1_Format</group>
      <groupName>格式问题</groupName>
      <ability>L2_HalfPunc_CN</ability>
      <abilityName>全半角问题</abilityName>
      <candidateList>
        <item>）</item>
      </candidateList>
      <explain>文本全半角错误。</explain>
      <paraID>20CB1BC9</paraID>
      <start>4</start>
      <end>5</end>
      <status>unmodified</status>
      <modifiedWord/>
      <trackRevisions>false</trackRevisions>
    </reviewItem>
    <reviewItem>
      <errorID>d4a7bca0-646e-4234-9be3-82a724d318cc</errorID>
      <errorWord>:</errorWord>
      <group>L1_Format</group>
      <groupName>格式问题</groupName>
      <ability>L2_HalfPunc_CN</ability>
      <abilityName>全半角问题</abilityName>
      <candidateList>
        <item>：</item>
      </candidateList>
      <explain>文本全半角错误。</explain>
      <paraID>2C3A8AB0</paraID>
      <start>11</start>
      <end>12</end>
      <status>unmodified</status>
      <modifiedWord/>
      <trackRevisions>false</trackRevisions>
    </reviewItem>
    <reviewItem>
      <errorID>08d32ddf-de3e-4258-bd38-992ed0104d09</errorID>
      <errorWord>,</errorWord>
      <group>L1_Format</group>
      <groupName>格式问题</groupName>
      <ability>L2_HalfPunc_CN</ability>
      <abilityName>全半角问题</abilityName>
      <candidateList>
        <item>，</item>
      </candidateList>
      <explain>文本全半角错误。</explain>
      <paraID> 6E448FB</paraID>
      <start>216</start>
      <end>217</end>
      <status>unmodified</status>
      <modifiedWord/>
      <trackRevisions>false</trackRevisions>
    </reviewItem>
    <reviewItem>
      <errorID>e628de75-5584-4bcd-ad4c-73950e1e8184</errorID>
      <errorWord>-</errorWord>
      <group>L1_Format</group>
      <groupName>格式问题</groupName>
      <ability>L2_HalfPunc_CN</ability>
      <abilityName>全半角问题</abilityName>
      <candidateList>
        <item>－</item>
      </candidateList>
      <explain>文本全半角错误。</explain>
      <paraID> 6E448FB</paraID>
      <start>218</start>
      <end>219</end>
      <status>unmodified</status>
      <modifiedWord/>
      <trackRevisions>false</trackRevisions>
    </reviewItem>
    <reviewItem>
      <errorID>84027a0d-710a-4b0f-b7ca-0c7c080e12f4</errorID>
      <errorWord>-</errorWord>
      <group>L1_Format</group>
      <groupName>格式问题</groupName>
      <ability>L2_HalfPunc_CN</ability>
      <abilityName>全半角问题</abilityName>
      <candidateList>
        <item>－</item>
      </candidateList>
      <explain>文本全半角错误。</explain>
      <paraID> 6E448FB</paraID>
      <start>224</start>
      <end>225</end>
      <status>unmodified</status>
      <modifiedWord/>
      <trackRevisions>false</trackRevisions>
    </reviewItem>
    <reviewItem>
      <errorID>d79bb4b3-16b1-4ea5-811a-1796cdcc764b</errorID>
      <errorWord>(</errorWord>
      <group>L1_Format</group>
      <groupName>格式问题</groupName>
      <ability>L2_HalfPunc_CN</ability>
      <abilityName>全半角问题</abilityName>
      <candidateList>
        <item>（</item>
      </candidateList>
      <explain>文本全半角错误。</explain>
      <paraID> 6E448FB</paraID>
      <start>283</start>
      <end>284</end>
      <status>unmodified</status>
      <modifiedWord/>
      <trackRevisions>false</trackRevisions>
    </reviewItem>
    <reviewItem>
      <errorID>56e66a05-acab-42c2-8976-3bba5e2b5c9b</errorID>
      <errorWord>)</errorWord>
      <group>L1_Format</group>
      <groupName>格式问题</groupName>
      <ability>L2_HalfPunc_CN</ability>
      <abilityName>全半角问题</abilityName>
      <candidateList>
        <item>）</item>
      </candidateList>
      <explain>文本全半角错误。</explain>
      <paraID> 6E448FB</paraID>
      <start>285</start>
      <end>286</end>
      <status>unmodified</status>
      <modifiedWord/>
      <trackRevisions>false</trackRevisions>
    </reviewItem>
    <reviewItem>
      <errorID>243076ff-181d-43a5-bb92-bbc84ae62722</errorID>
      <errorWord>(</errorWord>
      <group>L1_Format</group>
      <groupName>格式问题</groupName>
      <ability>L2_HalfPunc_CN</ability>
      <abilityName>全半角问题</abilityName>
      <candidateList>
        <item>（</item>
      </candidateList>
      <explain>文本全半角错误。</explain>
      <paraID> 6E448FB</paraID>
      <start>292</start>
      <end>293</end>
      <status>unmodified</status>
      <modifiedWord/>
      <trackRevisions>false</trackRevisions>
    </reviewItem>
    <reviewItem>
      <errorID>9f5ae5f0-566e-4de4-8f78-278721782c63</errorID>
      <errorWord>)</errorWord>
      <group>L1_Format</group>
      <groupName>格式问题</groupName>
      <ability>L2_HalfPunc_CN</ability>
      <abilityName>全半角问题</abilityName>
      <candidateList>
        <item>）</item>
      </candidateList>
      <explain>文本全半角错误。</explain>
      <paraID> 6E448FB</paraID>
      <start>294</start>
      <end>295</end>
      <status>unmodified</status>
      <modifiedWord/>
      <trackRevisions>false</trackRevisions>
    </reviewItem>
    <reviewItem>
      <errorID>b00d8340-d9cc-42df-bb2d-3229dbecf4ca</errorID>
      <errorWord>(</errorWord>
      <group>L1_Format</group>
      <groupName>格式问题</groupName>
      <ability>L2_HalfPunc_CN</ability>
      <abilityName>全半角问题</abilityName>
      <candidateList>
        <item>（</item>
      </candidateList>
      <explain>文本全半角错误。</explain>
      <paraID> 6E448FB</paraID>
      <start>300</start>
      <end>301</end>
      <status>unmodified</status>
      <modifiedWord/>
      <trackRevisions>false</trackRevisions>
    </reviewItem>
    <reviewItem>
      <errorID>39c9ff0b-1f02-4b46-84f3-1916dc69746b</errorID>
      <errorWord>)</errorWord>
      <group>L1_Format</group>
      <groupName>格式问题</groupName>
      <ability>L2_HalfPunc_CN</ability>
      <abilityName>全半角问题</abilityName>
      <candidateList>
        <item>）</item>
      </candidateList>
      <explain>文本全半角错误。</explain>
      <paraID> 6E448FB</paraID>
      <start>302</start>
      <end>303</end>
      <status>unmodified</status>
      <modifiedWord/>
      <trackRevisions>false</trackRevisions>
    </reviewItem>
    <reviewItem>
      <errorID>eb066e79-06e1-4f94-be79-b601f9db7651</errorID>
      <errorWord>(</errorWord>
      <group>L1_Format</group>
      <groupName>格式问题</groupName>
      <ability>L2_HalfPunc_CN</ability>
      <abilityName>全半角问题</abilityName>
      <candidateList>
        <item>（</item>
      </candidateList>
      <explain>文本全半角错误。</explain>
      <paraID> 6E448FB</paraID>
      <start>308</start>
      <end>309</end>
      <status>unmodified</status>
      <modifiedWord/>
      <trackRevisions>false</trackRevisions>
    </reviewItem>
    <reviewItem>
      <errorID>08bc9574-d22d-49b6-b3fe-30ff1b70328f</errorID>
      <errorWord>)</errorWord>
      <group>L1_Format</group>
      <groupName>格式问题</groupName>
      <ability>L2_HalfPunc_CN</ability>
      <abilityName>全半角问题</abilityName>
      <candidateList>
        <item>）</item>
      </candidateList>
      <explain>文本全半角错误。</explain>
      <paraID> 6E448FB</paraID>
      <start>310</start>
      <end>311</end>
      <status>unmodified</status>
      <modifiedWord/>
      <trackRevisions>false</trackRevisions>
    </reviewItem>
    <reviewItem>
      <errorID>3e3ac2f9-653c-41fd-8a2c-1bdc87a6de26</errorID>
      <errorWord>(</errorWord>
      <group>L1_Format</group>
      <groupName>格式问题</groupName>
      <ability>L2_HalfPunc_CN</ability>
      <abilityName>全半角问题</abilityName>
      <candidateList>
        <item>（</item>
      </candidateList>
      <explain>文本全半角错误。</explain>
      <paraID> 6E448FB</paraID>
      <start>315</start>
      <end>316</end>
      <status>unmodified</status>
      <modifiedWord/>
      <trackRevisions>false</trackRevisions>
    </reviewItem>
    <reviewItem>
      <errorID>0301af7e-e30d-46c2-8e2e-8e21e88da17f</errorID>
      <errorWord>)</errorWord>
      <group>L1_Format</group>
      <groupName>格式问题</groupName>
      <ability>L2_HalfPunc_CN</ability>
      <abilityName>全半角问题</abilityName>
      <candidateList>
        <item>）</item>
      </candidateList>
      <explain>文本全半角错误。</explain>
      <paraID> 6E448FB</paraID>
      <start>324</start>
      <end>325</end>
      <status>unmodified</status>
      <modifiedWord/>
      <trackRevisions>false</trackRevisions>
    </reviewItem>
    <reviewItem>
      <errorID>be4a160b-b66c-474e-b430-835973b4b32d</errorID>
      <errorWord>(</errorWord>
      <group>L1_Format</group>
      <groupName>格式问题</groupName>
      <ability>L2_HalfPunc_CN</ability>
      <abilityName>全半角问题</abilityName>
      <candidateList>
        <item>（</item>
      </candidateList>
      <explain>文本全半角错误。</explain>
      <paraID> 6E448FB</paraID>
      <start>330</start>
      <end>331</end>
      <status>unmodified</status>
      <modifiedWord/>
      <trackRevisions>false</trackRevisions>
    </reviewItem>
    <reviewItem>
      <errorID>e2829dcf-5c62-4a5d-91e4-674e5163c0e8</errorID>
      <errorWord>)</errorWord>
      <group>L1_Format</group>
      <groupName>格式问题</groupName>
      <ability>L2_HalfPunc_CN</ability>
      <abilityName>全半角问题</abilityName>
      <candidateList>
        <item>）</item>
      </candidateList>
      <explain>文本全半角错误。</explain>
      <paraID> 6E448FB</paraID>
      <start>333</start>
      <end>334</end>
      <status>unmodified</status>
      <modifiedWord/>
      <trackRevisions>false</trackRevisions>
    </reviewItem>
    <reviewItem>
      <errorID>b6fe3086-489e-445d-be5c-715ce29246bc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4F76DE4C</paraID>
      <start>0</start>
      <end>2</end>
      <status>unmodified</status>
      <modifiedWord/>
      <trackRevisions>false</trackRevisions>
    </reviewItem>
    <reviewItem>
      <errorID>fb48a8eb-f4f7-4d4a-9f00-0feb62aa59c4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72A8CB6C</paraID>
      <start>0</start>
      <end>2</end>
      <status>unmodified</status>
      <modifiedWord/>
      <trackRevisions>false</trackRevisions>
    </reviewItem>
    <reviewItem>
      <errorID>deb66856-768d-4e3f-9664-b3f21e522ced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14009A66</paraID>
      <start>0</start>
      <end>2</end>
      <status>unmodified</status>
      <modifiedWord/>
      <trackRevisions>false</trackRevisions>
    </reviewItem>
    <reviewItem>
      <errorID>8805c581-d418-4d40-8c11-6f231d1b07e3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50C4259C</paraID>
      <start>0</start>
      <end>2</end>
      <status>unmodified</status>
      <modifiedWord/>
      <trackRevisions>false</trackRevisions>
    </reviewItem>
    <reviewItem>
      <errorID>06e2cab8-d0ac-409c-8ea5-815e0ca93965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6432CF3C</paraID>
      <start>0</start>
      <end>2</end>
      <status>unmodified</status>
      <modifiedWord/>
      <trackRevisions>false</trackRevisions>
    </reviewItem>
    <reviewItem>
      <errorID>3d3a6ef7-2d0a-45e6-90cf-789b6f610e9b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5EEDBE22</paraID>
      <start>0</start>
      <end>2</end>
      <status>unmodified</status>
      <modifiedWord/>
      <trackRevisions>false</trackRevisions>
    </reviewItem>
    <reviewItem>
      <errorID>6716cdf1-e036-461b-9347-0e7122f468e7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4FA10594</paraID>
      <start>0</start>
      <end>2</end>
      <status>unmodified</status>
      <modifiedWord/>
      <trackRevisions>false</trackRevisions>
    </reviewItem>
    <reviewItem>
      <errorID>b8cb6c19-fdc0-42e2-8644-c59391bc51ff</errorID>
      <errorWord>,</errorWord>
      <group>L1_Format</group>
      <groupName>格式问题</groupName>
      <ability>L2_HalfPunc_CN</ability>
      <abilityName>全半角问题</abilityName>
      <candidateList>
        <item>，</item>
      </candidateList>
      <explain>文本全半角错误。</explain>
      <paraID> CC6AD95</paraID>
      <start>1</start>
      <end>2</end>
      <status>unmodified</status>
      <modifiedWord/>
      <trackRevisions>false</trackRevisions>
    </reviewItem>
    <reviewItem>
      <errorID>a3cf5048-b016-4af9-aae9-8624fa81fb53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4778334E</paraID>
      <start>0</start>
      <end>2</end>
      <status>unmodified</status>
      <modifiedWord/>
      <trackRevisions>false</trackRevisions>
    </reviewItem>
    <reviewItem>
      <errorID>5dcf6e67-fa79-4476-9a00-ac0328a8ca96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91EED45</paraID>
      <start>0</start>
      <end>2</end>
      <status>unmodified</status>
      <modifiedWord/>
      <trackRevisions>false</trackRevisions>
    </reviewItem>
    <reviewItem>
      <errorID>f02a7a92-d3a7-46b9-a803-1f4bc902ef88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4864260F</paraID>
      <start>0</start>
      <end>2</end>
      <status>unmodified</status>
      <modifiedWord/>
      <trackRevisions>false</trackRevisions>
    </reviewItem>
    <reviewItem>
      <errorID>68977465-4697-4eea-ad72-ebe731fc6b39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6A0C3F7</paraID>
      <start>0</start>
      <end>2</end>
      <status>unmodified</status>
      <modifiedWord/>
      <trackRevisions>false</trackRevisions>
    </reviewItem>
    <reviewItem>
      <errorID>0f12a18e-160d-4bba-ad43-029f1ea7b095</errorID>
      <errorWord>(</errorWord>
      <group>L1_Format</group>
      <groupName>格式问题</groupName>
      <ability>L2_HalfPunc_CN</ability>
      <abilityName>全半角问题</abilityName>
      <candidateList>
        <item>（</item>
      </candidateList>
      <explain>文本全半角错误。</explain>
      <paraID>618D1489</paraID>
      <start>2</start>
      <end>3</end>
      <status>unmodified</status>
      <modifiedWord/>
      <trackRevisions>false</trackRevisions>
    </reviewItem>
    <reviewItem>
      <errorID>0d0b5e11-25cc-4503-9bb0-f1907974f2c4</errorID>
      <errorWord>)</errorWord>
      <group>L1_Format</group>
      <groupName>格式问题</groupName>
      <ability>L2_HalfPunc_CN</ability>
      <abilityName>全半角问题</abilityName>
      <candidateList>
        <item>）</item>
      </candidateList>
      <explain>文本全半角错误。</explain>
      <paraID>618D1489</paraID>
      <start>4</start>
      <end>5</end>
      <status>unmodified</status>
      <modifiedWord/>
      <trackRevisions>false</trackRevisions>
    </reviewItem>
    <reviewItem>
      <errorID>98828971-06d5-4335-8cc2-621a482053f2</errorID>
      <errorWord>(</errorWord>
      <group>L1_Format</group>
      <groupName>格式问题</groupName>
      <ability>L2_HalfPunc_CN</ability>
      <abilityName>全半角问题</abilityName>
      <candidateList>
        <item>（</item>
      </candidateList>
      <explain>文本全半角错误。</explain>
      <paraID>62D11883</paraID>
      <start>2</start>
      <end>3</end>
      <status>unmodified</status>
      <modifiedWord/>
      <trackRevisions>false</trackRevisions>
    </reviewItem>
    <reviewItem>
      <errorID>631e6103-401c-4ead-a021-35639c3a384a</errorID>
      <errorWord>)</errorWord>
      <group>L1_Format</group>
      <groupName>格式问题</groupName>
      <ability>L2_HalfPunc_CN</ability>
      <abilityName>全半角问题</abilityName>
      <candidateList>
        <item>）</item>
      </candidateList>
      <explain>文本全半角错误。</explain>
      <paraID>62D11883</paraID>
      <start>4</start>
      <end>5</end>
      <status>unmodified</status>
      <modifiedWord/>
      <trackRevisions>false</trackRevisions>
    </reviewItem>
    <reviewItem>
      <errorID>0e228436-d30d-4752-970e-e9ad10e6d12a</errorID>
      <errorWord>(</errorWord>
      <group>L1_Format</group>
      <groupName>格式问题</groupName>
      <ability>L2_HalfPunc_CN</ability>
      <abilityName>全半角问题</abilityName>
      <candidateList>
        <item>（</item>
      </candidateList>
      <explain>文本全半角错误。</explain>
      <paraID>4803CB02</paraID>
      <start>2</start>
      <end>3</end>
      <status>unmodified</status>
      <modifiedWord/>
      <trackRevisions>false</trackRevisions>
    </reviewItem>
    <reviewItem>
      <errorID>b7103346-f26a-416b-88f7-a612d34fff9a</errorID>
      <errorWord>)</errorWord>
      <group>L1_Format</group>
      <groupName>格式问题</groupName>
      <ability>L2_HalfPunc_CN</ability>
      <abilityName>全半角问题</abilityName>
      <candidateList>
        <item>）</item>
      </candidateList>
      <explain>文本全半角错误。</explain>
      <paraID>4803CB02</paraID>
      <start>4</start>
      <end>5</end>
      <status>unmodified</status>
      <modifiedWord/>
      <trackRevisions>false</trackRevisions>
    </reviewItem>
    <reviewItem>
      <errorID>4e171700-dd22-46cf-ab0a-3bb166322096</errorID>
      <errorWord>(</errorWord>
      <group>L1_Format</group>
      <groupName>格式问题</groupName>
      <ability>L2_HalfPunc_CN</ability>
      <abilityName>全半角问题</abilityName>
      <candidateList>
        <item>（</item>
      </candidateList>
      <explain>文本全半角错误。</explain>
      <paraID>5F1F13BF</paraID>
      <start>2</start>
      <end>3</end>
      <status>unmodified</status>
      <modifiedWord/>
      <trackRevisions>false</trackRevisions>
    </reviewItem>
    <reviewItem>
      <errorID>57c154dd-30e2-4a3a-a1db-58190b028b29</errorID>
      <errorWord>)</errorWord>
      <group>L1_Format</group>
      <groupName>格式问题</groupName>
      <ability>L2_HalfPunc_CN</ability>
      <abilityName>全半角问题</abilityName>
      <candidateList>
        <item>）</item>
      </candidateList>
      <explain>文本全半角错误。</explain>
      <paraID>5F1F13BF</paraID>
      <start>4</start>
      <end>5</end>
      <status>unmodified</status>
      <modifiedWord/>
      <trackRevisions>false</trackRevisions>
    </reviewItem>
    <reviewItem>
      <errorID>b8b11a77-655a-4152-8d71-e899c3a84fbe</errorID>
      <errorWord>(</errorWord>
      <group>L1_Format</group>
      <groupName>格式问题</groupName>
      <ability>L2_HalfPunc_CN</ability>
      <abilityName>全半角问题</abilityName>
      <candidateList>
        <item>（</item>
      </candidateList>
      <explain>文本全半角错误。</explain>
      <paraID> A698EB6</paraID>
      <start>2</start>
      <end>3</end>
      <status>unmodified</status>
      <modifiedWord/>
      <trackRevisions>false</trackRevisions>
    </reviewItem>
    <reviewItem>
      <errorID>64f356d7-45c7-4f9b-aa8f-ea585efeb5eb</errorID>
      <errorWord>)</errorWord>
      <group>L1_Format</group>
      <groupName>格式问题</groupName>
      <ability>L2_HalfPunc_CN</ability>
      <abilityName>全半角问题</abilityName>
      <candidateList>
        <item>）</item>
      </candidateList>
      <explain>文本全半角错误。</explain>
      <paraID> A698EB6</paraID>
      <start>11</start>
      <end>12</end>
      <status>unmodified</status>
      <modifiedWord/>
      <trackRevisions>false</trackRevisions>
    </reviewItem>
    <reviewItem>
      <errorID>7ce5359f-2abc-4ac0-a172-a0519eab4be3</errorID>
      <errorWord>(</errorWord>
      <group>L1_Format</group>
      <groupName>格式问题</groupName>
      <ability>L2_HalfPunc_CN</ability>
      <abilityName>全半角问题</abilityName>
      <candidateList>
        <item>（</item>
      </candidateList>
      <explain>文本全半角错误。</explain>
      <paraID>49D9AFEC</paraID>
      <start>3</start>
      <end>4</end>
      <status>unmodified</status>
      <modifiedWord/>
      <trackRevisions>false</trackRevisions>
    </reviewItem>
    <reviewItem>
      <errorID>26c231d6-350d-4a5a-9327-20d3379d95dd</errorID>
      <errorWord>)</errorWord>
      <group>L1_Format</group>
      <groupName>格式问题</groupName>
      <ability>L2_HalfPunc_CN</ability>
      <abilityName>全半角问题</abilityName>
      <candidateList>
        <item>）</item>
      </candidateList>
      <explain>文本全半角错误。</explain>
      <paraID>49D9AFEC</paraID>
      <start>6</start>
      <end>7</end>
      <status>unmodified</status>
      <modifiedWord/>
      <trackRevisions>false</trackRevisions>
    </reviewItem>
    <reviewItem>
      <errorID>90e364dc-5360-4f42-a742-2eabb89c0137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903A0A3</paraID>
      <start>0</start>
      <end>2</end>
      <status>unmodified</status>
      <modifiedWord/>
      <trackRevisions>false</trackRevisions>
    </reviewItem>
    <reviewItem>
      <errorID>a169356d-2aee-4239-9ce2-de8051b31a8f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3E58D87</paraID>
      <start>0</start>
      <end>2</end>
      <status>unmodified</status>
      <modifiedWord/>
      <trackRevisions>false</trackRevisions>
    </reviewItem>
    <reviewItem>
      <errorID>57a4eaf2-5e53-461e-8e32-3c7b3d3e8d5f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7B1FBF9D</paraID>
      <start>0</start>
      <end>2</end>
      <status>unmodified</status>
      <modifiedWord/>
      <trackRevisions>false</trackRevisions>
    </reviewItem>
    <reviewItem>
      <errorID>ead79777-e346-482c-a664-abd2f2cd759d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142C71E3</paraID>
      <start>0</start>
      <end>2</end>
      <status>unmodified</status>
      <modifiedWord/>
      <trackRevisions>false</trackRevisions>
    </reviewItem>
    <reviewItem>
      <errorID>36640cc8-8529-46ad-967e-e3d0ecaa00d0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577FE286</paraID>
      <start>0</start>
      <end>2</end>
      <status>unmodified</status>
      <modifiedWord/>
      <trackRevisions>false</trackRevisions>
    </reviewItem>
    <reviewItem>
      <errorID>faf89d67-0b59-445c-9fca-4f167935e9c4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7E2F4981</paraID>
      <start>0</start>
      <end>2</end>
      <status>unmodified</status>
      <modifiedWord/>
      <trackRevisions>false</trackRevisions>
    </reviewItem>
    <reviewItem>
      <errorID>d0869058-a869-4994-a5df-649126367dd7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5A5C062A</paraID>
      <start>0</start>
      <end>2</end>
      <status>unmodified</status>
      <modifiedWord/>
      <trackRevisions>false</trackRevisions>
    </reviewItem>
    <reviewItem>
      <errorID>f2e38e5b-0100-426b-8292-c0812c54475f</errorID>
      <errorWord>,</errorWord>
      <group>L1_Format</group>
      <groupName>格式问题</groupName>
      <ability>L2_HalfPunc_CN</ability>
      <abilityName>全半角问题</abilityName>
      <candidateList>
        <item>，</item>
      </candidateList>
      <explain>文本全半角错误。</explain>
      <paraID>23AF19FE</paraID>
      <start>1</start>
      <end>2</end>
      <status>unmodified</status>
      <modifiedWord/>
      <trackRevisions>false</trackRevisions>
    </reviewItem>
    <reviewItem>
      <errorID>09e4ac0f-4c02-4409-a378-9f30cb879682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681D33BD</paraID>
      <start>0</start>
      <end>2</end>
      <status>unmodified</status>
      <modifiedWord/>
      <trackRevisions>false</trackRevisions>
    </reviewItem>
    <reviewItem>
      <errorID>68cad999-5708-49ff-b111-2bcbbcbbabc8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418C673A</paraID>
      <start>0</start>
      <end>2</end>
      <status>unmodified</status>
      <modifiedWord/>
      <trackRevisions>false</trackRevisions>
    </reviewItem>
    <reviewItem>
      <errorID>f70942bb-50de-4184-aa26-29771c2c0920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5776A8A6</paraID>
      <start>0</start>
      <end>2</end>
      <status>unmodified</status>
      <modifiedWord/>
      <trackRevisions>false</trackRevisions>
    </reviewItem>
    <reviewItem>
      <errorID>2cd11054-5107-41c1-8ace-dd126f8be116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7F49C242</paraID>
      <start>0</start>
      <end>2</end>
      <status>unmodified</status>
      <modifiedWord/>
      <trackRevisions>false</trackRevisions>
    </reviewItem>
    <reviewItem>
      <errorID>3b03455b-f636-4d51-835b-a7131d4d6b6c</errorID>
      <errorWord>(</errorWord>
      <group>L1_Format</group>
      <groupName>格式问题</groupName>
      <ability>L2_HalfPunc_CN</ability>
      <abilityName>全半角问题</abilityName>
      <candidateList>
        <item>（</item>
      </candidateList>
      <explain>文本全半角错误。</explain>
      <paraID>322BF65E</paraID>
      <start>2</start>
      <end>3</end>
      <status>unmodified</status>
      <modifiedWord/>
      <trackRevisions>false</trackRevisions>
    </reviewItem>
    <reviewItem>
      <errorID>e0e00e63-2f76-4d36-9164-164d23737d47</errorID>
      <errorWord>)</errorWord>
      <group>L1_Format</group>
      <groupName>格式问题</groupName>
      <ability>L2_HalfPunc_CN</ability>
      <abilityName>全半角问题</abilityName>
      <candidateList>
        <item>）</item>
      </candidateList>
      <explain>文本全半角错误。</explain>
      <paraID>322BF65E</paraID>
      <start>4</start>
      <end>5</end>
      <status>unmodified</status>
      <modifiedWord/>
      <trackRevisions>false</trackRevisions>
    </reviewItem>
    <reviewItem>
      <errorID>40c2728c-67b3-484f-820a-162227e2ca4f</errorID>
      <errorWord>(</errorWord>
      <group>L1_Format</group>
      <groupName>格式问题</groupName>
      <ability>L2_HalfPunc_CN</ability>
      <abilityName>全半角问题</abilityName>
      <candidateList>
        <item>（</item>
      </candidateList>
      <explain>文本全半角错误。</explain>
      <paraID>4EC6EA9C</paraID>
      <start>2</start>
      <end>3</end>
      <status>unmodified</status>
      <modifiedWord/>
      <trackRevisions>false</trackRevisions>
    </reviewItem>
    <reviewItem>
      <errorID>17b35366-a314-4814-a1c1-5f0914537a94</errorID>
      <errorWord>)</errorWord>
      <group>L1_Format</group>
      <groupName>格式问题</groupName>
      <ability>L2_HalfPunc_CN</ability>
      <abilityName>全半角问题</abilityName>
      <candidateList>
        <item>）</item>
      </candidateList>
      <explain>文本全半角错误。</explain>
      <paraID>4EC6EA9C</paraID>
      <start>4</start>
      <end>5</end>
      <status>unmodified</status>
      <modifiedWord/>
      <trackRevisions>false</trackRevisions>
    </reviewItem>
    <reviewItem>
      <errorID>583e13b9-6649-47e3-9fd8-539996eee372</errorID>
      <errorWord>(</errorWord>
      <group>L1_Format</group>
      <groupName>格式问题</groupName>
      <ability>L2_HalfPunc_CN</ability>
      <abilityName>全半角问题</abilityName>
      <candidateList>
        <item>（</item>
      </candidateList>
      <explain>文本全半角错误。</explain>
      <paraID>7495341C</paraID>
      <start>2</start>
      <end>3</end>
      <status>unmodified</status>
      <modifiedWord/>
      <trackRevisions>false</trackRevisions>
    </reviewItem>
    <reviewItem>
      <errorID>18702d69-4bbb-40bb-9f44-b1f7edecc6b7</errorID>
      <errorWord>)</errorWord>
      <group>L1_Format</group>
      <groupName>格式问题</groupName>
      <ability>L2_HalfPunc_CN</ability>
      <abilityName>全半角问题</abilityName>
      <candidateList>
        <item>）</item>
      </candidateList>
      <explain>文本全半角错误。</explain>
      <paraID>7495341C</paraID>
      <start>4</start>
      <end>5</end>
      <status>unmodified</status>
      <modifiedWord/>
      <trackRevisions>false</trackRevisions>
    </reviewItem>
    <reviewItem>
      <errorID>fcf740b8-6e12-4e28-8cbc-f9dfde4571f8</errorID>
      <errorWord>(</errorWord>
      <group>L1_Format</group>
      <groupName>格式问题</groupName>
      <ability>L2_HalfPunc_CN</ability>
      <abilityName>全半角问题</abilityName>
      <candidateList>
        <item>（</item>
      </candidateList>
      <explain>文本全半角错误。</explain>
      <paraID>19C5089B</paraID>
      <start>2</start>
      <end>3</end>
      <status>unmodified</status>
      <modifiedWord/>
      <trackRevisions>false</trackRevisions>
    </reviewItem>
    <reviewItem>
      <errorID>bdf575a5-40ff-4949-940e-fc4d231a938a</errorID>
      <errorWord>)</errorWord>
      <group>L1_Format</group>
      <groupName>格式问题</groupName>
      <ability>L2_HalfPunc_CN</ability>
      <abilityName>全半角问题</abilityName>
      <candidateList>
        <item>）</item>
      </candidateList>
      <explain>文本全半角错误。</explain>
      <paraID>19C5089B</paraID>
      <start>4</start>
      <end>5</end>
      <status>unmodified</status>
      <modifiedWord/>
      <trackRevisions>false</trackRevisions>
    </reviewItem>
    <reviewItem>
      <errorID>e3936e13-b8ff-4964-b510-51d7f50ca275</errorID>
      <errorWord>(</errorWord>
      <group>L1_Format</group>
      <groupName>格式问题</groupName>
      <ability>L2_HalfPunc_CN</ability>
      <abilityName>全半角问题</abilityName>
      <candidateList>
        <item>（</item>
      </candidateList>
      <explain>文本全半角错误。</explain>
      <paraID>750C4233</paraID>
      <start>2</start>
      <end>3</end>
      <status>unmodified</status>
      <modifiedWord/>
      <trackRevisions>false</trackRevisions>
    </reviewItem>
    <reviewItem>
      <errorID>d58bc74d-9437-4658-bcbc-34f6f2051bdf</errorID>
      <errorWord>)</errorWord>
      <group>L1_Format</group>
      <groupName>格式问题</groupName>
      <ability>L2_HalfPunc_CN</ability>
      <abilityName>全半角问题</abilityName>
      <candidateList>
        <item>）</item>
      </candidateList>
      <explain>文本全半角错误。</explain>
      <paraID>750C4233</paraID>
      <start>11</start>
      <end>12</end>
      <status>unmodified</status>
      <modifiedWord/>
      <trackRevisions>false</trackRevisions>
    </reviewItem>
    <reviewItem>
      <errorID>c7956717-e616-4125-9ff0-aa5b0e8a94fa</errorID>
      <errorWord>(</errorWord>
      <group>L1_Format</group>
      <groupName>格式问题</groupName>
      <ability>L2_HalfPunc_CN</ability>
      <abilityName>全半角问题</abilityName>
      <candidateList>
        <item>（</item>
      </candidateList>
      <explain>文本全半角错误。</explain>
      <paraID>70C8BF74</paraID>
      <start>3</start>
      <end>4</end>
      <status>unmodified</status>
      <modifiedWord/>
      <trackRevisions>false</trackRevisions>
    </reviewItem>
    <reviewItem>
      <errorID>f6c9e971-b1ab-43d9-ba01-e5940f5fdc9c</errorID>
      <errorWord>)</errorWord>
      <group>L1_Format</group>
      <groupName>格式问题</groupName>
      <ability>L2_HalfPunc_CN</ability>
      <abilityName>全半角问题</abilityName>
      <candidateList>
        <item>）</item>
      </candidateList>
      <explain>文本全半角错误。</explain>
      <paraID>70C8BF74</paraID>
      <start>6</start>
      <end>7</end>
      <status>unmodified</status>
      <modifiedWord/>
      <trackRevisions>false</trackRevisions>
    </reviewItem>
    <reviewItem>
      <errorID>da096462-5d43-40ea-a165-39b7deae1ae9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2FC46D98</paraID>
      <start>0</start>
      <end>2</end>
      <status>unmodified</status>
      <modifiedWord/>
      <trackRevisions>false</trackRevisions>
    </reviewItem>
    <reviewItem>
      <errorID>148e6de0-95cf-4277-a8d6-ad9b1ec8f579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3BBC7228</paraID>
      <start>0</start>
      <end>2</end>
      <status>unmodified</status>
      <modifiedWord/>
      <trackRevisions>false</trackRevisions>
    </reviewItem>
    <reviewItem>
      <errorID>c1749d54-18de-4ee3-b03f-be642bde276f</errorID>
      <errorWord>(</errorWord>
      <group>L1_Format</group>
      <groupName>格式问题</groupName>
      <ability>L2_HalfPunc_CN</ability>
      <abilityName>全半角问题</abilityName>
      <candidateList>
        <item>（</item>
      </candidateList>
      <explain>文本全半角错误。</explain>
      <paraID>78228077</paraID>
      <start>219</start>
      <end>220</end>
      <status>unmodified</status>
      <modifiedWord/>
      <trackRevisions>false</trackRevisions>
    </reviewItem>
    <reviewItem>
      <errorID>134e0968-04a1-43dd-9c7a-d9be1a235824</errorID>
      <errorWord>)</errorWord>
      <group>L1_Format</group>
      <groupName>格式问题</groupName>
      <ability>L2_HalfPunc_CN</ability>
      <abilityName>全半角问题</abilityName>
      <candidateList>
        <item>）</item>
      </candidateList>
      <explain>文本全半角错误。</explain>
      <paraID>78228077</paraID>
      <start>221</start>
      <end>222</end>
      <status>unmodified</status>
      <modifiedWord/>
      <trackRevisions>false</trackRevisions>
    </reviewItem>
    <reviewItem>
      <errorID>e935077b-86a4-4fd3-9c3b-62435ed7b7e1</errorID>
      <errorWord>减小</errorWord>
      <group>L1_Grammar</group>
      <groupName>语法问题</groupName>
      <ability>L2_Grammar</ability>
      <abilityName>语法错误</abilityName>
      <candidateList>
        <item>减少</item>
      </candidateList>
      <explain>“减小～排放”搭配不当，建议修改为“减少～排放”。</explain>
      <paraID>78228077</paraID>
      <start>357</start>
      <end>359</end>
      <status>unmodified</status>
      <modifiedWord/>
      <trackRevisions>false</trackRevisions>
    </reviewItem>
    <reviewItem>
      <errorID>63684a79-49e9-4875-9687-33b4847b80e8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44159C4D</paraID>
      <start>139</start>
      <end>140</end>
      <status>unmodified</status>
      <modifiedWord/>
      <trackRevisions>false</trackRevisions>
    </reviewItem>
    <reviewItem>
      <errorID>0c5e9db5-bc25-4467-b3a7-4df4b2a02d4e</errorID>
      <errorWord>(</errorWord>
      <group>L1_Format</group>
      <groupName>格式问题</groupName>
      <ability>L2_HalfPunc_CN</ability>
      <abilityName>全半角问题</abilityName>
      <candidateList>
        <item>（</item>
      </candidateList>
      <explain>文本全半角错误。</explain>
      <paraID>4CA087CE</paraID>
      <start>20</start>
      <end>21</end>
      <status>unmodified</status>
      <modifiedWord/>
      <trackRevisions>false</trackRevisions>
    </reviewItem>
    <reviewItem>
      <errorID>376e931a-7f4d-4897-a8fa-200eb9f9d0b9</errorID>
      <errorWord>)</errorWord>
      <group>L1_Format</group>
      <groupName>格式问题</groupName>
      <ability>L2_HalfPunc_CN</ability>
      <abilityName>全半角问题</abilityName>
      <candidateList>
        <item>）</item>
      </candidateList>
      <explain>文本全半角错误。</explain>
      <paraID>4CA087CE</paraID>
      <start>28</start>
      <end>29</end>
      <status>unmodified</status>
      <modifiedWord/>
      <trackRevisions>false</trackRevisions>
    </reviewItem>
    <reviewItem>
      <errorID>0c52b8a0-d4f1-45c8-b7d5-e9546dae7898</errorID>
      <errorWord>(</errorWord>
      <group>L1_Format</group>
      <groupName>格式问题</groupName>
      <ability>L2_HalfPunc_CN</ability>
      <abilityName>全半角问题</abilityName>
      <candidateList>
        <item>（</item>
      </candidateList>
      <explain>文本全半角错误。</explain>
      <paraID>4CA087CE</paraID>
      <start>50</start>
      <end>51</end>
      <status>unmodified</status>
      <modifiedWord/>
      <trackRevisions>false</trackRevisions>
    </reviewItem>
    <reviewItem>
      <errorID>aa03dbad-884d-4949-be60-f17e99a38288</errorID>
      <errorWord>)</errorWord>
      <group>L1_Format</group>
      <groupName>格式问题</groupName>
      <ability>L2_HalfPunc_CN</ability>
      <abilityName>全半角问题</abilityName>
      <candidateList>
        <item>）</item>
      </candidateList>
      <explain>文本全半角错误。</explain>
      <paraID>4CA087CE</paraID>
      <start>76</start>
      <end>77</end>
      <status>unmodified</status>
      <modifiedWord/>
      <trackRevisions>false</trackRevisions>
    </reviewItem>
    <reviewItem>
      <errorID>5d8ec9e7-aeb0-4296-a4ac-a11851422798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364B000A</paraID>
      <start>0</start>
      <end>2</end>
      <status>unmodified</status>
      <modifiedWord/>
      <trackRevisions>false</trackRevisions>
    </reviewItem>
    <reviewItem>
      <errorID>f8c4031a-1880-4e43-8b57-ac1485d73e7e</errorID>
      <errorWord>达</errorWord>
      <group>L1_Word</group>
      <groupName>字词问题</groupName>
      <ability>L2_Typo</ability>
      <abilityName>字词错误</abilityName>
      <candidateList>
        <item>达到</item>
      </candidateList>
      <explain/>
      <paraID>42C9739E</paraID>
      <start>93</start>
      <end>94</end>
      <status>unmodified</status>
      <modifiedWord/>
      <trackRevisions>false</trackRevisions>
    </reviewItem>
    <reviewItem>
      <errorID>e6c6194f-4984-400a-9f44-88a7be2318d3</errorID>
      <errorWord>～</errorWord>
      <group>L1_Format</group>
      <groupName>格式问题</groupName>
      <ability>L2_HalfPunc_CN</ability>
      <abilityName>全半角问题</abilityName>
      <candidateList>
        <item>~</item>
      </candidateList>
      <explain>文本全半角错误。</explain>
      <paraID>35E6D17F</paraID>
      <start>1</start>
      <end>2</end>
      <status>unmodified</status>
      <modifiedWord/>
      <trackRevisions>false</trackRevisions>
    </reviewItem>
    <reviewItem>
      <errorID>a96eaef0-cc41-44f5-9068-09fb7f2dc34b</errorID>
      <errorWord>～</errorWord>
      <group>L1_Format</group>
      <groupName>格式问题</groupName>
      <ability>L2_HalfPunc_CN</ability>
      <abilityName>全半角问题</abilityName>
      <candidateList>
        <item>~</item>
      </candidateList>
      <explain>文本全半角错误。</explain>
      <paraID>47C659A7</paraID>
      <start>1</start>
      <end>2</end>
      <status>unmodified</status>
      <modifiedWord/>
      <trackRevisions>false</trackRevisions>
    </reviewItem>
    <reviewItem>
      <errorID>f63c5530-30a6-4b6e-bd05-dc8861425042</errorID>
      <errorWord>（</errorWord>
      <group>L1_Format</group>
      <groupName>格式问题</groupName>
      <ability>L2_HalfPunc_CN</ability>
      <abilityName>全半角问题</abilityName>
      <candidateList>
        <item>(</item>
      </candidateList>
      <explain>文本全半角错误。</explain>
      <paraID> B1FD4C7</paraID>
      <start>1</start>
      <end>2</end>
      <status>unmodified</status>
      <modifiedWord/>
      <trackRevisions>false</trackRevisions>
    </reviewItem>
    <reviewItem>
      <errorID>4e7c43b5-d4dc-4f2b-bbd2-b990f4838145</errorID>
      <errorWord>）</errorWord>
      <group>L1_Format</group>
      <groupName>格式问题</groupName>
      <ability>L2_HalfPunc_CN</ability>
      <abilityName>全半角问题</abilityName>
      <candidateList>
        <item>)</item>
      </candidateList>
      <explain>文本全半角错误。</explain>
      <paraID> B1FD4C7</paraID>
      <start>3</start>
      <end>4</end>
      <status>unmodified</status>
      <modifiedWord/>
      <trackRevisions>false</trackRevisions>
    </reviewItem>
    <reviewItem>
      <errorID>58dc98a4-6feb-4f31-baa1-2276a0b35c71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7BE2ED57</paraID>
      <start>0</start>
      <end>2</end>
      <status>unmodified</status>
      <modifiedWord/>
      <trackRevisions>false</trackRevisions>
    </reviewItem>
    <reviewItem>
      <errorID>938960e0-fd32-485b-93db-3a76a454f51a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22C17D69</paraID>
      <start>0</start>
      <end>2</end>
      <status>unmodified</status>
      <modifiedWord/>
      <trackRevisions>false</trackRevisions>
    </reviewItem>
    <reviewItem>
      <errorID>31b27615-456e-4bb7-9c1c-a51129ad41fd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477DE8C4</paraID>
      <start>0</start>
      <end>2</end>
      <status>unmodified</status>
      <modifiedWord/>
      <trackRevisions>false</trackRevisions>
    </reviewItem>
    <reviewItem>
      <errorID>ad3a1db1-c083-42a7-9f2f-aabe2f51f73e</errorID>
      <errorWord>达</errorWord>
      <group>L1_Word</group>
      <groupName>字词问题</groupName>
      <ability>L2_Typo</ability>
      <abilityName>字词错误</abilityName>
      <candidateList>
        <item>达到</item>
      </candidateList>
      <explain/>
      <paraID>46BEE60D</paraID>
      <start>18</start>
      <end>19</end>
      <status>unmodified</status>
      <modifiedWord/>
      <trackRevisions>false</trackRevisions>
    </reviewItem>
    <reviewItem>
      <errorID>8c81250d-9d50-4455-86fc-ce305f99f69e</errorID>
      <errorWord>：</errorWord>
      <group>L1_Format</group>
      <groupName>格式问题</groupName>
      <ability>L2_HalfPunc_CN</ability>
      <abilityName>全半角问题</abilityName>
      <candidateList>
        <item>:</item>
      </candidateList>
      <explain>文本全半角错误。</explain>
      <paraID>564D5FB5</paraID>
      <start>3</start>
      <end>4</end>
      <status>unmodified</status>
      <modifiedWord/>
      <trackRevisions>false</trackRevisions>
    </reviewItem>
    <reviewItem>
      <errorID>10e96f3c-76b1-457e-8f26-d63354dd7ad8</errorID>
      <errorWord>；</errorWord>
      <group>L1_Format</group>
      <groupName>格式问题</groupName>
      <ability>L2_HalfPunc_CN</ability>
      <abilityName>全半角问题</abilityName>
      <candidateList>
        <item>;</item>
      </candidateList>
      <explain>文本全半角错误。</explain>
      <paraID>564D5FB5</paraID>
      <start>35</start>
      <end>36</end>
      <status>unmodified</status>
      <modifiedWord/>
      <trackRevisions>false</trackRevisions>
    </reviewItem>
    <reviewItem>
      <errorID>47add246-359b-437b-b6c5-52ceaebf88b2</errorID>
      <errorWord>：</errorWord>
      <group>L1_Format</group>
      <groupName>格式问题</groupName>
      <ability>L2_HalfPunc_CN</ability>
      <abilityName>全半角问题</abilityName>
      <candidateList>
        <item>:</item>
      </candidateList>
      <explain>文本全半角错误。</explain>
      <paraID>2127E439</paraID>
      <start>5</start>
      <end>6</end>
      <status>unmodified</status>
      <modifiedWord/>
      <trackRevisions>false</trackRevisions>
    </reviewItem>
    <reviewItem>
      <errorID>5f4a5f9d-1766-4680-a437-8024ab8d7dff</errorID>
      <errorWord>；</errorWord>
      <group>L1_Format</group>
      <groupName>格式问题</groupName>
      <ability>L2_HalfPunc_CN</ability>
      <abilityName>全半角问题</abilityName>
      <candidateList>
        <item>;</item>
      </candidateList>
      <explain>文本全半角错误。</explain>
      <paraID>2127E439</paraID>
      <start>36</start>
      <end>37</end>
      <status>unmodified</status>
      <modifiedWord/>
      <trackRevisions>false</trackRevisions>
    </reviewItem>
    <reviewItem>
      <errorID>c80f72ca-7f73-4689-b3dd-34bb847f1553</errorID>
      <errorWord>：</errorWord>
      <group>L1_Format</group>
      <groupName>格式问题</groupName>
      <ability>L2_HalfPunc_CN</ability>
      <abilityName>全半角问题</abilityName>
      <candidateList>
        <item>:</item>
      </candidateList>
      <explain>文本全半角错误。</explain>
      <paraID>6D547C9B</paraID>
      <start>2</start>
      <end>3</end>
      <status>unmodified</status>
      <modifiedWord/>
      <trackRevisions>false</trackRevisions>
    </reviewItem>
    <reviewItem>
      <errorID>d428cbcf-bb95-43b3-96f2-8e154b8c58b2</errorID>
      <errorWord>。</errorWord>
      <group>L1_Format</group>
      <groupName>格式问题</groupName>
      <ability>L2_HalfPunc_CN</ability>
      <abilityName>全半角问题</abilityName>
      <candidateList>
        <item>.</item>
      </candidateList>
      <explain>文本全半角错误。</explain>
      <paraID>6D547C9B</paraID>
      <start>32</start>
      <end>33</end>
      <status>unmodified</status>
      <modifiedWord/>
      <trackRevisions>false</trackRevisions>
    </reviewItem>
    <reviewItem>
      <errorID>a2750843-3ad4-4415-b1df-0915dd8112bd</errorID>
      <errorWord>：</errorWord>
      <group>L1_Format</group>
      <groupName>格式问题</groupName>
      <ability>L2_HalfPunc_CN</ability>
      <abilityName>全半角问题</abilityName>
      <candidateList>
        <item>:</item>
      </candidateList>
      <explain>文本全半角错误。</explain>
      <paraID>20AE8485</paraID>
      <start>3</start>
      <end>4</end>
      <status>unmodified</status>
      <modifiedWord/>
      <trackRevisions>false</trackRevisions>
    </reviewItem>
    <reviewItem>
      <errorID>e2d74ddb-36ec-4daf-9841-9abef4c91eeb</errorID>
      <errorWord>；</errorWord>
      <group>L1_Format</group>
      <groupName>格式问题</groupName>
      <ability>L2_HalfPunc_CN</ability>
      <abilityName>全半角问题</abilityName>
      <candidateList>
        <item>;</item>
      </candidateList>
      <explain>文本全半角错误。</explain>
      <paraID>20AE8485</paraID>
      <start>34</start>
      <end>35</end>
      <status>unmodified</status>
      <modifiedWord/>
      <trackRevisions>false</trackRevisions>
    </reviewItem>
    <reviewItem>
      <errorID>decf9d93-3479-452b-a832-7a644653c856</errorID>
      <errorWord>：</errorWord>
      <group>L1_Format</group>
      <groupName>格式问题</groupName>
      <ability>L2_HalfPunc_CN</ability>
      <abilityName>全半角问题</abilityName>
      <candidateList>
        <item>:</item>
      </candidateList>
      <explain>文本全半角错误。</explain>
      <paraID>4E2DC39B</paraID>
      <start>5</start>
      <end>6</end>
      <status>unmodified</status>
      <modifiedWord/>
      <trackRevisions>false</trackRevisions>
    </reviewItem>
    <reviewItem>
      <errorID>453f45fc-6407-44a3-b57a-781422c4caad</errorID>
      <errorWord>；</errorWord>
      <group>L1_Format</group>
      <groupName>格式问题</groupName>
      <ability>L2_HalfPunc_CN</ability>
      <abilityName>全半角问题</abilityName>
      <candidateList>
        <item>;</item>
      </candidateList>
      <explain>文本全半角错误。</explain>
      <paraID>4E2DC39B</paraID>
      <start>35</start>
      <end>36</end>
      <status>unmodified</status>
      <modifiedWord/>
      <trackRevisions>false</trackRevisions>
    </reviewItem>
    <reviewItem>
      <errorID>00262d0c-909d-48f8-b21a-3ce06e02d587</errorID>
      <errorWord>：</errorWord>
      <group>L1_Format</group>
      <groupName>格式问题</groupName>
      <ability>L2_HalfPunc_CN</ability>
      <abilityName>全半角问题</abilityName>
      <candidateList>
        <item>:</item>
      </candidateList>
      <explain>文本全半角错误。</explain>
      <paraID>3B6720A5</paraID>
      <start>2</start>
      <end>3</end>
      <status>unmodified</status>
      <modifiedWord/>
      <trackRevisions>false</trackRevisions>
    </reviewItem>
    <reviewItem>
      <errorID>83acb5dd-3911-4dd1-a90f-f00164fedd7b</errorID>
      <errorWord>。</errorWord>
      <group>L1_Format</group>
      <groupName>格式问题</groupName>
      <ability>L2_HalfPunc_CN</ability>
      <abilityName>全半角问题</abilityName>
      <candidateList>
        <item>.</item>
      </candidateList>
      <explain>文本全半角错误。</explain>
      <paraID>3B6720A5</paraID>
      <start>34</start>
      <end>35</end>
      <status>unmodified</status>
      <modifiedWord/>
      <trackRevisions>false</trackRevisions>
    </reviewItem>
    <reviewItem>
      <errorID>d3ab1935-1b3e-4400-bf66-b6f57cbf29a6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74BF71DE</paraID>
      <start>0</start>
      <end>2</end>
      <status>unmodified</status>
      <modifiedWord/>
      <trackRevisions>false</trackRevisions>
    </reviewItem>
    <reviewItem>
      <errorID>dd5cdae4-a7ef-4306-80ae-bdfb317e4c69</errorID>
      <errorWord>程</errorWord>
      <group>L1_Word</group>
      <groupName>字词问题</groupName>
      <ability>L2_Typo</ability>
      <abilityName>字词错误</abilityName>
      <candidateList>
        <item>程中</item>
      </candidateList>
      <explain/>
      <paraID>555D269A</paraID>
      <start>6</start>
      <end>7</end>
      <status>unmodified</status>
      <modifiedWord/>
      <trackRevisions>false</trackRevisions>
    </reviewItem>
    <reviewItem>
      <errorID>79f235ae-1f6e-4748-bc5d-6d42284a76dc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6EBCD086</paraID>
      <start>0</start>
      <end>2</end>
      <status>unmodified</status>
      <modifiedWord/>
      <trackRevisions>false</trackRevisions>
    </reviewItem>
    <reviewItem>
      <errorID>24fd24c1-9c85-44d1-afb3-a8d342d2ebe5</errorID>
      <errorWord>施工场地设</errorWord>
      <group>L1_Word</group>
      <groupName>字词问题</groupName>
      <ability>L2_Typo</ability>
      <abilityName>字词错误</abilityName>
      <candidateList>
        <item>施工场地设置</item>
      </candidateList>
      <explain/>
      <paraID>6290009A</paraID>
      <start>15</start>
      <end>20</end>
      <status>unmodified</status>
      <modifiedWord/>
      <trackRevisions>false</trackRevisions>
    </reviewItem>
    <reviewItem>
      <errorID>2ece1d86-5643-4a26-b68f-afa9111f77fd</errorID>
      <errorWord>，</errorWord>
      <group>L1_Word</group>
      <groupName>字词问题</groupName>
      <ability>L2_Typo</ability>
      <abilityName>字词错误</abilityName>
      <candidateList>
        <item>，在</item>
      </candidateList>
      <explain/>
      <paraID>6290009A</paraID>
      <start>27</start>
      <end>28</end>
      <status>unmodified</status>
      <modifiedWord/>
      <trackRevisions>false</trackRevisions>
    </reviewItem>
    <reviewItem>
      <errorID>c2afbde6-992e-4272-96ea-0c06101c0377</errorID>
      <errorWord>，</errorWord>
      <group>L1_Word</group>
      <groupName>字词问题</groupName>
      <ability>L2_Typo</ability>
      <abilityName>字词错误</abilityName>
      <candidateList>
        <item>，在</item>
      </candidateList>
      <explain/>
      <paraID>207A7EFE</paraID>
      <start>51</start>
      <end>52</end>
      <status>unmodified</status>
      <modifiedWord/>
      <trackRevisions>false</trackRevisions>
    </reviewItem>
    <reviewItem>
      <errorID>c479adb5-bd91-453f-a0a2-ee2334cfdda5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641418DD</paraID>
      <start>0</start>
      <end>2</end>
      <status>unmodified</status>
      <modifiedWord/>
      <trackRevisions>false</trackRevisions>
    </reviewItem>
    <reviewItem>
      <errorID>ac7663ee-3795-4bf3-85c5-9191f9b0302e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6BE9885C</paraID>
      <start>0</start>
      <end>2</end>
      <status>unmodified</status>
      <modifiedWord/>
      <trackRevisions>false</trackRevisions>
    </reviewItem>
    <reviewItem>
      <errorID>747cda33-dc9c-4d1a-bda7-59bdbdcefc4c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27274472</paraID>
      <start>0</start>
      <end>2</end>
      <status>unmodified</status>
      <modifiedWord/>
      <trackRevisions>false</trackRevisions>
    </reviewItem>
    <reviewItem>
      <errorID>76e3becd-93bd-4a6a-949b-5ae5de9648e3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7B486DDD</paraID>
      <start>0</start>
      <end>2</end>
      <status>unmodified</status>
      <modifiedWord/>
      <trackRevisions>false</trackRevisions>
    </reviewItem>
    <reviewItem>
      <errorID>1eb385fe-adc1-4733-915a-5411a1a27709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7574A8D4</paraID>
      <start>0</start>
      <end>2</end>
      <status>unmodified</status>
      <modifiedWord/>
      <trackRevisions>false</trackRevisions>
    </reviewItem>
    <reviewItem>
      <errorID>ff479940-6163-4c4b-86d2-4c3c90e90337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17CF5C41</paraID>
      <start>0</start>
      <end>2</end>
      <status>unmodified</status>
      <modifiedWord/>
      <trackRevisions>false</trackRevisions>
    </reviewItem>
    <reviewItem>
      <errorID>bc17d8c1-be75-4123-bd70-19fd98c6ce06</errorID>
      <errorWord>环保环保</errorWord>
      <group>L1_Word</group>
      <groupName>字词问题</groupName>
      <ability>L2_Typo</ability>
      <abilityName>字词错误</abilityName>
      <candidateList>
        <item>环保</item>
      </candidateList>
      <explain/>
      <paraID>5656BF20</paraID>
      <start>32</start>
      <end>36</end>
      <status>unmodified</status>
      <modifiedWord/>
      <trackRevisions>false</trackRevisions>
    </reviewItem>
    <reviewItem>
      <errorID>50c7802e-10d0-4b5f-99b3-bfb1543ee177</errorID>
      <errorWord>环保环保</errorWord>
      <group>L1_Word</group>
      <groupName>字词问题</groupName>
      <ability>L2_Typo</ability>
      <abilityName>字词错误</abilityName>
      <candidateList>
        <item>环保</item>
      </candidateList>
      <explain/>
      <paraID>2E9349CF</paraID>
      <start>8</start>
      <end>12</end>
      <status>unmodified</status>
      <modifiedWord/>
      <trackRevisions>false</trackRevisions>
    </reviewItem>
    <reviewItem>
      <errorID>d87459f9-c4cd-41cc-ac35-f36a7ceb7ed7</errorID>
      <errorWord>：</errorWord>
      <group>L1_Format</group>
      <groupName>格式问题</groupName>
      <ability>L2_HalfPunc_CN</ability>
      <abilityName>全半角问题</abilityName>
      <candidateList>
        <item>:</item>
      </candidateList>
      <explain>文本全半角错误。</explain>
      <paraID>14EBA07A</paraID>
      <start>65</start>
      <end>66</end>
      <status>unmodified</status>
      <modifiedWord/>
      <trackRevisions>false</trackRevisions>
    </reviewItem>
    <reviewItem>
      <errorID>547f43b0-c4e2-4a43-a518-720312f03627</errorID>
      <errorWord>处理达《城镇污水</errorWord>
      <group>L1_Word</group>
      <groupName>字词问题</groupName>
      <ability>L2_Typo</ability>
      <abilityName>字词错误</abilityName>
      <candidateList>
        <item>处理达到《城镇污水</item>
      </candidateList>
      <explain/>
      <paraID>74AA454D</paraID>
      <start>117</start>
      <end>125</end>
      <status>unmodified</status>
      <modifiedWord/>
      <trackRevisions>false</trackRevisions>
    </reviewItem>
    <reviewItem>
      <errorID>6aee4137-63f6-481a-8249-4d929c87618f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222F425D</paraID>
      <start>292</start>
      <end>293</end>
      <status>unmodified</status>
      <modifiedWord/>
      <trackRevisions>false</trackRevisions>
    </reviewItem>
    <reviewItem>
      <errorID>beb3bc1b-a63d-4bb0-a8bb-82eccf794882</errorID>
      <errorWord>，</errorWord>
      <group>L1_Format</group>
      <groupName>格式问题</groupName>
      <ability>L2_HalfPunc_CN</ability>
      <abilityName>全半角问题</abilityName>
      <candidateList>
        <item>,</item>
      </candidateList>
      <explain>文本全半角错误。</explain>
      <paraID>4022E476</paraID>
      <start>10</start>
      <end>11</end>
      <status>unmodified</status>
      <modifiedWord/>
      <trackRevisions>false</trackRevisions>
    </reviewItem>
    <reviewItem>
      <errorID>781d3364-b8cd-484e-86b8-3817c95f137a</errorID>
      <errorWord>达</errorWord>
      <group>L1_Word</group>
      <groupName>字词问题</groupName>
      <ability>L2_Typo</ability>
      <abilityName>字词错误</abilityName>
      <candidateList>
        <item>达到</item>
      </candidateList>
      <explain/>
      <paraID> E9F48BF</paraID>
      <start>181</start>
      <end>182</end>
      <status>unmodified</status>
      <modifiedWord/>
      <trackRevisions>false</trackRevisions>
    </reviewItem>
    <reviewItem>
      <errorID>70becbf7-300f-4dff-adfe-2b4ff1317c66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3AA1B38F</paraID>
      <start>0</start>
      <end>2</end>
      <status>unmodified</status>
      <modifiedWord/>
      <trackRevisions>false</trackRevisions>
    </reviewItem>
    <reviewItem>
      <errorID>bae28dfe-12f7-40c0-a59d-aaea7016aed9</errorID>
      <errorWord>)</errorWord>
      <group>L1_Format</group>
      <groupName>格式问题</groupName>
      <ability>L2_HalfPunc_CN</ability>
      <abilityName>全半角问题</abilityName>
      <candidateList>
        <item>）</item>
      </candidateList>
      <explain>文本全半角错误。</explain>
      <paraID>36294F77</paraID>
      <start>14</start>
      <end>15</end>
      <status>unmodified</status>
      <modifiedWord/>
      <trackRevisions>false</trackRevisions>
    </reviewItem>
    <reviewItem>
      <errorID>55aa154d-a735-4498-9343-755f9bbe0b83</errorID>
      <errorWord>)</errorWord>
      <group>L1_Format</group>
      <groupName>格式问题</groupName>
      <ability>L2_HalfPunc_CN</ability>
      <abilityName>全半角问题</abilityName>
      <candidateList>
        <item>）</item>
      </candidateList>
      <explain>文本全半角错误。</explain>
      <paraID>44BB4598</paraID>
      <start>8</start>
      <end>9</end>
      <status>unmodified</status>
      <modifiedWord/>
      <trackRevisions>false</trackRevisions>
    </reviewItem>
    <reviewItem>
      <errorID>c34439b9-520b-4a7c-827b-fb16e69d8271</errorID>
      <errorWord>)</errorWord>
      <group>L1_Format</group>
      <groupName>格式问题</groupName>
      <ability>L2_HalfPunc_CN</ability>
      <abilityName>全半角问题</abilityName>
      <candidateList>
        <item>）</item>
      </candidateList>
      <explain>文本全半角错误。</explain>
      <paraID>5F69B73A</paraID>
      <start>9</start>
      <end>10</end>
      <status>unmodified</status>
      <modifiedWord/>
      <trackRevisions>false</trackRevisions>
    </reviewItem>
    <reviewItem>
      <errorID>67d32801-2c4f-4f54-adc3-04fe7859b3c8</errorID>
      <errorWord>)</errorWord>
      <group>L1_Format</group>
      <groupName>格式问题</groupName>
      <ability>L2_HalfPunc_CN</ability>
      <abilityName>全半角问题</abilityName>
      <candidateList>
        <item>）</item>
      </candidateList>
      <explain>文本全半角错误。</explain>
      <paraID>5810D58C</paraID>
      <start>95</start>
      <end>96</end>
      <status>unmodified</status>
      <modifiedWord/>
      <trackRevisions>false</trackRevisions>
    </reviewItem>
    <reviewItem>
      <errorID>1e139b30-eb0c-4d77-ae66-7dc04c307e33</errorID>
      <errorWord>)</errorWord>
      <group>L1_Format</group>
      <groupName>格式问题</groupName>
      <ability>L2_HalfPunc_CN</ability>
      <abilityName>全半角问题</abilityName>
      <candidateList>
        <item>）</item>
      </candidateList>
      <explain>文本全半角错误。</explain>
      <paraID>5810D58C</paraID>
      <start>106</start>
      <end>107</end>
      <status>unmodified</status>
      <modifiedWord/>
      <trackRevisions>false</trackRevisions>
    </reviewItem>
    <reviewItem>
      <errorID>f14f173d-1c7f-4ab8-8a7b-673be2af4aa3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47B244D</paraID>
      <start>0</start>
      <end>2</end>
      <status>unmodified</status>
      <modifiedWord/>
      <trackRevisions>false</trackRevisions>
    </reviewItem>
    <reviewItem>
      <errorID>d25183aa-188a-4722-8c73-e7eda3110369</errorID>
      <errorWord>程</errorWord>
      <group>L1_Word</group>
      <groupName>字词问题</groupName>
      <ability>L2_Typo</ability>
      <abilityName>字词错误</abilityName>
      <candidateList>
        <item>程中</item>
      </candidateList>
      <explain/>
      <paraID>1B6041BF</paraID>
      <start>21</start>
      <end>22</end>
      <status>unmodified</status>
      <modifiedWord/>
      <trackRevisions>false</trackRevisions>
    </reviewItem>
    <reviewItem>
      <errorID>c48b12e3-b358-432f-af69-948604f01ae4</errorID>
      <errorWord>，</errorWord>
      <group>L1_Format</group>
      <groupName>格式问题</groupName>
      <ability>L2_HalfPunc_CN</ability>
      <abilityName>全半角问题</abilityName>
      <candidateList>
        <item>, </item>
      </candidateList>
      <explain>文本全半角错误。</explain>
      <paraID>6405D44E</paraID>
      <start>1</start>
      <end>2</end>
      <status>unmodified</status>
      <modifiedWord/>
      <trackRevisions>false</trackRevisions>
    </reviewItem>
    <reviewItem>
      <errorID>7c7e91b9-26a3-4854-8296-5f7f7ed92b7a</errorID>
      <errorWord>，</errorWord>
      <group>L1_Format</group>
      <groupName>格式问题</groupName>
      <ability>L2_HalfPunc_CN</ability>
      <abilityName>全半角问题</abilityName>
      <candidateList>
        <item>, </item>
      </candidateList>
      <explain>文本全半角错误。</explain>
      <paraID>61E88DE5</paraID>
      <start>1</start>
      <end>2</end>
      <status>unmodified</status>
      <modifiedWord/>
      <trackRevisions>false</trackRevisions>
    </reviewItem>
    <reviewItem>
      <errorID>81a16c5c-52a3-4972-9a69-457db7478dda</errorID>
      <errorWord>，</errorWord>
      <group>L1_Format</group>
      <groupName>格式问题</groupName>
      <ability>L2_HalfPunc_CN</ability>
      <abilityName>全半角问题</abilityName>
      <candidateList>
        <item>, </item>
      </candidateList>
      <explain>文本全半角错误。</explain>
      <paraID>6D4C8CCF</paraID>
      <start>1</start>
      <end>2</end>
      <status>unmodified</status>
      <modifiedWord/>
      <trackRevisions>false</trackRevisions>
    </reviewItem>
    <reviewItem>
      <errorID>2516c170-7a38-4a3a-90ce-6be7861bab46</errorID>
      <errorWord>，</errorWord>
      <group>L1_Format</group>
      <groupName>格式问题</groupName>
      <ability>L2_HalfPunc_CN</ability>
      <abilityName>全半角问题</abilityName>
      <candidateList>
        <item>, </item>
      </candidateList>
      <explain>文本全半角错误。</explain>
      <paraID>57B4870A</paraID>
      <start>1</start>
      <end>2</end>
      <status>unmodified</status>
      <modifiedWord/>
      <trackRevisions>false</trackRevisions>
    </reviewItem>
    <reviewItem>
      <errorID>68820e22-ed0c-4f83-8eab-548393db7862</errorID>
      <errorWord>，</errorWord>
      <group>L1_Format</group>
      <groupName>格式问题</groupName>
      <ability>L2_HalfPunc_CN</ability>
      <abilityName>全半角问题</abilityName>
      <candidateList>
        <item>, </item>
      </candidateList>
      <explain>文本全半角错误。</explain>
      <paraID> 484B2FF</paraID>
      <start>1</start>
      <end>2</end>
      <status>unmodified</status>
      <modifiedWord/>
      <trackRevisions>false</trackRevisions>
    </reviewItem>
    <reviewItem>
      <errorID>19c55926-ed69-4053-ba8b-7de2d6c91f13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727F42C8</paraID>
      <start>126</start>
      <end>127</end>
      <status>unmodified</status>
      <modifiedWord/>
      <trackRevisions>false</trackRevisions>
    </reviewItem>
    <reviewItem>
      <errorID>707d6391-f9ee-4fea-a446-b45dc4576fbb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727F42C8</paraID>
      <start>165</start>
      <end>166</end>
      <status>unmodified</status>
      <modifiedWord/>
      <trackRevisions>false</trackRevisions>
    </reviewItem>
    <reviewItem>
      <errorID>a9e451d3-4b3f-48a8-837e-bb7e21a03d05</errorID>
      <errorWord>赋有</errorWord>
      <group>L1_Word</group>
      <groupName>字词问题</groupName>
      <ability>L2_Typo</ability>
      <abilityName>字词错误</abilityName>
      <candidateList>
        <item>负有</item>
      </candidateList>
      <explain/>
      <paraID> A15D949</paraID>
      <start>37</start>
      <end>39</end>
      <status>unmodified</status>
      <modifiedWord/>
      <trackRevisions>false</trackRevisions>
    </reviewItem>
    <reviewItem>
      <errorID>60299ab8-748f-42b3-aee3-c1ba0ba36d17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F079EC3</paraID>
      <start>0</start>
      <end>2</end>
      <status>unmodified</status>
      <modifiedWord/>
      <trackRevisions>false</trackRevisions>
    </reviewItem>
    <reviewItem>
      <errorID>79dba89a-7e2a-4eab-843d-b8188d5b4d35</errorID>
      <errorWord>-</errorWord>
      <group>L1_Format</group>
      <groupName>格式问题</groupName>
      <ability>L2_HalfPunc_CN</ability>
      <abilityName>全半角问题</abilityName>
      <candidateList>
        <item>－</item>
      </candidateList>
      <explain>文本全半角错误。</explain>
      <paraID> 88B57F6</paraID>
      <start>37</start>
      <end>38</end>
      <status>unmodified</status>
      <modifiedWord/>
      <trackRevisions>false</trackRevisions>
    </reviewItem>
    <reviewItem>
      <errorID>06b709e2-bbe2-4747-96f2-09029bdc9ba2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7AEBE711</paraID>
      <start>0</start>
      <end>2</end>
      <status>unmodified</status>
      <modifiedWord/>
      <trackRevisions>false</trackRevisions>
    </reviewItem>
    <reviewItem>
      <errorID>78abc351-1388-45f7-b2bc-0b68aa5e6cf0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345921D6</paraID>
      <start>0</start>
      <end>2</end>
      <status>unmodified</status>
      <modifiedWord/>
      <trackRevisions>false</trackRevisions>
    </reviewItem>
    <reviewItem>
      <errorID>5cd02b71-50d0-47d5-8541-dcf8e299744b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32ADA3E1</paraID>
      <start>0</start>
      <end>2</end>
      <status>unmodified</status>
      <modifiedWord/>
      <trackRevisions>false</trackRevisions>
    </reviewItem>
    <reviewItem>
      <errorID>fdac4241-97d9-4e1d-a51e-3863ea2e1fdd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76AEC831</paraID>
      <start>0</start>
      <end>2</end>
      <status>unmodified</status>
      <modifiedWord/>
      <trackRevisions>false</trackRevisions>
    </reviewItem>
    <reviewItem>
      <errorID>c390588e-17bb-4fab-8497-674f2066733c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366422A1</paraID>
      <start>0</start>
      <end>3</end>
      <status>unmodified</status>
      <modifiedWord/>
      <trackRevisions>false</trackRevisions>
    </reviewItem>
    <reviewItem>
      <errorID>d352fb3b-3338-4c05-a2da-855ef47a80fe</errorID>
      <errorWord>（</errorWord>
      <group>L1_Punc</group>
      <groupName>标点问题</groupName>
      <ability>L2_Punc_CN</ability>
      <abilityName>标点符号问题</abilityName>
      <candidateList/>
      <explain>同一形式括号套用。</explain>
      <paraID>7EFF00DF</paraID>
      <start>3</start>
      <end>4</end>
      <status>unmodified</status>
      <modifiedWord/>
      <trackRevisions>false</trackRevisions>
    </reviewItem>
    <reviewItem>
      <errorID>d4a6819c-a1f1-4bf0-8693-8e0fbaffbc5a</errorID>
      <errorWord>(</errorWord>
      <group>L1_Punc</group>
      <groupName>标点问题</groupName>
      <ability>L2_Punc_CN</ability>
      <abilityName>标点符号问题</abilityName>
      <candidateList/>
      <explain>同一形式括号套用。</explain>
      <paraID>7EFF00DF</paraID>
      <start>7</start>
      <end>8</end>
      <status>unmodified</status>
      <modifiedWord/>
      <trackRevisions>false</trackRevisions>
    </reviewItem>
    <reviewItem>
      <errorID>f47e81d7-85ad-4383-8b0b-e1bf941237bf</errorID>
      <errorWord>)</errorWord>
      <group>L1_Punc</group>
      <groupName>标点问题</groupName>
      <ability>L2_Punc_CN</ability>
      <abilityName>标点符号问题</abilityName>
      <candidateList/>
      <explain>同一形式括号套用。</explain>
      <paraID>7EFF00DF</paraID>
      <start>9</start>
      <end>10</end>
      <status>unmodified</status>
      <modifiedWord/>
      <trackRevisions>false</trackRevisions>
    </reviewItem>
    <reviewItem>
      <errorID>92c7dfa7-f1f7-4d02-b5ba-6c94c06a5bf3</errorID>
      <errorWord>）</errorWord>
      <group>L1_Punc</group>
      <groupName>标点问题</groupName>
      <ability>L2_Punc_CN</ability>
      <abilityName>标点符号问题</abilityName>
      <candidateList/>
      <explain>同一形式括号套用。</explain>
      <paraID>7EFF00DF</paraID>
      <start>10</start>
      <end>11</end>
      <status>unmodified</status>
      <modifiedWord/>
      <trackRevisions>false</trackRevisions>
    </reviewItem>
    <reviewItem>
      <errorID>a383ad59-417d-42aa-aac6-13519c1801bd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51CD9279</paraID>
      <start>0</start>
      <end>3</end>
      <status>unmodified</status>
      <modifiedWord/>
      <trackRevisions>false</trackRevisions>
    </reviewItem>
    <reviewItem>
      <errorID>545abaac-ce8a-4ea6-ae7c-589af62455e6</errorID>
      <errorWord>(</errorWord>
      <group>L1_Format</group>
      <groupName>格式问题</groupName>
      <ability>L2_HalfPunc_CN</ability>
      <abilityName>全半角问题</abilityName>
      <candidateList>
        <item>（</item>
      </candidateList>
      <explain>文本全半角错误。</explain>
      <paraID>5C036F36</paraID>
      <start>3</start>
      <end>4</end>
      <status>unmodified</status>
      <modifiedWord/>
      <trackRevisions>false</trackRevisions>
    </reviewItem>
    <reviewItem>
      <errorID>31524af4-e0dc-46a3-a30a-c7d1e732589b</errorID>
      <errorWord>)</errorWord>
      <group>L1_Format</group>
      <groupName>格式问题</groupName>
      <ability>L2_HalfPunc_CN</ability>
      <abilityName>全半角问题</abilityName>
      <candidateList>
        <item>）</item>
      </candidateList>
      <explain>文本全半角错误。</explain>
      <paraID>5C036F36</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E72BC7-A94F-49C0-A74A-25DA0274A3B0}">
  <ds:schemaRefs/>
</ds:datastoreItem>
</file>

<file path=customXml/itemProps3.xml><?xml version="1.0" encoding="utf-8"?>
<ds:datastoreItem xmlns:ds="http://schemas.openxmlformats.org/officeDocument/2006/customXml" ds:itemID="{4625d8c0-9204-44d2-bfb2-1267c93e5133}">
  <ds:schemaRefs/>
</ds:datastoreItem>
</file>

<file path=docProps/app.xml><?xml version="1.0" encoding="utf-8"?>
<Properties xmlns="http://schemas.openxmlformats.org/officeDocument/2006/extended-properties" xmlns:vt="http://schemas.openxmlformats.org/officeDocument/2006/docPropsVTypes">
  <Template>Normal</Template>
  <Pages>141</Pages>
  <Words>241</Words>
  <Characters>275</Characters>
  <Lines>4091</Lines>
  <Paragraphs>7321</Paragraphs>
  <TotalTime>2</TotalTime>
  <ScaleCrop>false</ScaleCrop>
  <LinksUpToDate>false</LinksUpToDate>
  <CharactersWithSpaces>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2025-09-23T07:00:00Z</dcterms:created>
  <dc:creator>HYGK</dc:creator>
  <cp:lastModifiedBy>等风</cp:lastModifiedBy>
  <cp:lastPrinted>2026-04-30T03:53:00Z</cp:lastPrinted>
  <dcterms:modified xsi:type="dcterms:W3CDTF">2026-10-08T01:23:25Z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eyJoZGlkIjoiNDE1YjM3OTVhNDdiNDkzZDkyYTdiMjQzNmVhMGI4OWIiLCJ1c2VySWQiOiI1MTQ5MTEwMzUifQ==</vt:lpwstr>
  </property>
  <property fmtid="{D5CDD505-2E9C-101B-9397-08002B2CF9AE}" pid="3" name="KSOProductBuildVer">
    <vt:lpwstr>2052-12.1.0.28505</vt:lpwstr>
  </property>
  <property fmtid="{D5CDD505-2E9C-101B-9397-08002B2CF9AE}" pid="4" name="ICV">
    <vt:lpwstr>26ADB80A8AD24D6C92CAFD02A62A6CA6_13</vt:lpwstr>
  </property>
</Properties>
</file>